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eastAsia" w:ascii="方正小标宋简体" w:hAnsi="方正小标宋简体" w:eastAsia="方正小标宋简体" w:cs="方正小标宋简体"/>
          <w:b w:val="0"/>
          <w:bCs/>
          <w:i w:val="0"/>
          <w:caps w:val="0"/>
          <w:color w:val="333333"/>
          <w:spacing w:val="0"/>
          <w:sz w:val="36"/>
          <w:szCs w:val="36"/>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深圳市龙岗区城市管理和综合执法局202</w:t>
      </w:r>
      <w:r>
        <w:rPr>
          <w:rFonts w:hint="default" w:ascii="方正小标宋简体" w:hAnsi="方正小标宋简体" w:eastAsia="方正小标宋简体" w:cs="方正小标宋简体"/>
          <w:b w:val="0"/>
          <w:bCs/>
          <w:i w:val="0"/>
          <w:caps w:val="0"/>
          <w:color w:val="333333"/>
          <w:spacing w:val="0"/>
          <w:sz w:val="44"/>
          <w:szCs w:val="44"/>
          <w:shd w:val="clear" w:fill="FFFFFF"/>
          <w:lang w:eastAsia="zh-CN"/>
        </w:rPr>
        <w:t>4</w:t>
      </w: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年政府信息公开年度报告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420"/>
        <w:jc w:val="both"/>
        <w:textAlignment w:val="auto"/>
        <w:rPr>
          <w:rFonts w:hint="eastAsia" w:ascii="宋体" w:hAnsi="宋体" w:eastAsia="宋体" w:cs="宋体"/>
          <w:i w:val="0"/>
          <w:caps w:val="0"/>
          <w:color w:val="333333"/>
          <w:spacing w:val="0"/>
          <w:sz w:val="24"/>
          <w:szCs w:val="24"/>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b w:val="0"/>
          <w:bCs/>
          <w:i w:val="0"/>
          <w:caps w:val="0"/>
          <w:color w:val="333333"/>
          <w:spacing w:val="0"/>
          <w:sz w:val="32"/>
          <w:szCs w:val="32"/>
          <w:shd w:val="clear" w:fill="FFFFFF"/>
        </w:rPr>
      </w:pPr>
      <w:r>
        <w:rPr>
          <w:rFonts w:hint="eastAsia" w:ascii="仿宋_GB2312" w:hAnsi="仿宋_GB2312" w:eastAsia="仿宋_GB2312" w:cs="仿宋_GB2312"/>
          <w:sz w:val="32"/>
          <w:szCs w:val="32"/>
        </w:rPr>
        <w:t>本年报根据《中华人民共和国政府信息公开条例》（下称《条例》）要求编制，本报告所列数据统计期限为20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年12月31日。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一、总体情况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年，我局严格按照《条例》要求，紧紧围绕</w:t>
      </w:r>
      <w:r>
        <w:rPr>
          <w:rFonts w:hint="default" w:ascii="仿宋_GB2312" w:hAnsi="仿宋_GB2312" w:eastAsia="仿宋_GB2312" w:cs="仿宋_GB2312"/>
          <w:sz w:val="32"/>
          <w:szCs w:val="32"/>
        </w:rPr>
        <w:t>区委</w:t>
      </w:r>
      <w:r>
        <w:rPr>
          <w:rFonts w:hint="eastAsia" w:ascii="仿宋_GB2312" w:hAnsi="仿宋_GB2312" w:eastAsia="仿宋_GB2312" w:cs="仿宋_GB2312"/>
          <w:sz w:val="32"/>
          <w:szCs w:val="32"/>
        </w:rPr>
        <w:t>区政府中心工作，及时制定全年工作计划，深入宣传发动，加强沟通交流，主动接受社会各界的监督，以积极的态度和有力的措施，全面推动政府信息公开工作，取得了一定成效。</w:t>
      </w:r>
      <w:r>
        <w:rPr>
          <w:rFonts w:hint="eastAsia" w:ascii="仿宋_GB2312" w:hAnsi="仿宋_GB2312" w:eastAsia="仿宋_GB2312" w:cs="仿宋_GB2312"/>
          <w:sz w:val="32"/>
          <w:szCs w:val="32"/>
          <w:lang w:eastAsia="zh-CN"/>
        </w:rPr>
        <w:t>总体情况如下：</w:t>
      </w:r>
    </w:p>
    <w:p>
      <w:pPr>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宋体" w:eastAsia="仿宋_GB2312"/>
          <w:sz w:val="32"/>
          <w:szCs w:val="32"/>
        </w:rPr>
      </w:pPr>
      <w:r>
        <w:rPr>
          <w:rFonts w:hint="eastAsia" w:ascii="楷体_GB2312" w:hAnsi="宋体" w:eastAsia="楷体_GB2312"/>
          <w:sz w:val="32"/>
          <w:szCs w:val="32"/>
        </w:rPr>
        <w:t>（一）加强组织领导。</w:t>
      </w:r>
      <w:r>
        <w:rPr>
          <w:rFonts w:hint="eastAsia" w:ascii="仿宋_GB2312" w:hAnsi="宋体" w:eastAsia="仿宋_GB2312"/>
          <w:sz w:val="32"/>
          <w:szCs w:val="32"/>
        </w:rPr>
        <w:t>我局高度重视政府信息公开工作，成立了以局长为组长，局分管领导为副组长的政府信息公开工作领导小组。信息公开工作由</w:t>
      </w:r>
      <w:r>
        <w:rPr>
          <w:rFonts w:hint="eastAsia" w:ascii="仿宋_GB2312" w:hAnsi="宋体" w:eastAsia="仿宋_GB2312"/>
          <w:sz w:val="32"/>
          <w:szCs w:val="32"/>
          <w:lang w:eastAsia="zh-CN"/>
        </w:rPr>
        <w:t>分管领导指导</w:t>
      </w:r>
      <w:r>
        <w:rPr>
          <w:rFonts w:hint="eastAsia" w:ascii="仿宋_GB2312" w:hAnsi="宋体" w:eastAsia="仿宋_GB2312"/>
          <w:sz w:val="32"/>
          <w:szCs w:val="32"/>
        </w:rPr>
        <w:t>，局办公室负责</w:t>
      </w:r>
      <w:r>
        <w:rPr>
          <w:rFonts w:hint="eastAsia" w:ascii="仿宋_GB2312" w:hAnsi="宋体" w:eastAsia="仿宋_GB2312"/>
          <w:sz w:val="32"/>
          <w:szCs w:val="32"/>
          <w:lang w:eastAsia="zh-CN"/>
        </w:rPr>
        <w:t>具体</w:t>
      </w:r>
      <w:r>
        <w:rPr>
          <w:rFonts w:hint="eastAsia" w:ascii="仿宋_GB2312" w:hAnsi="宋体" w:eastAsia="仿宋_GB2312"/>
          <w:sz w:val="32"/>
          <w:szCs w:val="32"/>
        </w:rPr>
        <w:t>处理，并由专人负责信息梳理和信息公开工作，形成一把手负总责、分管领导具体负责、办公室专人抓落实的良好工作格局，确保工作落实。</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645"/>
        <w:textAlignment w:val="auto"/>
        <w:rPr>
          <w:rFonts w:hint="eastAsia" w:ascii="仿宋_GB2312" w:hAnsi="仿宋_GB2312" w:eastAsia="仿宋_GB2312" w:cs="仿宋_GB2312"/>
          <w:sz w:val="32"/>
          <w:szCs w:val="32"/>
        </w:rPr>
      </w:pPr>
      <w:r>
        <w:rPr>
          <w:rFonts w:hint="eastAsia" w:ascii="楷体_GB2312" w:hAnsi="宋体" w:eastAsia="楷体_GB2312"/>
          <w:sz w:val="32"/>
          <w:szCs w:val="32"/>
        </w:rPr>
        <w:t>（</w:t>
      </w:r>
      <w:r>
        <w:rPr>
          <w:rFonts w:hint="default" w:ascii="楷体_GB2312" w:hAnsi="宋体" w:eastAsia="楷体_GB2312"/>
          <w:sz w:val="32"/>
          <w:szCs w:val="32"/>
        </w:rPr>
        <w:t>二</w:t>
      </w:r>
      <w:r>
        <w:rPr>
          <w:rFonts w:hint="eastAsia" w:ascii="楷体_GB2312" w:hAnsi="宋体" w:eastAsia="楷体_GB2312"/>
          <w:sz w:val="32"/>
          <w:szCs w:val="32"/>
        </w:rPr>
        <w:t>）及时主动公开信息。</w:t>
      </w:r>
      <w:r>
        <w:rPr>
          <w:rFonts w:hint="eastAsia" w:ascii="仿宋_GB2312" w:hAnsi="仿宋_GB2312" w:eastAsia="仿宋_GB2312" w:cs="仿宋_GB2312"/>
          <w:sz w:val="32"/>
          <w:szCs w:val="32"/>
        </w:rPr>
        <w:t>我局及时编制、发布政府信息公开指南和目录，对单位领导分工、机构职能、内设机构等组织机构信息和政务动态信息</w:t>
      </w:r>
      <w:r>
        <w:rPr>
          <w:rFonts w:hint="eastAsia" w:ascii="仿宋_GB2312" w:hAnsi="仿宋_GB2312" w:eastAsia="仿宋_GB2312" w:cs="仿宋_GB2312"/>
          <w:sz w:val="32"/>
          <w:szCs w:val="32"/>
          <w:lang w:eastAsia="zh-CN"/>
        </w:rPr>
        <w:t>（其中包括工作动态</w:t>
      </w:r>
      <w:r>
        <w:rPr>
          <w:rFonts w:hint="eastAsia" w:ascii="仿宋_GB2312" w:hAnsi="仿宋_GB2312" w:eastAsia="仿宋_GB2312" w:cs="仿宋_GB2312"/>
          <w:sz w:val="32"/>
          <w:szCs w:val="32"/>
          <w:lang w:val="en-US" w:eastAsia="zh-CN"/>
        </w:rPr>
        <w:t>40条、</w:t>
      </w:r>
      <w:r>
        <w:rPr>
          <w:rFonts w:hint="default" w:ascii="仿宋_GB2312" w:hAnsi="仿宋_GB2312" w:eastAsia="仿宋_GB2312" w:cs="仿宋_GB2312"/>
          <w:sz w:val="32"/>
          <w:szCs w:val="32"/>
          <w:lang w:eastAsia="zh-CN"/>
        </w:rPr>
        <w:t>通知公告80条、人事信息3条、</w:t>
      </w:r>
      <w:r>
        <w:rPr>
          <w:rFonts w:hint="eastAsia" w:ascii="仿宋_GB2312" w:hAnsi="仿宋_GB2312" w:eastAsia="仿宋_GB2312" w:cs="仿宋_GB2312"/>
          <w:sz w:val="32"/>
          <w:szCs w:val="32"/>
          <w:lang w:val="en-US" w:eastAsia="zh-CN"/>
        </w:rPr>
        <w:t>业务知识库1</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条、养犬服务</w:t>
      </w:r>
      <w:r>
        <w:rPr>
          <w:rFonts w:hint="default" w:ascii="仿宋_GB2312" w:hAnsi="仿宋_GB2312" w:eastAsia="仿宋_GB2312" w:cs="仿宋_GB2312"/>
          <w:sz w:val="32"/>
          <w:szCs w:val="32"/>
          <w:lang w:eastAsia="zh-CN"/>
        </w:rPr>
        <w:t>17</w:t>
      </w:r>
      <w:r>
        <w:rPr>
          <w:rFonts w:hint="eastAsia"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、年度工作总结以及所涉及的政策法规等内容都主动进行了公开。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黑体" w:hAnsi="黑体" w:eastAsia="黑体" w:cs="黑体"/>
          <w:b w:val="0"/>
          <w:bCs/>
          <w:i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640" w:firstLineChars="200"/>
        <w:jc w:val="both"/>
        <w:textAlignment w:val="auto"/>
        <w:rPr>
          <w:rFonts w:hint="eastAsia" w:ascii="宋体" w:hAnsi="宋体" w:eastAsia="宋体" w:cs="宋体"/>
          <w:i w:val="0"/>
          <w:caps w:val="0"/>
          <w:color w:val="333333"/>
          <w:spacing w:val="0"/>
          <w:sz w:val="24"/>
          <w:szCs w:val="24"/>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本年</w:t>
            </w:r>
            <w:r>
              <w:rPr>
                <w:rFonts w:hint="eastAsia" w:asciiTheme="majorEastAsia" w:hAnsiTheme="majorEastAsia" w:eastAsiaTheme="majorEastAsia" w:cstheme="majorEastAsia"/>
                <w:kern w:val="0"/>
                <w:sz w:val="18"/>
                <w:szCs w:val="18"/>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现行有效件</w:t>
            </w:r>
            <w:r>
              <w:rPr>
                <w:rFonts w:hint="eastAsia" w:asciiTheme="majorEastAsia" w:hAnsiTheme="majorEastAsia" w:eastAsiaTheme="majorEastAsia" w:cstheme="majorEastAsia"/>
                <w:kern w:val="0"/>
                <w:sz w:val="18"/>
                <w:szCs w:val="18"/>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ajorEastAsia" w:hAnsiTheme="majorEastAsia" w:eastAsiaTheme="majorEastAsia" w:cstheme="majorEastAsia"/>
                <w:sz w:val="18"/>
                <w:szCs w:val="18"/>
              </w:rPr>
            </w:pPr>
            <w:r>
              <w:rPr>
                <w:rFonts w:hint="default" w:asciiTheme="majorEastAsia" w:hAnsiTheme="majorEastAsia" w:eastAsiaTheme="majorEastAsia" w:cstheme="majorEastAsia"/>
                <w:color w:val="000000"/>
                <w:kern w:val="0"/>
                <w:sz w:val="18"/>
                <w:szCs w:val="18"/>
                <w:lang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ajorEastAsia" w:hAnsiTheme="majorEastAsia" w:eastAsiaTheme="majorEastAsia" w:cstheme="majorEastAsia"/>
                <w:sz w:val="18"/>
                <w:szCs w:val="18"/>
                <w:lang w:val="en-US"/>
              </w:rPr>
            </w:pPr>
            <w:r>
              <w:rPr>
                <w:rFonts w:hint="eastAsia" w:asciiTheme="majorEastAsia" w:hAnsiTheme="majorEastAsia" w:eastAsiaTheme="majorEastAsia" w:cstheme="majorEastAsia"/>
                <w:color w:val="000000"/>
                <w:kern w:val="0"/>
                <w:sz w:val="18"/>
                <w:szCs w:val="18"/>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ajorEastAsia" w:hAnsiTheme="majorEastAsia" w:eastAsiaTheme="majorEastAsia" w:cstheme="majorEastAsia"/>
                <w:sz w:val="18"/>
                <w:szCs w:val="18"/>
              </w:rPr>
            </w:pPr>
            <w:r>
              <w:rPr>
                <w:rFonts w:hint="default" w:asciiTheme="majorEastAsia" w:hAnsiTheme="majorEastAsia" w:eastAsiaTheme="majorEastAsia" w:cstheme="majorEastAsia"/>
                <w:kern w:val="0"/>
                <w:sz w:val="18"/>
                <w:szCs w:val="18"/>
                <w:lang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ajorEastAsia" w:hAnsiTheme="majorEastAsia" w:eastAsiaTheme="majorEastAsia" w:cstheme="majorEastAsia"/>
                <w:sz w:val="18"/>
                <w:szCs w:val="18"/>
              </w:rPr>
            </w:pPr>
            <w:r>
              <w:rPr>
                <w:rFonts w:hint="default" w:asciiTheme="majorEastAsia" w:hAnsiTheme="majorEastAsia" w:eastAsiaTheme="majorEastAsia" w:cstheme="majorEastAsia"/>
                <w:sz w:val="18"/>
                <w:szCs w:val="18"/>
              </w:rPr>
              <w:t>2</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ajorEastAsia" w:hAnsiTheme="majorEastAsia" w:eastAsiaTheme="majorEastAsia" w:cstheme="majorEastAsia"/>
                <w:sz w:val="18"/>
                <w:szCs w:val="18"/>
                <w:lang w:val="en-US"/>
              </w:rPr>
            </w:pPr>
            <w:r>
              <w:rPr>
                <w:rFonts w:hint="default" w:asciiTheme="majorEastAsia" w:hAnsiTheme="majorEastAsia" w:eastAsiaTheme="majorEastAsia" w:cstheme="majorEastAsia"/>
                <w:sz w:val="18"/>
                <w:szCs w:val="18"/>
                <w:lang w:val="en-US"/>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ajorEastAsia" w:hAnsiTheme="majorEastAsia" w:eastAsiaTheme="majorEastAsia" w:cstheme="majorEastAsia"/>
                <w:sz w:val="18"/>
                <w:szCs w:val="18"/>
              </w:rPr>
            </w:pPr>
            <w:r>
              <w:rPr>
                <w:rFonts w:hint="default" w:asciiTheme="majorEastAsia" w:hAnsiTheme="majorEastAsia" w:eastAsiaTheme="majorEastAsia" w:cstheme="majorEastAsia"/>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sz w:val="18"/>
                <w:szCs w:val="18"/>
              </w:rPr>
            </w:pPr>
            <w:r>
              <w:rPr>
                <w:rFonts w:hint="eastAsia" w:ascii="宋体" w:hAnsi="宋体" w:eastAsia="宋体" w:cs="宋体"/>
                <w:color w:val="000000"/>
                <w:kern w:val="0"/>
                <w:sz w:val="18"/>
                <w:szCs w:val="18"/>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rPr>
                <w:sz w:val="18"/>
                <w:szCs w:val="18"/>
              </w:rPr>
            </w:pPr>
            <w:r>
              <w:rPr>
                <w:rFonts w:hint="eastAsia" w:ascii="宋体" w:hAnsi="宋体" w:eastAsia="宋体" w:cs="宋体"/>
                <w:color w:val="000000"/>
                <w:kern w:val="0"/>
                <w:sz w:val="18"/>
                <w:szCs w:val="18"/>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inorEastAsia" w:hAnsiTheme="minorEastAsia" w:eastAsiaTheme="minorEastAsia" w:cstheme="minorEastAsia"/>
                <w:sz w:val="18"/>
                <w:szCs w:val="18"/>
              </w:rPr>
            </w:pPr>
            <w:r>
              <w:rPr>
                <w:rFonts w:hint="default" w:asciiTheme="minorEastAsia" w:hAnsiTheme="minorEastAsia" w:cstheme="minorEastAsia"/>
                <w:sz w:val="18"/>
                <w:szCs w:val="18"/>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ajorEastAsia" w:hAnsiTheme="majorEastAsia" w:eastAsiaTheme="majorEastAsia" w:cstheme="majorEastAsia"/>
                <w:sz w:val="18"/>
                <w:szCs w:val="18"/>
              </w:rPr>
            </w:pPr>
            <w:r>
              <w:rPr>
                <w:rFonts w:hint="default" w:asciiTheme="majorEastAsia" w:hAnsiTheme="majorEastAsia" w:eastAsiaTheme="majorEastAsia" w:cstheme="majorEastAsia"/>
                <w:sz w:val="18"/>
                <w:szCs w:val="18"/>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asciiTheme="majorEastAsia" w:hAnsiTheme="majorEastAsia" w:eastAsiaTheme="majorEastAsia" w:cstheme="majorEastAsia"/>
                <w:sz w:val="18"/>
                <w:szCs w:val="18"/>
                <w:lang w:eastAsia="zh-CN"/>
              </w:rPr>
            </w:pPr>
            <w:r>
              <w:rPr>
                <w:rFonts w:hint="default" w:asciiTheme="majorEastAsia" w:hAnsiTheme="majorEastAsia" w:eastAsiaTheme="majorEastAsia" w:cstheme="majorEastAsia"/>
                <w:sz w:val="18"/>
                <w:szCs w:val="18"/>
                <w:lang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2"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jc w:val="center"/>
              <w:textAlignment w:val="auto"/>
              <w:rPr>
                <w:rFonts w:hint="default" w:asciiTheme="majorEastAsia" w:hAnsiTheme="majorEastAsia" w:eastAsiaTheme="majorEastAsia" w:cstheme="majorEastAsia"/>
                <w:sz w:val="18"/>
                <w:szCs w:val="18"/>
                <w:lang w:val="en-US" w:eastAsia="zh-CN"/>
              </w:rPr>
            </w:pPr>
            <w:r>
              <w:rPr>
                <w:rFonts w:hint="default" w:asciiTheme="majorEastAsia" w:hAnsiTheme="majorEastAsia" w:eastAsiaTheme="majorEastAsia" w:cstheme="majorEastAsia"/>
                <w:sz w:val="18"/>
                <w:szCs w:val="18"/>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320" w:firstLineChars="100"/>
        <w:jc w:val="both"/>
        <w:textAlignment w:val="auto"/>
        <w:rPr>
          <w:rFonts w:hint="eastAsia" w:ascii="黑体" w:hAnsi="黑体" w:eastAsia="黑体" w:cs="黑体"/>
          <w:b w:val="0"/>
          <w:bCs/>
          <w:i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320" w:firstLineChars="1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三、收到和处理政府信息公开申请情况</w:t>
      </w:r>
    </w:p>
    <w:tbl>
      <w:tblPr>
        <w:tblStyle w:val="7"/>
        <w:tblpPr w:leftFromText="180" w:rightFromText="180" w:vertAnchor="text" w:horzAnchor="page" w:tblpX="1186" w:tblpY="26"/>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8"/>
        <w:gridCol w:w="943"/>
        <w:gridCol w:w="3231"/>
        <w:gridCol w:w="690"/>
        <w:gridCol w:w="690"/>
        <w:gridCol w:w="690"/>
        <w:gridCol w:w="690"/>
        <w:gridCol w:w="690"/>
        <w:gridCol w:w="690"/>
        <w:gridCol w:w="6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2" w:hRule="atLeast"/>
        </w:trPr>
        <w:tc>
          <w:tcPr>
            <w:tcW w:w="494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ascii="楷体" w:hAnsi="楷体" w:eastAsia="楷体" w:cs="楷体"/>
                <w:kern w:val="0"/>
                <w:sz w:val="20"/>
                <w:szCs w:val="20"/>
                <w:lang w:val="en-US" w:eastAsia="zh-CN" w:bidi="ar"/>
              </w:rPr>
              <w:t>（本列数据的勾稽关系为：第一项加第二项之和，等于第三项加第四项之和）</w:t>
            </w:r>
          </w:p>
        </w:tc>
        <w:tc>
          <w:tcPr>
            <w:tcW w:w="480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94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9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自然人</w:t>
            </w:r>
          </w:p>
        </w:tc>
        <w:tc>
          <w:tcPr>
            <w:tcW w:w="345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法人或其他组织</w:t>
            </w:r>
          </w:p>
        </w:tc>
        <w:tc>
          <w:tcPr>
            <w:tcW w:w="666"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4" w:hRule="atLeast"/>
        </w:trPr>
        <w:tc>
          <w:tcPr>
            <w:tcW w:w="494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9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企业</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机构</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社会公益组织</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法律服务机构</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宋体" w:hAnsi="宋体" w:eastAsia="宋体" w:cs="宋体"/>
                <w:kern w:val="0"/>
                <w:sz w:val="20"/>
                <w:szCs w:val="20"/>
                <w:lang w:val="en-US" w:eastAsia="zh-CN" w:bidi="ar"/>
              </w:rPr>
              <w:t>其他</w:t>
            </w:r>
          </w:p>
        </w:tc>
        <w:tc>
          <w:tcPr>
            <w:tcW w:w="66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7" w:hRule="atLeast"/>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一、本年新收政府信息公开申请数量</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kern w:val="0"/>
                <w:sz w:val="20"/>
                <w:szCs w:val="20"/>
                <w:lang w:eastAsia="zh-CN" w:bidi="ar"/>
              </w:rPr>
              <w:t>12</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kern w:val="0"/>
                <w:sz w:val="20"/>
                <w:szCs w:val="20"/>
                <w:lang w:eastAsia="zh-CN" w:bidi="ar"/>
              </w:rPr>
              <w:t>1</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kern w:val="0"/>
                <w:sz w:val="20"/>
                <w:szCs w:val="20"/>
                <w:lang w:eastAsia="zh-CN" w:bidi="ar"/>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二、上年结转政府信息公开申请数量</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lang w:val="en-US"/>
              </w:rPr>
            </w:pPr>
            <w:r>
              <w:rPr>
                <w:rFonts w:hint="eastAsia" w:ascii="Calibri" w:hAnsi="Calibri" w:cs="Calibri"/>
                <w:kern w:val="0"/>
                <w:sz w:val="20"/>
                <w:szCs w:val="20"/>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eastAsia" w:ascii="Calibri" w:hAnsi="Calibri" w:cs="Calibri"/>
                <w:kern w:val="0"/>
                <w:sz w:val="20"/>
                <w:szCs w:val="20"/>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三、本年度办理结果</w:t>
            </w: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（一）予以公开</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rPr>
              <w:t>3</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rPr>
              <w:t>0</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（三）不予公开</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1.属于国家秘密</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2.其他法律行政法规禁止公开</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3.危及“三安全一稳定”</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4.保护第三方合法权益</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5.属于三类内部事务信息</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6.属于四类过程性信息</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1</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kern w:val="0"/>
                <w:sz w:val="20"/>
                <w:szCs w:val="20"/>
                <w:lang w:eastAsia="zh-CN" w:bidi="ar"/>
              </w:rPr>
              <w:t>0</w:t>
            </w: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7.属于行政执法案卷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8.属于行政查询事项</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（四）无法提供</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1.本机关不掌握相关政府信息</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kern w:val="0"/>
                <w:sz w:val="20"/>
                <w:szCs w:val="20"/>
                <w:lang w:eastAsia="zh-CN" w:bidi="ar"/>
              </w:rPr>
              <w:t>8</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both"/>
              <w:textAlignment w:val="auto"/>
              <w:rPr>
                <w:rFonts w:hint="default"/>
              </w:rPr>
            </w:pPr>
            <w:r>
              <w:rPr>
                <w:rFonts w:hint="default"/>
              </w:rPr>
              <w:t xml:space="preserve">  1</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kern w:val="0"/>
                <w:sz w:val="20"/>
                <w:szCs w:val="20"/>
                <w:lang w:eastAsia="zh-CN" w:bidi="ar"/>
              </w:rPr>
              <w:t>0</w:t>
            </w: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kern w:val="0"/>
                <w:sz w:val="20"/>
                <w:szCs w:val="20"/>
                <w:lang w:eastAsia="zh-CN" w:bidi="ar"/>
              </w:rPr>
              <w:t>0</w:t>
            </w: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rPr>
            </w:pPr>
            <w:r>
              <w:rPr>
                <w:rFonts w:hint="default" w:ascii="Calibri" w:hAnsi="Calibri" w:cs="Calibri" w:eastAsiaTheme="minorEastAsia"/>
                <w:kern w:val="0"/>
                <w:sz w:val="20"/>
                <w:szCs w:val="20"/>
                <w:lang w:val="en-US" w:eastAsia="zh-CN" w:bidi="ar"/>
              </w:rPr>
              <w:t> </w:t>
            </w:r>
            <w:r>
              <w:rPr>
                <w:rFonts w:hint="default" w:ascii="Calibri" w:hAnsi="Calibri" w:cs="Calibri"/>
                <w:kern w:val="0"/>
                <w:sz w:val="20"/>
                <w:szCs w:val="20"/>
                <w:lang w:eastAsia="zh-CN" w:bidi="ar"/>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2.没有现成信息需要另行制作</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3.补正后申请内容仍不明确</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（五）不予处理</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1.信访举报投诉类申请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2.重复申请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3.要求提供公开出版物</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4.无正当理由大量反复申请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9"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both"/>
              <w:textAlignment w:val="auto"/>
            </w:pPr>
            <w:r>
              <w:rPr>
                <w:rFonts w:hint="eastAsia" w:ascii="宋体" w:hAnsi="宋体" w:eastAsia="宋体" w:cs="宋体"/>
                <w:kern w:val="0"/>
                <w:sz w:val="20"/>
                <w:szCs w:val="20"/>
                <w:lang w:val="en-US" w:eastAsia="zh-CN" w:bidi="ar"/>
              </w:rPr>
              <w:t>5.要求行政机关确认或重新出具已获取信息</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（六）其他处理</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both"/>
              <w:textAlignment w:val="auto"/>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both"/>
              <w:textAlignment w:val="auto"/>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3.其他</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pP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（七）总计</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rPr>
            </w:pPr>
            <w:r>
              <w:rPr>
                <w:rFonts w:hint="default" w:ascii="Calibri" w:hAnsi="Calibri" w:cs="Calibri"/>
                <w:kern w:val="0"/>
                <w:sz w:val="18"/>
                <w:szCs w:val="18"/>
                <w:lang w:eastAsia="zh-CN" w:bidi="ar"/>
              </w:rPr>
              <w:t>12</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rPr>
            </w:pPr>
            <w:r>
              <w:rPr>
                <w:rFonts w:hint="default" w:ascii="Calibri" w:hAnsi="Calibri" w:cs="Calibri"/>
                <w:kern w:val="0"/>
                <w:sz w:val="18"/>
                <w:szCs w:val="18"/>
                <w:lang w:eastAsia="zh-CN" w:bidi="ar"/>
              </w:rPr>
              <w:t>1</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lang w:val="en-US"/>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lang w:val="en-US"/>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sz w:val="18"/>
                <w:szCs w:val="18"/>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sz w:val="18"/>
                <w:szCs w:val="18"/>
              </w:rPr>
            </w:pPr>
            <w:r>
              <w:rPr>
                <w:rFonts w:hint="eastAsia" w:ascii="Calibri" w:hAnsi="Calibri" w:cs="Calibri"/>
                <w:kern w:val="0"/>
                <w:sz w:val="18"/>
                <w:szCs w:val="18"/>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rPr>
            </w:pPr>
            <w:r>
              <w:rPr>
                <w:rFonts w:hint="default"/>
                <w:sz w:val="18"/>
                <w:szCs w:val="18"/>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2" w:hRule="atLeast"/>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left"/>
              <w:textAlignment w:val="auto"/>
            </w:pPr>
            <w:r>
              <w:rPr>
                <w:rFonts w:hint="eastAsia" w:ascii="宋体" w:hAnsi="宋体" w:eastAsia="宋体" w:cs="宋体"/>
                <w:kern w:val="0"/>
                <w:sz w:val="20"/>
                <w:szCs w:val="20"/>
                <w:lang w:val="en-US" w:eastAsia="zh-CN" w:bidi="ar"/>
              </w:rPr>
              <w:t>四、结转下年度继续办理</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lang w:val="en-US"/>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lang w:val="en-US"/>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sz w:val="18"/>
                <w:szCs w:val="18"/>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lang w:val="en-US"/>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rFonts w:hint="default"/>
                <w:sz w:val="18"/>
                <w:szCs w:val="18"/>
                <w:lang w:val="en-US"/>
              </w:rPr>
            </w:pPr>
            <w:r>
              <w:rPr>
                <w:rFonts w:hint="eastAsia" w:ascii="Calibri" w:hAnsi="Calibri" w:cs="Calibri"/>
                <w:kern w:val="0"/>
                <w:sz w:val="18"/>
                <w:szCs w:val="18"/>
                <w:lang w:val="en-US" w:eastAsia="zh-CN"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jc w:val="center"/>
              <w:textAlignment w:val="auto"/>
              <w:rPr>
                <w:sz w:val="18"/>
                <w:szCs w:val="18"/>
              </w:rPr>
            </w:pPr>
            <w:r>
              <w:rPr>
                <w:rFonts w:hint="eastAsia" w:ascii="Calibri" w:hAnsi="Calibri" w:cs="Calibri"/>
                <w:kern w:val="0"/>
                <w:sz w:val="18"/>
                <w:szCs w:val="18"/>
                <w:lang w:val="en-US" w:eastAsia="zh-CN"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480" w:lineRule="exact"/>
              <w:ind w:left="0" w:leftChars="0"/>
              <w:jc w:val="center"/>
              <w:textAlignment w:val="auto"/>
              <w:rPr>
                <w:rFonts w:hint="default" w:ascii="宋体" w:eastAsiaTheme="minorEastAsia"/>
                <w:sz w:val="18"/>
                <w:szCs w:val="18"/>
                <w:lang w:eastAsia="zh-CN"/>
              </w:rPr>
            </w:pPr>
            <w:r>
              <w:rPr>
                <w:rFonts w:hint="default" w:ascii="Calibri" w:hAnsi="Calibri" w:cs="Calibri"/>
                <w:kern w:val="0"/>
                <w:sz w:val="18"/>
                <w:szCs w:val="18"/>
                <w:lang w:val="en-US" w:eastAsia="zh-CN" w:bidi="ar"/>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黑体" w:hAnsi="黑体" w:eastAsia="黑体" w:cs="黑体"/>
          <w:b w:val="0"/>
          <w:bCs/>
          <w:i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320" w:firstLineChars="100"/>
        <w:jc w:val="both"/>
        <w:textAlignment w:val="auto"/>
        <w:rPr>
          <w:rFonts w:hint="eastAsia" w:ascii="宋体" w:hAnsi="宋体" w:eastAsia="宋体" w:cs="宋体"/>
          <w:i w:val="0"/>
          <w:caps w:val="0"/>
          <w:color w:val="333333"/>
          <w:spacing w:val="0"/>
          <w:sz w:val="24"/>
          <w:szCs w:val="24"/>
        </w:rPr>
      </w:pPr>
      <w:r>
        <w:rPr>
          <w:rFonts w:hint="eastAsia" w:ascii="黑体" w:hAnsi="黑体" w:eastAsia="黑体" w:cs="黑体"/>
          <w:b w:val="0"/>
          <w:bCs/>
          <w:i w:val="0"/>
          <w:caps w:val="0"/>
          <w:color w:val="333333"/>
          <w:spacing w:val="0"/>
          <w:sz w:val="32"/>
          <w:szCs w:val="32"/>
          <w:shd w:val="clear" w:fill="FFFFFF"/>
        </w:rPr>
        <w:t>四、政府信息公开行政复议、行政诉讼情况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4"/>
        <w:gridCol w:w="644"/>
        <w:gridCol w:w="644"/>
        <w:gridCol w:w="644"/>
        <w:gridCol w:w="644"/>
        <w:gridCol w:w="644"/>
        <w:gridCol w:w="644"/>
        <w:gridCol w:w="645"/>
        <w:gridCol w:w="645"/>
        <w:gridCol w:w="645"/>
        <w:gridCol w:w="645"/>
        <w:gridCol w:w="646"/>
        <w:gridCol w:w="646"/>
        <w:gridCol w:w="646"/>
        <w:gridCol w:w="7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8" w:hRule="atLeast"/>
          <w:jc w:val="center"/>
        </w:trPr>
        <w:tc>
          <w:tcPr>
            <w:tcW w:w="322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3" w:hRule="atLeast"/>
          <w:jc w:val="center"/>
        </w:trPr>
        <w:tc>
          <w:tcPr>
            <w:tcW w:w="64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结果维持</w:t>
            </w:r>
          </w:p>
        </w:tc>
        <w:tc>
          <w:tcPr>
            <w:tcW w:w="64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总计</w:t>
            </w:r>
          </w:p>
        </w:tc>
        <w:tc>
          <w:tcPr>
            <w:tcW w:w="322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未经复议直接起诉</w:t>
            </w:r>
          </w:p>
        </w:tc>
        <w:tc>
          <w:tcPr>
            <w:tcW w:w="330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4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4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textAlignment w:val="auto"/>
              <w:rPr>
                <w:rFonts w:hint="eastAsia" w:ascii="宋体"/>
                <w:sz w:val="24"/>
                <w:szCs w:val="24"/>
              </w:rPr>
            </w:pP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color w:val="000000"/>
                <w:kern w:val="0"/>
                <w:sz w:val="20"/>
                <w:szCs w:val="20"/>
                <w:lang w:val="en-US" w:eastAsia="zh-CN" w:bidi="ar"/>
              </w:rPr>
              <w:t>总计</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7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rPr>
            </w:pPr>
            <w:r>
              <w:rPr>
                <w:rFonts w:hint="default"/>
              </w:rPr>
              <w:t>1</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rPr>
            </w:pPr>
            <w:r>
              <w:rPr>
                <w:rFonts w:hint="default"/>
              </w:rPr>
              <w:t>1</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黑体" w:hAnsi="宋体" w:eastAsia="黑体" w:cs="黑体"/>
                <w:kern w:val="0"/>
                <w:sz w:val="20"/>
                <w:szCs w:val="20"/>
                <w:lang w:val="en-US"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rPr>
            </w:pPr>
            <w:r>
              <w:rPr>
                <w:rFonts w:hint="default" w:ascii="黑体" w:hAnsi="宋体" w:eastAsia="黑体" w:cs="黑体"/>
                <w:kern w:val="0"/>
                <w:sz w:val="20"/>
                <w:szCs w:val="20"/>
                <w:lang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黑体" w:hAnsi="宋体" w:eastAsia="黑体" w:cs="黑体"/>
                <w:kern w:val="0"/>
                <w:sz w:val="20"/>
                <w:szCs w:val="20"/>
                <w:lang w:val="en-US" w:eastAsia="zh-CN"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pPr>
            <w:r>
              <w:rPr>
                <w:rFonts w:hint="eastAsia" w:ascii="黑体" w:hAnsi="宋体" w:eastAsia="黑体" w:cs="黑体"/>
                <w:kern w:val="0"/>
                <w:sz w:val="20"/>
                <w:szCs w:val="20"/>
                <w:lang w:val="en-US" w:eastAsia="zh-CN"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leftChars="0" w:right="0" w:firstLine="0"/>
              <w:jc w:val="center"/>
              <w:textAlignment w:val="auto"/>
              <w:rPr>
                <w:rFonts w:hint="default"/>
                <w:lang w:val="en-US"/>
              </w:rPr>
            </w:pPr>
            <w:r>
              <w:rPr>
                <w:rFonts w:hint="eastAsia" w:ascii="黑体" w:hAnsi="宋体" w:eastAsia="黑体" w:cs="黑体"/>
                <w:kern w:val="0"/>
                <w:sz w:val="20"/>
                <w:szCs w:val="20"/>
                <w:lang w:val="en-US" w:eastAsia="zh-CN" w:bidi="ar"/>
              </w:rPr>
              <w:t>0</w:t>
            </w:r>
          </w:p>
        </w:tc>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ind w:left="0" w:leftChars="0"/>
              <w:jc w:val="center"/>
              <w:textAlignment w:val="auto"/>
              <w:rPr>
                <w:rFonts w:hint="eastAsia" w:ascii="宋体" w:eastAsiaTheme="minorEastAsia"/>
                <w:sz w:val="24"/>
                <w:szCs w:val="24"/>
                <w:lang w:val="en-US" w:eastAsia="zh-CN"/>
              </w:rPr>
            </w:pPr>
            <w:r>
              <w:rPr>
                <w:rFonts w:hint="eastAsia" w:ascii="宋体"/>
                <w:sz w:val="24"/>
                <w:szCs w:val="24"/>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eastAsia" w:ascii="黑体" w:hAnsi="黑体" w:eastAsia="黑体" w:cs="黑体"/>
          <w:b w:val="0"/>
          <w:bCs/>
          <w:i w:val="0"/>
          <w:caps w:val="0"/>
          <w:color w:val="333333"/>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五、存在的主要问题及改进情况</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ascii="Times New Roman" w:hAnsi="Times New Roman" w:eastAsia="仿宋_GB2312"/>
          <w:sz w:val="32"/>
          <w:szCs w:val="32"/>
        </w:rPr>
        <w:t>我</w:t>
      </w:r>
      <w:r>
        <w:rPr>
          <w:rFonts w:hint="eastAsia" w:ascii="Times New Roman" w:hAnsi="Times New Roman" w:eastAsia="仿宋_GB2312"/>
          <w:sz w:val="32"/>
          <w:szCs w:val="32"/>
        </w:rPr>
        <w:t>局</w:t>
      </w:r>
      <w:r>
        <w:rPr>
          <w:rFonts w:ascii="Times New Roman" w:hAnsi="Times New Roman" w:eastAsia="仿宋_GB2312"/>
          <w:sz w:val="32"/>
          <w:szCs w:val="32"/>
        </w:rPr>
        <w:t>虽在政府信息公开内容、程序、考核等方面取得了一定成效，但与市民群众日益增长</w:t>
      </w:r>
      <w:r>
        <w:rPr>
          <w:rFonts w:hint="eastAsia" w:ascii="Times New Roman" w:hAnsi="Times New Roman" w:eastAsia="仿宋_GB2312"/>
          <w:sz w:val="32"/>
          <w:szCs w:val="32"/>
          <w:lang w:eastAsia="zh-CN"/>
        </w:rPr>
        <w:t>的</w:t>
      </w:r>
      <w:r>
        <w:rPr>
          <w:rFonts w:ascii="Times New Roman" w:hAnsi="Times New Roman" w:eastAsia="仿宋_GB2312"/>
          <w:sz w:val="32"/>
          <w:szCs w:val="32"/>
        </w:rPr>
        <w:t>信息公开需求还存在一定的差距，主要表现在信息公开</w:t>
      </w:r>
      <w:r>
        <w:rPr>
          <w:rFonts w:hint="eastAsia" w:ascii="Times New Roman" w:hAnsi="Times New Roman" w:eastAsia="仿宋_GB2312"/>
          <w:sz w:val="32"/>
          <w:szCs w:val="32"/>
        </w:rPr>
        <w:t>宣传工作有待增强、</w:t>
      </w:r>
      <w:r>
        <w:rPr>
          <w:rFonts w:ascii="Times New Roman" w:hAnsi="Times New Roman" w:eastAsia="仿宋_GB2312"/>
          <w:sz w:val="32"/>
          <w:szCs w:val="32"/>
        </w:rPr>
        <w:t>相关配套措施有待进一步完善、信息公开内容有待进一步深化等。</w:t>
      </w:r>
      <w:r>
        <w:rPr>
          <w:rFonts w:hint="eastAsia" w:ascii="仿宋_GB2312" w:hAnsi="仿宋_GB2312" w:eastAsia="仿宋_GB2312" w:cs="仿宋_GB2312"/>
          <w:sz w:val="32"/>
          <w:szCs w:val="32"/>
        </w:rPr>
        <w:t>对此，我局将从以下几个方面</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改进：</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公开流程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提升政府信息公开业务能力</w:t>
      </w:r>
      <w:r>
        <w:rPr>
          <w:rFonts w:hint="eastAsia" w:ascii="仿宋_GB2312" w:hAnsi="仿宋_GB2312" w:eastAsia="仿宋_GB2312" w:cs="仿宋_GB2312"/>
          <w:sz w:val="32"/>
          <w:szCs w:val="32"/>
        </w:rPr>
        <w:t>。正确处理好公开与保密、主动公开与依申请公开的关系，及时全面地对主动公开的政府信息进行披露，</w:t>
      </w:r>
      <w:r>
        <w:rPr>
          <w:rFonts w:hint="eastAsia" w:ascii="Times New Roman" w:hAnsi="Times New Roman" w:eastAsia="仿宋_GB2312"/>
          <w:sz w:val="32"/>
          <w:szCs w:val="32"/>
          <w:lang w:val="en-US" w:eastAsia="zh-CN"/>
        </w:rPr>
        <w:t>加强政务公开办理的培训和学习，进一步提高干部职工对</w:t>
      </w:r>
      <w:r>
        <w:rPr>
          <w:rFonts w:hint="eastAsia" w:eastAsia="仿宋_GB2312"/>
          <w:sz w:val="32"/>
          <w:szCs w:val="32"/>
          <w:lang w:val="en-US" w:eastAsia="zh-CN"/>
        </w:rPr>
        <w:t>政府信息</w:t>
      </w:r>
      <w:r>
        <w:rPr>
          <w:rFonts w:hint="eastAsia" w:ascii="Times New Roman" w:hAnsi="Times New Roman" w:eastAsia="仿宋_GB2312"/>
          <w:sz w:val="32"/>
          <w:szCs w:val="32"/>
          <w:lang w:val="en-US" w:eastAsia="zh-CN"/>
        </w:rPr>
        <w:t>公开申请办理、答复的规范性</w:t>
      </w:r>
      <w:r>
        <w:rPr>
          <w:rFonts w:hint="eastAsia" w:eastAsia="仿宋_GB2312"/>
          <w:sz w:val="32"/>
          <w:szCs w:val="32"/>
          <w:lang w:val="en-US" w:eastAsia="zh-CN"/>
        </w:rPr>
        <w:t>，</w:t>
      </w:r>
      <w:r>
        <w:rPr>
          <w:rFonts w:hint="eastAsia" w:ascii="仿宋_GB2312" w:hAnsi="仿宋_GB2312" w:eastAsia="仿宋_GB2312" w:cs="仿宋_GB2312"/>
          <w:sz w:val="32"/>
          <w:szCs w:val="32"/>
        </w:rPr>
        <w:t>完善工作环节，积极梳理公开信息，确保专人定期维护、更新，以方便公众能够阅读、查询。</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right="0" w:rightChars="0" w:firstLine="640" w:firstLineChars="0"/>
        <w:jc w:val="both"/>
        <w:textAlignment w:val="auto"/>
        <w:outlineLvl w:val="9"/>
        <w:rPr>
          <w:rFonts w:hint="eastAsia" w:ascii="仿宋_GB2312" w:hAnsi="仿宋_GB2312" w:eastAsia="仿宋_GB2312" w:cs="仿宋_GB2312"/>
          <w:b w:val="0"/>
          <w:bCs/>
          <w:i w:val="0"/>
          <w:caps w:val="0"/>
          <w:color w:val="333333"/>
          <w:spacing w:val="0"/>
          <w:sz w:val="32"/>
          <w:szCs w:val="32"/>
        </w:rPr>
      </w:pPr>
      <w:r>
        <w:rPr>
          <w:rFonts w:hint="eastAsia" w:ascii="仿宋_GB2312" w:hAnsi="仿宋_GB2312" w:eastAsia="仿宋_GB2312" w:cs="仿宋_GB2312"/>
          <w:sz w:val="32"/>
          <w:szCs w:val="32"/>
        </w:rPr>
        <w:t>进一步加大宣传力度，全力营造公开氛围。多渠道、多形式向社会和广大群众深入宣传政府信息公开条例实施的重要意义，诠释解读好《政府信息公开条例》，努力形成群众积极关心政府信息公开的社会氛围。进一步丰富</w:t>
      </w:r>
      <w:r>
        <w:rPr>
          <w:rFonts w:hint="eastAsia" w:ascii="仿宋_GB2312" w:hAnsi="仿宋_GB2312" w:eastAsia="仿宋_GB2312" w:cs="仿宋_GB2312"/>
          <w:sz w:val="32"/>
          <w:szCs w:val="32"/>
          <w:lang w:val="en-US" w:eastAsia="zh-CN"/>
        </w:rPr>
        <w:t>政府信息</w:t>
      </w:r>
      <w:r>
        <w:rPr>
          <w:rFonts w:hint="eastAsia" w:ascii="仿宋_GB2312" w:hAnsi="仿宋_GB2312" w:eastAsia="仿宋_GB2312" w:cs="仿宋_GB2312"/>
          <w:sz w:val="32"/>
          <w:szCs w:val="32"/>
        </w:rPr>
        <w:t>公开的内容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提高政府信息公开的公众知晓率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及时受理市民群众关于城市管理工作的诉求及意见建议，做好服务保障工作。</w:t>
      </w:r>
    </w:p>
    <w:p>
      <w:pPr>
        <w:pStyle w:val="2"/>
        <w:rPr>
          <w:rFonts w:hint="eastAsia"/>
        </w:rPr>
      </w:pP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shd w:val="clear" w:fill="FFFFFF"/>
        </w:rPr>
      </w:pPr>
      <w:r>
        <w:rPr>
          <w:rFonts w:hint="eastAsia" w:ascii="黑体" w:hAnsi="黑体" w:eastAsia="黑体" w:cs="黑体"/>
          <w:b w:val="0"/>
          <w:bCs/>
          <w:i w:val="0"/>
          <w:caps w:val="0"/>
          <w:color w:val="333333"/>
          <w:spacing w:val="0"/>
          <w:sz w:val="32"/>
          <w:szCs w:val="32"/>
          <w:shd w:val="clear" w:fill="FFFFFF"/>
        </w:rPr>
        <w:t>其他需要报告的事项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leftChars="0" w:right="0" w:rightChars="0"/>
        <w:jc w:val="both"/>
        <w:textAlignment w:val="auto"/>
        <w:rPr>
          <w:rFonts w:hint="eastAsia" w:ascii="仿宋_GB2312" w:hAnsi="仿宋_GB2312" w:eastAsia="仿宋_GB2312" w:cs="仿宋_GB2312"/>
          <w:b w:val="0"/>
          <w:bCs/>
          <w:i w:val="0"/>
          <w:caps w:val="0"/>
          <w:color w:val="333333"/>
          <w:spacing w:val="0"/>
          <w:sz w:val="32"/>
          <w:szCs w:val="32"/>
          <w:shd w:val="clear" w:fill="FFFFFF"/>
          <w:lang w:val="en-US" w:eastAsia="zh-CN"/>
        </w:rPr>
      </w:pPr>
      <w:r>
        <w:rPr>
          <w:rFonts w:hint="eastAsia" w:ascii="仿宋_GB2312" w:hAnsi="仿宋_GB2312" w:eastAsia="仿宋_GB2312" w:cs="仿宋_GB2312"/>
          <w:b w:val="0"/>
          <w:bCs/>
          <w:i w:val="0"/>
          <w:caps w:val="0"/>
          <w:color w:val="333333"/>
          <w:spacing w:val="0"/>
          <w:sz w:val="32"/>
          <w:szCs w:val="32"/>
          <w:shd w:val="clear" w:fill="FFFFFF"/>
          <w:lang w:val="en-US" w:eastAsia="zh-CN"/>
        </w:rPr>
        <w:t xml:space="preserve">    本年度我局未产生政府信息公开信息处理费收取情况。</w:t>
      </w:r>
    </w:p>
    <w:p>
      <w:pPr>
        <w:keepNext w:val="0"/>
        <w:keepLines w:val="0"/>
        <w:pageBreakBefore w:val="0"/>
        <w:kinsoku/>
        <w:wordWrap/>
        <w:overflowPunct/>
        <w:topLinePunct w:val="0"/>
        <w:autoSpaceDE/>
        <w:autoSpaceDN/>
        <w:bidi w:val="0"/>
        <w:adjustRightInd/>
        <w:snapToGrid/>
        <w:spacing w:line="480" w:lineRule="exact"/>
        <w:ind w:left="0" w:leftChars="0"/>
        <w:jc w:val="right"/>
        <w:textAlignment w:val="auto"/>
        <w:rPr>
          <w:rFonts w:hint="eastAsia" w:ascii="仿宋_GB2312" w:hAnsi="仿宋_GB2312" w:eastAsia="仿宋_GB2312" w:cs="仿宋_GB2312"/>
          <w:b w:val="0"/>
          <w:bCs/>
          <w:sz w:val="32"/>
          <w:szCs w:val="32"/>
          <w:lang w:eastAsia="zh-CN"/>
        </w:rPr>
      </w:pPr>
    </w:p>
    <w:p>
      <w:pPr>
        <w:keepNext w:val="0"/>
        <w:keepLines w:val="0"/>
        <w:pageBreakBefore w:val="0"/>
        <w:kinsoku/>
        <w:wordWrap/>
        <w:overflowPunct/>
        <w:topLinePunct w:val="0"/>
        <w:autoSpaceDE/>
        <w:autoSpaceDN/>
        <w:bidi w:val="0"/>
        <w:adjustRightInd/>
        <w:snapToGrid/>
        <w:spacing w:line="480" w:lineRule="exact"/>
        <w:ind w:left="0" w:leftChars="0"/>
        <w:jc w:val="right"/>
        <w:textAlignment w:val="auto"/>
        <w:rPr>
          <w:rFonts w:hint="eastAsia" w:ascii="仿宋_GB2312" w:hAnsi="仿宋_GB2312" w:eastAsia="仿宋_GB2312" w:cs="仿宋_GB2312"/>
          <w:b w:val="0"/>
          <w:bCs/>
          <w:sz w:val="32"/>
          <w:szCs w:val="32"/>
          <w:lang w:eastAsia="zh-CN"/>
        </w:rPr>
      </w:pPr>
    </w:p>
    <w:p>
      <w:pPr>
        <w:keepNext w:val="0"/>
        <w:keepLines w:val="0"/>
        <w:pageBreakBefore w:val="0"/>
        <w:kinsoku/>
        <w:wordWrap/>
        <w:overflowPunct/>
        <w:topLinePunct w:val="0"/>
        <w:autoSpaceDE/>
        <w:autoSpaceDN/>
        <w:bidi w:val="0"/>
        <w:adjustRightInd/>
        <w:snapToGrid/>
        <w:spacing w:line="480" w:lineRule="exact"/>
        <w:ind w:left="0" w:leftChars="0"/>
        <w:jc w:val="right"/>
        <w:textAlignment w:val="auto"/>
        <w:rPr>
          <w:rFonts w:hint="eastAsia" w:ascii="仿宋_GB2312" w:hAnsi="仿宋_GB2312" w:eastAsia="仿宋_GB2312" w:cs="仿宋_GB2312"/>
          <w:b w:val="0"/>
          <w:bCs/>
          <w:sz w:val="32"/>
          <w:szCs w:val="32"/>
          <w:lang w:eastAsia="zh-CN"/>
        </w:rPr>
      </w:pPr>
    </w:p>
    <w:p>
      <w:pPr>
        <w:keepNext w:val="0"/>
        <w:keepLines w:val="0"/>
        <w:pageBreakBefore w:val="0"/>
        <w:kinsoku/>
        <w:wordWrap/>
        <w:overflowPunct/>
        <w:topLinePunct w:val="0"/>
        <w:autoSpaceDE/>
        <w:autoSpaceDN/>
        <w:bidi w:val="0"/>
        <w:adjustRightInd/>
        <w:snapToGrid/>
        <w:spacing w:line="480" w:lineRule="exact"/>
        <w:ind w:left="0" w:leftChars="0"/>
        <w:jc w:val="righ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深圳市龙岗区城市管理和综合</w:t>
      </w:r>
      <w:bookmarkStart w:id="0" w:name="_GoBack"/>
      <w:bookmarkEnd w:id="0"/>
      <w:r>
        <w:rPr>
          <w:rFonts w:hint="eastAsia" w:ascii="仿宋_GB2312" w:hAnsi="仿宋_GB2312" w:eastAsia="仿宋_GB2312" w:cs="仿宋_GB2312"/>
          <w:b w:val="0"/>
          <w:bCs/>
          <w:sz w:val="32"/>
          <w:szCs w:val="32"/>
          <w:lang w:eastAsia="zh-CN"/>
        </w:rPr>
        <w:t>执法局</w:t>
      </w:r>
    </w:p>
    <w:p>
      <w:pPr>
        <w:pStyle w:val="2"/>
        <w:keepNext w:val="0"/>
        <w:keepLines w:val="0"/>
        <w:pageBreakBefore w:val="0"/>
        <w:kinsoku/>
        <w:wordWrap/>
        <w:overflowPunct/>
        <w:topLinePunct w:val="0"/>
        <w:autoSpaceDE/>
        <w:autoSpaceDN/>
        <w:bidi w:val="0"/>
        <w:adjustRightInd/>
        <w:snapToGrid/>
        <w:spacing w:line="480" w:lineRule="exact"/>
        <w:ind w:left="0"/>
        <w:textAlignment w:val="auto"/>
        <w:rPr>
          <w:rFonts w:hint="default"/>
          <w:lang w:val="en-US" w:eastAsia="zh-CN"/>
        </w:rPr>
      </w:pPr>
      <w:r>
        <w:rPr>
          <w:rFonts w:hint="eastAsia" w:ascii="仿宋_GB2312" w:hAnsi="仿宋_GB2312" w:eastAsia="仿宋_GB2312" w:cs="仿宋_GB2312"/>
          <w:b w:val="0"/>
          <w:bCs/>
          <w:sz w:val="32"/>
          <w:szCs w:val="32"/>
          <w:lang w:val="en-US" w:eastAsia="zh-CN"/>
        </w:rPr>
        <w:t xml:space="preserve">                                  202</w:t>
      </w:r>
      <w:r>
        <w:rPr>
          <w:rFonts w:hint="default" w:ascii="仿宋_GB2312" w:hAnsi="仿宋_GB2312" w:eastAsia="仿宋_GB2312" w:cs="仿宋_GB2312"/>
          <w:b w:val="0"/>
          <w:bCs/>
          <w:sz w:val="32"/>
          <w:szCs w:val="32"/>
          <w:lang w:eastAsia="zh-CN"/>
        </w:rPr>
        <w:t>5</w:t>
      </w:r>
      <w:r>
        <w:rPr>
          <w:rFonts w:hint="eastAsia" w:ascii="仿宋_GB2312" w:hAnsi="仿宋_GB2312" w:eastAsia="仿宋_GB2312" w:cs="仿宋_GB2312"/>
          <w:b w:val="0"/>
          <w:bCs/>
          <w:sz w:val="32"/>
          <w:szCs w:val="32"/>
          <w:lang w:val="en-US" w:eastAsia="zh-CN"/>
        </w:rPr>
        <w:t>年</w:t>
      </w:r>
      <w:r>
        <w:rPr>
          <w:rFonts w:hint="default" w:ascii="仿宋_GB2312" w:hAnsi="仿宋_GB2312" w:eastAsia="仿宋_GB2312" w:cs="仿宋_GB2312"/>
          <w:b w:val="0"/>
          <w:bCs/>
          <w:sz w:val="32"/>
          <w:szCs w:val="32"/>
          <w:lang w:eastAsia="zh-CN"/>
        </w:rPr>
        <w:t>1</w:t>
      </w:r>
      <w:r>
        <w:rPr>
          <w:rFonts w:hint="eastAsia" w:ascii="仿宋_GB2312" w:hAnsi="仿宋_GB2312" w:eastAsia="仿宋_GB2312" w:cs="仿宋_GB2312"/>
          <w:b w:val="0"/>
          <w:bCs/>
          <w:sz w:val="32"/>
          <w:szCs w:val="32"/>
          <w:lang w:val="en-US" w:eastAsia="zh-CN"/>
        </w:rPr>
        <w:t>月</w:t>
      </w:r>
      <w:r>
        <w:rPr>
          <w:rFonts w:hint="default" w:ascii="仿宋_GB2312" w:hAnsi="仿宋_GB2312" w:eastAsia="仿宋_GB2312" w:cs="仿宋_GB2312"/>
          <w:b w:val="0"/>
          <w:bCs/>
          <w:sz w:val="32"/>
          <w:szCs w:val="32"/>
          <w:lang w:eastAsia="zh-CN"/>
        </w:rPr>
        <w:t>8</w:t>
      </w:r>
      <w:r>
        <w:rPr>
          <w:rFonts w:hint="eastAsia" w:ascii="仿宋_GB2312" w:hAnsi="仿宋_GB2312" w:eastAsia="仿宋_GB2312" w:cs="仿宋_GB2312"/>
          <w:b w:val="0"/>
          <w:bCs/>
          <w:sz w:val="32"/>
          <w:szCs w:val="32"/>
          <w:lang w:val="en-US" w:eastAsia="zh-CN"/>
        </w:rPr>
        <w:t>日</w:t>
      </w:r>
    </w:p>
    <w:sectPr>
      <w:footerReference r:id="rId5" w:type="first"/>
      <w:footerReference r:id="rId3" w:type="default"/>
      <w:footerReference r:id="rId4" w:type="even"/>
      <w:pgSz w:w="11906" w:h="16838"/>
      <w:pgMar w:top="2324" w:right="1474" w:bottom="1587" w:left="1587" w:header="851" w:footer="992"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x5e1z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AKVIP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qaivlTECAABj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F1B8F"/>
    <w:multiLevelType w:val="singleLevel"/>
    <w:tmpl w:val="3FCF1B8F"/>
    <w:lvl w:ilvl="0" w:tentative="0">
      <w:start w:val="1"/>
      <w:numFmt w:val="chineseCounting"/>
      <w:suff w:val="nothing"/>
      <w:lvlText w:val="（%1）"/>
      <w:lvlJc w:val="left"/>
      <w:pPr>
        <w:ind w:left="-20"/>
      </w:pPr>
      <w:rPr>
        <w:rFonts w:hint="eastAsia"/>
      </w:rPr>
    </w:lvl>
  </w:abstractNum>
  <w:abstractNum w:abstractNumId="1">
    <w:nsid w:val="49CCD3FE"/>
    <w:multiLevelType w:val="singleLevel"/>
    <w:tmpl w:val="49CCD3F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4777D"/>
    <w:rsid w:val="018701F1"/>
    <w:rsid w:val="01AD57EF"/>
    <w:rsid w:val="032453ED"/>
    <w:rsid w:val="033925F0"/>
    <w:rsid w:val="03AD534B"/>
    <w:rsid w:val="04557723"/>
    <w:rsid w:val="07515DA4"/>
    <w:rsid w:val="082D2B54"/>
    <w:rsid w:val="0BF2689B"/>
    <w:rsid w:val="15907CFB"/>
    <w:rsid w:val="16B5728E"/>
    <w:rsid w:val="175E219A"/>
    <w:rsid w:val="19060F17"/>
    <w:rsid w:val="1B053E75"/>
    <w:rsid w:val="1FCC383C"/>
    <w:rsid w:val="204959CF"/>
    <w:rsid w:val="204E6975"/>
    <w:rsid w:val="20B4777D"/>
    <w:rsid w:val="2235630A"/>
    <w:rsid w:val="23C92208"/>
    <w:rsid w:val="257B4D3B"/>
    <w:rsid w:val="277A3DEB"/>
    <w:rsid w:val="27CC4B64"/>
    <w:rsid w:val="2A062B83"/>
    <w:rsid w:val="2BE62F8A"/>
    <w:rsid w:val="2DD74E0C"/>
    <w:rsid w:val="30310796"/>
    <w:rsid w:val="38992648"/>
    <w:rsid w:val="38EA34B9"/>
    <w:rsid w:val="3F081253"/>
    <w:rsid w:val="43E9655D"/>
    <w:rsid w:val="451F5436"/>
    <w:rsid w:val="451F6FBE"/>
    <w:rsid w:val="47492934"/>
    <w:rsid w:val="49A16A8E"/>
    <w:rsid w:val="49E80EBF"/>
    <w:rsid w:val="4C8F03A0"/>
    <w:rsid w:val="4E3A234C"/>
    <w:rsid w:val="4FDE7D66"/>
    <w:rsid w:val="575D4CA7"/>
    <w:rsid w:val="583168FE"/>
    <w:rsid w:val="5B660E98"/>
    <w:rsid w:val="5C7D250E"/>
    <w:rsid w:val="61E0566A"/>
    <w:rsid w:val="6303517F"/>
    <w:rsid w:val="6B7C0078"/>
    <w:rsid w:val="6E7F6310"/>
    <w:rsid w:val="6F625D58"/>
    <w:rsid w:val="70C04767"/>
    <w:rsid w:val="73AFEC86"/>
    <w:rsid w:val="74217F02"/>
    <w:rsid w:val="75E456A2"/>
    <w:rsid w:val="76187A03"/>
    <w:rsid w:val="769644AC"/>
    <w:rsid w:val="76BB325B"/>
    <w:rsid w:val="776D483E"/>
    <w:rsid w:val="77973EF7"/>
    <w:rsid w:val="77C016F6"/>
    <w:rsid w:val="7E335B22"/>
    <w:rsid w:val="ABAFE007"/>
    <w:rsid w:val="ADFF2370"/>
    <w:rsid w:val="BBFD647E"/>
    <w:rsid w:val="DA338C2C"/>
    <w:rsid w:val="DA4B6426"/>
    <w:rsid w:val="DEFE2BB3"/>
    <w:rsid w:val="E93FE834"/>
    <w:rsid w:val="ECFD9294"/>
    <w:rsid w:val="EEBB9952"/>
    <w:rsid w:val="FAF7455E"/>
    <w:rsid w:val="FBAEA8B9"/>
    <w:rsid w:val="FBB38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cs="Courier New"/>
      <w:szCs w:val="21"/>
    </w:rPr>
  </w:style>
  <w:style w:type="paragraph" w:styleId="3">
    <w:name w:val="index 8"/>
    <w:basedOn w:val="1"/>
    <w:next w:val="1"/>
    <w:qFormat/>
    <w:uiPriority w:val="0"/>
    <w:pPr>
      <w:ind w:left="1400" w:leftChars="14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2451</Words>
  <Characters>2499</Characters>
  <Lines>0</Lines>
  <Paragraphs>0</Paragraphs>
  <TotalTime>131</TotalTime>
  <ScaleCrop>false</ScaleCrop>
  <LinksUpToDate>false</LinksUpToDate>
  <CharactersWithSpaces>2679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2021-12-24T11:01:00Z</dcterms:created>
  <dc:creator>谭阳洋</dc:creator>
  <cp:lastModifiedBy>吴娟(1977）</cp:lastModifiedBy>
  <dcterms:modified xsi:type="dcterms:W3CDTF">2025-12-24T15:53:54Z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8030F3F445288093C133B6638E808160</vt:lpwstr>
  </property>
</Properties>
</file>