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仿宋_GB2312" w:hAnsi="仿宋_GB2312" w:eastAsia="仿宋_GB2312" w:cs="仿宋_GB2312"/>
          <w:b/>
          <w:color w:val="auto"/>
          <w:sz w:val="44"/>
          <w:szCs w:val="44"/>
          <w:u w:val="none"/>
        </w:rPr>
      </w:pPr>
      <w:r>
        <w:rPr>
          <w:rFonts w:hint="eastAsia" w:ascii="仿宋_GB2312" w:hAnsi="仿宋_GB2312" w:eastAsia="仿宋_GB2312" w:cs="仿宋_GB2312"/>
          <w:kern w:val="2"/>
          <w:sz w:val="32"/>
          <w:szCs w:val="36"/>
          <w:u w:val="none"/>
          <w:lang w:eastAsia="zh-CN" w:bidi="ar-SA"/>
        </w:rPr>
        <w:t>深圳市</w:t>
      </w:r>
      <w:r>
        <w:rPr>
          <w:rFonts w:hint="eastAsia" w:ascii="仿宋_GB2312" w:hAnsi="仿宋_GB2312" w:eastAsia="仿宋_GB2312" w:cs="仿宋_GB2312"/>
          <w:kern w:val="2"/>
          <w:sz w:val="32"/>
          <w:szCs w:val="36"/>
          <w:u w:val="none"/>
          <w:lang w:val="en-US" w:eastAsia="zh-CN" w:bidi="ar-SA"/>
        </w:rPr>
        <w:t>龙岗区应急管理局项目自行采购结果公告</w:t>
      </w:r>
    </w:p>
    <w:p>
      <w:pPr>
        <w:spacing w:line="300" w:lineRule="exact"/>
        <w:jc w:val="center"/>
        <w:rPr>
          <w:rFonts w:hint="eastAsia" w:ascii="仿宋_GB2312" w:hAnsi="仿宋_GB2312" w:eastAsia="仿宋_GB2312" w:cs="仿宋_GB2312"/>
          <w:color w:val="auto"/>
          <w:sz w:val="44"/>
          <w:szCs w:val="44"/>
          <w:u w:val="none"/>
        </w:rPr>
      </w:pPr>
    </w:p>
    <w:tbl>
      <w:tblPr>
        <w:tblStyle w:val="8"/>
        <w:tblW w:w="92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29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08" w:hRule="atLeast"/>
          <w:jc w:val="center"/>
        </w:trPr>
        <w:tc>
          <w:tcPr>
            <w:tcW w:w="9290" w:type="dxa"/>
            <w:tcBorders>
              <w:top w:val="single" w:color="000000" w:sz="4" w:space="0"/>
              <w:left w:val="single" w:color="000000" w:sz="4" w:space="0"/>
              <w:bottom w:val="single" w:color="000000" w:sz="4" w:space="0"/>
              <w:right w:val="single" w:color="000000" w:sz="4" w:space="0"/>
            </w:tcBorders>
            <w:vAlign w:val="center"/>
          </w:tcPr>
          <w:p>
            <w:pPr>
              <w:spacing w:line="500" w:lineRule="exact"/>
              <w:ind w:firstLine="480" w:firstLineChars="200"/>
              <w:rPr>
                <w:rFonts w:hint="eastAsia" w:ascii="仿宋_GB2312" w:hAnsi="仿宋_GB2312" w:eastAsia="仿宋_GB2312" w:cs="仿宋_GB2312"/>
                <w:kern w:val="2"/>
                <w:sz w:val="24"/>
                <w:szCs w:val="28"/>
                <w:u w:val="none"/>
                <w:lang w:val="en-US" w:eastAsia="zh-CN" w:bidi="ar-SA"/>
              </w:rPr>
            </w:pPr>
            <w:r>
              <w:rPr>
                <w:rFonts w:hint="eastAsia" w:ascii="仿宋_GB2312" w:hAnsi="仿宋_GB2312" w:eastAsia="仿宋_GB2312" w:cs="仿宋_GB2312"/>
                <w:kern w:val="2"/>
                <w:sz w:val="24"/>
                <w:szCs w:val="28"/>
                <w:u w:val="none"/>
                <w:lang w:val="en-US" w:eastAsia="zh-CN" w:bidi="ar-SA"/>
              </w:rPr>
              <w:t>依照《深圳经济特区政府采购条例实施细则》相关规定，现将</w:t>
            </w:r>
            <w:r>
              <w:rPr>
                <w:rFonts w:hint="default" w:ascii="仿宋_GB2312" w:hAnsi="仿宋_GB2312" w:eastAsia="仿宋_GB2312" w:cs="仿宋_GB2312"/>
                <w:kern w:val="2"/>
                <w:sz w:val="24"/>
                <w:szCs w:val="28"/>
                <w:u w:val="none"/>
                <w:lang w:eastAsia="zh-CN" w:bidi="ar-SA"/>
              </w:rPr>
              <w:t>本单位</w:t>
            </w:r>
            <w:r>
              <w:rPr>
                <w:rFonts w:hint="eastAsia" w:ascii="仿宋_GB2312" w:hAnsi="仿宋_GB2312" w:eastAsia="仿宋_GB2312" w:cs="仿宋_GB2312"/>
                <w:kern w:val="2"/>
                <w:sz w:val="24"/>
                <w:szCs w:val="28"/>
                <w:u w:val="none"/>
                <w:lang w:val="en-US" w:eastAsia="zh-CN" w:bidi="ar-SA"/>
              </w:rPr>
              <w:t>“</w:t>
            </w:r>
            <w:r>
              <w:rPr>
                <w:rFonts w:hint="default" w:ascii="仿宋_GB2312" w:hAnsi="仿宋_GB2312" w:eastAsia="仿宋_GB2312" w:cs="仿宋_GB2312"/>
                <w:kern w:val="2"/>
                <w:sz w:val="24"/>
                <w:szCs w:val="28"/>
                <w:u w:val="none"/>
                <w:lang w:eastAsia="zh-CN" w:bidi="ar-SA"/>
              </w:rPr>
              <w:t>2026年指挥车车载应急指挥系统维护服务项目</w:t>
            </w:r>
            <w:r>
              <w:rPr>
                <w:rFonts w:hint="eastAsia" w:ascii="仿宋_GB2312" w:hAnsi="仿宋_GB2312" w:eastAsia="仿宋_GB2312" w:cs="仿宋_GB2312"/>
                <w:kern w:val="2"/>
                <w:sz w:val="24"/>
                <w:szCs w:val="28"/>
                <w:u w:val="none"/>
                <w:lang w:val="en-US" w:eastAsia="zh-CN" w:bidi="ar-SA"/>
              </w:rPr>
              <w:t>”有关情况向社会公告: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88" w:hRule="atLeast"/>
          <w:jc w:val="center"/>
        </w:trPr>
        <w:tc>
          <w:tcPr>
            <w:tcW w:w="9290" w:type="dxa"/>
            <w:tcBorders>
              <w:top w:val="single" w:color="000000" w:sz="4" w:space="0"/>
              <w:left w:val="single" w:color="000000" w:sz="4" w:space="0"/>
              <w:bottom w:val="single" w:color="000000" w:sz="4" w:space="0"/>
              <w:right w:val="single" w:color="000000" w:sz="4" w:space="0"/>
            </w:tcBorders>
            <w:vAlign w:val="center"/>
          </w:tcPr>
          <w:p>
            <w:pPr>
              <w:spacing w:line="500" w:lineRule="exact"/>
              <w:rPr>
                <w:rFonts w:hint="default" w:ascii="仿宋_GB2312" w:hAnsi="仿宋_GB2312" w:eastAsia="仿宋_GB2312" w:cs="仿宋_GB2312"/>
                <w:kern w:val="2"/>
                <w:sz w:val="24"/>
                <w:szCs w:val="28"/>
                <w:u w:val="none"/>
                <w:lang w:eastAsia="zh-CN" w:bidi="ar-SA"/>
              </w:rPr>
            </w:pPr>
            <w:r>
              <w:rPr>
                <w:rFonts w:hint="eastAsia" w:ascii="仿宋_GB2312" w:hAnsi="仿宋_GB2312" w:eastAsia="仿宋_GB2312" w:cs="仿宋_GB2312"/>
                <w:kern w:val="2"/>
                <w:sz w:val="24"/>
                <w:szCs w:val="28"/>
                <w:u w:val="none"/>
                <w:lang w:val="en-US" w:eastAsia="zh-CN" w:bidi="ar-SA"/>
              </w:rPr>
              <w:t>采购项目名称：</w:t>
            </w:r>
            <w:r>
              <w:rPr>
                <w:rFonts w:hint="default" w:ascii="仿宋_GB2312" w:hAnsi="仿宋_GB2312" w:eastAsia="仿宋_GB2312" w:cs="仿宋_GB2312"/>
                <w:kern w:val="2"/>
                <w:sz w:val="24"/>
                <w:szCs w:val="28"/>
                <w:u w:val="none"/>
                <w:lang w:eastAsia="zh-CN" w:bidi="ar-SA"/>
              </w:rPr>
              <w:t>2026年指挥车车载应急指挥系统维护服务项目</w:t>
            </w:r>
          </w:p>
          <w:p>
            <w:pPr>
              <w:spacing w:line="500" w:lineRule="exact"/>
              <w:rPr>
                <w:rFonts w:hint="eastAsia" w:ascii="仿宋_GB2312" w:hAnsi="仿宋_GB2312" w:eastAsia="仿宋_GB2312" w:cs="仿宋_GB2312"/>
                <w:kern w:val="2"/>
                <w:sz w:val="24"/>
                <w:szCs w:val="28"/>
                <w:u w:val="none"/>
                <w:lang w:val="en-US" w:eastAsia="zh-CN" w:bidi="ar-SA"/>
              </w:rPr>
            </w:pPr>
            <w:r>
              <w:rPr>
                <w:rFonts w:hint="eastAsia" w:ascii="仿宋_GB2312" w:hAnsi="仿宋_GB2312" w:eastAsia="仿宋_GB2312" w:cs="仿宋_GB2312"/>
                <w:kern w:val="2"/>
                <w:sz w:val="24"/>
                <w:szCs w:val="28"/>
                <w:u w:val="none"/>
                <w:lang w:val="en-US" w:eastAsia="zh-CN" w:bidi="ar-SA"/>
              </w:rPr>
              <w:t>项目预算金额：48.4952万元人民币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66" w:hRule="atLeast"/>
          <w:jc w:val="center"/>
        </w:trPr>
        <w:tc>
          <w:tcPr>
            <w:tcW w:w="9290"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仿宋_GB2312" w:hAnsi="仿宋_GB2312" w:eastAsia="仿宋_GB2312" w:cs="仿宋_GB2312"/>
                <w:kern w:val="2"/>
                <w:sz w:val="24"/>
                <w:szCs w:val="28"/>
                <w:u w:val="none"/>
                <w:lang w:val="en-US" w:eastAsia="zh-CN" w:bidi="ar-SA"/>
              </w:rPr>
            </w:pPr>
            <w:r>
              <w:rPr>
                <w:rFonts w:hint="eastAsia" w:ascii="仿宋_GB2312" w:hAnsi="仿宋_GB2312" w:eastAsia="仿宋_GB2312" w:cs="仿宋_GB2312"/>
                <w:kern w:val="2"/>
                <w:sz w:val="24"/>
                <w:szCs w:val="28"/>
                <w:u w:val="none"/>
                <w:lang w:val="en-US" w:eastAsia="zh-CN" w:bidi="ar-SA"/>
              </w:rPr>
              <w:t>采购项目描述：龙岗区应急管理局应急指挥车作为一套高度复杂的多功能综合应急指挥平台，是区委区政府处置各类突发事件的关键保障，其系统稳定性至关重要。因此，组建一支经验丰富、高效稳定的技术服务保障团队非常必要。目前，该指挥车系统已运行多年，且结构复杂。为持续保障应急指挥车及平台系统、设备的稳定高效运行，特别是在保修期满后，亟需加强设备后期维护管理，建立健全完善的维保体系。这要求运营管理方必须配备一支专业的技术团队。</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仿宋_GB2312" w:hAnsi="仿宋_GB2312" w:eastAsia="仿宋_GB2312" w:cs="仿宋_GB2312"/>
                <w:kern w:val="2"/>
                <w:sz w:val="24"/>
                <w:szCs w:val="28"/>
                <w:u w:val="none"/>
                <w:lang w:val="en-US" w:eastAsia="zh-CN" w:bidi="ar-SA"/>
              </w:rPr>
            </w:pPr>
            <w:r>
              <w:rPr>
                <w:rFonts w:hint="eastAsia" w:ascii="仿宋_GB2312" w:hAnsi="仿宋_GB2312" w:eastAsia="仿宋_GB2312" w:cs="仿宋_GB2312"/>
                <w:kern w:val="2"/>
                <w:sz w:val="24"/>
                <w:szCs w:val="28"/>
                <w:u w:val="none"/>
                <w:lang w:val="en-US" w:eastAsia="zh-CN" w:bidi="ar-SA"/>
              </w:rPr>
              <w:t>内容：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仿宋_GB2312" w:hAnsi="仿宋_GB2312" w:eastAsia="仿宋_GB2312" w:cs="仿宋_GB2312"/>
                <w:kern w:val="2"/>
                <w:sz w:val="24"/>
                <w:szCs w:val="28"/>
                <w:u w:val="none"/>
                <w:lang w:val="en-US" w:eastAsia="zh-CN" w:bidi="ar-SA"/>
              </w:rPr>
            </w:pPr>
            <w:r>
              <w:rPr>
                <w:rFonts w:hint="eastAsia" w:ascii="仿宋_GB2312" w:hAnsi="仿宋_GB2312" w:eastAsia="仿宋_GB2312" w:cs="仿宋_GB2312"/>
                <w:kern w:val="2"/>
                <w:sz w:val="24"/>
                <w:szCs w:val="28"/>
                <w:u w:val="none"/>
                <w:lang w:val="en-US" w:eastAsia="zh-CN" w:bidi="ar-SA"/>
              </w:rPr>
              <w:t>1.服务工作内容。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仿宋_GB2312" w:hAnsi="仿宋_GB2312" w:eastAsia="仿宋_GB2312" w:cs="仿宋_GB2312"/>
                <w:kern w:val="2"/>
                <w:sz w:val="24"/>
                <w:szCs w:val="28"/>
                <w:u w:val="none"/>
                <w:lang w:val="en-US" w:eastAsia="zh-CN" w:bidi="ar-SA"/>
              </w:rPr>
            </w:pPr>
            <w:r>
              <w:rPr>
                <w:rFonts w:hint="eastAsia" w:ascii="仿宋_GB2312" w:hAnsi="仿宋_GB2312" w:eastAsia="仿宋_GB2312" w:cs="仿宋_GB2312"/>
                <w:kern w:val="2"/>
                <w:sz w:val="24"/>
                <w:szCs w:val="28"/>
                <w:u w:val="none"/>
                <w:lang w:val="en-US" w:eastAsia="zh-CN" w:bidi="ar-SA"/>
              </w:rPr>
              <w:t xml:space="preserve">本项目要求对指挥车提供信息化技术运维服务的基础上，结合可靠运行、有力保障、日常检测的服务要求。 </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仿宋_GB2312" w:hAnsi="仿宋_GB2312" w:eastAsia="仿宋_GB2312" w:cs="仿宋_GB2312"/>
                <w:kern w:val="2"/>
                <w:sz w:val="24"/>
                <w:szCs w:val="28"/>
                <w:u w:val="none"/>
                <w:lang w:val="en-US" w:eastAsia="zh-CN" w:bidi="ar-SA"/>
              </w:rPr>
            </w:pPr>
            <w:r>
              <w:rPr>
                <w:rFonts w:hint="eastAsia" w:ascii="仿宋_GB2312" w:hAnsi="仿宋_GB2312" w:eastAsia="仿宋_GB2312" w:cs="仿宋_GB2312"/>
                <w:kern w:val="2"/>
                <w:sz w:val="24"/>
                <w:szCs w:val="28"/>
                <w:u w:val="none"/>
                <w:lang w:val="en-US" w:eastAsia="zh-CN" w:bidi="ar-SA"/>
              </w:rPr>
              <w:t xml:space="preserve">（1）本项目结合设备复杂、维保要求高、信息化技术更新要求高、技术保障能力要求高等特点，要求投标人组建一支专项运营技术保障服务团队，确保指挥车的各类车载软硬件配套设施设备正常、稳定运行。为保障突发事件的处置提供现场高效的支撑。 </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仿宋_GB2312" w:hAnsi="仿宋_GB2312" w:eastAsia="仿宋_GB2312" w:cs="仿宋_GB2312"/>
                <w:kern w:val="2"/>
                <w:sz w:val="24"/>
                <w:szCs w:val="28"/>
                <w:u w:val="none"/>
                <w:lang w:val="en-US" w:eastAsia="zh-CN" w:bidi="ar-SA"/>
              </w:rPr>
            </w:pPr>
            <w:r>
              <w:rPr>
                <w:rFonts w:hint="eastAsia" w:ascii="仿宋_GB2312" w:hAnsi="仿宋_GB2312" w:eastAsia="仿宋_GB2312" w:cs="仿宋_GB2312"/>
                <w:kern w:val="2"/>
                <w:sz w:val="24"/>
                <w:szCs w:val="28"/>
                <w:u w:val="none"/>
                <w:lang w:val="en-US" w:eastAsia="zh-CN" w:bidi="ar-SA"/>
              </w:rPr>
              <w:t xml:space="preserve">（2）服务内容包括解决维保服务范围内设备和软件有关的各种问题，派驻点技术人员专职驻场保障，并接受用户方的管理。 </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仿宋_GB2312" w:hAnsi="仿宋_GB2312" w:eastAsia="仿宋_GB2312" w:cs="仿宋_GB2312"/>
                <w:kern w:val="2"/>
                <w:sz w:val="24"/>
                <w:szCs w:val="28"/>
                <w:u w:val="none"/>
                <w:lang w:val="en-US" w:eastAsia="zh-CN" w:bidi="ar-SA"/>
              </w:rPr>
            </w:pPr>
            <w:r>
              <w:rPr>
                <w:rFonts w:hint="eastAsia" w:ascii="仿宋_GB2312" w:hAnsi="仿宋_GB2312" w:eastAsia="仿宋_GB2312" w:cs="仿宋_GB2312"/>
                <w:kern w:val="2"/>
                <w:sz w:val="24"/>
                <w:szCs w:val="28"/>
                <w:u w:val="none"/>
                <w:lang w:val="en-US" w:eastAsia="zh-CN" w:bidi="ar-SA"/>
              </w:rPr>
              <w:t>2.技术标准。</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仿宋_GB2312" w:hAnsi="仿宋_GB2312" w:eastAsia="仿宋_GB2312" w:cs="仿宋_GB2312"/>
                <w:kern w:val="2"/>
                <w:sz w:val="24"/>
                <w:szCs w:val="28"/>
                <w:u w:val="none"/>
                <w:lang w:val="en-US" w:eastAsia="zh-CN" w:bidi="ar-SA"/>
              </w:rPr>
            </w:pPr>
            <w:r>
              <w:rPr>
                <w:rFonts w:hint="eastAsia" w:ascii="仿宋_GB2312" w:hAnsi="仿宋_GB2312" w:eastAsia="仿宋_GB2312" w:cs="仿宋_GB2312"/>
                <w:kern w:val="2"/>
                <w:sz w:val="24"/>
                <w:szCs w:val="28"/>
                <w:u w:val="none"/>
                <w:lang w:val="en-US" w:eastAsia="zh-CN" w:bidi="ar-SA"/>
              </w:rPr>
              <w:t>确保大型指挥车的车体、供电系统、照明系统、音视频系统、5G会议系统、综合指挥办公系统、辅助系统及相关设备的安全可靠运行；提供日常安全巡检服务，在设备发生故障时需有效的提供备件支持及技术支持服务；在突发事件发生时，确保大型指挥车及时到达突发事件现场，通过车内车载设备实时将现场视频传输至应急局指挥中心；对于存在薄弱环节、安全隐患的设备，投标人应提出升级、更换方案，在中标后提出有效的方案供招标单位审批同意后进行升级更换，保障设备平稳、高效运行，并根据业务发展需求对设备进行必要优化升级，要求在中标后提出有效的优化、升级方案供建设单位审核通过后实施。</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仿宋_GB2312" w:hAnsi="仿宋_GB2312" w:eastAsia="仿宋_GB2312" w:cs="仿宋_GB2312"/>
                <w:kern w:val="2"/>
                <w:sz w:val="24"/>
                <w:szCs w:val="28"/>
                <w:u w:val="none"/>
                <w:lang w:val="en-US" w:eastAsia="zh-CN" w:bidi="ar-SA"/>
              </w:rPr>
            </w:pPr>
            <w:r>
              <w:rPr>
                <w:rFonts w:hint="eastAsia" w:ascii="仿宋_GB2312" w:hAnsi="仿宋_GB2312" w:eastAsia="仿宋_GB2312" w:cs="仿宋_GB2312"/>
                <w:kern w:val="2"/>
                <w:sz w:val="24"/>
                <w:szCs w:val="28"/>
                <w:u w:val="none"/>
                <w:lang w:val="en-US" w:eastAsia="zh-CN" w:bidi="ar-SA"/>
              </w:rPr>
              <w:t xml:space="preserve">3.人员要求（岗位设置、数量、素质） </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仿宋_GB2312" w:hAnsi="仿宋_GB2312" w:eastAsia="仿宋_GB2312" w:cs="仿宋_GB2312"/>
                <w:kern w:val="2"/>
                <w:sz w:val="24"/>
                <w:szCs w:val="28"/>
                <w:u w:val="none"/>
                <w:lang w:val="en-US" w:eastAsia="zh-CN" w:bidi="ar-SA"/>
              </w:rPr>
            </w:pPr>
            <w:r>
              <w:rPr>
                <w:rFonts w:hint="eastAsia" w:ascii="仿宋_GB2312" w:hAnsi="仿宋_GB2312" w:eastAsia="仿宋_GB2312" w:cs="仿宋_GB2312"/>
                <w:kern w:val="2"/>
                <w:sz w:val="24"/>
                <w:szCs w:val="28"/>
                <w:u w:val="none"/>
                <w:lang w:val="en-US" w:eastAsia="zh-CN" w:bidi="ar-SA"/>
              </w:rPr>
              <w:t>（1）投标人派驻1名专业工程师与1名专职A牌司机常驻招标方指定办公地点，要求驻场技术人员具有大专以上学历且有2年以上工作经验，并按照招标单位要求着装、服务安排（居住龙岗区应急局周边，距离指挥车驻地20分钟内。提供随车应急出勤技术服务。提供应急演练/事故现场/应急值守（含法定节假日）技术保障服务，大型活动现场、突发事故现场、紧急调度、拉动现场等使用场景的技术保障）。</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仿宋_GB2312" w:hAnsi="仿宋_GB2312" w:eastAsia="仿宋_GB2312" w:cs="仿宋_GB2312"/>
                <w:kern w:val="2"/>
                <w:sz w:val="24"/>
                <w:szCs w:val="28"/>
                <w:u w:val="none"/>
                <w:lang w:val="en-US" w:eastAsia="zh-CN" w:bidi="ar-SA"/>
              </w:rPr>
            </w:pPr>
            <w:r>
              <w:rPr>
                <w:rFonts w:hint="eastAsia" w:ascii="仿宋_GB2312" w:hAnsi="仿宋_GB2312" w:eastAsia="仿宋_GB2312" w:cs="仿宋_GB2312"/>
                <w:kern w:val="2"/>
                <w:sz w:val="24"/>
                <w:szCs w:val="28"/>
                <w:u w:val="none"/>
                <w:lang w:val="en-US" w:eastAsia="zh-CN" w:bidi="ar-SA"/>
              </w:rPr>
              <w:t>（2）要求投标人组建团队应急保障项目组，组内成员在合同期内保持相应的稳定。负责应急指挥车设备日常检查（每周一次）、故障报送，提供优质的设备保养维护，解决演练现场、大型活动保障现场，需要与外界设备相连接、需要在前端架设布控球及单兵设备并做看管提供信号中转等服务。</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仿宋_GB2312" w:hAnsi="仿宋_GB2312" w:eastAsia="仿宋_GB2312" w:cs="仿宋_GB2312"/>
                <w:kern w:val="2"/>
                <w:sz w:val="24"/>
                <w:szCs w:val="28"/>
                <w:u w:val="none"/>
                <w:lang w:val="en-US" w:eastAsia="zh-CN" w:bidi="ar-SA"/>
              </w:rPr>
            </w:pPr>
            <w:r>
              <w:rPr>
                <w:rFonts w:hint="eastAsia" w:ascii="仿宋_GB2312" w:hAnsi="仿宋_GB2312" w:eastAsia="仿宋_GB2312" w:cs="仿宋_GB2312"/>
                <w:kern w:val="2"/>
                <w:sz w:val="24"/>
                <w:szCs w:val="28"/>
                <w:u w:val="none"/>
                <w:lang w:val="en-US" w:eastAsia="zh-CN" w:bidi="ar-SA"/>
              </w:rPr>
              <w:t>（3）安排1名机动技术保障服务人员，解决应急演练、大型活动现场、突发事故现场、例行通讯装备拉动现场配合驻点技术人员能在短时间内完成指挥车扩展、车载系统上线、音视频迅速启动、5G会议、卫星系统迅速调试完毕、配合驻点技术人员迅速完成现场总指挥发出的各项通信指令。</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仿宋_GB2312" w:hAnsi="仿宋_GB2312" w:eastAsia="仿宋_GB2312" w:cs="仿宋_GB2312"/>
                <w:kern w:val="2"/>
                <w:sz w:val="24"/>
                <w:szCs w:val="28"/>
                <w:u w:val="none"/>
                <w:lang w:val="en-US" w:eastAsia="zh-CN" w:bidi="ar-SA"/>
              </w:rPr>
            </w:pPr>
            <w:r>
              <w:rPr>
                <w:rFonts w:hint="eastAsia" w:ascii="仿宋_GB2312" w:hAnsi="仿宋_GB2312" w:eastAsia="仿宋_GB2312" w:cs="仿宋_GB2312"/>
                <w:kern w:val="2"/>
                <w:sz w:val="24"/>
                <w:szCs w:val="28"/>
                <w:u w:val="none"/>
                <w:lang w:val="en-US" w:eastAsia="zh-CN" w:bidi="ar-SA"/>
              </w:rPr>
              <w:t>（4）服务期间，若中标方驻场技术人员、专职司机的业务能力、技术能力、工作态度等方面不能满足实际工作需求，招标方可以向中标方提出人员更换的要求，中标方须在1个月之内安排人员更换。</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仿宋_GB2312" w:hAnsi="仿宋_GB2312" w:eastAsia="仿宋_GB2312" w:cs="仿宋_GB2312"/>
                <w:kern w:val="2"/>
                <w:sz w:val="24"/>
                <w:szCs w:val="28"/>
                <w:u w:val="none"/>
                <w:lang w:val="en-US" w:eastAsia="zh-CN" w:bidi="ar-SA"/>
              </w:rPr>
            </w:pPr>
            <w:r>
              <w:rPr>
                <w:rFonts w:hint="eastAsia" w:ascii="仿宋_GB2312" w:hAnsi="仿宋_GB2312" w:eastAsia="仿宋_GB2312" w:cs="仿宋_GB2312"/>
                <w:kern w:val="2"/>
                <w:sz w:val="24"/>
                <w:szCs w:val="28"/>
                <w:u w:val="none"/>
                <w:lang w:val="en-US" w:eastAsia="zh-CN" w:bidi="ar-SA"/>
              </w:rPr>
              <w:t>（5）服务人员的费用为包干制结算方式，人员的工资、社保、保险、伙食、住宿、加班费、交通费、税金等保障均已包括在包干费用中。</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仿宋_GB2312" w:hAnsi="仿宋_GB2312" w:eastAsia="仿宋_GB2312" w:cs="仿宋_GB2312"/>
                <w:kern w:val="2"/>
                <w:sz w:val="24"/>
                <w:szCs w:val="28"/>
                <w:u w:val="none"/>
                <w:lang w:val="en-US" w:eastAsia="zh-CN" w:bidi="ar-SA"/>
              </w:rPr>
            </w:pPr>
            <w:r>
              <w:rPr>
                <w:rFonts w:hint="eastAsia" w:ascii="仿宋_GB2312" w:hAnsi="仿宋_GB2312" w:eastAsia="仿宋_GB2312" w:cs="仿宋_GB2312"/>
                <w:kern w:val="2"/>
                <w:sz w:val="24"/>
                <w:szCs w:val="28"/>
                <w:u w:val="none"/>
                <w:lang w:val="en-US" w:eastAsia="zh-CN" w:bidi="ar-SA"/>
              </w:rPr>
              <w:t>4.应急指挥车及车载应急指挥系统所必要的保养维护包含但不仅限于以下项目（实报实销）</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仿宋_GB2312" w:hAnsi="仿宋_GB2312" w:eastAsia="仿宋_GB2312" w:cs="仿宋_GB2312"/>
                <w:kern w:val="2"/>
                <w:sz w:val="24"/>
                <w:szCs w:val="28"/>
                <w:u w:val="none"/>
                <w:lang w:val="en-US" w:eastAsia="zh-CN" w:bidi="ar-SA"/>
              </w:rPr>
            </w:pPr>
            <w:r>
              <w:rPr>
                <w:rFonts w:hint="eastAsia" w:ascii="仿宋_GB2312" w:hAnsi="仿宋_GB2312" w:eastAsia="仿宋_GB2312" w:cs="仿宋_GB2312"/>
                <w:kern w:val="2"/>
                <w:sz w:val="24"/>
                <w:szCs w:val="28"/>
                <w:u w:val="none"/>
                <w:lang w:val="en-US" w:eastAsia="zh-CN" w:bidi="ar-SA"/>
              </w:rPr>
              <w:t>（1）发电机每年的例行保养（发电系统）</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仿宋_GB2312" w:hAnsi="仿宋_GB2312" w:eastAsia="仿宋_GB2312" w:cs="仿宋_GB2312"/>
                <w:kern w:val="2"/>
                <w:sz w:val="24"/>
                <w:szCs w:val="28"/>
                <w:u w:val="none"/>
                <w:lang w:val="en-US" w:eastAsia="zh-CN" w:bidi="ar-SA"/>
              </w:rPr>
            </w:pPr>
            <w:r>
              <w:rPr>
                <w:rFonts w:hint="eastAsia" w:ascii="仿宋_GB2312" w:hAnsi="仿宋_GB2312" w:eastAsia="仿宋_GB2312" w:cs="仿宋_GB2312"/>
                <w:kern w:val="2"/>
                <w:sz w:val="24"/>
                <w:szCs w:val="28"/>
                <w:u w:val="none"/>
                <w:lang w:val="en-US" w:eastAsia="zh-CN" w:bidi="ar-SA"/>
              </w:rPr>
              <w:t>（2）扩展机构及支撑腿的例行保养（扩展系统）</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仿宋_GB2312" w:hAnsi="仿宋_GB2312" w:eastAsia="仿宋_GB2312" w:cs="仿宋_GB2312"/>
                <w:kern w:val="2"/>
                <w:sz w:val="24"/>
                <w:szCs w:val="28"/>
                <w:u w:val="none"/>
                <w:lang w:val="en-US" w:eastAsia="zh-CN" w:bidi="ar-SA"/>
              </w:rPr>
            </w:pPr>
            <w:r>
              <w:rPr>
                <w:rFonts w:hint="eastAsia" w:ascii="仿宋_GB2312" w:hAnsi="仿宋_GB2312" w:eastAsia="仿宋_GB2312" w:cs="仿宋_GB2312"/>
                <w:kern w:val="2"/>
                <w:sz w:val="24"/>
                <w:szCs w:val="28"/>
                <w:u w:val="none"/>
                <w:lang w:val="en-US" w:eastAsia="zh-CN" w:bidi="ar-SA"/>
              </w:rPr>
              <w:t>（3）车载视频会议系统终端例行维护保养（会议系统）</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仿宋_GB2312" w:hAnsi="仿宋_GB2312" w:eastAsia="仿宋_GB2312" w:cs="仿宋_GB2312"/>
                <w:kern w:val="2"/>
                <w:sz w:val="24"/>
                <w:szCs w:val="28"/>
                <w:u w:val="none"/>
                <w:lang w:val="en-US" w:eastAsia="zh-CN" w:bidi="ar-SA"/>
              </w:rPr>
            </w:pPr>
            <w:r>
              <w:rPr>
                <w:rFonts w:hint="eastAsia" w:ascii="仿宋_GB2312" w:hAnsi="仿宋_GB2312" w:eastAsia="仿宋_GB2312" w:cs="仿宋_GB2312"/>
                <w:kern w:val="2"/>
                <w:sz w:val="24"/>
                <w:szCs w:val="28"/>
                <w:u w:val="none"/>
                <w:lang w:val="en-US" w:eastAsia="zh-CN" w:bidi="ar-SA"/>
              </w:rPr>
              <w:t>（4）车载高清矩阵采集系统例行维护保养（车载端视频采集系统）</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仿宋_GB2312" w:hAnsi="仿宋_GB2312" w:eastAsia="仿宋_GB2312" w:cs="仿宋_GB2312"/>
                <w:kern w:val="2"/>
                <w:sz w:val="24"/>
                <w:szCs w:val="28"/>
                <w:u w:val="none"/>
                <w:lang w:val="en-US" w:eastAsia="zh-CN" w:bidi="ar-SA"/>
              </w:rPr>
            </w:pPr>
            <w:r>
              <w:rPr>
                <w:rFonts w:hint="eastAsia" w:ascii="仿宋_GB2312" w:hAnsi="仿宋_GB2312" w:eastAsia="仿宋_GB2312" w:cs="仿宋_GB2312"/>
                <w:kern w:val="2"/>
                <w:sz w:val="24"/>
                <w:szCs w:val="28"/>
                <w:u w:val="none"/>
                <w:lang w:val="en-US" w:eastAsia="zh-CN" w:bidi="ar-SA"/>
              </w:rPr>
              <w:t>（5）路由器、车载聚合路由器例行维护保养、（会议专网系统）</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仿宋_GB2312" w:hAnsi="仿宋_GB2312" w:eastAsia="仿宋_GB2312" w:cs="仿宋_GB2312"/>
                <w:kern w:val="2"/>
                <w:sz w:val="24"/>
                <w:szCs w:val="28"/>
                <w:u w:val="none"/>
                <w:lang w:val="en-US" w:eastAsia="zh-CN" w:bidi="ar-SA"/>
              </w:rPr>
            </w:pPr>
            <w:r>
              <w:rPr>
                <w:rFonts w:hint="eastAsia" w:ascii="仿宋_GB2312" w:hAnsi="仿宋_GB2312" w:eastAsia="仿宋_GB2312" w:cs="仿宋_GB2312"/>
                <w:kern w:val="2"/>
                <w:sz w:val="24"/>
                <w:szCs w:val="28"/>
                <w:u w:val="none"/>
                <w:lang w:val="en-US" w:eastAsia="zh-CN" w:bidi="ar-SA"/>
              </w:rPr>
              <w:t>（6）电动式升降杆（含照明）例行维护保养（升降照明系统）</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仿宋_GB2312" w:hAnsi="仿宋_GB2312" w:eastAsia="仿宋_GB2312" w:cs="仿宋_GB2312"/>
                <w:kern w:val="2"/>
                <w:sz w:val="24"/>
                <w:szCs w:val="28"/>
                <w:u w:val="none"/>
                <w:lang w:val="en-US" w:eastAsia="zh-CN" w:bidi="ar-SA"/>
              </w:rPr>
            </w:pPr>
            <w:r>
              <w:rPr>
                <w:rFonts w:hint="eastAsia" w:ascii="仿宋_GB2312" w:hAnsi="仿宋_GB2312" w:eastAsia="仿宋_GB2312" w:cs="仿宋_GB2312"/>
                <w:kern w:val="2"/>
                <w:sz w:val="24"/>
                <w:szCs w:val="28"/>
                <w:u w:val="none"/>
                <w:lang w:val="en-US" w:eastAsia="zh-CN" w:bidi="ar-SA"/>
              </w:rPr>
              <w:t>指挥车核心系统设备例行保养维护所必要的费用，需提供保养维护过程照片及完工验收单。</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仿宋_GB2312" w:hAnsi="仿宋_GB2312" w:eastAsia="仿宋_GB2312" w:cs="仿宋_GB2312"/>
                <w:kern w:val="2"/>
                <w:sz w:val="24"/>
                <w:szCs w:val="28"/>
                <w:u w:val="none"/>
                <w:lang w:val="en-US" w:eastAsia="zh-CN" w:bidi="ar-SA"/>
              </w:rPr>
            </w:pPr>
            <w:r>
              <w:rPr>
                <w:rFonts w:hint="eastAsia" w:ascii="仿宋_GB2312" w:hAnsi="仿宋_GB2312" w:eastAsia="仿宋_GB2312" w:cs="仿宋_GB2312"/>
                <w:kern w:val="2"/>
                <w:sz w:val="24"/>
                <w:szCs w:val="28"/>
                <w:u w:val="none"/>
                <w:lang w:val="en-US" w:eastAsia="zh-CN" w:bidi="ar-SA"/>
              </w:rPr>
              <w:t>5.通信资费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仿宋_GB2312" w:hAnsi="仿宋_GB2312" w:eastAsia="仿宋_GB2312" w:cs="仿宋_GB2312"/>
                <w:kern w:val="2"/>
                <w:sz w:val="24"/>
                <w:szCs w:val="28"/>
                <w:u w:val="none"/>
                <w:lang w:val="en-US" w:eastAsia="zh-CN" w:bidi="ar-SA"/>
              </w:rPr>
            </w:pPr>
            <w:r>
              <w:rPr>
                <w:rFonts w:hint="eastAsia" w:ascii="仿宋_GB2312" w:hAnsi="仿宋_GB2312" w:eastAsia="仿宋_GB2312" w:cs="仿宋_GB2312"/>
                <w:kern w:val="2"/>
                <w:sz w:val="24"/>
                <w:szCs w:val="28"/>
                <w:u w:val="none"/>
                <w:lang w:val="en-US" w:eastAsia="zh-CN" w:bidi="ar-SA"/>
              </w:rPr>
              <w:t>提供电信、联通、移动数据流量卡各2张，按照12个月计费，服务方所必须确保沃尔沃大型移动指挥车5G通信畅通，确保不欠费不断网。需提供抽查的每个季度的通信状态验收表。</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仿宋_GB2312" w:hAnsi="仿宋_GB2312" w:eastAsia="仿宋_GB2312" w:cs="仿宋_GB2312"/>
                <w:kern w:val="2"/>
                <w:sz w:val="24"/>
                <w:szCs w:val="28"/>
                <w:u w:val="none"/>
                <w:lang w:val="en-US" w:eastAsia="zh-CN" w:bidi="ar-SA"/>
              </w:rPr>
            </w:pPr>
            <w:r>
              <w:rPr>
                <w:rFonts w:hint="eastAsia" w:ascii="仿宋_GB2312" w:hAnsi="仿宋_GB2312" w:eastAsia="仿宋_GB2312" w:cs="仿宋_GB2312"/>
                <w:kern w:val="2"/>
                <w:sz w:val="24"/>
                <w:szCs w:val="28"/>
                <w:u w:val="none"/>
                <w:lang w:val="en-US" w:eastAsia="zh-CN" w:bidi="ar-SA"/>
              </w:rPr>
              <w:t>6.其他要求</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仿宋_GB2312" w:hAnsi="仿宋_GB2312" w:eastAsia="仿宋_GB2312" w:cs="仿宋_GB2312"/>
                <w:kern w:val="2"/>
                <w:sz w:val="24"/>
                <w:szCs w:val="28"/>
                <w:u w:val="none"/>
                <w:lang w:val="en-US" w:eastAsia="zh-CN" w:bidi="ar-SA"/>
              </w:rPr>
            </w:pPr>
            <w:r>
              <w:rPr>
                <w:rFonts w:hint="eastAsia" w:ascii="仿宋_GB2312" w:hAnsi="仿宋_GB2312" w:eastAsia="仿宋_GB2312" w:cs="仿宋_GB2312"/>
                <w:kern w:val="2"/>
                <w:sz w:val="24"/>
                <w:szCs w:val="28"/>
                <w:u w:val="none"/>
                <w:lang w:val="en-US" w:eastAsia="zh-CN" w:bidi="ar-SA"/>
              </w:rPr>
              <w:t>（1）每周1次指挥车车载设备例行维护，需全设备启动正常运行，做好日常维护登记，工作日志中含照片及文字说明。</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仿宋_GB2312" w:hAnsi="仿宋_GB2312" w:eastAsia="仿宋_GB2312" w:cs="仿宋_GB2312"/>
                <w:kern w:val="2"/>
                <w:sz w:val="24"/>
                <w:szCs w:val="28"/>
                <w:u w:val="none"/>
                <w:lang w:val="en-US" w:eastAsia="zh-CN" w:bidi="ar-SA"/>
              </w:rPr>
            </w:pPr>
            <w:r>
              <w:rPr>
                <w:rFonts w:hint="eastAsia" w:ascii="仿宋_GB2312" w:hAnsi="仿宋_GB2312" w:eastAsia="仿宋_GB2312" w:cs="仿宋_GB2312"/>
                <w:kern w:val="2"/>
                <w:sz w:val="24"/>
                <w:szCs w:val="28"/>
                <w:u w:val="none"/>
                <w:lang w:val="en-US" w:eastAsia="zh-CN" w:bidi="ar-SA"/>
              </w:rPr>
              <w:t>（2）投标方应负责车上专用设备更换，发现故障需维修，设备维修工作根据实际产生费用实报实销。</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仿宋_GB2312" w:hAnsi="仿宋_GB2312" w:eastAsia="仿宋_GB2312" w:cs="仿宋_GB2312"/>
                <w:kern w:val="2"/>
                <w:sz w:val="24"/>
                <w:szCs w:val="28"/>
                <w:u w:val="none"/>
                <w:lang w:val="en-US" w:eastAsia="zh-CN" w:bidi="ar-SA"/>
              </w:rPr>
            </w:pPr>
            <w:r>
              <w:rPr>
                <w:rFonts w:hint="eastAsia" w:ascii="仿宋_GB2312" w:hAnsi="仿宋_GB2312" w:eastAsia="仿宋_GB2312" w:cs="仿宋_GB2312"/>
                <w:kern w:val="2"/>
                <w:sz w:val="24"/>
                <w:szCs w:val="28"/>
                <w:u w:val="none"/>
                <w:lang w:val="en-US" w:eastAsia="zh-CN" w:bidi="ar-SA"/>
              </w:rPr>
              <w:t>（3）遵守有关保密规定，不得将招标人的数据保密泄露给第三方，否则招标人有权要求投标人退还所有费用，赔偿招标人所有损失。</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仿宋_GB2312" w:hAnsi="仿宋_GB2312" w:eastAsia="仿宋_GB2312" w:cs="仿宋_GB2312"/>
                <w:kern w:val="2"/>
                <w:sz w:val="24"/>
                <w:szCs w:val="28"/>
                <w:u w:val="none"/>
                <w:lang w:val="en-US" w:eastAsia="zh-CN" w:bidi="ar-SA"/>
              </w:rPr>
            </w:pPr>
            <w:r>
              <w:rPr>
                <w:rFonts w:hint="eastAsia" w:ascii="仿宋_GB2312" w:hAnsi="仿宋_GB2312" w:eastAsia="仿宋_GB2312" w:cs="仿宋_GB2312"/>
                <w:kern w:val="2"/>
                <w:sz w:val="24"/>
                <w:szCs w:val="28"/>
                <w:u w:val="none"/>
                <w:lang w:val="en-US" w:eastAsia="zh-CN" w:bidi="ar-SA"/>
              </w:rPr>
              <w:t>（4）对所派工作人员的安全负责任，加强安全教育培训，做到安全行车，按规范要求操作设备，防止发生安全事故。</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仿宋_GB2312" w:hAnsi="仿宋_GB2312" w:eastAsia="仿宋_GB2312" w:cs="仿宋_GB2312"/>
                <w:kern w:val="2"/>
                <w:sz w:val="24"/>
                <w:szCs w:val="28"/>
                <w:u w:val="none"/>
                <w:lang w:val="en-US" w:eastAsia="zh-CN" w:bidi="ar-SA"/>
              </w:rPr>
            </w:pPr>
            <w:r>
              <w:rPr>
                <w:rFonts w:hint="eastAsia" w:ascii="仿宋_GB2312" w:hAnsi="仿宋_GB2312" w:eastAsia="仿宋_GB2312" w:cs="仿宋_GB2312"/>
                <w:kern w:val="2"/>
                <w:sz w:val="24"/>
                <w:szCs w:val="28"/>
                <w:u w:val="none"/>
                <w:lang w:val="en-US" w:eastAsia="zh-CN" w:bidi="ar-SA"/>
              </w:rPr>
              <w:t>（5）投标人人员在维护过程中应不接触及不泄露招标人的商业信息、商业秘密和招标人IT安全秘密的一切书面资料、图表或者其它形式的资料和信息，包括口头或视觉透露的资料和信息。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7" w:hRule="atLeast"/>
          <w:jc w:val="center"/>
        </w:trPr>
        <w:tc>
          <w:tcPr>
            <w:tcW w:w="9290" w:type="dxa"/>
            <w:tcBorders>
              <w:top w:val="single" w:color="000000" w:sz="4" w:space="0"/>
              <w:left w:val="single" w:color="000000" w:sz="4" w:space="0"/>
              <w:bottom w:val="single" w:color="000000" w:sz="4" w:space="0"/>
              <w:right w:val="single" w:color="000000" w:sz="4" w:space="0"/>
            </w:tcBorders>
            <w:vAlign w:val="center"/>
          </w:tcPr>
          <w:p>
            <w:pPr>
              <w:spacing w:line="500" w:lineRule="exact"/>
              <w:rPr>
                <w:rFonts w:hint="eastAsia" w:ascii="仿宋_GB2312" w:hAnsi="仿宋_GB2312" w:eastAsia="仿宋_GB2312" w:cs="仿宋_GB2312"/>
                <w:kern w:val="2"/>
                <w:sz w:val="24"/>
                <w:szCs w:val="28"/>
                <w:u w:val="none"/>
                <w:lang w:val="en-US" w:eastAsia="zh-CN" w:bidi="ar-SA"/>
              </w:rPr>
            </w:pPr>
            <w:r>
              <w:rPr>
                <w:rFonts w:hint="eastAsia" w:ascii="仿宋_GB2312" w:hAnsi="仿宋_GB2312" w:eastAsia="仿宋_GB2312" w:cs="仿宋_GB2312"/>
                <w:kern w:val="2"/>
                <w:sz w:val="24"/>
                <w:szCs w:val="28"/>
                <w:u w:val="none"/>
                <w:lang w:val="en-US" w:eastAsia="zh-CN" w:bidi="ar-SA"/>
              </w:rPr>
              <w:t>成交供应商名称：深圳市盛泰博康智能技术有限公司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2" w:hRule="atLeast"/>
          <w:jc w:val="center"/>
        </w:trPr>
        <w:tc>
          <w:tcPr>
            <w:tcW w:w="9290" w:type="dxa"/>
            <w:tcBorders>
              <w:top w:val="single" w:color="000000" w:sz="4" w:space="0"/>
              <w:left w:val="single" w:color="000000" w:sz="4" w:space="0"/>
              <w:bottom w:val="single" w:color="000000" w:sz="4" w:space="0"/>
              <w:right w:val="single" w:color="000000" w:sz="4" w:space="0"/>
            </w:tcBorders>
            <w:vAlign w:val="center"/>
          </w:tcPr>
          <w:p>
            <w:pPr>
              <w:spacing w:line="500" w:lineRule="exact"/>
              <w:rPr>
                <w:rFonts w:hint="eastAsia" w:ascii="仿宋_GB2312" w:hAnsi="仿宋_GB2312" w:eastAsia="仿宋_GB2312" w:cs="仿宋_GB2312"/>
                <w:kern w:val="2"/>
                <w:sz w:val="24"/>
                <w:szCs w:val="28"/>
                <w:u w:val="none"/>
                <w:lang w:val="en-US" w:eastAsia="zh-CN" w:bidi="ar-SA"/>
              </w:rPr>
            </w:pPr>
            <w:r>
              <w:rPr>
                <w:rFonts w:hint="eastAsia" w:ascii="仿宋_GB2312" w:hAnsi="仿宋_GB2312" w:eastAsia="仿宋_GB2312" w:cs="仿宋_GB2312"/>
                <w:kern w:val="2"/>
                <w:sz w:val="24"/>
                <w:szCs w:val="28"/>
                <w:u w:val="none"/>
                <w:lang w:val="en-US" w:eastAsia="zh-CN" w:bidi="ar-SA"/>
              </w:rPr>
              <w:t>项目成交金额：</w:t>
            </w:r>
            <w:r>
              <w:rPr>
                <w:rFonts w:hint="default" w:ascii="仿宋_GB2312" w:hAnsi="仿宋_GB2312" w:eastAsia="仿宋_GB2312" w:cs="仿宋_GB2312"/>
                <w:kern w:val="2"/>
                <w:sz w:val="24"/>
                <w:szCs w:val="28"/>
                <w:u w:val="none"/>
                <w:lang w:eastAsia="zh-CN" w:bidi="ar-SA"/>
              </w:rPr>
              <w:t>48.0968</w:t>
            </w:r>
            <w:r>
              <w:rPr>
                <w:rFonts w:hint="eastAsia" w:ascii="仿宋_GB2312" w:hAnsi="仿宋_GB2312" w:eastAsia="仿宋_GB2312" w:cs="仿宋_GB2312"/>
                <w:kern w:val="2"/>
                <w:sz w:val="24"/>
                <w:szCs w:val="28"/>
                <w:u w:val="none"/>
                <w:lang w:val="en-US" w:eastAsia="zh-CN" w:bidi="ar-SA"/>
              </w:rPr>
              <w:t>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8" w:hRule="atLeast"/>
          <w:jc w:val="center"/>
        </w:trPr>
        <w:tc>
          <w:tcPr>
            <w:tcW w:w="9290" w:type="dxa"/>
            <w:tcBorders>
              <w:top w:val="single" w:color="000000" w:sz="4" w:space="0"/>
              <w:left w:val="single" w:color="000000" w:sz="4" w:space="0"/>
              <w:bottom w:val="single" w:color="000000" w:sz="4" w:space="0"/>
              <w:right w:val="single" w:color="000000" w:sz="4" w:space="0"/>
            </w:tcBorders>
            <w:vAlign w:val="center"/>
          </w:tcPr>
          <w:p>
            <w:pPr>
              <w:pStyle w:val="6"/>
              <w:ind w:left="0" w:leftChars="0" w:firstLine="0" w:firstLineChars="0"/>
              <w:rPr>
                <w:rFonts w:hint="default" w:ascii="仿宋_GB2312" w:hAnsi="仿宋_GB2312" w:eastAsia="仿宋_GB2312" w:cs="仿宋_GB2312"/>
                <w:kern w:val="2"/>
                <w:sz w:val="24"/>
                <w:szCs w:val="28"/>
                <w:u w:val="none"/>
                <w:lang w:eastAsia="zh-CN" w:bidi="ar-SA"/>
              </w:rPr>
            </w:pPr>
            <w:r>
              <w:rPr>
                <w:rFonts w:hint="eastAsia" w:ascii="仿宋_GB2312" w:hAnsi="仿宋_GB2312" w:eastAsia="仿宋_GB2312" w:cs="仿宋_GB2312"/>
                <w:kern w:val="2"/>
                <w:sz w:val="24"/>
                <w:szCs w:val="28"/>
                <w:u w:val="none"/>
                <w:lang w:val="en-US" w:eastAsia="zh-CN" w:bidi="ar-SA"/>
              </w:rPr>
              <w:t>中标产品（服务）说明：</w:t>
            </w:r>
            <w:r>
              <w:rPr>
                <w:rFonts w:hint="default" w:ascii="仿宋_GB2312" w:hAnsi="仿宋_GB2312" w:eastAsia="仿宋_GB2312" w:cs="仿宋_GB2312"/>
                <w:kern w:val="2"/>
                <w:sz w:val="24"/>
                <w:szCs w:val="28"/>
                <w:u w:val="none"/>
                <w:lang w:eastAsia="zh-CN" w:bidi="ar-SA"/>
              </w:rPr>
              <w:t>派驻1名专业工程师与1名专职A牌司机常驻招标方指定办公地点，提供电信、联通、移动数据流量卡各2张，提供</w:t>
            </w:r>
            <w:r>
              <w:rPr>
                <w:rFonts w:hint="eastAsia" w:ascii="仿宋_GB2312" w:hAnsi="仿宋_GB2312" w:eastAsia="仿宋_GB2312" w:cs="仿宋_GB2312"/>
                <w:kern w:val="2"/>
                <w:sz w:val="24"/>
                <w:szCs w:val="28"/>
                <w:u w:val="none"/>
                <w:lang w:val="en-US" w:eastAsia="zh-CN" w:bidi="ar-SA"/>
              </w:rPr>
              <w:t>应急指挥系统所必要的保养维护</w:t>
            </w:r>
            <w:r>
              <w:rPr>
                <w:rFonts w:hint="default" w:ascii="仿宋_GB2312" w:hAnsi="仿宋_GB2312" w:eastAsia="仿宋_GB2312" w:cs="仿宋_GB2312"/>
                <w:kern w:val="2"/>
                <w:sz w:val="24"/>
                <w:szCs w:val="28"/>
                <w:u w:val="none"/>
                <w:lang w:eastAsia="zh-CN" w:bidi="ar-SA"/>
              </w:rPr>
              <w:t>服务。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28" w:hRule="atLeast"/>
          <w:jc w:val="center"/>
        </w:trPr>
        <w:tc>
          <w:tcPr>
            <w:tcW w:w="9290" w:type="dxa"/>
            <w:tcBorders>
              <w:top w:val="single" w:color="000000" w:sz="4" w:space="0"/>
              <w:left w:val="single" w:color="000000" w:sz="4" w:space="0"/>
              <w:bottom w:val="single" w:color="000000" w:sz="4" w:space="0"/>
              <w:right w:val="single" w:color="000000" w:sz="4" w:space="0"/>
            </w:tcBorders>
            <w:vAlign w:val="top"/>
          </w:tcPr>
          <w:p>
            <w:pPr>
              <w:spacing w:line="500" w:lineRule="exact"/>
              <w:jc w:val="both"/>
              <w:rPr>
                <w:rFonts w:hint="eastAsia" w:ascii="仿宋_GB2312" w:hAnsi="仿宋_GB2312" w:eastAsia="仿宋_GB2312" w:cs="仿宋_GB2312"/>
                <w:kern w:val="2"/>
                <w:sz w:val="24"/>
                <w:szCs w:val="28"/>
                <w:u w:val="none"/>
                <w:lang w:val="en-US" w:eastAsia="zh-CN" w:bidi="ar-SA"/>
              </w:rPr>
            </w:pPr>
            <w:r>
              <w:rPr>
                <w:rFonts w:hint="eastAsia" w:ascii="仿宋_GB2312" w:hAnsi="仿宋_GB2312" w:eastAsia="仿宋_GB2312" w:cs="仿宋_GB2312"/>
                <w:kern w:val="2"/>
                <w:sz w:val="24"/>
                <w:szCs w:val="28"/>
                <w:u w:val="none"/>
                <w:lang w:val="en-US" w:eastAsia="zh-CN" w:bidi="ar-SA"/>
              </w:rPr>
              <w:t>供应商征集筛选情况说明：根据《深圳市龙岗区应急管理局</w:t>
            </w:r>
            <w:r>
              <w:rPr>
                <w:rFonts w:hint="default" w:ascii="仿宋_GB2312" w:hAnsi="仿宋_GB2312" w:eastAsia="仿宋_GB2312" w:cs="仿宋_GB2312"/>
                <w:kern w:val="2"/>
                <w:sz w:val="24"/>
                <w:szCs w:val="28"/>
                <w:u w:val="none"/>
                <w:lang w:eastAsia="zh-CN" w:bidi="ar-SA"/>
              </w:rPr>
              <w:t>2026年指挥车车载应急指挥系统维护服务项目</w:t>
            </w:r>
            <w:r>
              <w:rPr>
                <w:rFonts w:hint="eastAsia" w:ascii="仿宋_GB2312" w:hAnsi="仿宋_GB2312" w:eastAsia="仿宋_GB2312" w:cs="仿宋_GB2312"/>
                <w:kern w:val="2"/>
                <w:sz w:val="24"/>
                <w:szCs w:val="28"/>
                <w:u w:val="none"/>
                <w:lang w:val="en-US" w:eastAsia="zh-CN" w:bidi="ar-SA"/>
              </w:rPr>
              <w:t>采购公告》，对符合资质的应标供应商进行综合评审法产生中标供应商。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8" w:hRule="atLeast"/>
          <w:jc w:val="center"/>
        </w:trPr>
        <w:tc>
          <w:tcPr>
            <w:tcW w:w="92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仿宋_GB2312" w:hAnsi="仿宋_GB2312" w:eastAsia="仿宋_GB2312" w:cs="仿宋_GB2312"/>
                <w:kern w:val="2"/>
                <w:sz w:val="24"/>
                <w:szCs w:val="28"/>
                <w:u w:val="none"/>
                <w:lang w:val="en-US" w:eastAsia="zh-CN" w:bidi="ar-SA"/>
              </w:rPr>
            </w:pPr>
            <w:r>
              <w:rPr>
                <w:rFonts w:hint="eastAsia" w:ascii="仿宋_GB2312" w:hAnsi="仿宋_GB2312" w:eastAsia="仿宋_GB2312" w:cs="仿宋_GB2312"/>
                <w:kern w:val="2"/>
                <w:sz w:val="24"/>
                <w:szCs w:val="28"/>
                <w:u w:val="none"/>
                <w:lang w:val="en-US" w:eastAsia="zh-CN" w:bidi="ar-SA"/>
              </w:rPr>
              <w:t>公示时间：2025年1</w:t>
            </w:r>
            <w:r>
              <w:rPr>
                <w:rFonts w:hint="default" w:ascii="仿宋_GB2312" w:hAnsi="仿宋_GB2312" w:eastAsia="仿宋_GB2312" w:cs="仿宋_GB2312"/>
                <w:kern w:val="2"/>
                <w:sz w:val="24"/>
                <w:szCs w:val="28"/>
                <w:u w:val="none"/>
                <w:lang w:eastAsia="zh-CN" w:bidi="ar-SA"/>
              </w:rPr>
              <w:t>2</w:t>
            </w:r>
            <w:r>
              <w:rPr>
                <w:rFonts w:hint="eastAsia" w:ascii="仿宋_GB2312" w:hAnsi="仿宋_GB2312" w:eastAsia="仿宋_GB2312" w:cs="仿宋_GB2312"/>
                <w:kern w:val="2"/>
                <w:sz w:val="24"/>
                <w:szCs w:val="28"/>
                <w:u w:val="none"/>
                <w:lang w:val="en-US" w:eastAsia="zh-CN" w:bidi="ar-SA"/>
              </w:rPr>
              <w:t>月</w:t>
            </w:r>
            <w:r>
              <w:rPr>
                <w:rFonts w:hint="default" w:ascii="仿宋_GB2312" w:hAnsi="仿宋_GB2312" w:eastAsia="仿宋_GB2312" w:cs="仿宋_GB2312"/>
                <w:kern w:val="2"/>
                <w:sz w:val="24"/>
                <w:szCs w:val="28"/>
                <w:u w:val="none"/>
                <w:lang w:eastAsia="zh-CN" w:bidi="ar-SA"/>
              </w:rPr>
              <w:t>22</w:t>
            </w:r>
            <w:r>
              <w:rPr>
                <w:rFonts w:hint="eastAsia" w:ascii="仿宋_GB2312" w:hAnsi="仿宋_GB2312" w:eastAsia="仿宋_GB2312" w:cs="仿宋_GB2312"/>
                <w:kern w:val="2"/>
                <w:sz w:val="24"/>
                <w:szCs w:val="28"/>
                <w:u w:val="none"/>
                <w:lang w:val="en-US" w:eastAsia="zh-CN" w:bidi="ar-SA"/>
              </w:rPr>
              <w:t>日至2025年1</w:t>
            </w:r>
            <w:r>
              <w:rPr>
                <w:rFonts w:hint="default" w:ascii="仿宋_GB2312" w:hAnsi="仿宋_GB2312" w:eastAsia="仿宋_GB2312" w:cs="仿宋_GB2312"/>
                <w:kern w:val="2"/>
                <w:sz w:val="24"/>
                <w:szCs w:val="28"/>
                <w:u w:val="none"/>
                <w:lang w:eastAsia="zh-CN" w:bidi="ar-SA"/>
              </w:rPr>
              <w:t>2</w:t>
            </w:r>
            <w:r>
              <w:rPr>
                <w:rFonts w:hint="eastAsia" w:ascii="仿宋_GB2312" w:hAnsi="仿宋_GB2312" w:eastAsia="仿宋_GB2312" w:cs="仿宋_GB2312"/>
                <w:kern w:val="2"/>
                <w:sz w:val="24"/>
                <w:szCs w:val="28"/>
                <w:u w:val="none"/>
                <w:lang w:val="en-US" w:eastAsia="zh-CN" w:bidi="ar-SA"/>
              </w:rPr>
              <w:t>月</w:t>
            </w:r>
            <w:r>
              <w:rPr>
                <w:rFonts w:hint="default" w:ascii="仿宋_GB2312" w:hAnsi="仿宋_GB2312" w:eastAsia="仿宋_GB2312" w:cs="仿宋_GB2312"/>
                <w:kern w:val="2"/>
                <w:sz w:val="24"/>
                <w:szCs w:val="28"/>
                <w:u w:val="none"/>
                <w:lang w:eastAsia="zh-CN" w:bidi="ar-SA"/>
              </w:rPr>
              <w:t>24</w:t>
            </w:r>
            <w:r>
              <w:rPr>
                <w:rFonts w:hint="eastAsia" w:ascii="仿宋_GB2312" w:hAnsi="仿宋_GB2312" w:eastAsia="仿宋_GB2312" w:cs="仿宋_GB2312"/>
                <w:kern w:val="2"/>
                <w:sz w:val="24"/>
                <w:szCs w:val="28"/>
                <w:u w:val="none"/>
                <w:lang w:val="en-US" w:eastAsia="zh-CN" w:bidi="ar-SA"/>
              </w:rPr>
              <w:t>日（共3个工作日）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1" w:hRule="atLeast"/>
          <w:jc w:val="center"/>
        </w:trPr>
        <w:tc>
          <w:tcPr>
            <w:tcW w:w="92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576" w:lineRule="exact"/>
              <w:ind w:right="0" w:rightChars="0"/>
              <w:jc w:val="both"/>
              <w:textAlignment w:val="auto"/>
              <w:rPr>
                <w:rFonts w:hint="default" w:ascii="仿宋_GB2312" w:hAnsi="仿宋_GB2312" w:eastAsia="仿宋_GB2312" w:cs="仿宋_GB2312"/>
                <w:kern w:val="2"/>
                <w:sz w:val="24"/>
                <w:szCs w:val="28"/>
                <w:u w:val="none"/>
                <w:lang w:val="en-US" w:eastAsia="zh-CN" w:bidi="ar-SA"/>
              </w:rPr>
            </w:pPr>
            <w:r>
              <w:rPr>
                <w:rFonts w:hint="eastAsia" w:ascii="仿宋_GB2312" w:hAnsi="仿宋_GB2312" w:eastAsia="仿宋_GB2312" w:cs="仿宋_GB2312"/>
                <w:kern w:val="2"/>
                <w:sz w:val="24"/>
                <w:szCs w:val="28"/>
                <w:u w:val="none"/>
                <w:lang w:val="en-US" w:eastAsia="zh-CN" w:bidi="ar-SA"/>
              </w:rPr>
              <w:t>项目期限：2026年1月1</w:t>
            </w:r>
            <w:r>
              <w:rPr>
                <w:rFonts w:hint="default" w:ascii="仿宋_GB2312" w:hAnsi="仿宋_GB2312" w:eastAsia="仿宋_GB2312" w:cs="仿宋_GB2312"/>
                <w:kern w:val="2"/>
                <w:sz w:val="24"/>
                <w:szCs w:val="28"/>
                <w:u w:val="none"/>
                <w:lang w:eastAsia="zh-CN" w:bidi="ar-SA"/>
              </w:rPr>
              <w:t>8</w:t>
            </w:r>
            <w:r>
              <w:rPr>
                <w:rFonts w:hint="eastAsia" w:ascii="仿宋_GB2312" w:hAnsi="仿宋_GB2312" w:eastAsia="仿宋_GB2312" w:cs="仿宋_GB2312"/>
                <w:kern w:val="2"/>
                <w:sz w:val="24"/>
                <w:szCs w:val="28"/>
                <w:u w:val="none"/>
                <w:lang w:val="en-US" w:eastAsia="zh-CN" w:bidi="ar-SA"/>
              </w:rPr>
              <w:t>日—202</w:t>
            </w:r>
            <w:r>
              <w:rPr>
                <w:rFonts w:hint="default" w:ascii="仿宋_GB2312" w:hAnsi="仿宋_GB2312" w:eastAsia="仿宋_GB2312" w:cs="仿宋_GB2312"/>
                <w:kern w:val="2"/>
                <w:sz w:val="24"/>
                <w:szCs w:val="28"/>
                <w:u w:val="none"/>
                <w:lang w:eastAsia="zh-CN" w:bidi="ar-SA"/>
              </w:rPr>
              <w:t>7</w:t>
            </w:r>
            <w:r>
              <w:rPr>
                <w:rFonts w:hint="eastAsia" w:ascii="仿宋_GB2312" w:hAnsi="仿宋_GB2312" w:eastAsia="仿宋_GB2312" w:cs="仿宋_GB2312"/>
                <w:kern w:val="2"/>
                <w:sz w:val="24"/>
                <w:szCs w:val="28"/>
                <w:u w:val="none"/>
                <w:lang w:val="en-US" w:eastAsia="zh-CN" w:bidi="ar-SA"/>
              </w:rPr>
              <w:t>年1月</w:t>
            </w:r>
            <w:r>
              <w:rPr>
                <w:rFonts w:hint="default" w:ascii="仿宋_GB2312" w:hAnsi="仿宋_GB2312" w:eastAsia="仿宋_GB2312" w:cs="仿宋_GB2312"/>
                <w:kern w:val="2"/>
                <w:sz w:val="24"/>
                <w:szCs w:val="28"/>
                <w:u w:val="none"/>
                <w:lang w:eastAsia="zh-CN" w:bidi="ar-SA"/>
              </w:rPr>
              <w:t>17</w:t>
            </w:r>
            <w:bookmarkStart w:id="0" w:name="_GoBack"/>
            <w:bookmarkEnd w:id="0"/>
            <w:r>
              <w:rPr>
                <w:rFonts w:hint="eastAsia" w:ascii="仿宋_GB2312" w:hAnsi="仿宋_GB2312" w:eastAsia="仿宋_GB2312" w:cs="仿宋_GB2312"/>
                <w:kern w:val="2"/>
                <w:sz w:val="24"/>
                <w:szCs w:val="28"/>
                <w:u w:val="none"/>
                <w:lang w:val="en-US" w:eastAsia="zh-CN" w:bidi="ar-SA"/>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68" w:hRule="atLeast"/>
          <w:jc w:val="center"/>
        </w:trPr>
        <w:tc>
          <w:tcPr>
            <w:tcW w:w="92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仿宋_GB2312" w:hAnsi="仿宋_GB2312" w:eastAsia="仿宋_GB2312" w:cs="仿宋_GB2312"/>
                <w:kern w:val="2"/>
                <w:sz w:val="24"/>
                <w:szCs w:val="28"/>
                <w:u w:val="none"/>
                <w:lang w:val="en-US" w:eastAsia="zh-CN" w:bidi="ar-SA"/>
              </w:rPr>
            </w:pPr>
            <w:r>
              <w:rPr>
                <w:rFonts w:hint="eastAsia" w:ascii="仿宋_GB2312" w:hAnsi="仿宋_GB2312" w:eastAsia="仿宋_GB2312" w:cs="仿宋_GB2312"/>
                <w:kern w:val="2"/>
                <w:sz w:val="24"/>
                <w:szCs w:val="28"/>
                <w:u w:val="none"/>
                <w:lang w:val="en-US" w:eastAsia="zh-CN" w:bidi="ar-SA"/>
              </w:rPr>
              <w:t>联系方式：</w:t>
            </w:r>
            <w:r>
              <w:rPr>
                <w:rFonts w:hint="eastAsia" w:ascii="仿宋_GB2312" w:hAnsi="仿宋_GB2312" w:eastAsia="仿宋_GB2312" w:cs="仿宋_GB2312"/>
                <w:kern w:val="2"/>
                <w:sz w:val="24"/>
                <w:szCs w:val="28"/>
                <w:u w:val="none"/>
                <w:lang w:eastAsia="zh-CN" w:bidi="ar-SA"/>
              </w:rPr>
              <w:t>深圳市</w:t>
            </w:r>
            <w:r>
              <w:rPr>
                <w:rFonts w:hint="eastAsia" w:ascii="仿宋_GB2312" w:hAnsi="仿宋_GB2312" w:eastAsia="仿宋_GB2312" w:cs="仿宋_GB2312"/>
                <w:kern w:val="2"/>
                <w:sz w:val="24"/>
                <w:szCs w:val="28"/>
                <w:u w:val="none"/>
                <w:lang w:val="en-US" w:eastAsia="zh-CN" w:bidi="ar-SA"/>
              </w:rPr>
              <w:t>龙岗区应急管理局</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仿宋_GB2312" w:hAnsi="仿宋_GB2312" w:eastAsia="仿宋_GB2312" w:cs="仿宋_GB2312"/>
                <w:kern w:val="2"/>
                <w:sz w:val="24"/>
                <w:szCs w:val="28"/>
                <w:u w:val="none"/>
                <w:lang w:val="en-US" w:eastAsia="zh-CN" w:bidi="ar-SA"/>
              </w:rPr>
            </w:pPr>
            <w:r>
              <w:rPr>
                <w:rFonts w:hint="eastAsia" w:ascii="仿宋_GB2312" w:hAnsi="仿宋_GB2312" w:eastAsia="仿宋_GB2312" w:cs="仿宋_GB2312"/>
                <w:kern w:val="2"/>
                <w:sz w:val="24"/>
                <w:szCs w:val="28"/>
                <w:u w:val="none"/>
                <w:lang w:val="en-US" w:eastAsia="zh-CN" w:bidi="ar-SA"/>
              </w:rPr>
              <w:t>采购科室：应急指挥科</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仿宋_GB2312" w:hAnsi="仿宋_GB2312" w:eastAsia="仿宋_GB2312" w:cs="仿宋_GB2312"/>
                <w:kern w:val="2"/>
                <w:sz w:val="24"/>
                <w:szCs w:val="28"/>
                <w:u w:val="none"/>
                <w:lang w:val="en-US" w:eastAsia="zh-CN" w:bidi="ar-SA"/>
              </w:rPr>
            </w:pPr>
            <w:r>
              <w:rPr>
                <w:rFonts w:hint="eastAsia" w:ascii="仿宋_GB2312" w:hAnsi="仿宋_GB2312" w:eastAsia="仿宋_GB2312" w:cs="仿宋_GB2312"/>
                <w:kern w:val="2"/>
                <w:sz w:val="24"/>
                <w:szCs w:val="28"/>
                <w:u w:val="none"/>
                <w:lang w:val="en-US" w:eastAsia="zh-CN" w:bidi="ar-SA"/>
              </w:rPr>
              <w:t>地址：深圳市龙岗区龙城街道愉龙路30号</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仿宋_GB2312" w:hAnsi="仿宋_GB2312" w:eastAsia="仿宋_GB2312" w:cs="仿宋_GB2312"/>
                <w:kern w:val="2"/>
                <w:sz w:val="24"/>
                <w:szCs w:val="28"/>
                <w:u w:val="none"/>
                <w:lang w:val="en-US" w:eastAsia="zh-CN" w:bidi="ar-SA"/>
              </w:rPr>
            </w:pPr>
            <w:r>
              <w:rPr>
                <w:rFonts w:hint="eastAsia" w:ascii="仿宋_GB2312" w:hAnsi="仿宋_GB2312" w:eastAsia="仿宋_GB2312" w:cs="仿宋_GB2312"/>
                <w:kern w:val="2"/>
                <w:sz w:val="24"/>
                <w:szCs w:val="28"/>
                <w:u w:val="none"/>
                <w:lang w:val="en-US" w:eastAsia="zh-CN" w:bidi="ar-SA"/>
              </w:rPr>
              <w:t>联系电话：</w:t>
            </w:r>
            <w:r>
              <w:rPr>
                <w:rFonts w:hint="eastAsia" w:ascii="仿宋_GB2312" w:hAnsi="仿宋_GB2312" w:eastAsia="仿宋_GB2312" w:cs="仿宋_GB2312"/>
                <w:kern w:val="2"/>
                <w:sz w:val="24"/>
                <w:szCs w:val="28"/>
                <w:u w:val="none"/>
                <w:lang w:eastAsia="zh-CN" w:bidi="ar-SA"/>
              </w:rPr>
              <w:t>0755-</w:t>
            </w:r>
            <w:r>
              <w:rPr>
                <w:rFonts w:hint="eastAsia" w:ascii="仿宋_GB2312" w:hAnsi="仿宋_GB2312" w:eastAsia="仿宋_GB2312" w:cs="仿宋_GB2312"/>
                <w:kern w:val="2"/>
                <w:sz w:val="24"/>
                <w:szCs w:val="28"/>
                <w:u w:val="none"/>
                <w:lang w:val="en-US" w:eastAsia="zh-CN" w:bidi="ar-SA"/>
              </w:rPr>
              <w:t>84215679</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楷体_GB2312">
    <w:altName w:val="方正楷体_GBK"/>
    <w:panose1 w:val="02010609030101010101"/>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6B5128"/>
    <w:rsid w:val="336B5128"/>
    <w:rsid w:val="363F5D8A"/>
    <w:rsid w:val="37FF4DF1"/>
    <w:rsid w:val="6AED1449"/>
    <w:rsid w:val="6D893DA9"/>
    <w:rsid w:val="7B5EBDDE"/>
    <w:rsid w:val="BBF3242E"/>
    <w:rsid w:val="BE3F36CC"/>
    <w:rsid w:val="DFFCD8BD"/>
    <w:rsid w:val="FBFC04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5"/>
    <w:qFormat/>
    <w:uiPriority w:val="0"/>
    <w:pPr>
      <w:ind w:firstLine="420"/>
    </w:pPr>
  </w:style>
  <w:style w:type="paragraph" w:styleId="3">
    <w:name w:val="Body Text Indent"/>
    <w:basedOn w:val="1"/>
    <w:next w:val="4"/>
    <w:qFormat/>
    <w:uiPriority w:val="0"/>
    <w:pPr>
      <w:widowControl w:val="0"/>
      <w:spacing w:line="548" w:lineRule="atLeast"/>
      <w:ind w:firstLine="640"/>
    </w:pPr>
    <w:rPr>
      <w:rFonts w:ascii="楷体_GB2312"/>
      <w:kern w:val="24"/>
    </w:rPr>
  </w:style>
  <w:style w:type="paragraph" w:styleId="4">
    <w:name w:val="envelope return"/>
    <w:basedOn w:val="1"/>
    <w:unhideWhenUsed/>
    <w:qFormat/>
    <w:uiPriority w:val="99"/>
    <w:pPr>
      <w:snapToGrid w:val="0"/>
    </w:pPr>
    <w:rPr>
      <w:rFonts w:ascii="Arial" w:hAnsi="Arial"/>
    </w:rPr>
  </w:style>
  <w:style w:type="paragraph" w:styleId="5">
    <w:name w:val="List"/>
    <w:basedOn w:val="1"/>
    <w:qFormat/>
    <w:uiPriority w:val="0"/>
  </w:style>
  <w:style w:type="paragraph" w:styleId="6">
    <w:name w:val="Normal Indent"/>
    <w:basedOn w:val="1"/>
    <w:next w:val="7"/>
    <w:unhideWhenUsed/>
    <w:qFormat/>
    <w:uiPriority w:val="99"/>
    <w:pPr>
      <w:ind w:firstLine="420"/>
    </w:pPr>
  </w:style>
  <w:style w:type="paragraph" w:styleId="7">
    <w:name w:val="Body Text"/>
    <w:basedOn w:val="1"/>
    <w:next w:val="1"/>
    <w:unhideWhenUsed/>
    <w:qFormat/>
    <w:uiPriority w:val="0"/>
    <w:pPr>
      <w:spacing w:beforeLines="0" w:after="120" w:afterLines="0"/>
    </w:pPr>
    <w:rPr>
      <w:rFonts w:hint="default"/>
      <w:sz w:val="21"/>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4</TotalTime>
  <ScaleCrop>false</ScaleCrop>
  <LinksUpToDate>false</LinksUpToDate>
  <CharactersWithSpaces>0</CharactersWithSpaces>
  <Application>WPS Office_11.8.2.10681_F1E327BC-269C-435d-A152-05C5408002CA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2025-11-04T16:46:00Z</dcterms:created>
  <dc:creator>WPS_1741853869</dc:creator>
  <cp:lastModifiedBy>陈文彬</cp:lastModifiedBy>
  <dcterms:modified xsi:type="dcterms:W3CDTF">2025-12-23T09:50:08Z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2052-11.8.2.10681</vt:lpwstr>
  </property>
  <property fmtid="{D5CDD505-2E9C-101B-9397-08002B2CF9AE}" pid="3" name="ICV">
    <vt:lpwstr>E14268DDC7724CF48714D21975DAC33E_13</vt:lpwstr>
  </property>
  <property fmtid="{D5CDD505-2E9C-101B-9397-08002B2CF9AE}" pid="4" name="KSOTemplateDocerSaveRecord">
    <vt:lpwstr>eyJoZGlkIjoiMDEzYTliMzk5NTUyY2MwMzdlMGVjN2E2ZDQ5Mzk3YjMiLCJ1c2VySWQiOiIxNjg2MDA5MzkzIn0=</vt:lpwstr>
  </property>
</Properties>
</file>