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255"/>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年度城服公司</w:t>
      </w:r>
      <w:r>
        <w:rPr>
          <w:rFonts w:hint="eastAsia" w:ascii="方正小标宋简体" w:hAnsi="方正小标宋简体" w:eastAsia="方正小标宋简体" w:cs="方正小标宋简体"/>
          <w:sz w:val="44"/>
          <w:szCs w:val="44"/>
          <w:lang w:eastAsia="zh-CN"/>
        </w:rPr>
        <w:t>办公场所</w:t>
      </w:r>
      <w:r>
        <w:rPr>
          <w:rFonts w:hint="eastAsia" w:ascii="方正小标宋简体" w:hAnsi="方正小标宋简体" w:eastAsia="方正小标宋简体" w:cs="方正小标宋简体"/>
          <w:sz w:val="44"/>
          <w:szCs w:val="44"/>
        </w:rPr>
        <w:t>维修工程</w:t>
      </w:r>
      <w:r>
        <w:rPr>
          <w:rFonts w:hint="eastAsia" w:ascii="方正小标宋简体" w:hAnsi="方正小标宋简体" w:eastAsia="方正小标宋简体" w:cs="方正小标宋简体"/>
          <w:sz w:val="44"/>
          <w:szCs w:val="44"/>
          <w:lang w:val="en-US" w:eastAsia="zh-CN"/>
        </w:rPr>
        <w:t>项目</w:t>
      </w:r>
    </w:p>
    <w:p>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施工</w:t>
      </w:r>
      <w:r>
        <w:rPr>
          <w:rFonts w:hint="eastAsia" w:ascii="方正小标宋简体" w:hAnsi="方正小标宋简体" w:eastAsia="方正小标宋简体" w:cs="方正小标宋简体"/>
          <w:b w:val="0"/>
          <w:bCs/>
          <w:sz w:val="44"/>
          <w:szCs w:val="44"/>
          <w:lang w:val="en-US" w:eastAsia="zh-CN"/>
        </w:rPr>
        <w:t>遴选评定细则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rPr>
        <w:t>集团</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A.2023年起至今近有3项同类工程业绩的为优；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B.同时具备建筑装修装饰工程专业承包二级、防水防腐保温工程专业承包二级、消防设施工程专业承包二级资质及以上的为优；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C.2023年至今，在经营活动中没有重大违法记录；供应商未被列入失信被执行人、重大税收违法案件当事人名单、企业经营异常名录、联合惩戒清单或严重违法失信企业名单（提供“信用中国”的查询结果）；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D.统计所有进入综合评审环节的投标供应商的报价下浮率，计算得出平均下浮率，横向对比其中最接近平均下浮率的为优；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E.评审小组根据响应承包商维修服务方案，横向对比后，选取一名响应单位评优。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备注：重点考察包括对本项目及工作内容的理解、拟派遣团队及业绩、响应速度、工作安排及相关服务承诺等。</w:t>
      </w:r>
    </w:p>
    <w:p>
      <w:pPr>
        <w:pStyle w:val="2"/>
        <w:ind w:firstLine="640" w:firstLineChars="200"/>
        <w:rPr>
          <w:rFonts w:hint="eastAsia"/>
          <w:lang w:val="en-US" w:eastAsia="zh-CN"/>
        </w:rPr>
      </w:pPr>
      <w:r>
        <w:rPr>
          <w:rFonts w:hint="eastAsia" w:ascii="仿宋_GB2312" w:hAnsi="仿宋_GB2312" w:eastAsia="仿宋_GB2312" w:cs="仿宋_GB2312"/>
          <w:sz w:val="32"/>
          <w:szCs w:val="32"/>
        </w:rPr>
        <w:t>评审小组根据上述择优项按为“优”项数多少选取第一名响应单位作为成交候选承包商。</w:t>
      </w:r>
      <w:bookmarkStart w:id="0" w:name="_GoBack"/>
      <w:bookmarkEnd w:id="0"/>
      <w:r>
        <w:rPr>
          <w:rFonts w:hint="eastAsia" w:ascii="仿宋_GB2312" w:hAnsi="仿宋_GB2312" w:eastAsia="仿宋_GB2312" w:cs="仿宋_GB2312"/>
          <w:sz w:val="32"/>
          <w:szCs w:val="32"/>
        </w:rPr>
        <w:t>如得优数量一致，则根据评审人对本项目的理解，投票确定候选维修单位。</w:t>
      </w:r>
    </w:p>
    <w:p>
      <w:pPr>
        <w:pStyle w:val="3"/>
        <w:rPr>
          <w:rFonts w:hint="eastAsia"/>
        </w:rPr>
      </w:pP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深圳市湾东城市服务有限公司</w:t>
      </w: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2025年12月22日</w:t>
      </w:r>
    </w:p>
    <w:p/>
    <w:p>
      <w:pPr>
        <w:pStyle w:val="2"/>
      </w:pPr>
    </w:p>
    <w:p>
      <w:r>
        <w:br w:type="page"/>
      </w:r>
    </w:p>
    <w:p>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pPr>
        <w:pStyle w:val="2"/>
      </w:pPr>
    </w:p>
    <w:p/>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pPr>
              <w:pStyle w:val="2"/>
              <w:rPr>
                <w:rFonts w:hAnsi="宋体"/>
              </w:rPr>
            </w:pPr>
            <w:r>
              <w:rPr>
                <w:rFonts w:hint="eastAsia" w:hAnsi="宋体"/>
              </w:rPr>
              <w:t>提供营业执照复印件、资质证书复印件、法定代表人证明书及身份证复印件、法定代表人授权委托书及身份证复印件。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起</w:t>
            </w:r>
            <w:r>
              <w:rPr>
                <w:rFonts w:hint="eastAsia" w:ascii="宋体" w:hAnsi="宋体"/>
                <w:szCs w:val="21"/>
              </w:rPr>
              <w:t>有3项业绩（不超过3项，若超过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pPr>
              <w:pStyle w:val="2"/>
              <w:rPr>
                <w:rFonts w:hAnsi="宋体"/>
              </w:rPr>
            </w:pPr>
            <w:r>
              <w:rPr>
                <w:rFonts w:hint="eastAsia" w:hAnsi="宋体"/>
              </w:rPr>
              <w:t>重点考察包括对本项目及工作内容的理解、拟派遣团队及业绩、响应速度、工作安排及相关服务承诺等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p>
      <w:pPr>
        <w:pStyle w:val="2"/>
      </w:pPr>
    </w:p>
    <w:p>
      <w:pPr>
        <w:pStyle w:val="3"/>
      </w:pPr>
    </w:p>
    <w:p/>
    <w:p>
      <w:pPr>
        <w:pStyle w:val="2"/>
      </w:pPr>
    </w:p>
    <w:p>
      <w:pPr>
        <w:pStyle w:val="3"/>
      </w:pPr>
    </w:p>
    <w:p/>
    <w:p>
      <w:pPr>
        <w:pStyle w:val="2"/>
      </w:pPr>
    </w:p>
    <w:p>
      <w:pPr>
        <w:rPr>
          <w:rFonts w:hint="eastAsia" w:hAnsi="宋体"/>
          <w:b/>
          <w:sz w:val="32"/>
          <w:szCs w:val="32"/>
        </w:rPr>
      </w:pPr>
      <w:r>
        <w:rPr>
          <w:rFonts w:hint="eastAsia" w:hAnsi="宋体"/>
          <w:b/>
          <w:sz w:val="32"/>
          <w:szCs w:val="32"/>
        </w:rPr>
        <w:br w:type="page"/>
      </w:r>
    </w:p>
    <w:p>
      <w:pPr>
        <w:pStyle w:val="2"/>
        <w:spacing w:line="360" w:lineRule="auto"/>
        <w:jc w:val="center"/>
        <w:rPr>
          <w:rFonts w:hAnsi="宋体"/>
          <w:b/>
          <w:bCs/>
          <w:sz w:val="32"/>
          <w:szCs w:val="32"/>
        </w:rPr>
      </w:pPr>
      <w:r>
        <w:rPr>
          <w:rFonts w:hint="eastAsia" w:hAnsi="宋体"/>
          <w:b/>
          <w:sz w:val="32"/>
          <w:szCs w:val="32"/>
        </w:rPr>
        <w:t>承诺函</w:t>
      </w:r>
    </w:p>
    <w:p>
      <w:pPr>
        <w:pStyle w:val="2"/>
        <w:adjustRightInd w:val="0"/>
        <w:snapToGrid w:val="0"/>
        <w:spacing w:line="560" w:lineRule="exact"/>
        <w:rPr>
          <w:rFonts w:cs="Courier New" w:asciiTheme="minorEastAsia" w:hAnsiTheme="minorEastAsia" w:eastAsiaTheme="minorEastAsia"/>
          <w:bCs/>
          <w:kern w:val="0"/>
          <w:u w:val="single"/>
        </w:rPr>
      </w:pPr>
      <w:r>
        <w:rPr>
          <w:rFonts w:hint="eastAsia" w:cs="Courier New" w:asciiTheme="minorEastAsia" w:hAnsiTheme="minorEastAsia" w:eastAsiaTheme="minorEastAsia"/>
          <w:bCs/>
          <w:kern w:val="0"/>
        </w:rPr>
        <w:t xml:space="preserve">致委托人: </w:t>
      </w:r>
      <w:r>
        <w:rPr>
          <w:rFonts w:hint="eastAsia" w:cs="Courier New" w:asciiTheme="minorEastAsia" w:hAnsiTheme="minorEastAsia" w:eastAsiaTheme="minorEastAsia"/>
          <w:bCs/>
          <w:kern w:val="0"/>
          <w:u w:val="single"/>
        </w:rPr>
        <w:t>深圳市</w:t>
      </w:r>
      <w:r>
        <w:rPr>
          <w:rFonts w:hint="eastAsia" w:cs="Courier New" w:asciiTheme="minorEastAsia" w:hAnsiTheme="minorEastAsia" w:eastAsiaTheme="minorEastAsia"/>
          <w:bCs/>
          <w:kern w:val="0"/>
          <w:u w:val="single"/>
          <w:lang w:val="en-US" w:eastAsia="zh-CN"/>
        </w:rPr>
        <w:t>湾东城市服务</w:t>
      </w:r>
      <w:r>
        <w:rPr>
          <w:rFonts w:hint="eastAsia" w:cs="Courier New" w:asciiTheme="minorEastAsia" w:hAnsiTheme="minorEastAsia" w:eastAsiaTheme="minorEastAsia"/>
          <w:bCs/>
          <w:kern w:val="0"/>
          <w:u w:val="single"/>
        </w:rPr>
        <w:t>有限公司</w:t>
      </w:r>
    </w:p>
    <w:p>
      <w:pPr>
        <w:pStyle w:val="2"/>
        <w:adjustRightInd w:val="0"/>
        <w:snapToGrid w:val="0"/>
        <w:spacing w:line="560" w:lineRule="exact"/>
        <w:ind w:firstLine="420" w:firstLineChars="200"/>
        <w:rPr>
          <w:rFonts w:cs="Courier New" w:asciiTheme="minorEastAsia" w:hAnsiTheme="minorEastAsia" w:eastAsiaTheme="minorEastAsia"/>
          <w:bCs/>
          <w:kern w:val="0"/>
        </w:rPr>
      </w:pPr>
      <w:r>
        <w:rPr>
          <w:rFonts w:hint="eastAsia" w:cs="Courier New" w:asciiTheme="minorEastAsia" w:hAnsiTheme="minorEastAsia" w:eastAsiaTheme="minorEastAsia"/>
          <w:bCs/>
          <w:kern w:val="0"/>
        </w:rPr>
        <w:t>为了确保本项目工作顺利进行，我方将严格执行建设工程遴选投标管理的法律法规，并完全接受</w:t>
      </w:r>
      <w:r>
        <w:rPr>
          <w:rFonts w:hint="eastAsia" w:cs="Courier New" w:asciiTheme="minorEastAsia" w:hAnsiTheme="minorEastAsia" w:eastAsiaTheme="minorEastAsia"/>
          <w:bCs/>
          <w:kern w:val="0"/>
          <w:u w:val="single"/>
          <w:lang w:val="en-US" w:eastAsia="zh-CN"/>
        </w:rPr>
        <w:t xml:space="preserve"> </w:t>
      </w:r>
      <w:r>
        <w:rPr>
          <w:rFonts w:hint="eastAsia" w:cs="Courier New" w:asciiTheme="minorEastAsia" w:hAnsiTheme="minorEastAsia" w:eastAsiaTheme="minorEastAsia"/>
          <w:bCs/>
          <w:kern w:val="0"/>
          <w:u w:val="single"/>
        </w:rPr>
        <w:t>2026年度城服公司办公场所维修工程项目施工</w:t>
      </w:r>
      <w:r>
        <w:rPr>
          <w:rFonts w:hint="eastAsia" w:cs="Courier New" w:asciiTheme="minorEastAsia" w:hAnsiTheme="minorEastAsia" w:eastAsiaTheme="minorEastAsia"/>
          <w:bCs/>
          <w:kern w:val="0"/>
          <w:u w:val="single"/>
          <w:lang w:val="en-US" w:eastAsia="zh-CN"/>
        </w:rPr>
        <w:t xml:space="preserve"> </w:t>
      </w:r>
      <w:r>
        <w:rPr>
          <w:rFonts w:hint="eastAsia" w:cs="Courier New" w:asciiTheme="minorEastAsia" w:hAnsiTheme="minorEastAsia" w:eastAsiaTheme="minorEastAsia"/>
          <w:bCs/>
          <w:kern w:val="0"/>
        </w:rPr>
        <w:t>遴选公告的所有内容及要求，为此作出如下承诺：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1、根据企业自身情况，理性报价，不会以低于成本的报价竞标。本项目我方所报下浮率为</w:t>
      </w:r>
      <w:r>
        <w:rPr>
          <w:rFonts w:hint="eastAsia" w:cs="Courier New" w:asciiTheme="minorEastAsia" w:hAnsiTheme="minorEastAsia" w:eastAsiaTheme="minorEastAsia"/>
          <w:bCs/>
          <w:kern w:val="0"/>
          <w:szCs w:val="21"/>
          <w:u w:val="single"/>
        </w:rPr>
        <w:t xml:space="preserve">     </w:t>
      </w:r>
      <w:r>
        <w:rPr>
          <w:rFonts w:hint="eastAsia" w:cs="Courier New" w:asciiTheme="minorEastAsia" w:hAnsiTheme="minorEastAsia" w:eastAsiaTheme="minorEastAsia"/>
          <w:bCs/>
          <w:kern w:val="0"/>
          <w:szCs w:val="21"/>
        </w:rPr>
        <w:t xml:space="preserve"> %，按采购人要求承包本项目工作。否则，我方愿意承担任何风险。（投标人填写）</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2、一旦我方中标，将保证在收到委托函后</w:t>
      </w:r>
      <w:r>
        <w:rPr>
          <w:rFonts w:cs="Courier New" w:asciiTheme="minorEastAsia" w:hAnsiTheme="minorEastAsia" w:eastAsiaTheme="minorEastAsia"/>
          <w:bCs/>
          <w:kern w:val="0"/>
          <w:szCs w:val="21"/>
        </w:rPr>
        <w:t>_</w:t>
      </w:r>
      <w:r>
        <w:rPr>
          <w:rFonts w:cs="Courier New" w:asciiTheme="minorEastAsia" w:hAnsiTheme="minorEastAsia" w:eastAsiaTheme="minorEastAsia"/>
          <w:bCs/>
          <w:kern w:val="0"/>
          <w:szCs w:val="21"/>
          <w:u w:val="single"/>
        </w:rPr>
        <w:t>15</w:t>
      </w:r>
      <w:r>
        <w:rPr>
          <w:rFonts w:cs="Courier New" w:asciiTheme="minorEastAsia" w:hAnsiTheme="minorEastAsia" w:eastAsiaTheme="minorEastAsia"/>
          <w:bCs/>
          <w:kern w:val="0"/>
          <w:szCs w:val="21"/>
        </w:rPr>
        <w:t>_</w:t>
      </w:r>
      <w:r>
        <w:rPr>
          <w:rFonts w:hint="eastAsia" w:cs="Courier New" w:asciiTheme="minorEastAsia" w:hAnsiTheme="minorEastAsia" w:eastAsiaTheme="minorEastAsia"/>
          <w:bCs/>
          <w:kern w:val="0"/>
          <w:szCs w:val="21"/>
        </w:rPr>
        <w:t>日内，与贵方按招标文件、委托函中的内容</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施工合同，否则，视为我方自愿放弃中标资格。</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3、除非另外达成协议并生效，贵方的中标通知书和本投标文件将成为约束双方的合同文件的组成部分。</w:t>
      </w:r>
    </w:p>
    <w:p>
      <w:pPr>
        <w:widowControl/>
        <w:adjustRightInd w:val="0"/>
        <w:snapToGrid w:val="0"/>
        <w:spacing w:line="560" w:lineRule="exact"/>
        <w:ind w:firstLine="420" w:firstLineChars="200"/>
        <w:rPr>
          <w:rFonts w:hint="eastAsia" w:cs="Courier New" w:asciiTheme="minorEastAsia" w:hAnsiTheme="minorEastAsia" w:eastAsiaTheme="minorEastAsia"/>
          <w:bCs/>
          <w:kern w:val="0"/>
          <w:szCs w:val="21"/>
          <w:u w:val="single"/>
          <w:lang w:val="en-US" w:eastAsia="zh-CN"/>
        </w:rPr>
      </w:pPr>
      <w:r>
        <w:rPr>
          <w:rFonts w:hint="eastAsia" w:cs="Courier New" w:asciiTheme="minorEastAsia" w:hAnsiTheme="minorEastAsia" w:eastAsiaTheme="minorEastAsia"/>
          <w:bCs/>
          <w:kern w:val="0"/>
          <w:szCs w:val="21"/>
        </w:rPr>
        <w:t>4、按规定完成施工合同承包范围实施内容主要包括：</w:t>
      </w:r>
      <w:r>
        <w:rPr>
          <w:rFonts w:hint="eastAsia" w:cs="Courier New" w:asciiTheme="minorEastAsia" w:hAnsiTheme="minorEastAsia" w:eastAsiaTheme="minorEastAsia"/>
          <w:bCs/>
          <w:kern w:val="0"/>
          <w:szCs w:val="21"/>
          <w:u w:val="single"/>
          <w:lang w:val="en-US" w:eastAsia="zh-CN"/>
        </w:rPr>
        <w:t xml:space="preserve">   </w:t>
      </w:r>
      <w:r>
        <w:rPr>
          <w:rFonts w:hint="eastAsia" w:cs="Courier New" w:asciiTheme="minorEastAsia" w:hAnsiTheme="minorEastAsia" w:eastAsiaTheme="minorEastAsia"/>
          <w:bCs/>
          <w:kern w:val="0"/>
          <w:szCs w:val="21"/>
          <w:u w:val="single"/>
        </w:rPr>
        <w:t>包括但不限于：房屋墙面、天花抹灰及面层维修，厨卫墙地面、各类门窗框渗漏水维修，给排水管材、电气线路维修，地面瓷砖、门窗维修更换，厨柜维修或更换，消防设施改造等，以及委托的其他小型工程。</w:t>
      </w:r>
      <w:r>
        <w:rPr>
          <w:rFonts w:hint="eastAsia" w:cs="Courier New" w:asciiTheme="minorEastAsia" w:hAnsiTheme="minorEastAsia" w:eastAsiaTheme="minorEastAsia"/>
          <w:bCs/>
          <w:kern w:val="0"/>
          <w:szCs w:val="21"/>
          <w:u w:val="single"/>
          <w:lang w:val="en-US" w:eastAsia="zh-CN"/>
        </w:rPr>
        <w:t xml:space="preserve">                         </w:t>
      </w:r>
    </w:p>
    <w:p>
      <w:pPr>
        <w:widowControl/>
        <w:adjustRightInd w:val="0"/>
        <w:snapToGrid w:val="0"/>
        <w:spacing w:line="560" w:lineRule="exact"/>
        <w:ind w:left="0" w:leftChars="0" w:firstLine="0" w:firstLineChars="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（与招标范围一致）的全部内容，质量达到合格标准的要求，质量目标为</w:t>
      </w:r>
      <w:r>
        <w:rPr>
          <w:rFonts w:hint="eastAsia" w:cs="Courier New" w:asciiTheme="minorEastAsia" w:hAnsiTheme="minorEastAsia" w:eastAsiaTheme="minorEastAsia"/>
          <w:bCs/>
          <w:kern w:val="0"/>
          <w:szCs w:val="21"/>
          <w:u w:val="single"/>
        </w:rPr>
        <w:t>合格</w:t>
      </w:r>
      <w:r>
        <w:rPr>
          <w:rFonts w:hint="eastAsia" w:cs="Courier New" w:asciiTheme="minorEastAsia" w:hAnsiTheme="minorEastAsia" w:eastAsiaTheme="minorEastAsia"/>
          <w:bCs/>
          <w:kern w:val="0"/>
          <w:szCs w:val="21"/>
        </w:rPr>
        <w:t>。</w:t>
      </w:r>
    </w:p>
    <w:p>
      <w:pPr>
        <w:widowControl/>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5、建立完善的质量安全保证体系，配备与投标文件相一致且满足工程建设规模、技术要求、安全要求的项目管理机构和项目管理人员，并确保常驻现场。</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6、为确保施工安全，我方保证在</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w:t>
      </w:r>
      <w:r>
        <w:rPr>
          <w:rFonts w:cs="Courier New" w:asciiTheme="minorEastAsia" w:hAnsiTheme="minorEastAsia" w:eastAsiaTheme="minorEastAsia"/>
          <w:bCs/>
          <w:kern w:val="0"/>
          <w:szCs w:val="21"/>
          <w:u w:val="single"/>
        </w:rPr>
        <w:t>15</w:t>
      </w:r>
      <w:r>
        <w:rPr>
          <w:rFonts w:hint="eastAsia" w:cs="Courier New" w:asciiTheme="minorEastAsia" w:hAnsiTheme="minorEastAsia" w:eastAsiaTheme="minorEastAsia"/>
          <w:bCs/>
          <w:kern w:val="0"/>
          <w:szCs w:val="21"/>
        </w:rPr>
        <w:t>日后，提交施工作业范围内的市政基础设施管线防护措施，按照《深圳市建设工程安全文明施工标准》，落实安全防护、环境保护、安全培训和信息化管理等要求，安全文明施工措施费专款专用。</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7</w:t>
      </w:r>
      <w:r>
        <w:rPr>
          <w:rFonts w:hint="eastAsia" w:cs="Courier New" w:asciiTheme="minorEastAsia" w:hAnsiTheme="minorEastAsia" w:eastAsiaTheme="minorEastAsia"/>
          <w:bCs/>
          <w:kern w:val="0"/>
          <w:szCs w:val="21"/>
        </w:rPr>
        <w:t>、对在工程实施过程中发生的工程变更，严格按照双方合同的有关规定计量和计价，并保证接受贵方要求完成变更的工程内容。</w:t>
      </w:r>
    </w:p>
    <w:p>
      <w:pPr>
        <w:pStyle w:val="5"/>
        <w:adjustRightInd w:val="0"/>
        <w:snapToGrid w:val="0"/>
        <w:spacing w:line="560" w:lineRule="exact"/>
        <w:ind w:left="0" w:leftChars="0" w:firstLine="420" w:firstLineChars="200"/>
        <w:rPr>
          <w:rFonts w:asciiTheme="minorEastAsia" w:hAnsiTheme="minorEastAsia" w:eastAsiaTheme="minorEastAsia"/>
          <w:kern w:val="0"/>
        </w:rPr>
      </w:pPr>
      <w:r>
        <w:rPr>
          <w:rFonts w:hint="eastAsia" w:asciiTheme="minorEastAsia" w:hAnsiTheme="minorEastAsia" w:eastAsiaTheme="minorEastAsia"/>
          <w:kern w:val="0"/>
          <w:lang w:val="en-US" w:eastAsia="zh-CN"/>
        </w:rPr>
        <w:t>8</w:t>
      </w:r>
      <w:r>
        <w:rPr>
          <w:rFonts w:hint="eastAsia" w:asciiTheme="minorEastAsia" w:hAnsiTheme="minorEastAsia" w:eastAsiaTheme="minorEastAsia"/>
          <w:kern w:val="0"/>
        </w:rPr>
        <w:t>、按照施工合同约定的质量缺陷保修范围和相应的保修期，我方将在接到保修通知后</w:t>
      </w:r>
      <w:r>
        <w:rPr>
          <w:rFonts w:asciiTheme="minorEastAsia" w:hAnsiTheme="minorEastAsia" w:eastAsiaTheme="minorEastAsia"/>
          <w:kern w:val="0"/>
          <w:u w:val="single"/>
        </w:rPr>
        <w:t>2</w:t>
      </w:r>
      <w:r>
        <w:rPr>
          <w:rFonts w:hint="eastAsia" w:asciiTheme="minorEastAsia" w:hAnsiTheme="minorEastAsia" w:eastAsiaTheme="minorEastAsia"/>
          <w:kern w:val="0"/>
        </w:rPr>
        <w:t>日内派人维修，直到达到合格的质量标准。</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9</w:t>
      </w:r>
      <w:r>
        <w:rPr>
          <w:rFonts w:cs="Courier New" w:asciiTheme="minorEastAsia" w:hAnsiTheme="minorEastAsia" w:eastAsiaTheme="minorEastAsia"/>
          <w:bCs/>
          <w:kern w:val="0"/>
          <w:szCs w:val="21"/>
        </w:rPr>
        <w:t>、</w:t>
      </w:r>
      <w:r>
        <w:rPr>
          <w:rFonts w:hint="eastAsia" w:cs="Courier New" w:asciiTheme="minorEastAsia" w:hAnsiTheme="minorEastAsia" w:eastAsiaTheme="minorEastAsia"/>
          <w:bCs/>
          <w:kern w:val="0"/>
          <w:szCs w:val="21"/>
        </w:rPr>
        <w:t>如果违反本承诺书中任何条款，我方愿意接受：</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（1）视作我方单方面违约，并按照合同规定向贵方支付违约金或解除合同；</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（2）履约评价评定为合格及以下；</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（3）贵方今后可拒绝我方参与投标；</w:t>
      </w:r>
    </w:p>
    <w:p>
      <w:pPr>
        <w:adjustRightInd w:val="0"/>
        <w:snapToGrid w:val="0"/>
        <w:spacing w:line="560" w:lineRule="exact"/>
        <w:ind w:firstLine="420" w:firstLineChars="2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（4）建设行政主管部门或相关主管部门的不良行为记录、行政处罚。</w:t>
      </w:r>
    </w:p>
    <w:p>
      <w:pPr>
        <w:pStyle w:val="2"/>
        <w:rPr>
          <w:rFonts w:hint="eastAsia" w:cs="Courier New" w:asciiTheme="minorEastAsia" w:hAnsiTheme="minorEastAsia" w:eastAsiaTheme="minorEastAsia"/>
          <w:bCs/>
          <w:kern w:val="0"/>
          <w:szCs w:val="21"/>
        </w:rPr>
      </w:pPr>
    </w:p>
    <w:p>
      <w:pPr>
        <w:pStyle w:val="3"/>
      </w:pPr>
    </w:p>
    <w:p>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承诺单位（盖章）：</w:t>
      </w:r>
    </w:p>
    <w:p>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法定代表人或授权委托人（签字或盖私章）：</w:t>
      </w:r>
    </w:p>
    <w:p>
      <w:pPr>
        <w:adjustRightInd w:val="0"/>
        <w:snapToGrid w:val="0"/>
        <w:spacing w:line="560" w:lineRule="exact"/>
        <w:ind w:firstLine="3150" w:firstLineChars="15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签署日期：    年    月    日</w:t>
      </w:r>
    </w:p>
    <w:p>
      <w:pPr>
        <w:rPr>
          <w:rStyle w:val="15"/>
          <w:rFonts w:hint="eastAsia" w:hAnsi="宋体" w:cs="宋体"/>
          <w:b/>
          <w:bCs/>
          <w:sz w:val="32"/>
          <w:szCs w:val="32"/>
        </w:rPr>
      </w:pPr>
      <w:r>
        <w:rPr>
          <w:rStyle w:val="15"/>
          <w:rFonts w:hint="eastAsia" w:hAnsi="宋体" w:cs="宋体"/>
          <w:b/>
          <w:bCs/>
          <w:sz w:val="32"/>
          <w:szCs w:val="32"/>
        </w:rPr>
        <w:br w:type="page"/>
      </w:r>
    </w:p>
    <w:p>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pPr>
        <w:pStyle w:val="3"/>
      </w:pPr>
    </w:p>
    <w:p>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1C11F1"/>
    <w:rsid w:val="03A304B8"/>
    <w:rsid w:val="068B6629"/>
    <w:rsid w:val="07AE02AA"/>
    <w:rsid w:val="08447969"/>
    <w:rsid w:val="0A112087"/>
    <w:rsid w:val="0AE91AA3"/>
    <w:rsid w:val="0C8830A2"/>
    <w:rsid w:val="0DB85105"/>
    <w:rsid w:val="0FEE6E0B"/>
    <w:rsid w:val="0FFE5FA3"/>
    <w:rsid w:val="13D304F0"/>
    <w:rsid w:val="17C53ACA"/>
    <w:rsid w:val="17D64623"/>
    <w:rsid w:val="19F75A13"/>
    <w:rsid w:val="1BFB035C"/>
    <w:rsid w:val="20516C7E"/>
    <w:rsid w:val="217F2A10"/>
    <w:rsid w:val="25F208DB"/>
    <w:rsid w:val="29827270"/>
    <w:rsid w:val="2D5F3C07"/>
    <w:rsid w:val="34A1380E"/>
    <w:rsid w:val="37213E3B"/>
    <w:rsid w:val="374238E4"/>
    <w:rsid w:val="39F979AF"/>
    <w:rsid w:val="3A525CE1"/>
    <w:rsid w:val="40A74254"/>
    <w:rsid w:val="41C54681"/>
    <w:rsid w:val="42922630"/>
    <w:rsid w:val="44B37E48"/>
    <w:rsid w:val="4AB22AB9"/>
    <w:rsid w:val="4C933E0B"/>
    <w:rsid w:val="4D7F4D84"/>
    <w:rsid w:val="4FED50C3"/>
    <w:rsid w:val="5408041C"/>
    <w:rsid w:val="5BD5526C"/>
    <w:rsid w:val="5BEB1EEC"/>
    <w:rsid w:val="5D2D5D83"/>
    <w:rsid w:val="5DB67C63"/>
    <w:rsid w:val="60B43F99"/>
    <w:rsid w:val="651F28E8"/>
    <w:rsid w:val="69427C8C"/>
    <w:rsid w:val="69CD4733"/>
    <w:rsid w:val="6B9B2B65"/>
    <w:rsid w:val="6C6C179C"/>
    <w:rsid w:val="6DE529E1"/>
    <w:rsid w:val="749277ED"/>
    <w:rsid w:val="75DC4384"/>
    <w:rsid w:val="79033C1B"/>
    <w:rsid w:val="7E097C30"/>
    <w:rsid w:val="7FFB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2206</Words>
  <Characters>2238</Characters>
  <Lines>0</Lines>
  <Paragraphs>0</Paragraphs>
  <TotalTime>3</TotalTime>
  <ScaleCrop>false</ScaleCrop>
  <LinksUpToDate>false</LinksUpToDate>
  <CharactersWithSpaces>2396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刘鸿发</cp:lastModifiedBy>
  <dcterms:modified xsi:type="dcterms:W3CDTF">2025-12-22T01:13:32Z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F403241E56694CC283612CB3AE4DF34F_12</vt:lpwstr>
  </property>
</Properties>
</file>