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39F9">
      <w:pPr>
        <w:spacing w:line="239" w:lineRule="auto"/>
        <w:ind w:right="-31"/>
        <w:jc w:val="center"/>
        <w:rPr>
          <w:rFonts w:hint="eastAsia" w:ascii="宋体" w:hAnsi="宋体" w:eastAsia="宋体" w:cs="宋体"/>
          <w:sz w:val="44"/>
          <w:szCs w:val="44"/>
        </w:rPr>
      </w:pPr>
      <w:bookmarkStart w:id="0" w:name="_GoBack"/>
      <w:bookmarkEnd w:id="0"/>
      <w:r>
        <w:rPr>
          <w:rFonts w:hint="eastAsia" w:ascii="宋体" w:hAnsi="宋体" w:eastAsia="宋体" w:cs="宋体"/>
          <w:b/>
          <w:bCs/>
          <w:sz w:val="44"/>
          <w:szCs w:val="44"/>
          <w:lang w:val="en-US" w:eastAsia="zh-CN"/>
        </w:rPr>
        <w:t>龙岗区妇幼保健院住院部北栋地下负二楼地巾布巾医疗洗消室建设工程</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文件精神，经深圳市龙岗区妇幼保健院研究决定，对龙岗区妇幼保健院住院部北栋地下负二楼地巾布巾医疗洗消室建设工程</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龙岗区妇幼保健院住院部北栋地下负二楼地巾布巾医疗洗消室建设工程</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lang w:val="en-US" w:eastAsia="zh-CN"/>
        </w:rPr>
        <w:t>项目建设内容</w:t>
      </w:r>
      <w:r>
        <w:rPr>
          <w:rFonts w:hint="eastAsia" w:ascii="仿宋_GB2312" w:hAnsi="仿宋_GB2312" w:eastAsia="仿宋_GB2312" w:cs="仿宋_GB2312"/>
          <w:bCs/>
          <w:sz w:val="32"/>
          <w:szCs w:val="32"/>
        </w:rPr>
        <w:t>和要求：</w:t>
      </w:r>
    </w:p>
    <w:p w14:paraId="26100E4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内容:本工程建筑面积125平方米，包含土建工程的设备基础、地面贴砖工程、墙面墙裙贴砖工程、天花吊顶工程、排水沟及截水沟工程等：安装工程的电力电缆及配电箱、灯具、桥架、给水及排水工程、弱电工程、空调及排风设备。</w:t>
      </w:r>
    </w:p>
    <w:p w14:paraId="4419114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（2）严格履行规范，工程质量合格，按时完工，日常沟通顺畅，服务周到热情，及时响应工作指令。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56A935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3.本项目施工建安费预算为446777.44元，29986.25元(其中安全文明措施费:8884.50元，弃土场受纳处置费:101.75元，暂列金额:21000.00元）。</w:t>
      </w:r>
    </w:p>
    <w:p w14:paraId="15B0C1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4.工期：60</w:t>
      </w:r>
      <w:r>
        <w:rPr>
          <w:rFonts w:hint="eastAsia" w:ascii="仿宋_GB2312" w:hAnsi="仿宋_GB2312" w:eastAsia="仿宋_GB2312" w:cs="仿宋_GB2312"/>
          <w:sz w:val="32"/>
          <w:szCs w:val="32"/>
          <w:highlight w:val="none"/>
          <w:lang w:val="en-US" w:eastAsia="zh-CN"/>
        </w:rPr>
        <w:t>天。</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333722D6">
      <w:pPr>
        <w:spacing w:line="336"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1.投标报价：投标报价上限为</w:t>
      </w:r>
      <w:r>
        <w:rPr>
          <w:rFonts w:hint="eastAsia" w:ascii="仿宋_GB2312" w:hAnsi="仿宋_GB2312" w:eastAsia="仿宋_GB2312" w:cs="仿宋_GB2312"/>
          <w:sz w:val="32"/>
          <w:szCs w:val="32"/>
          <w:lang w:val="en-US" w:eastAsia="zh-CN"/>
        </w:rPr>
        <w:t>44.677744</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sz w:val="32"/>
          <w:szCs w:val="32"/>
        </w:rPr>
        <w:t>元（投标下浮率应大于</w:t>
      </w:r>
      <w:r>
        <w:rPr>
          <w:rFonts w:hint="eastAsia" w:ascii="仿宋_GB2312" w:hAnsi="仿宋_GB2312" w:eastAsia="仿宋_GB2312" w:cs="仿宋_GB2312"/>
          <w:color w:val="auto"/>
          <w:sz w:val="32"/>
          <w:szCs w:val="32"/>
        </w:rPr>
        <w:t>等于3%，</w:t>
      </w:r>
      <w:r>
        <w:rPr>
          <w:rFonts w:hint="eastAsia" w:ascii="仿宋_GB2312" w:hAnsi="仿宋_GB2312" w:eastAsia="仿宋_GB2312" w:cs="仿宋_GB2312"/>
          <w:sz w:val="32"/>
          <w:szCs w:val="32"/>
        </w:rPr>
        <w:t>其中不可竞争费用不参与下浮）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参照市场情况并结合企业自身因素，投标人自行填报投标下浮率</w:t>
      </w:r>
      <w:r>
        <w:rPr>
          <w:rFonts w:hint="eastAsia" w:ascii="仿宋_GB2312" w:hAnsi="仿宋_GB2312" w:eastAsia="仿宋_GB2312" w:cs="仿宋_GB2312"/>
          <w:sz w:val="32"/>
          <w:szCs w:val="32"/>
          <w:lang w:val="en-US" w:eastAsia="zh-CN"/>
        </w:rPr>
        <w:t>及投标总价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lang w:eastAsia="zh-CN"/>
        </w:rPr>
        <w:t>下浮率与报价不</w:t>
      </w:r>
      <w:r>
        <w:rPr>
          <w:rFonts w:hint="eastAsia" w:ascii="仿宋_GB2312" w:hAnsi="仿宋_GB2312" w:eastAsia="仿宋_GB2312" w:cs="仿宋_GB2312"/>
          <w:b/>
          <w:bCs/>
          <w:sz w:val="32"/>
          <w:szCs w:val="32"/>
          <w:lang w:val="en-US" w:eastAsia="zh-CN"/>
        </w:rPr>
        <w:t>相符</w:t>
      </w:r>
      <w:r>
        <w:rPr>
          <w:rFonts w:hint="eastAsia" w:ascii="仿宋_GB2312" w:hAnsi="仿宋_GB2312" w:eastAsia="仿宋_GB2312" w:cs="仿宋_GB2312"/>
          <w:b/>
          <w:bCs/>
          <w:sz w:val="32"/>
          <w:szCs w:val="32"/>
          <w:lang w:eastAsia="zh-CN"/>
        </w:rPr>
        <w:t>时，以价格较低</w:t>
      </w:r>
      <w:r>
        <w:rPr>
          <w:rFonts w:hint="eastAsia" w:ascii="仿宋_GB2312" w:hAnsi="仿宋_GB2312" w:eastAsia="仿宋_GB2312" w:cs="仿宋_GB2312"/>
          <w:b/>
          <w:bCs/>
          <w:sz w:val="32"/>
          <w:szCs w:val="32"/>
          <w:lang w:val="en-US" w:eastAsia="zh-CN"/>
        </w:rPr>
        <w:t>的</w:t>
      </w:r>
      <w:r>
        <w:rPr>
          <w:rFonts w:hint="eastAsia" w:ascii="仿宋_GB2312" w:hAnsi="仿宋_GB2312" w:eastAsia="仿宋_GB2312" w:cs="仿宋_GB2312"/>
          <w:b/>
          <w:bCs/>
          <w:sz w:val="32"/>
          <w:szCs w:val="32"/>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（3）建筑工程施工总承包三级及以上资质证书</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689A35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安全生产许可证证明以及拟派项目经理的安全生产考核合格证</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明</w:t>
      </w:r>
      <w:r>
        <w:rPr>
          <w:rFonts w:hint="eastAsia" w:ascii="仿宋_GB2312" w:hAnsi="仿宋_GB2312" w:eastAsia="仿宋_GB2312" w:cs="仿宋_GB2312"/>
          <w:sz w:val="32"/>
          <w:szCs w:val="32"/>
          <w:lang w:val="en-US" w:eastAsia="zh-CN"/>
        </w:rPr>
        <w:t>；</w:t>
      </w:r>
    </w:p>
    <w:p w14:paraId="587DA2F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）派出的项目经理二级及以上注册建造师证（建筑工程专业）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23991D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w:t>
      </w:r>
      <w:r>
        <w:rPr>
          <w:rFonts w:hint="eastAsia" w:ascii="仿宋_GB2312" w:hAnsi="仿宋_GB2312" w:eastAsia="仿宋_GB2312" w:cs="仿宋_GB2312"/>
          <w:sz w:val="32"/>
          <w:szCs w:val="32"/>
          <w:lang w:val="en-US" w:eastAsia="zh-CN"/>
        </w:rPr>
        <w:t>资质等级、近3年履约评价、近3年同类工程业绩经验、班组人员配备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须提供班组所有人员最近一个月的社保证明文件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、安全文明施工措施</w:t>
      </w:r>
      <w:r>
        <w:rPr>
          <w:rFonts w:hint="eastAsia" w:ascii="仿宋_GB2312" w:hAnsi="仿宋_GB2312" w:eastAsia="仿宋_GB2312" w:cs="仿宋_GB2312"/>
          <w:sz w:val="32"/>
          <w:szCs w:val="32"/>
        </w:rPr>
        <w:t>。</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538F67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项目合同参照深圳市现行施工合同范本签订，为固定单价合同</w:t>
      </w:r>
      <w:r>
        <w:rPr>
          <w:rFonts w:hint="eastAsia" w:ascii="仿宋_GB2312" w:hAnsi="仿宋_GB2312" w:eastAsia="仿宋_GB2312" w:cs="仿宋_GB2312"/>
          <w:sz w:val="32"/>
          <w:szCs w:val="32"/>
          <w:lang w:val="en-US" w:eastAsia="zh-CN"/>
        </w:rPr>
        <w:t>。</w:t>
      </w:r>
    </w:p>
    <w:p w14:paraId="5A8EB3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工程量均以工程结算时核实的工程量为准；</w:t>
      </w:r>
    </w:p>
    <w:p w14:paraId="75AB37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如工程量清单中所列项目实际未发生时，其工程量由清单中扣除；</w:t>
      </w:r>
    </w:p>
    <w:p w14:paraId="166D84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若发包人提供的工程量清单漏项，其工程量按实际发生进行计算；</w:t>
      </w:r>
    </w:p>
    <w:p w14:paraId="0D77D8C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由于承包人的原因导致的工程量变化，若工程量增加的，不予调整。若工程量减少的，则予以调整</w:t>
      </w:r>
      <w:r>
        <w:rPr>
          <w:rFonts w:hint="eastAsia" w:ascii="仿宋_GB2312" w:hAnsi="仿宋_GB2312" w:eastAsia="仿宋_GB2312" w:cs="仿宋_GB2312"/>
          <w:sz w:val="32"/>
          <w:szCs w:val="32"/>
          <w:lang w:eastAsia="zh-CN"/>
        </w:rPr>
        <w:t>；</w:t>
      </w:r>
    </w:p>
    <w:p w14:paraId="738A23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清单项目增加部分工程量或减少后剩余部分工程量的项目单价确定方法按照已标价工程量清单中的单价确定，再按中标下浮率，按实结算。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1.有意向投标的单位于公告期间（202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日）发</w:t>
      </w:r>
      <w:r>
        <w:rPr>
          <w:rFonts w:hint="eastAsia" w:ascii="仿宋_GB2312" w:hAnsi="仿宋_GB2312" w:eastAsia="仿宋_GB2312" w:cs="仿宋_GB2312"/>
          <w:sz w:val="32"/>
          <w:szCs w:val="32"/>
        </w:rPr>
        <w:t>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0156158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color w:val="auto"/>
          <w:sz w:val="32"/>
          <w:szCs w:val="32"/>
          <w:highlight w:val="none"/>
          <w:lang w:val="en-US" w:eastAsia="zh-CN"/>
        </w:rPr>
        <w:t>建筑工程施工总承包三级及以上</w:t>
      </w:r>
      <w:r>
        <w:rPr>
          <w:rFonts w:hint="eastAsia" w:ascii="仿宋_GB2312" w:hAnsi="仿宋_GB2312" w:eastAsia="仿宋_GB2312" w:cs="仿宋_GB2312"/>
          <w:sz w:val="32"/>
          <w:szCs w:val="32"/>
        </w:rPr>
        <w:t>资质</w:t>
      </w:r>
      <w:r>
        <w:rPr>
          <w:rFonts w:hint="eastAsia" w:ascii="仿宋_GB2312" w:hAnsi="仿宋_GB2312" w:eastAsia="仿宋_GB2312" w:cs="仿宋_GB2312"/>
          <w:sz w:val="32"/>
          <w:szCs w:val="32"/>
          <w:lang w:val="en-US" w:eastAsia="zh-CN"/>
        </w:rPr>
        <w:t>证书（复印件）</w:t>
      </w:r>
      <w:r>
        <w:rPr>
          <w:rFonts w:hint="eastAsia" w:ascii="仿宋_GB2312" w:hAnsi="仿宋_GB2312" w:eastAsia="仿宋_GB2312" w:cs="仿宋_GB2312"/>
          <w:sz w:val="32"/>
          <w:szCs w:val="32"/>
        </w:rPr>
        <w:t>、安全生产许可证证明（复印件）、项目经理注册建造师证及安全生产考核合格证（复印件）、法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（https://www.gsxt.gov.cn/index.html）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或机关赋码和事业单位登记管理网</w:t>
      </w:r>
      <w:r>
        <w:rPr>
          <w:rFonts w:hint="eastAsia" w:ascii="仿宋_GB2312" w:hAnsi="仿宋_GB2312" w:eastAsia="仿宋_GB2312" w:cs="仿宋_GB2312"/>
          <w:color w:val="000000" w:themeColor="text1"/>
          <w:sz w:val="28"/>
          <w:szCs w:val="28"/>
          <w:highlight w:val="none"/>
          <w14:textFill>
            <w14:solidFill>
              <w14:schemeClr w14:val="tx1"/>
            </w14:solidFill>
          </w14:textFill>
        </w:rPr>
        <w:t>（http://www.gjsy.gov.cn/sydwfrxxcx/）</w:t>
      </w:r>
      <w:r>
        <w:rPr>
          <w:rFonts w:hint="eastAsia" w:ascii="仿宋_GB2312" w:hAnsi="仿宋_GB2312" w:eastAsia="仿宋_GB2312" w:cs="仿宋_GB2312"/>
          <w:color w:val="000000" w:themeColor="text1"/>
          <w:sz w:val="32"/>
          <w:szCs w:val="32"/>
          <w:highlight w:val="none"/>
          <w14:textFill>
            <w14:solidFill>
              <w14:schemeClr w14:val="tx1"/>
            </w14:solidFill>
          </w14:textFill>
        </w:rPr>
        <w:t>或全国社会组织信用信息公示平台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（https://xxgs.chinanpo.mca.gov.cn/gsxt/newList）</w:t>
      </w:r>
      <w:r>
        <w:rPr>
          <w:rFonts w:hint="eastAsia" w:ascii="仿宋_GB2312" w:hAnsi="仿宋_GB2312" w:eastAsia="仿宋_GB2312" w:cs="仿宋_GB2312"/>
          <w:color w:val="000000" w:themeColor="text1"/>
          <w:sz w:val="32"/>
          <w:szCs w:val="32"/>
          <w:highlight w:val="none"/>
          <w14:textFill>
            <w14:solidFill>
              <w14:schemeClr w14:val="tx1"/>
            </w14:solidFill>
          </w14:textFill>
        </w:rPr>
        <w: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8B3303">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7E90BF87">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2)如最近一个月的社保证明因社保部门或税务部门等主管部门原因暂时无法提供的，可往前顺延一个月；如因为主管部门原因以上社保证明均无法提供的，需提供主管部门官方通知证明（或官网公告截图）。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472A6C1F">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116D6458">
      <w:pPr>
        <w:widowControl/>
        <w:ind w:firstLine="420"/>
        <w:jc w:val="left"/>
        <w:rPr>
          <w:rFonts w:hint="eastAsia" w:ascii="宋体" w:hAnsi="宋体" w:eastAsia="宋体" w:cs="宋体"/>
          <w:szCs w:val="20"/>
          <w:lang w:eastAsia="zh-CN"/>
        </w:rPr>
      </w:pPr>
    </w:p>
    <w:p w14:paraId="408E5161">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6C4EDF84">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龙岗区妇幼保健院住院部北栋地下负二楼地巾布巾医疗洗消室建设工程</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2AD9B863">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lang w:eastAsia="zh-CN"/>
        </w:rPr>
        <w:t>币种：</w:t>
      </w:r>
      <w:r>
        <w:rPr>
          <w:rFonts w:hint="eastAsia" w:ascii="宋体" w:hAnsi="宋体" w:eastAsia="宋体" w:cs="宋体"/>
          <w:snapToGrid w:val="0"/>
          <w:sz w:val="21"/>
          <w:szCs w:val="21"/>
          <w:u w:val="single"/>
          <w:lang w:eastAsia="zh-CN"/>
        </w:rPr>
        <w:t>人民币</w:t>
      </w:r>
    </w:p>
    <w:p w14:paraId="1AB24CE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val="en-US" w:eastAsia="zh-CN"/>
        </w:rPr>
        <w:t>2、</w:t>
      </w:r>
      <w:r>
        <w:rPr>
          <w:rFonts w:hint="eastAsia" w:ascii="宋体" w:hAnsi="宋体" w:eastAsia="宋体" w:cs="宋体"/>
          <w:snapToGrid w:val="0"/>
          <w:kern w:val="2"/>
          <w:sz w:val="21"/>
          <w:szCs w:val="21"/>
          <w:lang w:eastAsia="zh-CN"/>
        </w:rPr>
        <w:t>投标报价：</w:t>
      </w:r>
    </w:p>
    <w:tbl>
      <w:tblPr>
        <w:tblStyle w:val="13"/>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1659"/>
        <w:gridCol w:w="1813"/>
        <w:gridCol w:w="1457"/>
        <w:gridCol w:w="2128"/>
      </w:tblGrid>
      <w:tr w14:paraId="7E33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18" w:type="pct"/>
            <w:vAlign w:val="center"/>
          </w:tcPr>
          <w:p w14:paraId="34F98706">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项目名称</w:t>
            </w:r>
          </w:p>
        </w:tc>
        <w:tc>
          <w:tcPr>
            <w:tcW w:w="912" w:type="pct"/>
            <w:vAlign w:val="center"/>
          </w:tcPr>
          <w:p w14:paraId="7C99C98F">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lang w:val="en-US" w:eastAsia="zh-CN"/>
              </w:rPr>
              <w:t>预算金额（</w:t>
            </w:r>
            <w:r>
              <w:rPr>
                <w:rFonts w:hint="eastAsia"/>
                <w:snapToGrid w:val="0"/>
                <w:sz w:val="21"/>
                <w:szCs w:val="21"/>
              </w:rPr>
              <w:t>招标控制价</w:t>
            </w:r>
            <w:r>
              <w:rPr>
                <w:rFonts w:hint="eastAsia"/>
                <w:snapToGrid w:val="0"/>
                <w:sz w:val="21"/>
                <w:szCs w:val="21"/>
                <w:lang w:val="en-US" w:eastAsia="zh-CN"/>
              </w:rPr>
              <w:t>）</w:t>
            </w:r>
          </w:p>
        </w:tc>
        <w:tc>
          <w:tcPr>
            <w:tcW w:w="997" w:type="pct"/>
            <w:vAlign w:val="center"/>
          </w:tcPr>
          <w:p w14:paraId="0F1D384B">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不可竞争费</w:t>
            </w:r>
          </w:p>
        </w:tc>
        <w:tc>
          <w:tcPr>
            <w:tcW w:w="801" w:type="pct"/>
            <w:vAlign w:val="center"/>
          </w:tcPr>
          <w:p w14:paraId="4C3A2E43">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投标下浮率</w:t>
            </w:r>
          </w:p>
        </w:tc>
        <w:tc>
          <w:tcPr>
            <w:tcW w:w="1170" w:type="pct"/>
            <w:vAlign w:val="center"/>
          </w:tcPr>
          <w:p w14:paraId="02755C74">
            <w:pPr>
              <w:pStyle w:val="26"/>
              <w:widowControl w:val="0"/>
              <w:adjustRightInd w:val="0"/>
              <w:snapToGrid w:val="0"/>
              <w:spacing w:before="0" w:beforeAutospacing="0" w:after="0" w:afterAutospacing="0"/>
              <w:jc w:val="center"/>
              <w:rPr>
                <w:rFonts w:hint="default" w:eastAsia="宋体"/>
                <w:snapToGrid w:val="0"/>
                <w:sz w:val="21"/>
                <w:szCs w:val="21"/>
                <w:lang w:val="en-US" w:eastAsia="zh-CN"/>
              </w:rPr>
            </w:pPr>
            <w:r>
              <w:rPr>
                <w:rFonts w:hint="eastAsia"/>
                <w:snapToGrid w:val="0"/>
                <w:sz w:val="21"/>
                <w:szCs w:val="21"/>
              </w:rPr>
              <w:t>投标</w:t>
            </w:r>
            <w:r>
              <w:rPr>
                <w:rFonts w:hint="eastAsia"/>
                <w:snapToGrid w:val="0"/>
                <w:sz w:val="21"/>
                <w:szCs w:val="21"/>
                <w:lang w:val="en-US" w:eastAsia="zh-CN"/>
              </w:rPr>
              <w:t>总价</w:t>
            </w:r>
          </w:p>
          <w:p w14:paraId="039AA3C9">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（含税）</w:t>
            </w:r>
          </w:p>
        </w:tc>
      </w:tr>
      <w:tr w14:paraId="29E2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118" w:type="pct"/>
            <w:vAlign w:val="center"/>
          </w:tcPr>
          <w:p w14:paraId="2B51AE21">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龙岗区妇幼保健院住院部北栋地下负二楼地巾布巾医疗洗消室建设工程</w:t>
            </w:r>
          </w:p>
        </w:tc>
        <w:tc>
          <w:tcPr>
            <w:tcW w:w="912" w:type="pct"/>
            <w:vAlign w:val="center"/>
          </w:tcPr>
          <w:p w14:paraId="75223DD5">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446777.44 元</w:t>
            </w:r>
          </w:p>
        </w:tc>
        <w:tc>
          <w:tcPr>
            <w:tcW w:w="997" w:type="pct"/>
            <w:vAlign w:val="center"/>
          </w:tcPr>
          <w:p w14:paraId="63E66B6A">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29986.25 元</w:t>
            </w:r>
          </w:p>
        </w:tc>
        <w:tc>
          <w:tcPr>
            <w:tcW w:w="801" w:type="pct"/>
            <w:vAlign w:val="center"/>
          </w:tcPr>
          <w:p w14:paraId="4408198C">
            <w:pPr>
              <w:pStyle w:val="26"/>
              <w:widowControl w:val="0"/>
              <w:adjustRightInd w:val="0"/>
              <w:snapToGrid w:val="0"/>
              <w:spacing w:before="0" w:beforeAutospacing="0" w:after="0" w:afterAutospacing="0"/>
              <w:jc w:val="center"/>
              <w:rPr>
                <w:snapToGrid w:val="0"/>
                <w:sz w:val="21"/>
                <w:szCs w:val="21"/>
                <w:u w:val="single"/>
              </w:rPr>
            </w:pPr>
            <w:r>
              <w:rPr>
                <w:rFonts w:hint="eastAsia"/>
                <w:snapToGrid w:val="0"/>
                <w:sz w:val="21"/>
                <w:szCs w:val="21"/>
                <w:u w:val="single"/>
              </w:rPr>
              <w:t xml:space="preserve">      %</w:t>
            </w:r>
          </w:p>
        </w:tc>
        <w:tc>
          <w:tcPr>
            <w:tcW w:w="1170" w:type="pct"/>
            <w:vAlign w:val="center"/>
          </w:tcPr>
          <w:p w14:paraId="7238FA1F">
            <w:pPr>
              <w:pStyle w:val="26"/>
              <w:widowControl w:val="0"/>
              <w:adjustRightInd w:val="0"/>
              <w:snapToGrid w:val="0"/>
              <w:spacing w:before="0" w:beforeAutospacing="0" w:after="0" w:afterAutospacing="0"/>
              <w:ind w:firstLine="420" w:firstLineChars="200"/>
              <w:jc w:val="both"/>
              <w:rPr>
                <w:snapToGrid w:val="0"/>
                <w:sz w:val="21"/>
                <w:szCs w:val="21"/>
                <w:u w:val="single"/>
              </w:rPr>
            </w:pPr>
            <w:r>
              <w:rPr>
                <w:rFonts w:hint="eastAsia"/>
                <w:snapToGrid w:val="0"/>
                <w:sz w:val="21"/>
                <w:szCs w:val="21"/>
                <w:u w:val="single"/>
                <w:lang w:val="en-US" w:eastAsia="zh-CN"/>
              </w:rPr>
              <w:t xml:space="preserve">        </w:t>
            </w:r>
            <w:r>
              <w:rPr>
                <w:rFonts w:hint="eastAsia"/>
                <w:snapToGrid w:val="0"/>
                <w:sz w:val="21"/>
                <w:szCs w:val="21"/>
              </w:rPr>
              <w:t>元</w:t>
            </w:r>
          </w:p>
        </w:tc>
      </w:tr>
    </w:tbl>
    <w:p w14:paraId="025E5DFD">
      <w:pPr>
        <w:pStyle w:val="26"/>
        <w:widowControl w:val="0"/>
        <w:numPr>
          <w:ilvl w:val="255"/>
          <w:numId w:val="0"/>
        </w:numPr>
        <w:adjustRightInd w:val="0"/>
        <w:snapToGrid w:val="0"/>
        <w:spacing w:before="0" w:beforeAutospacing="0" w:after="0" w:afterAutospacing="0" w:line="360" w:lineRule="auto"/>
        <w:ind w:firstLine="420" w:firstLineChars="200"/>
        <w:rPr>
          <w:rFonts w:hint="eastAsia" w:eastAsia="宋体"/>
          <w:sz w:val="21"/>
          <w:szCs w:val="21"/>
          <w:lang w:val="en-US" w:eastAsia="zh-CN"/>
        </w:rPr>
      </w:pPr>
      <w:r>
        <w:rPr>
          <w:rFonts w:hint="eastAsia"/>
          <w:sz w:val="21"/>
          <w:szCs w:val="21"/>
          <w:lang w:val="en-US" w:eastAsia="zh-CN"/>
        </w:rPr>
        <w:t>注：</w:t>
      </w:r>
    </w:p>
    <w:p w14:paraId="47E3F866">
      <w:pPr>
        <w:pStyle w:val="26"/>
        <w:widowControl w:val="0"/>
        <w:numPr>
          <w:ilvl w:val="255"/>
          <w:numId w:val="0"/>
        </w:numPr>
        <w:adjustRightInd w:val="0"/>
        <w:snapToGrid w:val="0"/>
        <w:spacing w:before="0" w:beforeAutospacing="0" w:after="0" w:afterAutospacing="0" w:line="360" w:lineRule="auto"/>
        <w:ind w:firstLine="420" w:firstLineChars="200"/>
        <w:rPr>
          <w:sz w:val="21"/>
          <w:szCs w:val="21"/>
        </w:rPr>
      </w:pPr>
      <w:r>
        <w:rPr>
          <w:rFonts w:hint="eastAsia"/>
          <w:sz w:val="21"/>
          <w:szCs w:val="21"/>
          <w:lang w:val="en-US" w:eastAsia="zh-CN"/>
        </w:rPr>
        <w:t>（1）</w:t>
      </w:r>
      <w:r>
        <w:rPr>
          <w:rFonts w:hint="eastAsia"/>
          <w:sz w:val="21"/>
          <w:szCs w:val="21"/>
        </w:rPr>
        <w:t>投标报价=（招标控制价-不可竞争费）×（1-投标下浮率）+不可竞争费。不可竞争费</w:t>
      </w:r>
      <w:r>
        <w:rPr>
          <w:rFonts w:hint="eastAsia"/>
          <w:snapToGrid w:val="0"/>
          <w:sz w:val="21"/>
          <w:szCs w:val="21"/>
          <w:lang w:val="en-US" w:eastAsia="zh-CN"/>
        </w:rPr>
        <w:t>不参与下浮</w:t>
      </w:r>
      <w:r>
        <w:rPr>
          <w:rFonts w:hint="eastAsia"/>
          <w:snapToGrid w:val="0"/>
          <w:sz w:val="21"/>
          <w:szCs w:val="21"/>
        </w:rPr>
        <w:t>，否则作无效标处理。</w:t>
      </w:r>
    </w:p>
    <w:p w14:paraId="310A33CC">
      <w:pPr>
        <w:pStyle w:val="26"/>
        <w:widowControl w:val="0"/>
        <w:numPr>
          <w:ilvl w:val="255"/>
          <w:numId w:val="0"/>
        </w:numPr>
        <w:adjustRightInd w:val="0"/>
        <w:snapToGrid w:val="0"/>
        <w:spacing w:before="0" w:beforeAutospacing="0" w:after="0" w:afterAutospacing="0" w:line="360" w:lineRule="auto"/>
        <w:ind w:firstLine="420" w:firstLineChars="200"/>
        <w:rPr>
          <w:rFonts w:hint="eastAsia"/>
          <w:sz w:val="21"/>
          <w:szCs w:val="21"/>
        </w:rPr>
      </w:pPr>
      <w:r>
        <w:rPr>
          <w:rFonts w:hint="eastAsia"/>
          <w:sz w:val="21"/>
          <w:szCs w:val="21"/>
          <w:lang w:val="en-US" w:eastAsia="zh-CN"/>
        </w:rPr>
        <w:t>（2）投标</w:t>
      </w:r>
      <w:r>
        <w:rPr>
          <w:rFonts w:hint="eastAsia"/>
          <w:sz w:val="21"/>
          <w:szCs w:val="21"/>
        </w:rPr>
        <w:t>下浮率与投标总价不符，以价格较低的为最终投标报价。</w:t>
      </w:r>
    </w:p>
    <w:p w14:paraId="49845F65">
      <w:pPr>
        <w:pStyle w:val="26"/>
        <w:widowControl w:val="0"/>
        <w:numPr>
          <w:ilvl w:val="255"/>
          <w:numId w:val="0"/>
        </w:numPr>
        <w:adjustRightInd w:val="0"/>
        <w:snapToGrid w:val="0"/>
        <w:spacing w:before="0" w:beforeAutospacing="0" w:after="0" w:afterAutospacing="0" w:line="360" w:lineRule="auto"/>
        <w:ind w:firstLine="420" w:firstLineChars="200"/>
        <w:rPr>
          <w:rFonts w:hint="eastAsia"/>
          <w:lang w:eastAsia="zh-CN"/>
        </w:rPr>
      </w:pPr>
      <w:r>
        <w:rPr>
          <w:rFonts w:hint="eastAsia"/>
          <w:sz w:val="21"/>
          <w:szCs w:val="21"/>
          <w:lang w:val="en-US" w:eastAsia="zh-CN"/>
        </w:rPr>
        <w:t>（3）投标人填报的投标下浮率和投标报价（含税）均四舍五入后保留至小数点后2位。</w:t>
      </w:r>
    </w:p>
    <w:p w14:paraId="137BA97C">
      <w:pPr>
        <w:widowControl w:val="0"/>
        <w:numPr>
          <w:ilvl w:val="0"/>
          <w:numId w:val="0"/>
        </w:numPr>
        <w:spacing w:line="360" w:lineRule="auto"/>
        <w:jc w:val="both"/>
        <w:rPr>
          <w:rFonts w:hint="eastAsia" w:ascii="宋体" w:hAnsi="宋体" w:eastAsia="宋体" w:cs="宋体"/>
          <w:kern w:val="2"/>
          <w:sz w:val="21"/>
          <w:szCs w:val="21"/>
          <w:lang w:eastAsia="zh-CN"/>
        </w:rPr>
      </w:pPr>
    </w:p>
    <w:p w14:paraId="2AC0BA52">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07E3BE71">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3FB5CD3A">
      <w:pPr>
        <w:widowControl w:val="0"/>
        <w:ind w:firstLine="3780" w:firstLineChars="1800"/>
        <w:jc w:val="left"/>
        <w:rPr>
          <w:rFonts w:hint="eastAsia" w:ascii="宋体" w:hAnsi="宋体" w:eastAsia="宋体" w:cs="宋体"/>
          <w:kern w:val="2"/>
          <w:sz w:val="21"/>
          <w:szCs w:val="22"/>
          <w:lang w:eastAsia="zh-CN"/>
        </w:rPr>
      </w:pPr>
      <w:r>
        <w:rPr>
          <w:rFonts w:hint="eastAsia" w:ascii="宋体" w:hAnsi="宋体" w:eastAsia="宋体" w:cs="宋体"/>
          <w:snapToGrid w:val="0"/>
          <w:sz w:val="21"/>
          <w:szCs w:val="21"/>
          <w:lang w:eastAsia="zh-CN"/>
        </w:rPr>
        <w:t xml:space="preserve"> 日期：      年       月       日</w:t>
      </w:r>
    </w:p>
    <w:p w14:paraId="4802C550"/>
    <w:p w14:paraId="72124E74"/>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C050B4"/>
    <w:rsid w:val="02BF24BE"/>
    <w:rsid w:val="054B55EC"/>
    <w:rsid w:val="05782769"/>
    <w:rsid w:val="06182C7A"/>
    <w:rsid w:val="08E80CF9"/>
    <w:rsid w:val="09733E9E"/>
    <w:rsid w:val="09DE301A"/>
    <w:rsid w:val="0ECC40CA"/>
    <w:rsid w:val="0F9C03F8"/>
    <w:rsid w:val="11A24327"/>
    <w:rsid w:val="13DF41F7"/>
    <w:rsid w:val="14AF04B8"/>
    <w:rsid w:val="156E4163"/>
    <w:rsid w:val="17982E1A"/>
    <w:rsid w:val="17D97BB3"/>
    <w:rsid w:val="195A7BCA"/>
    <w:rsid w:val="19EC722B"/>
    <w:rsid w:val="1A5E0CB4"/>
    <w:rsid w:val="1A9D475D"/>
    <w:rsid w:val="1D9B073B"/>
    <w:rsid w:val="1DF77A22"/>
    <w:rsid w:val="1F8B663F"/>
    <w:rsid w:val="2088512C"/>
    <w:rsid w:val="20E701EC"/>
    <w:rsid w:val="20EB7073"/>
    <w:rsid w:val="210C1E5F"/>
    <w:rsid w:val="22AA383E"/>
    <w:rsid w:val="22AF0896"/>
    <w:rsid w:val="241A0186"/>
    <w:rsid w:val="247E49C4"/>
    <w:rsid w:val="26EB01E9"/>
    <w:rsid w:val="275E1E0E"/>
    <w:rsid w:val="28DF786D"/>
    <w:rsid w:val="291D7939"/>
    <w:rsid w:val="2A11002A"/>
    <w:rsid w:val="2A331DAD"/>
    <w:rsid w:val="2ADC0696"/>
    <w:rsid w:val="2D806F0C"/>
    <w:rsid w:val="2DC95120"/>
    <w:rsid w:val="2E694EE4"/>
    <w:rsid w:val="2EA12CED"/>
    <w:rsid w:val="30425342"/>
    <w:rsid w:val="32E0207D"/>
    <w:rsid w:val="33307277"/>
    <w:rsid w:val="334D1D6D"/>
    <w:rsid w:val="33895D86"/>
    <w:rsid w:val="35092088"/>
    <w:rsid w:val="35660788"/>
    <w:rsid w:val="3603417D"/>
    <w:rsid w:val="37117B62"/>
    <w:rsid w:val="37B07204"/>
    <w:rsid w:val="39396CB4"/>
    <w:rsid w:val="394B141C"/>
    <w:rsid w:val="39574214"/>
    <w:rsid w:val="3A214F0B"/>
    <w:rsid w:val="3A6D5215"/>
    <w:rsid w:val="3AB57411"/>
    <w:rsid w:val="3B7E0BFD"/>
    <w:rsid w:val="3C6746AA"/>
    <w:rsid w:val="3CE45675"/>
    <w:rsid w:val="3D0B2E29"/>
    <w:rsid w:val="3D973A63"/>
    <w:rsid w:val="3DD424D3"/>
    <w:rsid w:val="3E295973"/>
    <w:rsid w:val="3E377959"/>
    <w:rsid w:val="3EBC69AD"/>
    <w:rsid w:val="3EE66CC3"/>
    <w:rsid w:val="3EEA735C"/>
    <w:rsid w:val="3EEB18F8"/>
    <w:rsid w:val="3F0C7DED"/>
    <w:rsid w:val="3F7424C8"/>
    <w:rsid w:val="3F811BD1"/>
    <w:rsid w:val="40DD0A7E"/>
    <w:rsid w:val="412A0EC4"/>
    <w:rsid w:val="413F2565"/>
    <w:rsid w:val="4251712A"/>
    <w:rsid w:val="427C033D"/>
    <w:rsid w:val="42E61FF5"/>
    <w:rsid w:val="4312722F"/>
    <w:rsid w:val="43882D11"/>
    <w:rsid w:val="44476F96"/>
    <w:rsid w:val="46916C93"/>
    <w:rsid w:val="47667721"/>
    <w:rsid w:val="47CA56A6"/>
    <w:rsid w:val="4AE0041E"/>
    <w:rsid w:val="4B7C7600"/>
    <w:rsid w:val="4B850454"/>
    <w:rsid w:val="4DFA480C"/>
    <w:rsid w:val="4F6B60D5"/>
    <w:rsid w:val="4FAB04B3"/>
    <w:rsid w:val="51D20087"/>
    <w:rsid w:val="51F656F6"/>
    <w:rsid w:val="52293911"/>
    <w:rsid w:val="525B6249"/>
    <w:rsid w:val="55657785"/>
    <w:rsid w:val="5A710CCE"/>
    <w:rsid w:val="5A944520"/>
    <w:rsid w:val="5C69192E"/>
    <w:rsid w:val="5D340C0F"/>
    <w:rsid w:val="5D9E581E"/>
    <w:rsid w:val="5E503559"/>
    <w:rsid w:val="5ED928ED"/>
    <w:rsid w:val="5F242B53"/>
    <w:rsid w:val="602A71D2"/>
    <w:rsid w:val="604A1623"/>
    <w:rsid w:val="62A95CEB"/>
    <w:rsid w:val="63391B99"/>
    <w:rsid w:val="63B35DF0"/>
    <w:rsid w:val="64122457"/>
    <w:rsid w:val="641B6B36"/>
    <w:rsid w:val="651C36FE"/>
    <w:rsid w:val="66400FA5"/>
    <w:rsid w:val="674C7A2E"/>
    <w:rsid w:val="679D0BA9"/>
    <w:rsid w:val="68293505"/>
    <w:rsid w:val="689A2A1B"/>
    <w:rsid w:val="68D8246F"/>
    <w:rsid w:val="6987508D"/>
    <w:rsid w:val="69AE49D0"/>
    <w:rsid w:val="69C75A92"/>
    <w:rsid w:val="69D84D27"/>
    <w:rsid w:val="6A732ED5"/>
    <w:rsid w:val="6B0B25AC"/>
    <w:rsid w:val="6B115AC6"/>
    <w:rsid w:val="6C817869"/>
    <w:rsid w:val="6FF71E7C"/>
    <w:rsid w:val="70B01C32"/>
    <w:rsid w:val="71197BF5"/>
    <w:rsid w:val="72F11C48"/>
    <w:rsid w:val="73EC487E"/>
    <w:rsid w:val="749B79B8"/>
    <w:rsid w:val="751C1DE6"/>
    <w:rsid w:val="76C43A85"/>
    <w:rsid w:val="774535D1"/>
    <w:rsid w:val="77606C26"/>
    <w:rsid w:val="783D241E"/>
    <w:rsid w:val="786C2D3E"/>
    <w:rsid w:val="794D2FF2"/>
    <w:rsid w:val="7A801F18"/>
    <w:rsid w:val="7B0B0EFD"/>
    <w:rsid w:val="7B0F6797"/>
    <w:rsid w:val="7C405B5A"/>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style93_0"/>
    <w:basedOn w:val="27"/>
    <w:qFormat/>
    <w:uiPriority w:val="0"/>
    <w:pPr>
      <w:widowControl/>
      <w:spacing w:before="100" w:beforeAutospacing="1" w:after="100" w:afterAutospacing="1"/>
      <w:jc w:val="left"/>
    </w:pPr>
    <w:rPr>
      <w:rFonts w:ascii="宋体" w:hAnsi="宋体" w:cs="宋体"/>
      <w:sz w:val="24"/>
    </w:rPr>
  </w:style>
  <w:style w:type="paragraph" w:customStyle="1" w:styleId="27">
    <w:name w:val="Normal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6016</Words>
  <Characters>6308</Characters>
  <Lines>12</Lines>
  <Paragraphs>3</Paragraphs>
  <TotalTime>49</TotalTime>
  <ScaleCrop>false</ScaleCrop>
  <LinksUpToDate>false</LinksUpToDate>
  <CharactersWithSpaces>6578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2025-12-17T03:24:22Z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1E23F22C63F24677923AAEA00ADFD124_13</vt:lpwstr>
  </property>
  <property fmtid="{D5CDD505-2E9C-101B-9397-08002B2CF9AE}" pid="4" name="KSOTemplateDocerSaveRecord">
    <vt:lpwstr>eyJoZGlkIjoiODg4YmUyZjVkMTRhYjZhNTA5MTQ0YjE5NThhODEwNjUiLCJ1c2VySWQiOiIxMDE4NjkxMTQ2In0=</vt:lpwstr>
  </property>
</Properties>
</file>