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附件4：综合评审表</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645"/>
        <w:gridCol w:w="1141"/>
        <w:gridCol w:w="5777"/>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892" w:hRule="atLeast"/>
          <w:tblHeader/>
          <w:jc w:val="center"/>
        </w:trPr>
        <w:tc>
          <w:tcPr>
            <w:tcW w:w="645" w:type="dxa"/>
            <w:shd w:val="clear" w:color="auto" w:fill="DEEAF6"/>
            <w:noWrap w:val="0"/>
            <w:tcMar>
              <w:top w:w="80" w:type="dxa"/>
              <w:left w:w="80" w:type="dxa"/>
              <w:bottom w:w="80" w:type="dxa"/>
              <w:right w:w="80" w:type="dxa"/>
            </w:tcMar>
            <w:vAlign w:val="center"/>
          </w:tcPr>
          <w:p>
            <w:pPr>
              <w:tabs>
                <w:tab w:val="left" w:pos="420"/>
              </w:tabs>
              <w:spacing w:before="0" w:line="20" w:lineRule="atLeast"/>
              <w:jc w:val="center"/>
              <w:rPr>
                <w:rFonts w:hint="default" w:ascii="Times New Roman" w:hAnsi="Times New Roman" w:cs="Times New Roman"/>
                <w:color w:val="auto"/>
              </w:rPr>
            </w:pPr>
            <w:r>
              <w:rPr>
                <w:rFonts w:ascii="Times New Roman" w:hAnsi="Times New Roman" w:eastAsia="宋体" w:cs="Times New Roman"/>
                <w:b/>
                <w:bCs/>
                <w:color w:val="auto"/>
                <w:kern w:val="2"/>
                <w:sz w:val="21"/>
                <w:szCs w:val="21"/>
              </w:rPr>
              <w:t>序号</w:t>
            </w:r>
          </w:p>
        </w:tc>
        <w:tc>
          <w:tcPr>
            <w:tcW w:w="1141" w:type="dxa"/>
            <w:shd w:val="clear" w:color="auto" w:fill="DEEAF6"/>
            <w:noWrap w:val="0"/>
            <w:tcMar>
              <w:top w:w="80" w:type="dxa"/>
              <w:left w:w="80" w:type="dxa"/>
              <w:bottom w:w="80" w:type="dxa"/>
              <w:right w:w="80" w:type="dxa"/>
            </w:tcMar>
            <w:vAlign w:val="center"/>
          </w:tcPr>
          <w:p>
            <w:pPr>
              <w:tabs>
                <w:tab w:val="left" w:pos="420"/>
              </w:tabs>
              <w:spacing w:before="0" w:line="20" w:lineRule="atLeast"/>
              <w:jc w:val="center"/>
              <w:rPr>
                <w:rFonts w:hint="default" w:ascii="Times New Roman" w:hAnsi="Times New Roman" w:eastAsia="宋体" w:cs="Times New Roman"/>
                <w:b/>
                <w:bCs/>
                <w:color w:val="auto"/>
                <w:kern w:val="2"/>
                <w:sz w:val="21"/>
                <w:szCs w:val="21"/>
              </w:rPr>
            </w:pPr>
            <w:r>
              <w:rPr>
                <w:rFonts w:ascii="Times New Roman" w:hAnsi="Times New Roman" w:eastAsia="宋体" w:cs="Times New Roman"/>
                <w:b/>
                <w:bCs/>
                <w:color w:val="auto"/>
                <w:kern w:val="2"/>
                <w:sz w:val="21"/>
                <w:szCs w:val="21"/>
              </w:rPr>
              <w:t>评审</w:t>
            </w:r>
          </w:p>
          <w:p>
            <w:pPr>
              <w:tabs>
                <w:tab w:val="left" w:pos="420"/>
              </w:tabs>
              <w:spacing w:before="0" w:line="20" w:lineRule="atLeast"/>
              <w:jc w:val="center"/>
              <w:rPr>
                <w:rFonts w:hint="default" w:ascii="Times New Roman" w:hAnsi="Times New Roman" w:cs="Times New Roman"/>
                <w:color w:val="auto"/>
              </w:rPr>
            </w:pPr>
            <w:r>
              <w:rPr>
                <w:rFonts w:ascii="Times New Roman" w:hAnsi="Times New Roman" w:eastAsia="宋体" w:cs="Times New Roman"/>
                <w:b/>
                <w:bCs/>
                <w:color w:val="auto"/>
                <w:kern w:val="2"/>
                <w:sz w:val="21"/>
                <w:szCs w:val="21"/>
              </w:rPr>
              <w:t>项目</w:t>
            </w:r>
          </w:p>
        </w:tc>
        <w:tc>
          <w:tcPr>
            <w:tcW w:w="5777" w:type="dxa"/>
            <w:shd w:val="clear" w:color="auto" w:fill="DEEAF6"/>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ascii="Times New Roman" w:hAnsi="Times New Roman" w:cs="Times New Roman"/>
                <w:color w:val="auto"/>
              </w:rPr>
            </w:pPr>
            <w:r>
              <w:rPr>
                <w:rFonts w:ascii="Times New Roman" w:hAnsi="Times New Roman" w:eastAsia="宋体" w:cs="Times New Roman"/>
                <w:b/>
                <w:bCs/>
                <w:color w:val="auto"/>
                <w:kern w:val="2"/>
                <w:sz w:val="21"/>
                <w:szCs w:val="21"/>
              </w:rPr>
              <w:t>评审标准</w:t>
            </w:r>
          </w:p>
        </w:tc>
        <w:tc>
          <w:tcPr>
            <w:tcW w:w="1835" w:type="dxa"/>
            <w:shd w:val="clear" w:color="auto" w:fill="DEEAF6"/>
            <w:noWrap w:val="0"/>
            <w:tcMar>
              <w:top w:w="80" w:type="dxa"/>
              <w:left w:w="80" w:type="dxa"/>
              <w:bottom w:w="80" w:type="dxa"/>
              <w:right w:w="80" w:type="dxa"/>
            </w:tcMar>
            <w:vAlign w:val="center"/>
          </w:tcPr>
          <w:p>
            <w:pPr>
              <w:tabs>
                <w:tab w:val="left" w:pos="420"/>
                <w:tab w:val="left" w:pos="840"/>
                <w:tab w:val="left" w:pos="1260"/>
              </w:tabs>
              <w:spacing w:before="0" w:line="20" w:lineRule="atLeast"/>
              <w:jc w:val="center"/>
              <w:rPr>
                <w:rFonts w:hint="default" w:ascii="Times New Roman" w:hAnsi="Times New Roman" w:cs="Times New Roman"/>
                <w:color w:val="auto"/>
              </w:rPr>
            </w:pPr>
            <w:r>
              <w:rPr>
                <w:rFonts w:ascii="Times New Roman" w:hAnsi="Times New Roman" w:eastAsia="宋体" w:cs="Times New Roman"/>
                <w:b/>
                <w:bCs/>
                <w:color w:val="auto"/>
                <w:kern w:val="2"/>
                <w:sz w:val="21"/>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645" w:type="dxa"/>
            <w:shd w:val="clear" w:color="auto" w:fill="auto"/>
            <w:noWrap w:val="0"/>
            <w:tcMar>
              <w:top w:w="80" w:type="dxa"/>
              <w:left w:w="80" w:type="dxa"/>
              <w:bottom w:w="80" w:type="dxa"/>
              <w:right w:w="80" w:type="dxa"/>
            </w:tcMar>
            <w:vAlign w:val="center"/>
          </w:tcPr>
          <w:p>
            <w:pPr>
              <w:tabs>
                <w:tab w:val="left" w:pos="420"/>
              </w:tabs>
              <w:spacing w:before="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w:t>
            </w:r>
          </w:p>
        </w:tc>
        <w:tc>
          <w:tcPr>
            <w:tcW w:w="1141" w:type="dxa"/>
            <w:shd w:val="clear" w:color="auto" w:fill="auto"/>
            <w:noWrap w:val="0"/>
            <w:tcMar>
              <w:top w:w="80" w:type="dxa"/>
              <w:left w:w="80" w:type="dxa"/>
              <w:bottom w:w="80" w:type="dxa"/>
              <w:right w:w="80" w:type="dxa"/>
            </w:tcMar>
            <w:vAlign w:val="center"/>
          </w:tcPr>
          <w:p>
            <w:pPr>
              <w:widowControl w:val="0"/>
              <w:tabs>
                <w:tab w:val="left" w:pos="420"/>
              </w:tabs>
              <w:spacing w:before="0" w:line="240" w:lineRule="auto"/>
              <w:jc w:val="center"/>
              <w:rPr>
                <w:rFonts w:hint="default" w:ascii="Times New Roman" w:hAnsi="Times New Roman" w:eastAsia="宋体" w:cs="Times New Roman"/>
                <w:color w:val="auto"/>
                <w:kern w:val="2"/>
                <w:sz w:val="21"/>
                <w:szCs w:val="21"/>
                <w:lang w:val="en-US"/>
              </w:rPr>
            </w:pPr>
            <w:r>
              <w:rPr>
                <w:rFonts w:ascii="Times New Roman" w:hAnsi="Times New Roman" w:eastAsia="宋体" w:cs="Times New Roman"/>
                <w:color w:val="auto"/>
                <w:kern w:val="2"/>
                <w:sz w:val="21"/>
                <w:szCs w:val="21"/>
                <w:lang w:val="en-US"/>
              </w:rPr>
              <w:t>报价</w:t>
            </w:r>
          </w:p>
          <w:p>
            <w:pPr>
              <w:widowControl w:val="0"/>
              <w:tabs>
                <w:tab w:val="left" w:pos="420"/>
              </w:tabs>
              <w:spacing w:before="0" w:line="240" w:lineRule="auto"/>
              <w:jc w:val="center"/>
              <w:rPr>
                <w:rFonts w:ascii="Times New Roman" w:hAnsi="Times New Roman" w:eastAsia="宋体" w:cs="Times New Roman"/>
                <w:color w:val="auto"/>
                <w:kern w:val="2"/>
                <w:sz w:val="21"/>
                <w:szCs w:val="21"/>
              </w:rPr>
            </w:pPr>
            <w:r>
              <w:rPr>
                <w:rFonts w:ascii="Times New Roman" w:hAnsi="Times New Roman" w:eastAsia="宋体" w:cs="Times New Roman"/>
                <w:color w:val="auto"/>
                <w:kern w:val="2"/>
                <w:sz w:val="21"/>
                <w:szCs w:val="21"/>
                <w:lang w:val="en-US"/>
              </w:rPr>
              <w:t>得分</w:t>
            </w:r>
            <w:r>
              <w:rPr>
                <w:rFonts w:hint="default" w:ascii="Times New Roman" w:hAnsi="Times New Roman" w:cs="Times New Roman"/>
                <w:color w:val="auto"/>
                <w:kern w:val="2"/>
                <w:sz w:val="21"/>
                <w:szCs w:val="21"/>
                <w:lang w:val="en-US" w:eastAsia="zh-CN"/>
              </w:rPr>
              <w:t>（</w:t>
            </w:r>
            <w:r>
              <w:rPr>
                <w:rFonts w:hint="default" w:ascii="Times New Roman" w:hAnsi="Times New Roman" w:eastAsia="宋体" w:cs="Times New Roman"/>
                <w:color w:val="auto"/>
                <w:kern w:val="2"/>
                <w:sz w:val="21"/>
                <w:szCs w:val="21"/>
                <w:highlight w:val="none"/>
                <w:lang w:val="en-US" w:eastAsia="zh-CN"/>
              </w:rPr>
              <w:t>30</w:t>
            </w:r>
            <w:r>
              <w:rPr>
                <w:rFonts w:ascii="Times New Roman" w:hAnsi="Times New Roman" w:eastAsia="宋体" w:cs="Times New Roman"/>
                <w:color w:val="auto"/>
                <w:kern w:val="2"/>
                <w:sz w:val="21"/>
                <w:szCs w:val="21"/>
                <w:highlight w:val="none"/>
              </w:rPr>
              <w:t>分</w:t>
            </w:r>
            <w:r>
              <w:rPr>
                <w:rFonts w:hint="default" w:ascii="Times New Roman" w:hAnsi="Times New Roman" w:cs="Times New Roman"/>
                <w:color w:val="auto"/>
                <w:kern w:val="2"/>
                <w:sz w:val="21"/>
                <w:szCs w:val="21"/>
                <w:lang w:val="en-US" w:eastAsia="zh-CN"/>
              </w:rPr>
              <w:t>）</w:t>
            </w:r>
          </w:p>
        </w:tc>
        <w:tc>
          <w:tcPr>
            <w:tcW w:w="5777"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符合要求且报价最低的为基准报价，其价格分为满分。</w:t>
            </w:r>
          </w:p>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ascii="Times New Roman" w:hAnsi="Times New Roman" w:eastAsia="宋体" w:cs="Times New Roman"/>
                <w:color w:val="auto"/>
                <w:sz w:val="21"/>
                <w:szCs w:val="21"/>
              </w:rPr>
            </w:pPr>
            <w:r>
              <w:rPr>
                <w:rFonts w:hint="eastAsia" w:ascii="宋体" w:hAnsi="宋体" w:eastAsia="宋体" w:cs="宋体"/>
                <w:kern w:val="2"/>
                <w:sz w:val="22"/>
                <w:szCs w:val="22"/>
                <w:lang w:val="en-US" w:eastAsia="zh-CN"/>
              </w:rPr>
              <w:t>其他响应承包商的价格分统一按照报价得分=(基准报价/响应报价)×30计算。</w:t>
            </w:r>
          </w:p>
        </w:tc>
        <w:tc>
          <w:tcPr>
            <w:tcW w:w="1835"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40" w:lineRule="auto"/>
              <w:jc w:val="center"/>
              <w:rPr>
                <w:rFonts w:ascii="Times New Roman" w:hAnsi="Times New Roman" w:eastAsia="宋体" w:cs="Times New Roman"/>
                <w:color w:val="auto"/>
                <w:kern w:val="2"/>
                <w:sz w:val="21"/>
                <w:szCs w:val="21"/>
              </w:rPr>
            </w:pPr>
            <w:r>
              <w:rPr>
                <w:rFonts w:hint="eastAsia" w:ascii="宋体" w:hAnsi="宋体" w:eastAsia="宋体" w:cs="宋体"/>
                <w:kern w:val="2"/>
                <w:sz w:val="22"/>
                <w:szCs w:val="22"/>
                <w:lang w:val="en-US" w:eastAsia="zh-CN"/>
              </w:rPr>
              <w:t>提供响应报价，并加盖公章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645" w:type="dxa"/>
            <w:shd w:val="clear" w:color="auto" w:fill="auto"/>
            <w:noWrap w:val="0"/>
            <w:tcMar>
              <w:top w:w="80" w:type="dxa"/>
              <w:left w:w="80" w:type="dxa"/>
              <w:bottom w:w="80" w:type="dxa"/>
              <w:right w:w="80" w:type="dxa"/>
            </w:tcMar>
            <w:vAlign w:val="center"/>
          </w:tcPr>
          <w:p>
            <w:pPr>
              <w:tabs>
                <w:tab w:val="left" w:pos="420"/>
              </w:tabs>
              <w:spacing w:before="0" w:line="240" w:lineRule="auto"/>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2</w:t>
            </w:r>
          </w:p>
        </w:tc>
        <w:tc>
          <w:tcPr>
            <w:tcW w:w="1141"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企业</w:t>
            </w:r>
          </w:p>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资信（9分）</w:t>
            </w:r>
          </w:p>
        </w:tc>
        <w:tc>
          <w:tcPr>
            <w:tcW w:w="5777" w:type="dxa"/>
            <w:shd w:val="clear" w:color="auto" w:fill="auto"/>
            <w:noWrap w:val="0"/>
            <w:tcMar>
              <w:top w:w="80" w:type="dxa"/>
              <w:left w:w="80" w:type="dxa"/>
              <w:bottom w:w="80" w:type="dxa"/>
              <w:right w:w="80" w:type="dxa"/>
            </w:tcMar>
            <w:vAlign w:val="center"/>
          </w:tcPr>
          <w:p>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近3年内（从公告截止之日起倒算）在无行政处罚记录；</w:t>
            </w:r>
          </w:p>
          <w:p>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近3年内（从公告截止之日起倒算）响应单位或者其法定代表人在中国裁判文书网查询没有行贿犯罪记录；</w:t>
            </w:r>
          </w:p>
          <w:p>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近3年内响应单位未成为合同被告方的；</w:t>
            </w:r>
          </w:p>
          <w:p>
            <w:pPr>
              <w:widowControl w:val="0"/>
              <w:numPr>
                <w:ilvl w:val="0"/>
                <w:numId w:val="0"/>
              </w:numPr>
              <w:tabs>
                <w:tab w:val="left" w:pos="420"/>
                <w:tab w:val="left" w:pos="840"/>
                <w:tab w:val="left" w:pos="1260"/>
              </w:tabs>
              <w:spacing w:before="0" w:line="20" w:lineRule="atLeast"/>
              <w:ind w:left="0" w:leftChars="0" w:firstLine="0" w:firstLineChars="0"/>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以上每符合一项得3分，未提供则不得分</w:t>
            </w:r>
          </w:p>
        </w:tc>
        <w:tc>
          <w:tcPr>
            <w:tcW w:w="1835"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提供相关系统中查询的信息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645" w:type="dxa"/>
            <w:shd w:val="clear" w:color="auto" w:fill="auto"/>
            <w:noWrap w:val="0"/>
            <w:tcMar>
              <w:top w:w="80" w:type="dxa"/>
              <w:left w:w="80" w:type="dxa"/>
              <w:bottom w:w="80" w:type="dxa"/>
              <w:right w:w="80" w:type="dxa"/>
            </w:tcMar>
            <w:vAlign w:val="center"/>
          </w:tcPr>
          <w:p>
            <w:pPr>
              <w:tabs>
                <w:tab w:val="left" w:pos="420"/>
              </w:tabs>
              <w:spacing w:before="0" w:line="240" w:lineRule="auto"/>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kern w:val="2"/>
                <w:sz w:val="22"/>
                <w:szCs w:val="22"/>
                <w:lang w:val="en-US" w:eastAsia="zh-CN"/>
              </w:rPr>
              <w:t>3</w:t>
            </w:r>
          </w:p>
        </w:tc>
        <w:tc>
          <w:tcPr>
            <w:tcW w:w="1141" w:type="dxa"/>
            <w:shd w:val="clear" w:color="auto" w:fill="auto"/>
            <w:noWrap w:val="0"/>
            <w:tcMar>
              <w:top w:w="80" w:type="dxa"/>
              <w:left w:w="80" w:type="dxa"/>
              <w:bottom w:w="80" w:type="dxa"/>
              <w:right w:w="80" w:type="dxa"/>
            </w:tcMar>
            <w:vAlign w:val="center"/>
          </w:tcPr>
          <w:p>
            <w:pPr>
              <w:widowControl w:val="0"/>
              <w:tabs>
                <w:tab w:val="left" w:pos="420"/>
              </w:tabs>
              <w:spacing w:before="0" w:line="240"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2"/>
                <w:sz w:val="22"/>
                <w:szCs w:val="22"/>
              </w:rPr>
              <w:t>团队成员配置评分</w:t>
            </w:r>
            <w:r>
              <w:rPr>
                <w:rFonts w:hint="eastAsia" w:asciiTheme="minorEastAsia" w:hAnsiTheme="minorEastAsia" w:eastAsiaTheme="minorEastAsia" w:cstheme="minorEastAsia"/>
                <w:color w:val="auto"/>
                <w:kern w:val="2"/>
                <w:sz w:val="22"/>
                <w:szCs w:val="22"/>
                <w:lang w:eastAsia="zh-CN"/>
              </w:rPr>
              <w:t>（</w:t>
            </w:r>
            <w:r>
              <w:rPr>
                <w:rFonts w:hint="eastAsia" w:asciiTheme="minorEastAsia" w:hAnsiTheme="minorEastAsia" w:eastAsiaTheme="minorEastAsia" w:cstheme="minorEastAsia"/>
                <w:color w:val="auto"/>
                <w:kern w:val="2"/>
                <w:sz w:val="22"/>
                <w:szCs w:val="22"/>
                <w:lang w:val="en-US" w:eastAsia="zh-CN"/>
              </w:rPr>
              <w:t>10</w:t>
            </w:r>
            <w:r>
              <w:rPr>
                <w:rFonts w:hint="eastAsia" w:asciiTheme="minorEastAsia" w:hAnsiTheme="minorEastAsia" w:eastAsiaTheme="minorEastAsia" w:cstheme="minorEastAsia"/>
                <w:color w:val="auto"/>
                <w:kern w:val="2"/>
                <w:sz w:val="22"/>
                <w:szCs w:val="22"/>
              </w:rPr>
              <w:t>分</w:t>
            </w:r>
            <w:r>
              <w:rPr>
                <w:rFonts w:hint="eastAsia" w:asciiTheme="minorEastAsia" w:hAnsiTheme="minorEastAsia" w:eastAsiaTheme="minorEastAsia" w:cstheme="minorEastAsia"/>
                <w:color w:val="auto"/>
                <w:kern w:val="2"/>
                <w:sz w:val="22"/>
                <w:szCs w:val="22"/>
                <w:lang w:eastAsia="zh-CN"/>
              </w:rPr>
              <w:t>）</w:t>
            </w:r>
          </w:p>
        </w:tc>
        <w:tc>
          <w:tcPr>
            <w:tcW w:w="5777"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rPr>
              <w:t>根据拟派本项目服务人员人数、岗位、从业经验情况，进行横向比较打分</w:t>
            </w:r>
            <w:r>
              <w:rPr>
                <w:rFonts w:hint="eastAsia" w:asciiTheme="minorEastAsia" w:hAnsiTheme="minorEastAsia" w:eastAsiaTheme="minorEastAsia" w:cstheme="minorEastAsia"/>
                <w:color w:val="auto"/>
                <w:kern w:val="2"/>
                <w:sz w:val="22"/>
                <w:szCs w:val="22"/>
                <w:lang w:eastAsia="zh-CN"/>
              </w:rPr>
              <w:t>，</w:t>
            </w:r>
            <w:r>
              <w:rPr>
                <w:rFonts w:hint="eastAsia" w:asciiTheme="minorEastAsia" w:hAnsiTheme="minorEastAsia" w:eastAsiaTheme="minorEastAsia" w:cstheme="minorEastAsia"/>
                <w:color w:val="auto"/>
                <w:kern w:val="2"/>
                <w:sz w:val="22"/>
                <w:szCs w:val="22"/>
              </w:rPr>
              <w:t>优得</w:t>
            </w:r>
            <w:r>
              <w:rPr>
                <w:rFonts w:hint="eastAsia" w:asciiTheme="minorEastAsia" w:hAnsiTheme="minorEastAsia" w:eastAsiaTheme="minorEastAsia" w:cstheme="minorEastAsia"/>
                <w:color w:val="auto"/>
                <w:kern w:val="2"/>
                <w:sz w:val="22"/>
                <w:szCs w:val="22"/>
                <w:lang w:val="en-US" w:eastAsia="zh-CN"/>
              </w:rPr>
              <w:t>8</w:t>
            </w:r>
            <w:r>
              <w:rPr>
                <w:rFonts w:hint="eastAsia" w:asciiTheme="minorEastAsia" w:hAnsiTheme="minorEastAsia" w:eastAsiaTheme="minorEastAsia" w:cstheme="minorEastAsia"/>
                <w:color w:val="auto"/>
                <w:kern w:val="2"/>
                <w:sz w:val="22"/>
                <w:szCs w:val="22"/>
              </w:rPr>
              <w:t>～</w:t>
            </w:r>
            <w:r>
              <w:rPr>
                <w:rFonts w:hint="eastAsia" w:asciiTheme="minorEastAsia" w:hAnsiTheme="minorEastAsia" w:eastAsiaTheme="minorEastAsia" w:cstheme="minorEastAsia"/>
                <w:color w:val="auto"/>
                <w:kern w:val="2"/>
                <w:sz w:val="22"/>
                <w:szCs w:val="22"/>
                <w:lang w:val="en-US" w:eastAsia="zh-CN"/>
              </w:rPr>
              <w:t>10</w:t>
            </w:r>
            <w:r>
              <w:rPr>
                <w:rFonts w:hint="eastAsia" w:asciiTheme="minorEastAsia" w:hAnsiTheme="minorEastAsia" w:eastAsiaTheme="minorEastAsia" w:cstheme="minorEastAsia"/>
                <w:color w:val="auto"/>
                <w:kern w:val="2"/>
                <w:sz w:val="22"/>
                <w:szCs w:val="22"/>
              </w:rPr>
              <w:t>分，良得</w:t>
            </w:r>
            <w:r>
              <w:rPr>
                <w:rFonts w:hint="eastAsia" w:asciiTheme="minorEastAsia" w:hAnsiTheme="minorEastAsia" w:eastAsiaTheme="minorEastAsia" w:cstheme="minorEastAsia"/>
                <w:color w:val="auto"/>
                <w:kern w:val="2"/>
                <w:sz w:val="22"/>
                <w:szCs w:val="22"/>
                <w:lang w:val="en-US" w:eastAsia="zh-CN"/>
              </w:rPr>
              <w:t>5</w:t>
            </w:r>
            <w:r>
              <w:rPr>
                <w:rFonts w:hint="eastAsia" w:asciiTheme="minorEastAsia" w:hAnsiTheme="minorEastAsia" w:eastAsiaTheme="minorEastAsia" w:cstheme="minorEastAsia"/>
                <w:color w:val="auto"/>
                <w:kern w:val="2"/>
                <w:sz w:val="22"/>
                <w:szCs w:val="22"/>
              </w:rPr>
              <w:t>～</w:t>
            </w:r>
            <w:r>
              <w:rPr>
                <w:rFonts w:hint="eastAsia" w:asciiTheme="minorEastAsia" w:hAnsiTheme="minorEastAsia" w:eastAsiaTheme="minorEastAsia" w:cstheme="minorEastAsia"/>
                <w:color w:val="auto"/>
                <w:kern w:val="2"/>
                <w:sz w:val="22"/>
                <w:szCs w:val="22"/>
                <w:lang w:val="en-US" w:eastAsia="zh-CN"/>
              </w:rPr>
              <w:t>7</w:t>
            </w:r>
            <w:r>
              <w:rPr>
                <w:rFonts w:hint="eastAsia" w:asciiTheme="minorEastAsia" w:hAnsiTheme="minorEastAsia" w:eastAsiaTheme="minorEastAsia" w:cstheme="minorEastAsia"/>
                <w:color w:val="auto"/>
                <w:kern w:val="2"/>
                <w:sz w:val="22"/>
                <w:szCs w:val="22"/>
              </w:rPr>
              <w:t>分，中得</w:t>
            </w:r>
            <w:r>
              <w:rPr>
                <w:rFonts w:hint="eastAsia" w:asciiTheme="minorEastAsia" w:hAnsiTheme="minorEastAsia" w:eastAsiaTheme="minorEastAsia" w:cstheme="minorEastAsia"/>
                <w:color w:val="auto"/>
                <w:kern w:val="2"/>
                <w:sz w:val="22"/>
                <w:szCs w:val="22"/>
                <w:lang w:val="en-US" w:eastAsia="zh-CN"/>
              </w:rPr>
              <w:t>2</w:t>
            </w:r>
            <w:r>
              <w:rPr>
                <w:rFonts w:hint="eastAsia" w:asciiTheme="minorEastAsia" w:hAnsiTheme="minorEastAsia" w:eastAsiaTheme="minorEastAsia" w:cstheme="minorEastAsia"/>
                <w:color w:val="auto"/>
                <w:kern w:val="2"/>
                <w:sz w:val="22"/>
                <w:szCs w:val="22"/>
              </w:rPr>
              <w:t>～</w:t>
            </w:r>
            <w:r>
              <w:rPr>
                <w:rFonts w:hint="eastAsia" w:asciiTheme="minorEastAsia" w:hAnsiTheme="minorEastAsia" w:eastAsiaTheme="minorEastAsia" w:cstheme="minorEastAsia"/>
                <w:color w:val="auto"/>
                <w:kern w:val="2"/>
                <w:sz w:val="22"/>
                <w:szCs w:val="22"/>
                <w:lang w:val="en-US" w:eastAsia="zh-CN"/>
              </w:rPr>
              <w:t>4</w:t>
            </w:r>
            <w:r>
              <w:rPr>
                <w:rFonts w:hint="eastAsia" w:asciiTheme="minorEastAsia" w:hAnsiTheme="minorEastAsia" w:eastAsiaTheme="minorEastAsia" w:cstheme="minorEastAsia"/>
                <w:color w:val="auto"/>
                <w:kern w:val="2"/>
                <w:sz w:val="22"/>
                <w:szCs w:val="22"/>
              </w:rPr>
              <w:t>分，差得</w:t>
            </w:r>
            <w:r>
              <w:rPr>
                <w:rFonts w:hint="eastAsia" w:asciiTheme="minorEastAsia" w:hAnsiTheme="minorEastAsia" w:eastAsiaTheme="minorEastAsia" w:cstheme="minorEastAsia"/>
                <w:color w:val="auto"/>
                <w:kern w:val="2"/>
                <w:sz w:val="22"/>
                <w:szCs w:val="22"/>
                <w:lang w:val="en-US"/>
              </w:rPr>
              <w:t>0</w:t>
            </w:r>
            <w:r>
              <w:rPr>
                <w:rFonts w:hint="eastAsia" w:asciiTheme="minorEastAsia" w:hAnsiTheme="minorEastAsia" w:eastAsiaTheme="minorEastAsia" w:cstheme="minorEastAsia"/>
                <w:color w:val="auto"/>
                <w:kern w:val="2"/>
                <w:sz w:val="22"/>
                <w:szCs w:val="22"/>
              </w:rPr>
              <w:t>～</w:t>
            </w:r>
            <w:r>
              <w:rPr>
                <w:rFonts w:hint="eastAsia" w:asciiTheme="minorEastAsia" w:hAnsiTheme="minorEastAsia" w:eastAsiaTheme="minorEastAsia" w:cstheme="minorEastAsia"/>
                <w:color w:val="auto"/>
                <w:kern w:val="2"/>
                <w:sz w:val="22"/>
                <w:szCs w:val="22"/>
                <w:lang w:val="en-US" w:eastAsia="zh-CN"/>
              </w:rPr>
              <w:t>1</w:t>
            </w:r>
            <w:r>
              <w:rPr>
                <w:rFonts w:hint="eastAsia" w:asciiTheme="minorEastAsia" w:hAnsiTheme="minorEastAsia" w:eastAsiaTheme="minorEastAsia" w:cstheme="minorEastAsia"/>
                <w:color w:val="auto"/>
                <w:kern w:val="2"/>
                <w:sz w:val="22"/>
                <w:szCs w:val="22"/>
              </w:rPr>
              <w:t>分。</w:t>
            </w:r>
          </w:p>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rPr>
              <w:t>注：须提供拟派遣人员的业绩合同（需要体现业绩类型、时间、种类以及服务人员名称）原件扫描件，如不能体现须提供业绩工作单位证明扫描件。</w:t>
            </w:r>
          </w:p>
        </w:tc>
        <w:tc>
          <w:tcPr>
            <w:tcW w:w="1835"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40" w:lineRule="auto"/>
              <w:jc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kern w:val="2"/>
                <w:sz w:val="22"/>
                <w:szCs w:val="22"/>
              </w:rPr>
              <w:t>提供拟派遣人员的业绩合同和专业证书（如相关专业毕业证、从业证等）复印件加盖公章</w:t>
            </w:r>
            <w:r>
              <w:rPr>
                <w:rFonts w:hint="eastAsia" w:asciiTheme="minorEastAsia" w:hAnsiTheme="minorEastAsia" w:eastAsiaTheme="minorEastAsia" w:cstheme="minorEastAsia"/>
                <w:color w:val="auto"/>
                <w:kern w:val="2"/>
                <w:sz w:val="22"/>
                <w:szCs w:val="22"/>
                <w:lang w:eastAsia="zh-CN"/>
              </w:rPr>
              <w:t>。</w:t>
            </w:r>
            <w:r>
              <w:rPr>
                <w:rFonts w:hint="eastAsia" w:asciiTheme="minorEastAsia" w:hAnsiTheme="minorEastAsia" w:eastAsiaTheme="minorEastAsia" w:cstheme="minorEastAsia"/>
                <w:color w:val="auto"/>
                <w:kern w:val="2"/>
                <w:sz w:val="22"/>
                <w:szCs w:val="22"/>
                <w:lang w:val="en-US" w:eastAsia="zh-CN"/>
              </w:rPr>
              <w:t>（业绩合同可以仅提供关键页及盖章页，其它具体内容可不提供）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PrEx>
        <w:trPr>
          <w:trHeight w:val="2375" w:hRule="atLeast"/>
          <w:jc w:val="center"/>
        </w:trPr>
        <w:tc>
          <w:tcPr>
            <w:tcW w:w="645" w:type="dxa"/>
            <w:shd w:val="clear" w:color="auto" w:fill="auto"/>
            <w:noWrap w:val="0"/>
            <w:tcMar>
              <w:top w:w="80" w:type="dxa"/>
              <w:left w:w="80" w:type="dxa"/>
              <w:bottom w:w="80" w:type="dxa"/>
              <w:right w:w="80" w:type="dxa"/>
            </w:tcMar>
            <w:vAlign w:val="center"/>
          </w:tcPr>
          <w:p>
            <w:pPr>
              <w:tabs>
                <w:tab w:val="left" w:pos="420"/>
              </w:tabs>
              <w:spacing w:before="0" w:line="240" w:lineRule="auto"/>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kern w:val="2"/>
                <w:sz w:val="22"/>
                <w:szCs w:val="22"/>
                <w:lang w:val="en-US" w:eastAsia="zh-CN"/>
              </w:rPr>
              <w:t>4</w:t>
            </w:r>
          </w:p>
        </w:tc>
        <w:tc>
          <w:tcPr>
            <w:tcW w:w="1141" w:type="dxa"/>
            <w:shd w:val="clear" w:color="auto" w:fill="auto"/>
            <w:noWrap w:val="0"/>
            <w:tcMar>
              <w:top w:w="80" w:type="dxa"/>
              <w:left w:w="80" w:type="dxa"/>
              <w:bottom w:w="80" w:type="dxa"/>
              <w:right w:w="80" w:type="dxa"/>
            </w:tcMar>
            <w:vAlign w:val="center"/>
          </w:tcPr>
          <w:p>
            <w:pPr>
              <w:widowControl w:val="0"/>
              <w:tabs>
                <w:tab w:val="left" w:pos="420"/>
              </w:tabs>
              <w:spacing w:before="0" w:line="240"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2"/>
                <w:sz w:val="22"/>
                <w:szCs w:val="22"/>
              </w:rPr>
              <w:t>技术服务方案评审</w:t>
            </w:r>
            <w:r>
              <w:rPr>
                <w:rFonts w:hint="eastAsia" w:asciiTheme="minorEastAsia" w:hAnsiTheme="minorEastAsia" w:eastAsiaTheme="minorEastAsia" w:cstheme="minorEastAsia"/>
                <w:color w:val="auto"/>
                <w:kern w:val="2"/>
                <w:sz w:val="22"/>
                <w:szCs w:val="22"/>
                <w:lang w:eastAsia="zh-CN"/>
              </w:rPr>
              <w:t>（</w:t>
            </w:r>
            <w:r>
              <w:rPr>
                <w:rFonts w:hint="eastAsia" w:asciiTheme="minorEastAsia" w:hAnsiTheme="minorEastAsia" w:eastAsiaTheme="minorEastAsia" w:cstheme="minorEastAsia"/>
                <w:color w:val="auto"/>
                <w:kern w:val="2"/>
                <w:sz w:val="22"/>
                <w:szCs w:val="22"/>
                <w:lang w:val="en-US" w:eastAsia="zh-CN"/>
              </w:rPr>
              <w:t>30</w:t>
            </w:r>
            <w:r>
              <w:rPr>
                <w:rFonts w:hint="eastAsia" w:asciiTheme="minorEastAsia" w:hAnsiTheme="minorEastAsia" w:eastAsiaTheme="minorEastAsia" w:cstheme="minorEastAsia"/>
                <w:color w:val="auto"/>
                <w:kern w:val="2"/>
                <w:sz w:val="22"/>
                <w:szCs w:val="22"/>
              </w:rPr>
              <w:t>分</w:t>
            </w:r>
            <w:r>
              <w:rPr>
                <w:rFonts w:hint="eastAsia" w:asciiTheme="minorEastAsia" w:hAnsiTheme="minorEastAsia" w:eastAsiaTheme="minorEastAsia" w:cstheme="minorEastAsia"/>
                <w:color w:val="auto"/>
                <w:kern w:val="2"/>
                <w:sz w:val="22"/>
                <w:szCs w:val="22"/>
                <w:lang w:eastAsia="zh-CN"/>
              </w:rPr>
              <w:t>）</w:t>
            </w:r>
          </w:p>
        </w:tc>
        <w:tc>
          <w:tcPr>
            <w:tcW w:w="5777"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heme="minorEastAsia" w:hAnsiTheme="minorEastAsia" w:eastAsiaTheme="minorEastAsia" w:cstheme="minorEastAsia"/>
                <w:color w:val="auto"/>
                <w:kern w:val="2"/>
                <w:sz w:val="22"/>
                <w:szCs w:val="22"/>
              </w:rPr>
            </w:pPr>
            <w:r>
              <w:rPr>
                <w:rFonts w:hint="eastAsia" w:asciiTheme="minorEastAsia" w:hAnsiTheme="minorEastAsia" w:eastAsiaTheme="minorEastAsia" w:cstheme="minorEastAsia"/>
                <w:color w:val="auto"/>
                <w:kern w:val="2"/>
                <w:sz w:val="22"/>
                <w:szCs w:val="22"/>
                <w:lang w:val="en-US" w:eastAsia="zh-CN"/>
              </w:rPr>
              <w:t>由响应单位基于对两个项目的实际情况出具技术服务方案，</w:t>
            </w:r>
            <w:r>
              <w:rPr>
                <w:rFonts w:hint="eastAsia" w:asciiTheme="minorEastAsia" w:hAnsiTheme="minorEastAsia" w:eastAsiaTheme="minorEastAsia" w:cstheme="minorEastAsia"/>
                <w:color w:val="auto"/>
                <w:kern w:val="2"/>
                <w:sz w:val="22"/>
                <w:szCs w:val="22"/>
              </w:rPr>
              <w:t>对本项目工作内容的理解是否全面、准确进行横向比较评分：</w:t>
            </w:r>
          </w:p>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heme="minorEastAsia" w:hAnsiTheme="minorEastAsia" w:eastAsiaTheme="minorEastAsia" w:cstheme="minorEastAsia"/>
                <w:color w:val="auto"/>
                <w:kern w:val="2"/>
                <w:sz w:val="22"/>
                <w:szCs w:val="22"/>
              </w:rPr>
            </w:pPr>
            <w:r>
              <w:rPr>
                <w:rFonts w:hint="eastAsia" w:asciiTheme="minorEastAsia" w:hAnsiTheme="minorEastAsia" w:eastAsiaTheme="minorEastAsia" w:cstheme="minorEastAsia"/>
                <w:color w:val="auto"/>
                <w:kern w:val="2"/>
                <w:sz w:val="22"/>
                <w:szCs w:val="22"/>
              </w:rPr>
              <w:t>评优得</w:t>
            </w:r>
            <w:r>
              <w:rPr>
                <w:rFonts w:hint="eastAsia" w:asciiTheme="minorEastAsia" w:hAnsiTheme="minorEastAsia" w:eastAsiaTheme="minorEastAsia" w:cstheme="minorEastAsia"/>
                <w:color w:val="auto"/>
                <w:kern w:val="2"/>
                <w:sz w:val="22"/>
                <w:szCs w:val="22"/>
                <w:lang w:val="en-US" w:eastAsia="zh-CN"/>
              </w:rPr>
              <w:t>25</w:t>
            </w:r>
            <w:r>
              <w:rPr>
                <w:rFonts w:hint="eastAsia" w:asciiTheme="minorEastAsia" w:hAnsiTheme="minorEastAsia" w:eastAsiaTheme="minorEastAsia" w:cstheme="minorEastAsia"/>
                <w:color w:val="auto"/>
                <w:kern w:val="2"/>
                <w:sz w:val="22"/>
                <w:szCs w:val="22"/>
              </w:rPr>
              <w:t>～</w:t>
            </w:r>
            <w:r>
              <w:rPr>
                <w:rFonts w:hint="eastAsia" w:asciiTheme="minorEastAsia" w:hAnsiTheme="minorEastAsia" w:eastAsiaTheme="minorEastAsia" w:cstheme="minorEastAsia"/>
                <w:color w:val="auto"/>
                <w:kern w:val="2"/>
                <w:sz w:val="22"/>
                <w:szCs w:val="22"/>
                <w:lang w:val="en-US" w:eastAsia="zh-CN"/>
              </w:rPr>
              <w:t>30</w:t>
            </w:r>
            <w:r>
              <w:rPr>
                <w:rFonts w:hint="eastAsia" w:asciiTheme="minorEastAsia" w:hAnsiTheme="minorEastAsia" w:eastAsiaTheme="minorEastAsia" w:cstheme="minorEastAsia"/>
                <w:color w:val="auto"/>
                <w:kern w:val="2"/>
                <w:sz w:val="22"/>
                <w:szCs w:val="22"/>
              </w:rPr>
              <w:t>分，良得</w:t>
            </w:r>
            <w:r>
              <w:rPr>
                <w:rFonts w:hint="eastAsia" w:asciiTheme="minorEastAsia" w:hAnsiTheme="minorEastAsia" w:eastAsiaTheme="minorEastAsia" w:cstheme="minorEastAsia"/>
                <w:color w:val="auto"/>
                <w:kern w:val="2"/>
                <w:sz w:val="22"/>
                <w:szCs w:val="22"/>
                <w:lang w:val="en-US" w:eastAsia="zh-CN"/>
              </w:rPr>
              <w:t>20</w:t>
            </w:r>
            <w:r>
              <w:rPr>
                <w:rFonts w:hint="eastAsia" w:asciiTheme="minorEastAsia" w:hAnsiTheme="minorEastAsia" w:eastAsiaTheme="minorEastAsia" w:cstheme="minorEastAsia"/>
                <w:color w:val="auto"/>
                <w:kern w:val="2"/>
                <w:sz w:val="22"/>
                <w:szCs w:val="22"/>
              </w:rPr>
              <w:t>～</w:t>
            </w:r>
            <w:r>
              <w:rPr>
                <w:rFonts w:hint="eastAsia" w:asciiTheme="minorEastAsia" w:hAnsiTheme="minorEastAsia" w:eastAsiaTheme="minorEastAsia" w:cstheme="minorEastAsia"/>
                <w:color w:val="auto"/>
                <w:kern w:val="2"/>
                <w:sz w:val="22"/>
                <w:szCs w:val="22"/>
                <w:lang w:val="en-US" w:eastAsia="zh-CN"/>
              </w:rPr>
              <w:t>25</w:t>
            </w:r>
            <w:r>
              <w:rPr>
                <w:rFonts w:hint="eastAsia" w:asciiTheme="minorEastAsia" w:hAnsiTheme="minorEastAsia" w:eastAsiaTheme="minorEastAsia" w:cstheme="minorEastAsia"/>
                <w:color w:val="auto"/>
                <w:kern w:val="2"/>
                <w:sz w:val="22"/>
                <w:szCs w:val="22"/>
              </w:rPr>
              <w:t>分，中得</w:t>
            </w:r>
            <w:r>
              <w:rPr>
                <w:rFonts w:hint="eastAsia" w:asciiTheme="minorEastAsia" w:hAnsiTheme="minorEastAsia" w:eastAsiaTheme="minorEastAsia" w:cstheme="minorEastAsia"/>
                <w:color w:val="auto"/>
                <w:kern w:val="2"/>
                <w:sz w:val="22"/>
                <w:szCs w:val="22"/>
                <w:lang w:val="en-US" w:eastAsia="zh-CN"/>
              </w:rPr>
              <w:t>10</w:t>
            </w:r>
            <w:r>
              <w:rPr>
                <w:rFonts w:hint="eastAsia" w:asciiTheme="minorEastAsia" w:hAnsiTheme="minorEastAsia" w:eastAsiaTheme="minorEastAsia" w:cstheme="minorEastAsia"/>
                <w:color w:val="auto"/>
                <w:kern w:val="2"/>
                <w:sz w:val="22"/>
                <w:szCs w:val="22"/>
              </w:rPr>
              <w:t>～</w:t>
            </w:r>
            <w:r>
              <w:rPr>
                <w:rFonts w:hint="eastAsia" w:asciiTheme="minorEastAsia" w:hAnsiTheme="minorEastAsia" w:eastAsiaTheme="minorEastAsia" w:cstheme="minorEastAsia"/>
                <w:color w:val="auto"/>
                <w:kern w:val="2"/>
                <w:sz w:val="22"/>
                <w:szCs w:val="22"/>
                <w:lang w:val="en-US" w:eastAsia="zh-CN"/>
              </w:rPr>
              <w:t>20</w:t>
            </w:r>
            <w:r>
              <w:rPr>
                <w:rFonts w:hint="eastAsia" w:asciiTheme="minorEastAsia" w:hAnsiTheme="minorEastAsia" w:eastAsiaTheme="minorEastAsia" w:cstheme="minorEastAsia"/>
                <w:color w:val="auto"/>
                <w:kern w:val="2"/>
                <w:sz w:val="22"/>
                <w:szCs w:val="22"/>
              </w:rPr>
              <w:t>分，差得</w:t>
            </w:r>
            <w:r>
              <w:rPr>
                <w:rFonts w:hint="eastAsia" w:asciiTheme="minorEastAsia" w:hAnsiTheme="minorEastAsia" w:eastAsiaTheme="minorEastAsia" w:cstheme="minorEastAsia"/>
                <w:color w:val="auto"/>
                <w:kern w:val="2"/>
                <w:sz w:val="22"/>
                <w:szCs w:val="22"/>
                <w:lang w:val="en-US"/>
              </w:rPr>
              <w:t>0</w:t>
            </w:r>
            <w:r>
              <w:rPr>
                <w:rFonts w:hint="eastAsia" w:asciiTheme="minorEastAsia" w:hAnsiTheme="minorEastAsia" w:eastAsiaTheme="minorEastAsia" w:cstheme="minorEastAsia"/>
                <w:color w:val="auto"/>
                <w:kern w:val="2"/>
                <w:sz w:val="22"/>
                <w:szCs w:val="22"/>
              </w:rPr>
              <w:t>～</w:t>
            </w:r>
            <w:r>
              <w:rPr>
                <w:rFonts w:hint="eastAsia" w:asciiTheme="minorEastAsia" w:hAnsiTheme="minorEastAsia" w:eastAsiaTheme="minorEastAsia" w:cstheme="minorEastAsia"/>
                <w:color w:val="auto"/>
                <w:kern w:val="2"/>
                <w:sz w:val="22"/>
                <w:szCs w:val="22"/>
                <w:lang w:val="en-US" w:eastAsia="zh-CN"/>
              </w:rPr>
              <w:t>10</w:t>
            </w:r>
            <w:r>
              <w:rPr>
                <w:rFonts w:hint="eastAsia" w:asciiTheme="minorEastAsia" w:hAnsiTheme="minorEastAsia" w:eastAsiaTheme="minorEastAsia" w:cstheme="minorEastAsia"/>
                <w:color w:val="auto"/>
                <w:kern w:val="2"/>
                <w:sz w:val="22"/>
                <w:szCs w:val="22"/>
              </w:rPr>
              <w:t>分。</w:t>
            </w:r>
          </w:p>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2"/>
                <w:sz w:val="22"/>
                <w:szCs w:val="22"/>
              </w:rPr>
              <w:t>打分参考：综合评审服务方案中对我</w:t>
            </w:r>
            <w:r>
              <w:rPr>
                <w:rFonts w:hint="eastAsia" w:asciiTheme="minorEastAsia" w:hAnsiTheme="minorEastAsia" w:eastAsiaTheme="minorEastAsia" w:cstheme="minorEastAsia"/>
                <w:color w:val="auto"/>
                <w:kern w:val="2"/>
                <w:sz w:val="22"/>
                <w:szCs w:val="22"/>
                <w:lang w:val="en-US" w:eastAsia="zh-CN"/>
              </w:rPr>
              <w:t>公司</w:t>
            </w:r>
            <w:r>
              <w:rPr>
                <w:rFonts w:hint="eastAsia" w:asciiTheme="minorEastAsia" w:hAnsiTheme="minorEastAsia" w:eastAsiaTheme="minorEastAsia" w:cstheme="minorEastAsia"/>
                <w:color w:val="auto"/>
                <w:kern w:val="2"/>
                <w:sz w:val="22"/>
                <w:szCs w:val="22"/>
              </w:rPr>
              <w:t>服务需求及配套需求进行任务分解情况、</w:t>
            </w:r>
            <w:r>
              <w:rPr>
                <w:rFonts w:hint="eastAsia" w:asciiTheme="minorEastAsia" w:hAnsiTheme="minorEastAsia" w:eastAsiaTheme="minorEastAsia" w:cstheme="minorEastAsia"/>
                <w:color w:val="auto"/>
                <w:kern w:val="2"/>
                <w:sz w:val="22"/>
                <w:szCs w:val="22"/>
                <w:lang w:val="en-US" w:eastAsia="zh-CN"/>
              </w:rPr>
              <w:t>服务内容及响应节点、响应效率、</w:t>
            </w:r>
            <w:r>
              <w:rPr>
                <w:rFonts w:hint="eastAsia" w:asciiTheme="minorEastAsia" w:hAnsiTheme="minorEastAsia" w:eastAsiaTheme="minorEastAsia" w:cstheme="minorEastAsia"/>
                <w:color w:val="auto"/>
                <w:kern w:val="2"/>
                <w:sz w:val="22"/>
                <w:szCs w:val="22"/>
              </w:rPr>
              <w:t>技术服务团队工作职责及运作安排情况、各项过程技术服务成果质量把控能力、过程资料及档案管理、其他相关事宜。</w:t>
            </w:r>
          </w:p>
        </w:tc>
        <w:tc>
          <w:tcPr>
            <w:tcW w:w="1835"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40"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2"/>
                <w:sz w:val="22"/>
                <w:szCs w:val="22"/>
              </w:rPr>
              <w:t>提供技术服务方案，并加盖公章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296" w:hRule="atLeast"/>
          <w:jc w:val="center"/>
        </w:trPr>
        <w:tc>
          <w:tcPr>
            <w:tcW w:w="645" w:type="dxa"/>
            <w:shd w:val="clear" w:color="auto" w:fill="auto"/>
            <w:noWrap w:val="0"/>
            <w:tcMar>
              <w:top w:w="80" w:type="dxa"/>
              <w:left w:w="80" w:type="dxa"/>
              <w:bottom w:w="80" w:type="dxa"/>
              <w:right w:w="80" w:type="dxa"/>
            </w:tcMar>
            <w:vAlign w:val="center"/>
          </w:tcPr>
          <w:p>
            <w:pPr>
              <w:tabs>
                <w:tab w:val="left" w:pos="420"/>
              </w:tabs>
              <w:spacing w:before="0" w:line="240" w:lineRule="auto"/>
              <w:jc w:val="center"/>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5</w:t>
            </w:r>
          </w:p>
        </w:tc>
        <w:tc>
          <w:tcPr>
            <w:tcW w:w="1141" w:type="dxa"/>
            <w:shd w:val="clear" w:color="auto" w:fill="auto"/>
            <w:noWrap w:val="0"/>
            <w:tcMar>
              <w:top w:w="80" w:type="dxa"/>
              <w:left w:w="80" w:type="dxa"/>
              <w:bottom w:w="80" w:type="dxa"/>
              <w:right w:w="80" w:type="dxa"/>
            </w:tcMar>
            <w:vAlign w:val="center"/>
          </w:tcPr>
          <w:p>
            <w:pPr>
              <w:widowControl w:val="0"/>
              <w:tabs>
                <w:tab w:val="left" w:pos="420"/>
              </w:tabs>
              <w:spacing w:before="0" w:line="240" w:lineRule="auto"/>
              <w:jc w:val="center"/>
              <w:rPr>
                <w:rFonts w:hint="eastAsia" w:asciiTheme="minorEastAsia" w:hAnsiTheme="minorEastAsia" w:eastAsiaTheme="minorEastAsia" w:cstheme="minorEastAsia"/>
                <w:color w:val="auto"/>
                <w:kern w:val="2"/>
                <w:sz w:val="22"/>
                <w:szCs w:val="22"/>
                <w:lang w:val="en-US"/>
              </w:rPr>
            </w:pPr>
          </w:p>
          <w:p>
            <w:pPr>
              <w:widowControl w:val="0"/>
              <w:tabs>
                <w:tab w:val="left" w:pos="420"/>
              </w:tabs>
              <w:spacing w:before="0" w:line="240" w:lineRule="auto"/>
              <w:jc w:val="center"/>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服务业绩得分（18分）</w:t>
            </w:r>
          </w:p>
        </w:tc>
        <w:tc>
          <w:tcPr>
            <w:tcW w:w="5777"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heme="minorEastAsia" w:hAnsiTheme="minorEastAsia" w:eastAsiaTheme="minorEastAsia" w:cstheme="minorEastAsia"/>
                <w:color w:val="auto"/>
                <w:kern w:val="2"/>
                <w:sz w:val="22"/>
                <w:szCs w:val="22"/>
                <w:highlight w:val="none"/>
                <w:lang w:val="en-US" w:eastAsia="zh-CN"/>
              </w:rPr>
            </w:pPr>
            <w:r>
              <w:rPr>
                <w:rFonts w:hint="eastAsia" w:asciiTheme="minorEastAsia" w:hAnsiTheme="minorEastAsia" w:eastAsiaTheme="minorEastAsia" w:cstheme="minorEastAsia"/>
                <w:color w:val="auto"/>
                <w:kern w:val="2"/>
                <w:sz w:val="22"/>
                <w:szCs w:val="22"/>
                <w:highlight w:val="none"/>
                <w:lang w:val="en-US" w:eastAsia="zh-CN"/>
              </w:rPr>
              <w:t>提供近三年从事停车场经营许可证咨询服务相关案例，每提供一项有效业绩，得2分，最高得18分。</w:t>
            </w:r>
          </w:p>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heme="minorEastAsia" w:hAnsiTheme="minorEastAsia" w:eastAsiaTheme="minorEastAsia" w:cstheme="minorEastAsia"/>
                <w:color w:val="auto"/>
                <w:kern w:val="2"/>
                <w:sz w:val="22"/>
                <w:szCs w:val="22"/>
                <w:highlight w:val="none"/>
                <w:lang w:val="en-US" w:eastAsia="zh-CN"/>
              </w:rPr>
            </w:pPr>
            <w:r>
              <w:rPr>
                <w:rFonts w:hint="eastAsia" w:asciiTheme="minorEastAsia" w:hAnsiTheme="minorEastAsia" w:eastAsiaTheme="minorEastAsia" w:cstheme="minorEastAsia"/>
                <w:color w:val="auto"/>
                <w:kern w:val="2"/>
                <w:sz w:val="22"/>
                <w:szCs w:val="22"/>
                <w:highlight w:val="none"/>
                <w:lang w:val="en-US" w:eastAsia="zh-CN"/>
              </w:rPr>
              <w:t>重复项目仅作一次统计。</w:t>
            </w:r>
          </w:p>
        </w:tc>
        <w:tc>
          <w:tcPr>
            <w:tcW w:w="1835"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40" w:lineRule="auto"/>
              <w:jc w:val="center"/>
              <w:rPr>
                <w:rFonts w:hint="eastAsia" w:asciiTheme="minorEastAsia" w:hAnsiTheme="minorEastAsia" w:eastAsiaTheme="minorEastAsia" w:cstheme="minorEastAsia"/>
                <w:color w:val="auto"/>
                <w:kern w:val="2"/>
                <w:sz w:val="22"/>
                <w:szCs w:val="22"/>
                <w:highlight w:val="none"/>
                <w:lang w:val="en-US" w:eastAsia="zh-CN"/>
              </w:rPr>
            </w:pPr>
            <w:r>
              <w:rPr>
                <w:rFonts w:hint="eastAsia" w:asciiTheme="minorEastAsia" w:hAnsiTheme="minorEastAsia" w:eastAsiaTheme="minorEastAsia" w:cstheme="minorEastAsia"/>
                <w:color w:val="auto"/>
                <w:kern w:val="2"/>
                <w:sz w:val="22"/>
                <w:szCs w:val="22"/>
                <w:highlight w:val="none"/>
                <w:lang w:val="en-US" w:eastAsia="zh-CN"/>
              </w:rPr>
              <w:t>提供合同复印件加盖公章（如相关合同涉及商业秘密，响应单位可自行隐去关键内容，体现合同签订时间、合同双方签字盖章即可）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296" w:hRule="atLeast"/>
          <w:jc w:val="center"/>
        </w:trPr>
        <w:tc>
          <w:tcPr>
            <w:tcW w:w="645" w:type="dxa"/>
            <w:shd w:val="clear" w:color="auto" w:fill="auto"/>
            <w:noWrap w:val="0"/>
            <w:tcMar>
              <w:top w:w="80" w:type="dxa"/>
              <w:left w:w="80" w:type="dxa"/>
              <w:bottom w:w="80" w:type="dxa"/>
              <w:right w:w="80" w:type="dxa"/>
            </w:tcMar>
            <w:vAlign w:val="center"/>
          </w:tcPr>
          <w:p>
            <w:pPr>
              <w:tabs>
                <w:tab w:val="left" w:pos="420"/>
              </w:tabs>
              <w:spacing w:before="0" w:line="240" w:lineRule="auto"/>
              <w:jc w:val="center"/>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6</w:t>
            </w:r>
          </w:p>
        </w:tc>
        <w:tc>
          <w:tcPr>
            <w:tcW w:w="1141" w:type="dxa"/>
            <w:shd w:val="clear" w:color="auto" w:fill="auto"/>
            <w:noWrap w:val="0"/>
            <w:tcMar>
              <w:top w:w="80" w:type="dxa"/>
              <w:left w:w="80" w:type="dxa"/>
              <w:bottom w:w="80" w:type="dxa"/>
              <w:right w:w="80" w:type="dxa"/>
            </w:tcMar>
            <w:vAlign w:val="center"/>
          </w:tcPr>
          <w:p>
            <w:pPr>
              <w:widowControl w:val="0"/>
              <w:tabs>
                <w:tab w:val="left" w:pos="420"/>
              </w:tabs>
              <w:spacing w:before="0" w:line="240" w:lineRule="auto"/>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响应文件编制质量</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3分</w:t>
            </w:r>
            <w:r>
              <w:rPr>
                <w:rFonts w:hint="eastAsia" w:asciiTheme="minorEastAsia" w:hAnsiTheme="minorEastAsia" w:eastAsiaTheme="minorEastAsia" w:cstheme="minorEastAsia"/>
                <w:color w:val="auto"/>
                <w:sz w:val="22"/>
                <w:szCs w:val="22"/>
                <w:lang w:eastAsia="zh-CN"/>
              </w:rPr>
              <w:t>）</w:t>
            </w:r>
          </w:p>
        </w:tc>
        <w:tc>
          <w:tcPr>
            <w:tcW w:w="5777"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rPr>
              <w:t>1</w:t>
            </w:r>
            <w:r>
              <w:rPr>
                <w:rFonts w:hint="eastAsia" w:asciiTheme="minorEastAsia" w:hAnsiTheme="minorEastAsia" w:eastAsiaTheme="minorEastAsia" w:cstheme="minorEastAsia"/>
                <w:color w:val="auto"/>
                <w:sz w:val="22"/>
                <w:szCs w:val="22"/>
              </w:rPr>
              <w:t>、响应文件有缺漏项或出现前后不一致但未导致实质性偏离的；</w:t>
            </w:r>
          </w:p>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rPr>
              <w:t>2</w:t>
            </w:r>
            <w:r>
              <w:rPr>
                <w:rFonts w:hint="eastAsia" w:asciiTheme="minorEastAsia" w:hAnsiTheme="minorEastAsia" w:eastAsiaTheme="minorEastAsia" w:cstheme="minorEastAsia"/>
                <w:color w:val="auto"/>
                <w:sz w:val="22"/>
                <w:szCs w:val="22"/>
              </w:rPr>
              <w:t>、响应文件资料扫描不清晰的；</w:t>
            </w:r>
          </w:p>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rPr>
              <w:t>3</w:t>
            </w:r>
            <w:r>
              <w:rPr>
                <w:rFonts w:hint="eastAsia" w:asciiTheme="minorEastAsia" w:hAnsiTheme="minorEastAsia" w:eastAsiaTheme="minorEastAsia" w:cstheme="minorEastAsia"/>
                <w:color w:val="auto"/>
                <w:sz w:val="22"/>
                <w:szCs w:val="22"/>
              </w:rPr>
              <w:t>、响应文件未按节点编排的。</w:t>
            </w:r>
          </w:p>
          <w:p>
            <w:pPr>
              <w:widowControl w:val="0"/>
              <w:tabs>
                <w:tab w:val="left" w:pos="420"/>
                <w:tab w:val="left" w:pos="840"/>
                <w:tab w:val="left" w:pos="1260"/>
                <w:tab w:val="left" w:pos="1680"/>
                <w:tab w:val="left" w:pos="2100"/>
                <w:tab w:val="left" w:pos="2520"/>
                <w:tab w:val="left" w:pos="2940"/>
                <w:tab w:val="left" w:pos="3360"/>
              </w:tabs>
              <w:spacing w:before="0" w:line="240" w:lineRule="auto"/>
              <w:jc w:val="both"/>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以上情况每出现一种扣</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rPr>
              <w:t>分，最低</w:t>
            </w:r>
            <w:r>
              <w:rPr>
                <w:rFonts w:hint="eastAsia" w:asciiTheme="minorEastAsia" w:hAnsiTheme="minorEastAsia" w:eastAsiaTheme="minorEastAsia" w:cstheme="minorEastAsia"/>
                <w:color w:val="auto"/>
                <w:sz w:val="22"/>
                <w:szCs w:val="22"/>
                <w:lang w:val="en-US"/>
              </w:rPr>
              <w:t>0</w:t>
            </w:r>
            <w:r>
              <w:rPr>
                <w:rFonts w:hint="eastAsia" w:asciiTheme="minorEastAsia" w:hAnsiTheme="minorEastAsia" w:eastAsiaTheme="minorEastAsia" w:cstheme="minorEastAsia"/>
                <w:color w:val="auto"/>
                <w:sz w:val="22"/>
                <w:szCs w:val="22"/>
              </w:rPr>
              <w:t>分。无上述情况本项得</w:t>
            </w: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rPr>
              <w:t>分。</w:t>
            </w:r>
          </w:p>
        </w:tc>
        <w:tc>
          <w:tcPr>
            <w:tcW w:w="1835" w:type="dxa"/>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40" w:lineRule="auto"/>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rPr>
              <w:t>提供完整投标文件，专家评审</w:t>
            </w:r>
          </w:p>
        </w:tc>
      </w:tr>
    </w:tbl>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2C589"/>
    <w:multiLevelType w:val="singleLevel"/>
    <w:tmpl w:val="E322C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10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Plain Text"/>
    <w:basedOn w:val="1"/>
    <w:next w:val="2"/>
    <w:unhideWhenUsed/>
    <w:qFormat/>
    <w:uiPriority w:val="99"/>
    <w:rPr>
      <w:rFonts w:hint="eastAsia" w:ascii="宋体" w:hAnsi="Courier New"/>
    </w:rPr>
  </w:style>
  <w:style w:type="table" w:customStyle="1" w:styleId="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2025-12-08T08:52:42Z</dcterms:created>
  <dc:creator>HUAWEI</dc:creator>
  <cp:lastModifiedBy>丫oцNg</cp:lastModifiedBy>
  <dcterms:modified xsi:type="dcterms:W3CDTF">2025-12-08T08:53:18Z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