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仿宋" w:hAnsi="仿宋" w:eastAsia="仿宋" w:cs="仿宋"/>
          <w:sz w:val="28"/>
          <w:szCs w:val="28"/>
        </w:rPr>
      </w:pPr>
      <w:bookmarkStart w:id="0" w:name="OLE_LINK3"/>
      <w:r>
        <w:rPr>
          <w:rFonts w:hint="eastAsia" w:ascii="仿宋" w:hAnsi="仿宋" w:eastAsia="仿宋" w:cs="仿宋"/>
          <w:sz w:val="32"/>
          <w:szCs w:val="32"/>
        </w:rPr>
        <w:t>附件1：报名资料格式</w:t>
      </w:r>
    </w:p>
    <w:bookmarkEnd w:id="0"/>
    <w:p>
      <w:pPr>
        <w:jc w:val="center"/>
        <w:rPr>
          <w:rFonts w:hint="eastAsia" w:ascii="仿宋" w:hAnsi="仿宋" w:eastAsia="仿宋" w:cs="仿宋"/>
          <w:sz w:val="28"/>
          <w:szCs w:val="28"/>
        </w:rPr>
      </w:pPr>
    </w:p>
    <w:p>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深圳市龙岗区水务局关于龙岗区龙岗河流域排水管网系统完善工程涉原水管安全评估服务单位</w:t>
      </w:r>
    </w:p>
    <w:p>
      <w:pPr>
        <w:pStyle w:val="8"/>
        <w:rPr>
          <w:rFonts w:hint="eastAsia" w:ascii="仿宋" w:hAnsi="仿宋" w:eastAsia="仿宋" w:cs="仿宋"/>
        </w:rPr>
      </w:pPr>
    </w:p>
    <w:p>
      <w:pPr>
        <w:ind w:firstLine="1760" w:firstLineChars="400"/>
        <w:jc w:val="center"/>
        <w:rPr>
          <w:rFonts w:hint="eastAsia" w:ascii="仿宋" w:hAnsi="仿宋" w:eastAsia="仿宋" w:cs="仿宋"/>
          <w:sz w:val="44"/>
          <w:szCs w:val="44"/>
        </w:rPr>
      </w:pPr>
    </w:p>
    <w:p>
      <w:pPr>
        <w:ind w:firstLine="3300" w:firstLineChars="750"/>
        <w:rPr>
          <w:rFonts w:hint="eastAsia" w:ascii="仿宋" w:hAnsi="仿宋" w:eastAsia="仿宋" w:cs="仿宋"/>
          <w:sz w:val="44"/>
          <w:szCs w:val="44"/>
        </w:rPr>
      </w:pPr>
      <w:r>
        <w:rPr>
          <w:rFonts w:hint="eastAsia" w:ascii="仿宋" w:hAnsi="仿宋" w:eastAsia="仿宋" w:cs="仿宋"/>
          <w:sz w:val="44"/>
          <w:szCs w:val="44"/>
        </w:rPr>
        <w:t>报名资料</w:t>
      </w:r>
    </w:p>
    <w:p>
      <w:pPr>
        <w:ind w:firstLine="645"/>
        <w:rPr>
          <w:rFonts w:hint="eastAsia" w:ascii="仿宋" w:hAnsi="仿宋" w:eastAsia="仿宋" w:cs="仿宋"/>
          <w:sz w:val="32"/>
          <w:szCs w:val="32"/>
        </w:rPr>
      </w:pPr>
    </w:p>
    <w:p>
      <w:pPr>
        <w:ind w:firstLine="645"/>
        <w:rPr>
          <w:rFonts w:hint="eastAsia" w:ascii="仿宋" w:hAnsi="仿宋" w:eastAsia="仿宋" w:cs="仿宋"/>
          <w:sz w:val="32"/>
          <w:szCs w:val="32"/>
        </w:rPr>
      </w:pPr>
    </w:p>
    <w:p>
      <w:pPr>
        <w:ind w:firstLine="645"/>
        <w:rPr>
          <w:rFonts w:hint="eastAsia" w:ascii="仿宋" w:hAnsi="仿宋" w:eastAsia="仿宋" w:cs="仿宋"/>
          <w:sz w:val="32"/>
          <w:szCs w:val="32"/>
        </w:rPr>
      </w:pPr>
    </w:p>
    <w:p>
      <w:pPr>
        <w:ind w:firstLine="645"/>
        <w:rPr>
          <w:rFonts w:hint="eastAsia" w:ascii="仿宋" w:hAnsi="仿宋" w:eastAsia="仿宋" w:cs="仿宋"/>
          <w:sz w:val="32"/>
          <w:szCs w:val="32"/>
        </w:rPr>
      </w:pPr>
    </w:p>
    <w:p>
      <w:pPr>
        <w:ind w:firstLine="645"/>
        <w:rPr>
          <w:rFonts w:hint="eastAsia" w:ascii="仿宋" w:hAnsi="仿宋" w:eastAsia="仿宋" w:cs="仿宋"/>
          <w:sz w:val="32"/>
          <w:szCs w:val="32"/>
        </w:rPr>
      </w:pPr>
    </w:p>
    <w:p>
      <w:pPr>
        <w:ind w:firstLine="645"/>
        <w:rPr>
          <w:rFonts w:hint="eastAsia" w:ascii="仿宋" w:hAnsi="仿宋" w:eastAsia="仿宋" w:cs="仿宋"/>
          <w:sz w:val="32"/>
          <w:szCs w:val="32"/>
        </w:rPr>
      </w:pPr>
    </w:p>
    <w:p>
      <w:pPr>
        <w:ind w:firstLine="645"/>
        <w:rPr>
          <w:rFonts w:hint="eastAsia" w:ascii="仿宋" w:hAnsi="仿宋" w:eastAsia="仿宋" w:cs="仿宋"/>
          <w:sz w:val="32"/>
          <w:szCs w:val="32"/>
        </w:rPr>
      </w:pPr>
    </w:p>
    <w:p>
      <w:pPr>
        <w:ind w:firstLine="645"/>
        <w:rPr>
          <w:rFonts w:hint="eastAsia" w:ascii="仿宋" w:hAnsi="仿宋" w:eastAsia="仿宋" w:cs="仿宋"/>
          <w:sz w:val="32"/>
          <w:szCs w:val="32"/>
        </w:rPr>
      </w:pPr>
      <w:r>
        <w:rPr>
          <w:rFonts w:hint="eastAsia" w:ascii="仿宋" w:hAnsi="仿宋" w:eastAsia="仿宋" w:cs="仿宋"/>
          <w:sz w:val="32"/>
          <w:szCs w:val="32"/>
        </w:rPr>
        <w:t>报名单位（公章）：</w:t>
      </w:r>
    </w:p>
    <w:p>
      <w:pPr>
        <w:ind w:firstLine="645"/>
        <w:rPr>
          <w:rFonts w:hint="eastAsia" w:ascii="仿宋" w:hAnsi="仿宋" w:eastAsia="仿宋" w:cs="仿宋"/>
          <w:sz w:val="32"/>
          <w:szCs w:val="32"/>
        </w:rPr>
      </w:pPr>
    </w:p>
    <w:p>
      <w:pPr>
        <w:ind w:firstLine="645"/>
        <w:rPr>
          <w:rFonts w:hint="eastAsia" w:ascii="仿宋" w:hAnsi="仿宋" w:eastAsia="仿宋" w:cs="仿宋"/>
          <w:sz w:val="32"/>
          <w:szCs w:val="32"/>
        </w:rPr>
      </w:pPr>
    </w:p>
    <w:p>
      <w:pPr>
        <w:widowControl/>
        <w:jc w:val="left"/>
        <w:rPr>
          <w:rFonts w:hint="eastAsia" w:ascii="仿宋" w:hAnsi="仿宋" w:eastAsia="仿宋" w:cs="仿宋"/>
          <w:sz w:val="32"/>
          <w:szCs w:val="32"/>
        </w:rPr>
      </w:pPr>
      <w:r>
        <w:rPr>
          <w:rFonts w:hint="eastAsia" w:ascii="仿宋" w:hAnsi="仿宋" w:eastAsia="仿宋" w:cs="仿宋"/>
          <w:sz w:val="32"/>
          <w:szCs w:val="32"/>
        </w:rPr>
        <w:br w:type="page"/>
      </w:r>
    </w:p>
    <w:p>
      <w:pPr>
        <w:rPr>
          <w:rFonts w:hint="eastAsia" w:ascii="仿宋" w:hAnsi="仿宋" w:eastAsia="仿宋" w:cs="仿宋"/>
          <w:sz w:val="32"/>
          <w:szCs w:val="32"/>
        </w:rPr>
      </w:pPr>
      <w:r>
        <w:rPr>
          <w:rFonts w:hint="eastAsia" w:ascii="仿宋" w:hAnsi="仿宋" w:eastAsia="仿宋" w:cs="仿宋"/>
          <w:sz w:val="32"/>
          <w:szCs w:val="32"/>
        </w:rPr>
        <w:t>一、合格有效的企业营业执照副本复印件</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widowControl/>
        <w:jc w:val="left"/>
        <w:rPr>
          <w:rFonts w:hint="eastAsia" w:ascii="仿宋" w:hAnsi="仿宋" w:eastAsia="仿宋" w:cs="仿宋"/>
          <w:sz w:val="32"/>
          <w:szCs w:val="32"/>
        </w:rPr>
      </w:pPr>
      <w:r>
        <w:rPr>
          <w:rFonts w:hint="eastAsia" w:ascii="仿宋" w:hAnsi="仿宋" w:eastAsia="仿宋" w:cs="仿宋"/>
          <w:sz w:val="32"/>
          <w:szCs w:val="32"/>
        </w:rPr>
        <w:br w:type="page"/>
      </w:r>
    </w:p>
    <w:p>
      <w:pPr>
        <w:rPr>
          <w:rFonts w:hint="eastAsia" w:ascii="仿宋" w:hAnsi="仿宋" w:eastAsia="仿宋" w:cs="仿宋"/>
          <w:sz w:val="32"/>
          <w:szCs w:val="32"/>
        </w:rPr>
      </w:pPr>
      <w:r>
        <w:rPr>
          <w:rFonts w:hint="eastAsia" w:ascii="仿宋" w:hAnsi="仿宋" w:eastAsia="仿宋" w:cs="仿宋"/>
          <w:sz w:val="32"/>
          <w:szCs w:val="32"/>
        </w:rPr>
        <w:t>二、法定代表人证明书原件、法人代表身份证复印件、法定代表人授权委托书原件（如报名代表是法定代表人则无需）、授权代理人身份证复印件（如报名代表是法定代表人则无需）、授权代理人的联系方式信息</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widowControl/>
        <w:jc w:val="left"/>
        <w:rPr>
          <w:rFonts w:hint="eastAsia" w:ascii="仿宋" w:hAnsi="仿宋" w:eastAsia="仿宋" w:cs="仿宋"/>
          <w:sz w:val="32"/>
          <w:szCs w:val="32"/>
        </w:rPr>
      </w:pPr>
      <w:r>
        <w:rPr>
          <w:rFonts w:hint="eastAsia" w:ascii="仿宋" w:hAnsi="仿宋" w:eastAsia="仿宋" w:cs="仿宋"/>
          <w:sz w:val="32"/>
          <w:szCs w:val="32"/>
        </w:rPr>
        <w:br w:type="page"/>
      </w:r>
    </w:p>
    <w:p>
      <w:pPr>
        <w:rPr>
          <w:rFonts w:hint="eastAsia" w:ascii="仿宋" w:hAnsi="仿宋" w:eastAsia="仿宋" w:cs="仿宋"/>
          <w:sz w:val="32"/>
          <w:szCs w:val="32"/>
        </w:rPr>
      </w:pPr>
      <w:r>
        <w:rPr>
          <w:rFonts w:hint="eastAsia" w:ascii="仿宋" w:hAnsi="仿宋" w:eastAsia="仿宋" w:cs="仿宋"/>
          <w:sz w:val="32"/>
          <w:szCs w:val="32"/>
        </w:rPr>
        <w:t>三、承诺书</w:t>
      </w:r>
    </w:p>
    <w:p>
      <w:pPr>
        <w:jc w:val="center"/>
        <w:rPr>
          <w:rFonts w:hint="eastAsia" w:ascii="仿宋" w:hAnsi="仿宋" w:eastAsia="仿宋" w:cs="仿宋"/>
          <w:sz w:val="44"/>
          <w:szCs w:val="44"/>
        </w:rPr>
      </w:pPr>
      <w:r>
        <w:rPr>
          <w:rFonts w:hint="eastAsia" w:ascii="仿宋" w:hAnsi="仿宋" w:eastAsia="仿宋" w:cs="仿宋"/>
          <w:sz w:val="44"/>
          <w:szCs w:val="44"/>
        </w:rPr>
        <w:t>承 诺 书</w:t>
      </w:r>
    </w:p>
    <w:p>
      <w:pPr>
        <w:rPr>
          <w:rFonts w:hint="eastAsia" w:ascii="仿宋" w:hAnsi="仿宋" w:eastAsia="仿宋" w:cs="仿宋"/>
          <w:sz w:val="32"/>
          <w:szCs w:val="32"/>
        </w:rPr>
      </w:pPr>
    </w:p>
    <w:p>
      <w:pPr>
        <w:spacing w:line="560" w:lineRule="exact"/>
        <w:rPr>
          <w:rFonts w:hint="eastAsia" w:ascii="仿宋" w:hAnsi="仿宋" w:eastAsia="仿宋" w:cs="仿宋"/>
          <w:sz w:val="32"/>
          <w:szCs w:val="32"/>
        </w:rPr>
      </w:pPr>
      <w:r>
        <w:rPr>
          <w:rFonts w:hint="eastAsia" w:ascii="仿宋" w:hAnsi="仿宋" w:eastAsia="仿宋" w:cs="仿宋"/>
          <w:sz w:val="32"/>
          <w:szCs w:val="32"/>
        </w:rPr>
        <w:t>深圳市龙岗区水务局：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经我司研究考虑，有意向参与</w:t>
      </w:r>
      <w:r>
        <w:rPr>
          <w:rStyle w:val="21"/>
          <w:rFonts w:hint="eastAsia" w:ascii="仿宋" w:hAnsi="仿宋" w:eastAsia="仿宋" w:cs="仿宋"/>
          <w:color w:val="auto"/>
        </w:rPr>
        <w:t>龙岗区水务局关于</w:t>
      </w:r>
      <w:r>
        <w:rPr>
          <w:rFonts w:hint="eastAsia" w:ascii="仿宋" w:hAnsi="仿宋" w:eastAsia="仿宋" w:cs="仿宋"/>
          <w:sz w:val="32"/>
          <w:szCs w:val="32"/>
        </w:rPr>
        <w:t>龙岗区龙岗河流域排水管网系统完善工程涉原水管安全评估服务单位的报名，并承诺如下：</w:t>
      </w:r>
    </w:p>
    <w:p>
      <w:pPr>
        <w:spacing w:line="560" w:lineRule="exact"/>
        <w:ind w:firstLine="645"/>
        <w:rPr>
          <w:rFonts w:hint="eastAsia" w:ascii="仿宋" w:hAnsi="仿宋" w:eastAsia="仿宋" w:cs="仿宋"/>
          <w:sz w:val="32"/>
          <w:szCs w:val="32"/>
        </w:rPr>
      </w:pPr>
      <w:r>
        <w:rPr>
          <w:rFonts w:hint="eastAsia" w:ascii="仿宋" w:hAnsi="仿宋" w:eastAsia="仿宋" w:cs="仿宋"/>
          <w:sz w:val="32"/>
          <w:szCs w:val="32"/>
        </w:rPr>
        <w:t>一、我司不以任何形式转包、挂靠参与本次报名，一旦我司成为承包商，将全力以赴按照项目要求完成相关工作。</w:t>
      </w:r>
    </w:p>
    <w:p>
      <w:pPr>
        <w:spacing w:line="560" w:lineRule="exact"/>
        <w:ind w:firstLine="645"/>
        <w:rPr>
          <w:rFonts w:hint="eastAsia" w:ascii="仿宋" w:hAnsi="仿宋" w:eastAsia="仿宋" w:cs="仿宋"/>
          <w:sz w:val="32"/>
          <w:szCs w:val="32"/>
        </w:rPr>
      </w:pPr>
      <w:r>
        <w:rPr>
          <w:rFonts w:hint="eastAsia" w:ascii="仿宋" w:hAnsi="仿宋" w:eastAsia="仿宋" w:cs="仿宋"/>
          <w:sz w:val="32"/>
          <w:szCs w:val="32"/>
        </w:rPr>
        <w:t>二、我司认真阅读了关于龙岗区龙岗河流域排水管网系统完善工程涉原水管安全评估委托服务单位的方案内容，对此无任何异议。</w:t>
      </w:r>
    </w:p>
    <w:p>
      <w:pPr>
        <w:spacing w:line="560" w:lineRule="exact"/>
        <w:ind w:firstLine="645"/>
        <w:rPr>
          <w:rFonts w:hint="eastAsia" w:ascii="仿宋" w:hAnsi="仿宋" w:eastAsia="仿宋" w:cs="仿宋"/>
          <w:sz w:val="32"/>
          <w:szCs w:val="32"/>
        </w:rPr>
      </w:pPr>
      <w:r>
        <w:rPr>
          <w:rFonts w:hint="eastAsia" w:ascii="仿宋" w:hAnsi="仿宋" w:eastAsia="仿宋" w:cs="仿宋"/>
          <w:sz w:val="32"/>
          <w:szCs w:val="32"/>
        </w:rPr>
        <w:t>三、我司根据企业自身情况，理性报价，不会以低于成本予以报价，否则，我司愿意承担任何风险。</w:t>
      </w:r>
    </w:p>
    <w:p>
      <w:pPr>
        <w:spacing w:line="560" w:lineRule="exact"/>
        <w:ind w:firstLine="645"/>
        <w:rPr>
          <w:rFonts w:hint="eastAsia" w:ascii="仿宋" w:hAnsi="仿宋" w:eastAsia="仿宋" w:cs="仿宋"/>
          <w:sz w:val="32"/>
          <w:szCs w:val="32"/>
        </w:rPr>
      </w:pPr>
      <w:r>
        <w:rPr>
          <w:rFonts w:hint="eastAsia" w:ascii="仿宋" w:hAnsi="仿宋" w:eastAsia="仿宋" w:cs="仿宋"/>
          <w:sz w:val="32"/>
          <w:szCs w:val="32"/>
        </w:rPr>
        <w:t>四、我司严格执行廉政建设相关要求，严禁采用贿赂、恐吓等不法手段成为承包商。</w:t>
      </w:r>
    </w:p>
    <w:p>
      <w:pPr>
        <w:spacing w:line="560" w:lineRule="exact"/>
        <w:ind w:firstLine="645"/>
        <w:rPr>
          <w:rFonts w:hint="eastAsia" w:ascii="仿宋" w:hAnsi="仿宋" w:eastAsia="仿宋" w:cs="仿宋"/>
          <w:sz w:val="32"/>
          <w:szCs w:val="32"/>
        </w:rPr>
      </w:pPr>
      <w:r>
        <w:rPr>
          <w:rFonts w:hint="eastAsia" w:ascii="仿宋" w:hAnsi="仿宋" w:eastAsia="仿宋" w:cs="仿宋"/>
          <w:sz w:val="32"/>
          <w:szCs w:val="32"/>
        </w:rPr>
        <w:t>五、我司提供相关资料全部真实（纸质版文件与电子版文件内容一致），并对其真实性负责。</w:t>
      </w:r>
    </w:p>
    <w:p>
      <w:pPr>
        <w:spacing w:line="560" w:lineRule="exact"/>
        <w:ind w:firstLine="645"/>
        <w:rPr>
          <w:rFonts w:hint="eastAsia"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pPr>
        <w:spacing w:line="560" w:lineRule="exact"/>
        <w:jc w:val="right"/>
        <w:rPr>
          <w:rFonts w:hint="eastAsia" w:ascii="仿宋" w:hAnsi="仿宋" w:eastAsia="仿宋" w:cs="仿宋"/>
          <w:sz w:val="32"/>
          <w:szCs w:val="32"/>
        </w:rPr>
      </w:pPr>
    </w:p>
    <w:p>
      <w:pPr>
        <w:spacing w:line="560" w:lineRule="exact"/>
        <w:jc w:val="right"/>
        <w:rPr>
          <w:rFonts w:hint="eastAsia" w:ascii="仿宋" w:hAnsi="仿宋" w:eastAsia="仿宋" w:cs="仿宋"/>
          <w:sz w:val="32"/>
          <w:szCs w:val="32"/>
        </w:rPr>
      </w:pPr>
      <w:r>
        <w:rPr>
          <w:rFonts w:hint="eastAsia" w:ascii="仿宋" w:hAnsi="仿宋" w:eastAsia="仿宋" w:cs="仿宋"/>
          <w:sz w:val="32"/>
          <w:szCs w:val="32"/>
        </w:rPr>
        <w:t>承诺人：（盖公章）</w:t>
      </w:r>
    </w:p>
    <w:p>
      <w:pPr>
        <w:rPr>
          <w:rFonts w:hint="eastAsia" w:ascii="仿宋" w:hAnsi="仿宋" w:eastAsia="仿宋" w:cs="仿宋"/>
          <w:sz w:val="32"/>
          <w:szCs w:val="32"/>
        </w:rPr>
      </w:pPr>
      <w:r>
        <w:rPr>
          <w:rFonts w:hint="eastAsia" w:ascii="仿宋" w:hAnsi="仿宋" w:eastAsia="仿宋" w:cs="仿宋"/>
          <w:sz w:val="32"/>
          <w:szCs w:val="32"/>
        </w:rPr>
        <w:br w:type="page"/>
      </w:r>
    </w:p>
    <w:p>
      <w:pPr>
        <w:rPr>
          <w:rFonts w:hint="eastAsia" w:ascii="仿宋" w:hAnsi="仿宋" w:eastAsia="仿宋" w:cs="仿宋"/>
          <w:sz w:val="32"/>
          <w:szCs w:val="32"/>
        </w:rPr>
      </w:pPr>
      <w:r>
        <w:rPr>
          <w:rFonts w:hint="eastAsia" w:ascii="仿宋" w:hAnsi="仿宋" w:eastAsia="仿宋" w:cs="仿宋"/>
          <w:sz w:val="32"/>
          <w:szCs w:val="32"/>
        </w:rPr>
        <w:t>四、廉政承诺书</w:t>
      </w: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r>
        <w:rPr>
          <w:rFonts w:hint="eastAsia" w:ascii="仿宋" w:hAnsi="仿宋" w:eastAsia="仿宋" w:cs="仿宋"/>
          <w:sz w:val="44"/>
          <w:szCs w:val="44"/>
        </w:rPr>
        <w:t>廉政责任承诺书</w:t>
      </w:r>
    </w:p>
    <w:p>
      <w:pPr>
        <w:pStyle w:val="8"/>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深圳市龙岗区水务局：</w:t>
      </w:r>
    </w:p>
    <w:p>
      <w:pPr>
        <w:spacing w:before="319" w:beforeLines="100" w:line="360" w:lineRule="auto"/>
        <w:ind w:firstLine="688" w:firstLineChars="215"/>
        <w:rPr>
          <w:rFonts w:hint="eastAsia" w:ascii="仿宋" w:hAnsi="仿宋" w:eastAsia="仿宋" w:cs="仿宋"/>
          <w:sz w:val="32"/>
          <w:szCs w:val="32"/>
        </w:rPr>
      </w:pPr>
      <w:r>
        <w:rPr>
          <w:rFonts w:hint="eastAsia" w:ascii="仿宋" w:hAnsi="仿宋" w:eastAsia="仿宋" w:cs="仿宋"/>
          <w:sz w:val="32"/>
          <w:szCs w:val="32"/>
        </w:rPr>
        <w:t>我司有意向参与</w:t>
      </w:r>
      <w:r>
        <w:rPr>
          <w:rStyle w:val="21"/>
          <w:rFonts w:hint="eastAsia" w:ascii="仿宋" w:hAnsi="仿宋" w:eastAsia="仿宋" w:cs="仿宋"/>
          <w:color w:val="auto"/>
        </w:rPr>
        <w:t>龙岗区龙岗河流域排水管网系统完善工程涉原水管安全评估</w:t>
      </w:r>
      <w:r>
        <w:rPr>
          <w:rFonts w:hint="eastAsia" w:ascii="仿宋" w:hAnsi="仿宋" w:eastAsia="仿宋" w:cs="仿宋"/>
          <w:sz w:val="32"/>
          <w:szCs w:val="32"/>
        </w:rPr>
        <w:t>服务单位的报名，并且完全愿意按照承诺书要求作出承诺，同时在廉政责任方面作出如下承诺：</w:t>
      </w:r>
    </w:p>
    <w:p>
      <w:pPr>
        <w:topLinePunct/>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我方将遵守廉政建设各项规定，规范自身廉政行为，保证在征集过程中及成为承包商后不发生不廉洁行为。</w:t>
      </w:r>
    </w:p>
    <w:p>
      <w:pPr>
        <w:topLinePunct/>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pPr>
        <w:jc w:val="right"/>
        <w:rPr>
          <w:rFonts w:hint="eastAsia" w:ascii="仿宋" w:hAnsi="仿宋" w:eastAsia="仿宋" w:cs="仿宋"/>
          <w:sz w:val="32"/>
          <w:szCs w:val="32"/>
        </w:rPr>
      </w:pPr>
    </w:p>
    <w:p>
      <w:pPr>
        <w:jc w:val="right"/>
        <w:rPr>
          <w:rFonts w:hint="eastAsia" w:ascii="仿宋" w:hAnsi="仿宋" w:eastAsia="仿宋" w:cs="仿宋"/>
          <w:sz w:val="32"/>
          <w:szCs w:val="32"/>
        </w:rPr>
      </w:pPr>
    </w:p>
    <w:p>
      <w:pPr>
        <w:jc w:val="right"/>
        <w:rPr>
          <w:rFonts w:hint="eastAsia" w:ascii="仿宋" w:hAnsi="仿宋" w:eastAsia="仿宋" w:cs="仿宋"/>
          <w:sz w:val="32"/>
          <w:szCs w:val="32"/>
        </w:rPr>
      </w:pPr>
    </w:p>
    <w:p>
      <w:pPr>
        <w:jc w:val="right"/>
        <w:rPr>
          <w:rFonts w:hint="eastAsia" w:ascii="仿宋" w:hAnsi="仿宋" w:eastAsia="仿宋" w:cs="仿宋"/>
          <w:spacing w:val="6"/>
          <w:kern w:val="11"/>
          <w:sz w:val="32"/>
          <w:szCs w:val="32"/>
        </w:rPr>
      </w:pPr>
      <w:r>
        <w:rPr>
          <w:rFonts w:hint="eastAsia" w:ascii="仿宋" w:hAnsi="仿宋" w:eastAsia="仿宋" w:cs="仿宋"/>
          <w:sz w:val="32"/>
          <w:szCs w:val="32"/>
        </w:rPr>
        <w:t>承诺人：（盖公章）</w:t>
      </w:r>
      <w:r>
        <w:rPr>
          <w:rFonts w:hint="eastAsia" w:ascii="仿宋" w:hAnsi="仿宋" w:eastAsia="仿宋" w:cs="仿宋"/>
          <w:sz w:val="32"/>
          <w:szCs w:val="32"/>
          <w:u w:val="single"/>
        </w:rPr>
        <w:t xml:space="preserve">   </w:t>
      </w:r>
    </w:p>
    <w:p>
      <w:pPr>
        <w:adjustRightInd w:val="0"/>
        <w:snapToGrid w:val="0"/>
        <w:spacing w:line="300" w:lineRule="auto"/>
        <w:ind w:right="378"/>
        <w:rPr>
          <w:rFonts w:hint="eastAsia" w:ascii="仿宋" w:hAnsi="仿宋" w:eastAsia="仿宋" w:cs="仿宋"/>
          <w:sz w:val="32"/>
          <w:szCs w:val="32"/>
          <w:u w:val="single"/>
        </w:rPr>
      </w:pPr>
    </w:p>
    <w:p>
      <w:pPr>
        <w:rPr>
          <w:rFonts w:hint="eastAsia" w:ascii="仿宋" w:hAnsi="仿宋" w:eastAsia="仿宋" w:cs="仿宋"/>
          <w:sz w:val="32"/>
          <w:szCs w:val="32"/>
        </w:rPr>
      </w:pPr>
      <w:r>
        <w:rPr>
          <w:rFonts w:hint="eastAsia" w:ascii="仿宋" w:hAnsi="仿宋" w:eastAsia="仿宋" w:cs="仿宋"/>
          <w:sz w:val="32"/>
          <w:szCs w:val="32"/>
        </w:rPr>
        <w:br w:type="page"/>
      </w:r>
      <w:bookmarkStart w:id="1" w:name="_GoBack"/>
      <w:bookmarkEnd w:id="1"/>
    </w:p>
    <w:p>
      <w:pPr>
        <w:rPr>
          <w:rFonts w:hint="eastAsia" w:ascii="仿宋" w:hAnsi="仿宋" w:eastAsia="仿宋" w:cs="仿宋"/>
          <w:sz w:val="32"/>
          <w:szCs w:val="32"/>
        </w:rPr>
      </w:pPr>
      <w:r>
        <w:rPr>
          <w:rFonts w:hint="eastAsia" w:ascii="仿宋" w:hAnsi="仿宋" w:eastAsia="仿宋" w:cs="仿宋"/>
          <w:sz w:val="32"/>
          <w:szCs w:val="32"/>
        </w:rPr>
        <w:t>五、拟投入人员班子一览表</w:t>
      </w:r>
    </w:p>
    <w:p>
      <w:pP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六、供征集单位择优的相关材料</w:t>
      </w:r>
    </w:p>
    <w:p>
      <w:pPr>
        <w:widowControl/>
        <w:jc w:val="left"/>
        <w:rPr>
          <w:rFonts w:hint="eastAsia" w:ascii="仿宋" w:hAnsi="仿宋" w:eastAsia="仿宋" w:cs="仿宋"/>
          <w:sz w:val="32"/>
          <w:szCs w:val="32"/>
        </w:rPr>
      </w:pPr>
      <w:r>
        <w:rPr>
          <w:rFonts w:hint="eastAsia" w:ascii="仿宋" w:hAnsi="仿宋" w:eastAsia="仿宋" w:cs="仿宋"/>
          <w:sz w:val="32"/>
          <w:szCs w:val="32"/>
        </w:rPr>
        <w:t>（一）投标报价：提供报价书；</w:t>
      </w:r>
    </w:p>
    <w:p>
      <w:pPr>
        <w:spacing w:before="100" w:after="159" w:afterLines="50" w:line="360" w:lineRule="auto"/>
        <w:jc w:val="center"/>
        <w:rPr>
          <w:rFonts w:hint="eastAsia" w:ascii="仿宋" w:hAnsi="仿宋" w:eastAsia="仿宋" w:cs="仿宋"/>
          <w:b/>
          <w:kern w:val="0"/>
          <w:sz w:val="32"/>
          <w:szCs w:val="32"/>
        </w:rPr>
      </w:pPr>
      <w:r>
        <w:rPr>
          <w:rFonts w:hint="eastAsia" w:ascii="仿宋" w:hAnsi="仿宋" w:eastAsia="仿宋" w:cs="仿宋"/>
          <w:b/>
          <w:snapToGrid w:val="0"/>
          <w:kern w:val="0"/>
          <w:sz w:val="32"/>
          <w:szCs w:val="32"/>
          <w:lang w:bidi="ar"/>
        </w:rPr>
        <w:t>报 价 书</w:t>
      </w:r>
    </w:p>
    <w:tbl>
      <w:tblPr>
        <w:tblStyle w:val="16"/>
        <w:tblW w:w="9856" w:type="dxa"/>
        <w:jc w:val="center"/>
        <w:tblLayout w:type="fixed"/>
        <w:tblCellMar>
          <w:top w:w="0" w:type="dxa"/>
          <w:left w:w="108" w:type="dxa"/>
          <w:bottom w:w="0" w:type="dxa"/>
          <w:right w:w="108" w:type="dxa"/>
        </w:tblCellMar>
      </w:tblPr>
      <w:tblGrid>
        <w:gridCol w:w="781"/>
        <w:gridCol w:w="2727"/>
        <w:gridCol w:w="1787"/>
        <w:gridCol w:w="1695"/>
        <w:gridCol w:w="1695"/>
        <w:gridCol w:w="1171"/>
      </w:tblGrid>
      <w:tr>
        <w:tblPrEx>
          <w:tblCellMar>
            <w:top w:w="0" w:type="dxa"/>
            <w:left w:w="108" w:type="dxa"/>
            <w:bottom w:w="0" w:type="dxa"/>
            <w:right w:w="108" w:type="dxa"/>
          </w:tblCellMar>
        </w:tblPrEx>
        <w:trPr>
          <w:trHeight w:val="72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sz w:val="24"/>
                <w:szCs w:val="24"/>
              </w:rPr>
            </w:pPr>
            <w:r>
              <w:rPr>
                <w:rFonts w:hint="eastAsia" w:ascii="仿宋" w:hAnsi="仿宋" w:eastAsia="仿宋" w:cs="仿宋"/>
                <w:b/>
                <w:sz w:val="24"/>
                <w:szCs w:val="24"/>
                <w:lang w:bidi="ar"/>
              </w:rPr>
              <w:t>序号</w:t>
            </w:r>
          </w:p>
        </w:tc>
        <w:tc>
          <w:tcPr>
            <w:tcW w:w="2727" w:type="dxa"/>
            <w:tcBorders>
              <w:top w:val="single" w:color="auto" w:sz="4" w:space="0"/>
              <w:left w:val="nil"/>
              <w:bottom w:val="single" w:color="auto" w:sz="4" w:space="0"/>
              <w:right w:val="single" w:color="auto" w:sz="4" w:space="0"/>
            </w:tcBorders>
            <w:vAlign w:val="center"/>
          </w:tcPr>
          <w:p>
            <w:pPr>
              <w:snapToGrid w:val="0"/>
              <w:jc w:val="center"/>
              <w:rPr>
                <w:rFonts w:hint="eastAsia" w:ascii="仿宋" w:hAnsi="仿宋" w:eastAsia="仿宋" w:cs="仿宋"/>
                <w:b/>
                <w:sz w:val="24"/>
                <w:szCs w:val="24"/>
              </w:rPr>
            </w:pPr>
            <w:r>
              <w:rPr>
                <w:rFonts w:hint="eastAsia" w:ascii="仿宋" w:hAnsi="仿宋" w:eastAsia="仿宋" w:cs="仿宋"/>
                <w:b/>
                <w:sz w:val="24"/>
                <w:szCs w:val="24"/>
                <w:lang w:bidi="ar"/>
              </w:rPr>
              <w:t>项 目 名 称</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sz w:val="24"/>
                <w:szCs w:val="24"/>
              </w:rPr>
            </w:pPr>
            <w:r>
              <w:rPr>
                <w:rFonts w:hint="eastAsia" w:ascii="仿宋" w:hAnsi="仿宋" w:eastAsia="仿宋" w:cs="仿宋"/>
                <w:b/>
                <w:sz w:val="24"/>
                <w:szCs w:val="24"/>
                <w:lang w:bidi="ar"/>
              </w:rPr>
              <w:t>发包估价    （万元）</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sz w:val="24"/>
                <w:szCs w:val="24"/>
                <w:lang w:bidi="ar"/>
              </w:rPr>
            </w:pPr>
            <w:r>
              <w:rPr>
                <w:rFonts w:hint="eastAsia" w:ascii="仿宋" w:hAnsi="仿宋" w:eastAsia="仿宋" w:cs="仿宋"/>
                <w:b/>
                <w:sz w:val="24"/>
                <w:szCs w:val="24"/>
                <w:lang w:bidi="ar"/>
              </w:rPr>
              <w:t>报价下浮率</w:t>
            </w:r>
          </w:p>
          <w:p>
            <w:pPr>
              <w:snapToGrid w:val="0"/>
              <w:jc w:val="center"/>
              <w:rPr>
                <w:rFonts w:hint="eastAsia" w:ascii="仿宋" w:hAnsi="仿宋" w:eastAsia="仿宋" w:cs="仿宋"/>
                <w:b/>
                <w:sz w:val="24"/>
                <w:szCs w:val="24"/>
                <w:lang w:bidi="ar"/>
              </w:rPr>
            </w:pPr>
            <w:r>
              <w:rPr>
                <w:rFonts w:hint="eastAsia" w:ascii="仿宋" w:hAnsi="仿宋" w:eastAsia="仿宋" w:cs="仿宋"/>
                <w:b/>
                <w:sz w:val="24"/>
                <w:szCs w:val="24"/>
                <w:lang w:bidi="ar"/>
              </w:rPr>
              <w:t>（%）</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sz w:val="24"/>
                <w:szCs w:val="24"/>
              </w:rPr>
            </w:pPr>
            <w:r>
              <w:rPr>
                <w:rFonts w:hint="eastAsia" w:ascii="仿宋" w:hAnsi="仿宋" w:eastAsia="仿宋" w:cs="仿宋"/>
                <w:b/>
                <w:sz w:val="24"/>
                <w:szCs w:val="24"/>
                <w:lang w:bidi="ar"/>
              </w:rPr>
              <w:t>报价</w:t>
            </w:r>
          </w:p>
          <w:p>
            <w:pPr>
              <w:snapToGrid w:val="0"/>
              <w:jc w:val="center"/>
              <w:rPr>
                <w:rFonts w:hint="eastAsia" w:ascii="仿宋" w:hAnsi="仿宋" w:eastAsia="仿宋" w:cs="仿宋"/>
                <w:b/>
                <w:sz w:val="24"/>
                <w:szCs w:val="24"/>
              </w:rPr>
            </w:pPr>
            <w:r>
              <w:rPr>
                <w:rFonts w:hint="eastAsia" w:ascii="仿宋" w:hAnsi="仿宋" w:eastAsia="仿宋" w:cs="仿宋"/>
                <w:b/>
                <w:sz w:val="24"/>
                <w:szCs w:val="24"/>
                <w:lang w:bidi="ar"/>
              </w:rPr>
              <w:t>（万元）</w:t>
            </w: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sz w:val="24"/>
                <w:szCs w:val="24"/>
              </w:rPr>
            </w:pPr>
            <w:r>
              <w:rPr>
                <w:rFonts w:hint="eastAsia" w:ascii="仿宋" w:hAnsi="仿宋" w:eastAsia="仿宋" w:cs="仿宋"/>
                <w:b/>
                <w:sz w:val="24"/>
                <w:szCs w:val="24"/>
                <w:lang w:bidi="ar"/>
              </w:rPr>
              <w:t>备注</w:t>
            </w:r>
          </w:p>
        </w:tc>
      </w:tr>
      <w:tr>
        <w:tblPrEx>
          <w:tblCellMar>
            <w:top w:w="0" w:type="dxa"/>
            <w:left w:w="108" w:type="dxa"/>
            <w:bottom w:w="0" w:type="dxa"/>
            <w:right w:w="108" w:type="dxa"/>
          </w:tblCellMar>
        </w:tblPrEx>
        <w:trPr>
          <w:trHeight w:val="1940"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rPr>
            </w:pPr>
            <w:r>
              <w:rPr>
                <w:rFonts w:hint="eastAsia" w:ascii="仿宋" w:hAnsi="仿宋" w:eastAsia="仿宋" w:cs="仿宋"/>
                <w:lang w:bidi="ar"/>
              </w:rPr>
              <w:t>1</w:t>
            </w:r>
          </w:p>
        </w:tc>
        <w:tc>
          <w:tcPr>
            <w:tcW w:w="2727" w:type="dxa"/>
            <w:tcBorders>
              <w:top w:val="single" w:color="auto" w:sz="4" w:space="0"/>
              <w:left w:val="nil"/>
              <w:bottom w:val="single" w:color="auto" w:sz="4" w:space="0"/>
              <w:right w:val="single" w:color="auto" w:sz="4" w:space="0"/>
            </w:tcBorders>
            <w:vAlign w:val="center"/>
          </w:tcPr>
          <w:p>
            <w:pPr>
              <w:snapToGrid w:val="0"/>
              <w:ind w:left="-8" w:leftChars="-4"/>
              <w:jc w:val="center"/>
              <w:rPr>
                <w:rFonts w:hint="eastAsia" w:ascii="仿宋" w:hAnsi="仿宋" w:eastAsia="仿宋" w:cs="仿宋"/>
                <w:lang w:bidi="ar"/>
              </w:rPr>
            </w:pPr>
            <w:r>
              <w:rPr>
                <w:rFonts w:hint="eastAsia" w:ascii="仿宋" w:hAnsi="仿宋" w:eastAsia="仿宋" w:cs="仿宋"/>
                <w:lang w:bidi="ar"/>
              </w:rPr>
              <w:t>龙岗区龙岗河流域排水管网系统完善工程涉原水管安全评估</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ind w:left="-8" w:leftChars="-4"/>
              <w:jc w:val="center"/>
              <w:rPr>
                <w:rFonts w:hint="eastAsia" w:ascii="仿宋" w:hAnsi="仿宋" w:eastAsia="仿宋" w:cs="仿宋"/>
                <w:lang w:bidi="ar"/>
              </w:rPr>
            </w:pPr>
            <w:r>
              <w:rPr>
                <w:rFonts w:hint="eastAsia" w:ascii="仿宋" w:hAnsi="仿宋" w:eastAsia="仿宋" w:cs="仿宋"/>
                <w:lang w:bidi="ar"/>
              </w:rPr>
              <w:t>35.19</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rPr>
            </w:pPr>
          </w:p>
        </w:tc>
      </w:tr>
    </w:tbl>
    <w:p>
      <w:pPr>
        <w:jc w:val="left"/>
        <w:rPr>
          <w:lang w:bidi="ar"/>
        </w:rPr>
      </w:pPr>
    </w:p>
    <w:p>
      <w:pPr>
        <w:adjustRightInd w:val="0"/>
        <w:snapToGrid w:val="0"/>
        <w:spacing w:after="159" w:afterLines="50" w:line="360" w:lineRule="auto"/>
        <w:ind w:firstLine="420" w:firstLineChars="200"/>
        <w:jc w:val="left"/>
        <w:rPr>
          <w:rFonts w:hint="eastAsia" w:ascii="仿宋" w:hAnsi="仿宋" w:eastAsia="仿宋" w:cs="仿宋"/>
          <w:snapToGrid w:val="0"/>
          <w:lang w:bidi="ar"/>
        </w:rPr>
      </w:pPr>
      <w:r>
        <w:rPr>
          <w:rFonts w:hint="eastAsia" w:ascii="仿宋" w:hAnsi="仿宋" w:eastAsia="仿宋" w:cs="仿宋"/>
          <w:snapToGrid w:val="0"/>
          <w:lang w:bidi="ar"/>
        </w:rPr>
        <w:t>注：1.报名单位报价采用自主报价方式，仅报下浮率及投标总价，下浮率范围为≥10%，招标估价为</w:t>
      </w:r>
      <w:r>
        <w:rPr>
          <w:rFonts w:hint="eastAsia" w:ascii="仿宋" w:hAnsi="仿宋" w:eastAsia="仿宋" w:cs="仿宋"/>
          <w:lang w:bidi="ar"/>
        </w:rPr>
        <w:t>35.19</w:t>
      </w:r>
      <w:r>
        <w:rPr>
          <w:rFonts w:hint="eastAsia" w:ascii="仿宋" w:hAnsi="仿宋" w:eastAsia="仿宋" w:cs="仿宋"/>
          <w:snapToGrid w:val="0"/>
          <w:lang w:bidi="ar"/>
        </w:rPr>
        <w:t>万元，投标报价上限为31.671万元。投标人所报投标报价在发包估价</w:t>
      </w:r>
      <w:r>
        <w:rPr>
          <w:rFonts w:hint="eastAsia" w:ascii="仿宋" w:hAnsi="仿宋" w:eastAsia="仿宋" w:cs="仿宋"/>
          <w:lang w:bidi="ar"/>
        </w:rPr>
        <w:t>35.19</w:t>
      </w:r>
      <w:r>
        <w:rPr>
          <w:rFonts w:hint="eastAsia" w:ascii="仿宋" w:hAnsi="仿宋" w:eastAsia="仿宋" w:cs="仿宋"/>
          <w:snapToGrid w:val="0"/>
          <w:lang w:bidi="ar"/>
        </w:rPr>
        <w:t>万元基础上直接下浮，当投标人所报下浮率与所报的投标报价折算出的下浮率不一致时，以投标人所报下浮率为准，同时以所报下浮率折算出相应的报价作为投标报价。</w:t>
      </w:r>
    </w:p>
    <w:p>
      <w:pPr>
        <w:adjustRightInd w:val="0"/>
        <w:snapToGrid w:val="0"/>
        <w:spacing w:after="159" w:afterLines="50" w:line="360" w:lineRule="auto"/>
        <w:ind w:firstLine="420" w:firstLineChars="200"/>
        <w:jc w:val="left"/>
        <w:rPr>
          <w:rFonts w:hint="eastAsia" w:ascii="仿宋" w:hAnsi="仿宋" w:eastAsia="仿宋" w:cs="仿宋"/>
          <w:snapToGrid w:val="0"/>
          <w:lang w:bidi="ar"/>
        </w:rPr>
      </w:pPr>
      <w:r>
        <w:rPr>
          <w:rFonts w:hint="eastAsia" w:ascii="仿宋" w:hAnsi="仿宋" w:eastAsia="仿宋" w:cs="仿宋"/>
          <w:snapToGrid w:val="0"/>
          <w:lang w:bidi="ar"/>
        </w:rPr>
        <w:t>2.如报名单位的报价超出报价要求范围的，其报名将被否决。</w:t>
      </w:r>
    </w:p>
    <w:p>
      <w:pPr>
        <w:adjustRightInd w:val="0"/>
        <w:snapToGrid w:val="0"/>
        <w:spacing w:after="159" w:afterLines="50" w:line="360" w:lineRule="auto"/>
        <w:ind w:firstLine="420" w:firstLineChars="200"/>
        <w:jc w:val="left"/>
        <w:rPr>
          <w:rFonts w:hint="eastAsia" w:ascii="仿宋" w:hAnsi="仿宋" w:eastAsia="仿宋" w:cs="仿宋"/>
          <w:snapToGrid w:val="0"/>
          <w:lang w:bidi="ar"/>
        </w:rPr>
      </w:pPr>
    </w:p>
    <w:p>
      <w:pPr>
        <w:ind w:firstLine="640"/>
        <w:rPr>
          <w:rFonts w:hint="eastAsia" w:ascii="仿宋" w:hAnsi="仿宋" w:eastAsia="仿宋" w:cs="仿宋"/>
          <w:snapToGrid w:val="0"/>
          <w:lang w:bidi="ar"/>
        </w:rPr>
      </w:pPr>
    </w:p>
    <w:p>
      <w:pPr>
        <w:adjustRightInd w:val="0"/>
        <w:snapToGrid w:val="0"/>
        <w:spacing w:after="159" w:afterLines="50" w:line="360" w:lineRule="auto"/>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bidi="ar"/>
        </w:rPr>
        <w:t>单位名称（盖单位公章）：_____________________________</w:t>
      </w:r>
    </w:p>
    <w:p>
      <w:pPr>
        <w:widowControl/>
        <w:snapToGrid w:val="0"/>
        <w:spacing w:line="480" w:lineRule="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bidi="ar"/>
        </w:rPr>
        <w:t>联系人：</w:t>
      </w:r>
      <w:r>
        <w:rPr>
          <w:rFonts w:hint="eastAsia" w:ascii="仿宋" w:hAnsi="仿宋" w:eastAsia="仿宋" w:cs="仿宋"/>
          <w:kern w:val="0"/>
          <w:sz w:val="24"/>
          <w:szCs w:val="24"/>
          <w:lang w:bidi="ar"/>
        </w:rPr>
        <w:t xml:space="preserve">             </w:t>
      </w:r>
      <w:r>
        <w:rPr>
          <w:rFonts w:hint="eastAsia" w:ascii="仿宋" w:hAnsi="仿宋" w:eastAsia="仿宋" w:cs="仿宋"/>
          <w:snapToGrid w:val="0"/>
          <w:kern w:val="0"/>
          <w:sz w:val="24"/>
          <w:szCs w:val="24"/>
          <w:lang w:bidi="ar"/>
        </w:rPr>
        <w:t>，电话：</w:t>
      </w:r>
    </w:p>
    <w:p>
      <w:pPr>
        <w:rPr>
          <w:rFonts w:hint="eastAsia" w:ascii="仿宋" w:hAnsi="仿宋" w:eastAsia="仿宋" w:cs="仿宋"/>
          <w:sz w:val="32"/>
          <w:szCs w:val="32"/>
        </w:rPr>
      </w:pPr>
      <w:r>
        <w:rPr>
          <w:rFonts w:hint="eastAsia" w:ascii="仿宋" w:hAnsi="仿宋" w:eastAsia="仿宋" w:cs="仿宋"/>
          <w:snapToGrid w:val="0"/>
          <w:kern w:val="0"/>
          <w:sz w:val="24"/>
          <w:szCs w:val="24"/>
          <w:lang w:bidi="ar"/>
        </w:rPr>
        <w:t>日期：2025年 月  日</w:t>
      </w:r>
    </w:p>
    <w:p>
      <w:pPr>
        <w:rPr>
          <w:rFonts w:hint="eastAsia" w:ascii="仿宋" w:hAnsi="仿宋" w:eastAsia="仿宋" w:cs="仿宋"/>
          <w:sz w:val="32"/>
          <w:szCs w:val="32"/>
        </w:rPr>
      </w:pPr>
      <w:r>
        <w:rPr>
          <w:rFonts w:hint="eastAsia" w:ascii="仿宋" w:hAnsi="仿宋" w:eastAsia="仿宋" w:cs="仿宋"/>
          <w:sz w:val="32"/>
          <w:szCs w:val="32"/>
        </w:rPr>
        <w:br w:type="page"/>
      </w:r>
    </w:p>
    <w:p>
      <w:pPr>
        <w:pStyle w:val="8"/>
        <w:rPr>
          <w:rFonts w:hint="eastAsia" w:ascii="仿宋" w:hAnsi="仿宋" w:eastAsia="仿宋" w:cs="仿宋"/>
          <w:sz w:val="32"/>
          <w:szCs w:val="32"/>
        </w:rPr>
      </w:pPr>
      <w:r>
        <w:rPr>
          <w:rFonts w:hint="eastAsia" w:ascii="仿宋" w:hAnsi="仿宋" w:eastAsia="仿宋" w:cs="仿宋"/>
          <w:sz w:val="32"/>
          <w:szCs w:val="32"/>
        </w:rPr>
        <w:t>（二）</w:t>
      </w:r>
      <w:r>
        <w:rPr>
          <w:rStyle w:val="21"/>
          <w:rFonts w:hint="eastAsia" w:ascii="仿宋" w:hAnsi="仿宋" w:eastAsia="仿宋" w:cs="仿宋"/>
          <w:color w:val="auto"/>
        </w:rPr>
        <w:t>近1年内（从清标之日起倒算4个季度）龙岗区水务事务中心/深圳市龙岗区建筑工务署同类业绩履约评价情况（</w:t>
      </w:r>
      <w:r>
        <w:rPr>
          <w:rFonts w:hint="eastAsia" w:ascii="仿宋" w:hAnsi="仿宋" w:eastAsia="仿宋" w:cs="仿宋"/>
          <w:sz w:val="32"/>
          <w:szCs w:val="32"/>
        </w:rPr>
        <w:t>履约评价查询类别为技术服务类（涉原水管安全评估），</w:t>
      </w:r>
      <w:r>
        <w:rPr>
          <w:rStyle w:val="21"/>
          <w:rFonts w:hint="eastAsia" w:ascii="仿宋" w:hAnsi="仿宋" w:eastAsia="仿宋" w:cs="仿宋"/>
          <w:color w:val="auto"/>
        </w:rPr>
        <w:t>由招标人查询，报名单位无需提供）</w:t>
      </w:r>
    </w:p>
    <w:p>
      <w:pPr>
        <w:rPr>
          <w:rFonts w:hint="eastAsia" w:ascii="仿宋" w:hAnsi="仿宋" w:eastAsia="仿宋" w:cs="仿宋"/>
          <w:sz w:val="32"/>
          <w:szCs w:val="32"/>
        </w:rPr>
        <w:sectPr>
          <w:footerReference r:id="rId3" w:type="default"/>
          <w:pgSz w:w="11906" w:h="16838"/>
          <w:pgMar w:top="1327" w:right="1633" w:bottom="1327" w:left="1633" w:header="851" w:footer="992" w:gutter="0"/>
          <w:cols w:space="720" w:num="1"/>
          <w:docGrid w:type="lines" w:linePitch="319" w:charSpace="0"/>
        </w:sectPr>
      </w:pPr>
    </w:p>
    <w:p>
      <w:pPr>
        <w:pStyle w:val="8"/>
        <w:rPr>
          <w:rStyle w:val="21"/>
          <w:rFonts w:hint="eastAsia" w:ascii="仿宋" w:hAnsi="仿宋" w:eastAsia="仿宋" w:cs="仿宋"/>
          <w:color w:val="auto"/>
        </w:rPr>
      </w:pPr>
      <w:r>
        <w:rPr>
          <w:rFonts w:hint="eastAsia" w:ascii="仿宋" w:hAnsi="仿宋" w:eastAsia="仿宋" w:cs="仿宋"/>
          <w:sz w:val="32"/>
          <w:szCs w:val="32"/>
        </w:rPr>
        <w:t>（三）</w:t>
      </w:r>
      <w:r>
        <w:rPr>
          <w:rStyle w:val="21"/>
          <w:rFonts w:hint="eastAsia" w:ascii="仿宋" w:hAnsi="仿宋" w:eastAsia="仿宋" w:cs="仿宋"/>
          <w:color w:val="auto"/>
        </w:rPr>
        <w:t>近三年3项同类工程（服务）相关业绩 （</w:t>
      </w:r>
      <w:r>
        <w:rPr>
          <w:rFonts w:hint="eastAsia" w:ascii="仿宋" w:hAnsi="仿宋" w:eastAsia="仿宋" w:cs="仿宋"/>
          <w:kern w:val="0"/>
          <w:sz w:val="32"/>
          <w:szCs w:val="32"/>
        </w:rPr>
        <w:t>同类业绩</w:t>
      </w:r>
      <w:r>
        <w:rPr>
          <w:rFonts w:hint="eastAsia" w:ascii="仿宋" w:hAnsi="仿宋" w:eastAsia="仿宋" w:cs="仿宋"/>
          <w:sz w:val="32"/>
          <w:szCs w:val="32"/>
        </w:rPr>
        <w:t>为涉原水管安全评估</w:t>
      </w:r>
      <w:r>
        <w:rPr>
          <w:rFonts w:hint="eastAsia" w:ascii="仿宋" w:hAnsi="仿宋" w:eastAsia="仿宋" w:cs="仿宋"/>
          <w:kern w:val="0"/>
          <w:sz w:val="32"/>
          <w:szCs w:val="32"/>
        </w:rPr>
        <w:t>业绩，提供不超过3项</w:t>
      </w:r>
      <w:r>
        <w:rPr>
          <w:rStyle w:val="21"/>
          <w:rFonts w:hint="eastAsia" w:ascii="仿宋" w:hAnsi="仿宋" w:eastAsia="仿宋" w:cs="仿宋"/>
          <w:color w:val="auto"/>
        </w:rPr>
        <w:t>，提供相关业绩合同证明材料等）。</w:t>
      </w:r>
    </w:p>
    <w:p>
      <w:pPr>
        <w:jc w:val="center"/>
        <w:rPr>
          <w:rFonts w:hint="eastAsia" w:ascii="仿宋" w:hAnsi="仿宋" w:eastAsia="仿宋" w:cs="仿宋"/>
          <w:sz w:val="32"/>
          <w:szCs w:val="32"/>
        </w:rPr>
      </w:pPr>
      <w:r>
        <w:rPr>
          <w:rFonts w:hint="eastAsia" w:ascii="仿宋" w:hAnsi="仿宋" w:eastAsia="仿宋" w:cs="仿宋"/>
          <w:sz w:val="32"/>
          <w:szCs w:val="32"/>
        </w:rPr>
        <w:t>近三年3项同类工程（服务）业绩情况汇总表</w:t>
      </w:r>
    </w:p>
    <w:tbl>
      <w:tblPr>
        <w:tblStyle w:val="17"/>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16"/>
        <w:gridCol w:w="1581"/>
        <w:gridCol w:w="1795"/>
        <w:gridCol w:w="2067"/>
        <w:gridCol w:w="1545"/>
        <w:gridCol w:w="163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序号</w:t>
            </w:r>
          </w:p>
        </w:tc>
        <w:tc>
          <w:tcPr>
            <w:tcW w:w="2816"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合同名称</w:t>
            </w:r>
          </w:p>
        </w:tc>
        <w:tc>
          <w:tcPr>
            <w:tcW w:w="1581"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合同金额</w:t>
            </w:r>
          </w:p>
        </w:tc>
        <w:tc>
          <w:tcPr>
            <w:tcW w:w="1795"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合同签订时间</w:t>
            </w:r>
          </w:p>
        </w:tc>
        <w:tc>
          <w:tcPr>
            <w:tcW w:w="2067"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合同甲方</w:t>
            </w:r>
          </w:p>
        </w:tc>
        <w:tc>
          <w:tcPr>
            <w:tcW w:w="1545"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合同甲方        联系人</w:t>
            </w:r>
          </w:p>
        </w:tc>
        <w:tc>
          <w:tcPr>
            <w:tcW w:w="1635" w:type="dxa"/>
            <w:vAlign w:val="center"/>
          </w:tcPr>
          <w:p>
            <w:pPr>
              <w:jc w:val="center"/>
              <w:rPr>
                <w:rFonts w:hint="eastAsia" w:ascii="仿宋" w:hAnsi="仿宋" w:eastAsia="仿宋" w:cs="宋体"/>
                <w:b/>
                <w:bCs/>
                <w:sz w:val="24"/>
                <w:szCs w:val="24"/>
              </w:rPr>
            </w:pPr>
            <w:r>
              <w:rPr>
                <w:rFonts w:hint="eastAsia" w:ascii="仿宋" w:hAnsi="仿宋" w:eastAsia="仿宋" w:cs="宋体"/>
                <w:b/>
                <w:bCs/>
                <w:sz w:val="24"/>
                <w:szCs w:val="24"/>
              </w:rPr>
              <w:t>合同甲方         联系电话</w:t>
            </w:r>
          </w:p>
        </w:tc>
        <w:tc>
          <w:tcPr>
            <w:tcW w:w="1336" w:type="dxa"/>
            <w:vAlign w:val="center"/>
          </w:tcPr>
          <w:p>
            <w:pPr>
              <w:jc w:val="center"/>
              <w:rPr>
                <w:rFonts w:hint="eastAsia" w:ascii="仿宋" w:hAnsi="仿宋" w:eastAsia="仿宋"/>
                <w:sz w:val="44"/>
                <w:szCs w:val="44"/>
              </w:rPr>
            </w:pPr>
            <w:r>
              <w:rPr>
                <w:rFonts w:hint="eastAsia" w:ascii="仿宋" w:hAnsi="仿宋" w:eastAsia="仿宋"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hint="eastAsia" w:ascii="仿宋" w:hAnsi="仿宋" w:eastAsia="仿宋"/>
                <w:sz w:val="44"/>
                <w:szCs w:val="44"/>
              </w:rPr>
            </w:pPr>
          </w:p>
        </w:tc>
        <w:tc>
          <w:tcPr>
            <w:tcW w:w="2816" w:type="dxa"/>
          </w:tcPr>
          <w:p>
            <w:pPr>
              <w:rPr>
                <w:rFonts w:hint="eastAsia" w:ascii="仿宋" w:hAnsi="仿宋" w:eastAsia="仿宋"/>
                <w:sz w:val="44"/>
                <w:szCs w:val="44"/>
              </w:rPr>
            </w:pPr>
          </w:p>
        </w:tc>
        <w:tc>
          <w:tcPr>
            <w:tcW w:w="1581" w:type="dxa"/>
          </w:tcPr>
          <w:p>
            <w:pPr>
              <w:rPr>
                <w:rFonts w:hint="eastAsia" w:ascii="仿宋" w:hAnsi="仿宋" w:eastAsia="仿宋"/>
                <w:sz w:val="44"/>
                <w:szCs w:val="44"/>
              </w:rPr>
            </w:pPr>
          </w:p>
        </w:tc>
        <w:tc>
          <w:tcPr>
            <w:tcW w:w="1795" w:type="dxa"/>
          </w:tcPr>
          <w:p>
            <w:pPr>
              <w:rPr>
                <w:rFonts w:hint="eastAsia" w:ascii="仿宋" w:hAnsi="仿宋" w:eastAsia="仿宋"/>
                <w:sz w:val="44"/>
                <w:szCs w:val="44"/>
              </w:rPr>
            </w:pPr>
          </w:p>
        </w:tc>
        <w:tc>
          <w:tcPr>
            <w:tcW w:w="2067" w:type="dxa"/>
          </w:tcPr>
          <w:p>
            <w:pPr>
              <w:rPr>
                <w:rFonts w:hint="eastAsia" w:ascii="仿宋" w:hAnsi="仿宋" w:eastAsia="仿宋"/>
                <w:sz w:val="44"/>
                <w:szCs w:val="44"/>
              </w:rPr>
            </w:pPr>
          </w:p>
        </w:tc>
        <w:tc>
          <w:tcPr>
            <w:tcW w:w="1545" w:type="dxa"/>
          </w:tcPr>
          <w:p>
            <w:pPr>
              <w:rPr>
                <w:rFonts w:hint="eastAsia" w:ascii="仿宋" w:hAnsi="仿宋" w:eastAsia="仿宋"/>
                <w:sz w:val="44"/>
                <w:szCs w:val="44"/>
              </w:rPr>
            </w:pPr>
          </w:p>
        </w:tc>
        <w:tc>
          <w:tcPr>
            <w:tcW w:w="1635" w:type="dxa"/>
          </w:tcPr>
          <w:p>
            <w:pPr>
              <w:rPr>
                <w:rFonts w:hint="eastAsia" w:ascii="仿宋" w:hAnsi="仿宋" w:eastAsia="仿宋"/>
                <w:sz w:val="44"/>
                <w:szCs w:val="44"/>
              </w:rPr>
            </w:pPr>
          </w:p>
        </w:tc>
        <w:tc>
          <w:tcPr>
            <w:tcW w:w="1336" w:type="dxa"/>
          </w:tcPr>
          <w:p>
            <w:pPr>
              <w:rPr>
                <w:rFonts w:hint="eastAsia"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hint="eastAsia" w:ascii="仿宋" w:hAnsi="仿宋" w:eastAsia="仿宋"/>
                <w:sz w:val="44"/>
                <w:szCs w:val="44"/>
              </w:rPr>
            </w:pPr>
          </w:p>
        </w:tc>
        <w:tc>
          <w:tcPr>
            <w:tcW w:w="2816" w:type="dxa"/>
          </w:tcPr>
          <w:p>
            <w:pPr>
              <w:rPr>
                <w:rFonts w:hint="eastAsia" w:ascii="仿宋" w:hAnsi="仿宋" w:eastAsia="仿宋"/>
                <w:sz w:val="44"/>
                <w:szCs w:val="44"/>
              </w:rPr>
            </w:pPr>
          </w:p>
        </w:tc>
        <w:tc>
          <w:tcPr>
            <w:tcW w:w="1581" w:type="dxa"/>
          </w:tcPr>
          <w:p>
            <w:pPr>
              <w:rPr>
                <w:rFonts w:hint="eastAsia" w:ascii="仿宋" w:hAnsi="仿宋" w:eastAsia="仿宋"/>
                <w:sz w:val="44"/>
                <w:szCs w:val="44"/>
              </w:rPr>
            </w:pPr>
          </w:p>
        </w:tc>
        <w:tc>
          <w:tcPr>
            <w:tcW w:w="1795" w:type="dxa"/>
          </w:tcPr>
          <w:p>
            <w:pPr>
              <w:rPr>
                <w:rFonts w:hint="eastAsia" w:ascii="仿宋" w:hAnsi="仿宋" w:eastAsia="仿宋"/>
                <w:sz w:val="44"/>
                <w:szCs w:val="44"/>
              </w:rPr>
            </w:pPr>
          </w:p>
        </w:tc>
        <w:tc>
          <w:tcPr>
            <w:tcW w:w="2067" w:type="dxa"/>
          </w:tcPr>
          <w:p>
            <w:pPr>
              <w:rPr>
                <w:rFonts w:hint="eastAsia" w:ascii="仿宋" w:hAnsi="仿宋" w:eastAsia="仿宋"/>
                <w:sz w:val="44"/>
                <w:szCs w:val="44"/>
              </w:rPr>
            </w:pPr>
          </w:p>
        </w:tc>
        <w:tc>
          <w:tcPr>
            <w:tcW w:w="1545" w:type="dxa"/>
          </w:tcPr>
          <w:p>
            <w:pPr>
              <w:rPr>
                <w:rFonts w:hint="eastAsia" w:ascii="仿宋" w:hAnsi="仿宋" w:eastAsia="仿宋"/>
                <w:sz w:val="44"/>
                <w:szCs w:val="44"/>
              </w:rPr>
            </w:pPr>
          </w:p>
        </w:tc>
        <w:tc>
          <w:tcPr>
            <w:tcW w:w="1635" w:type="dxa"/>
          </w:tcPr>
          <w:p>
            <w:pPr>
              <w:rPr>
                <w:rFonts w:hint="eastAsia" w:ascii="仿宋" w:hAnsi="仿宋" w:eastAsia="仿宋"/>
                <w:sz w:val="44"/>
                <w:szCs w:val="44"/>
              </w:rPr>
            </w:pPr>
          </w:p>
        </w:tc>
        <w:tc>
          <w:tcPr>
            <w:tcW w:w="1336" w:type="dxa"/>
          </w:tcPr>
          <w:p>
            <w:pPr>
              <w:rPr>
                <w:rFonts w:hint="eastAsia"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tcPr>
          <w:p>
            <w:pPr>
              <w:rPr>
                <w:rFonts w:hint="eastAsia" w:ascii="仿宋" w:hAnsi="仿宋" w:eastAsia="仿宋"/>
                <w:sz w:val="44"/>
                <w:szCs w:val="44"/>
              </w:rPr>
            </w:pPr>
          </w:p>
        </w:tc>
        <w:tc>
          <w:tcPr>
            <w:tcW w:w="2816" w:type="dxa"/>
          </w:tcPr>
          <w:p>
            <w:pPr>
              <w:rPr>
                <w:rFonts w:hint="eastAsia" w:ascii="仿宋" w:hAnsi="仿宋" w:eastAsia="仿宋"/>
                <w:sz w:val="44"/>
                <w:szCs w:val="44"/>
              </w:rPr>
            </w:pPr>
          </w:p>
        </w:tc>
        <w:tc>
          <w:tcPr>
            <w:tcW w:w="1581" w:type="dxa"/>
          </w:tcPr>
          <w:p>
            <w:pPr>
              <w:rPr>
                <w:rFonts w:hint="eastAsia" w:ascii="仿宋" w:hAnsi="仿宋" w:eastAsia="仿宋"/>
                <w:sz w:val="44"/>
                <w:szCs w:val="44"/>
              </w:rPr>
            </w:pPr>
          </w:p>
        </w:tc>
        <w:tc>
          <w:tcPr>
            <w:tcW w:w="1795" w:type="dxa"/>
          </w:tcPr>
          <w:p>
            <w:pPr>
              <w:rPr>
                <w:rFonts w:hint="eastAsia" w:ascii="仿宋" w:hAnsi="仿宋" w:eastAsia="仿宋"/>
                <w:sz w:val="44"/>
                <w:szCs w:val="44"/>
              </w:rPr>
            </w:pPr>
          </w:p>
        </w:tc>
        <w:tc>
          <w:tcPr>
            <w:tcW w:w="2067" w:type="dxa"/>
          </w:tcPr>
          <w:p>
            <w:pPr>
              <w:rPr>
                <w:rFonts w:hint="eastAsia" w:ascii="仿宋" w:hAnsi="仿宋" w:eastAsia="仿宋"/>
                <w:sz w:val="44"/>
                <w:szCs w:val="44"/>
              </w:rPr>
            </w:pPr>
          </w:p>
        </w:tc>
        <w:tc>
          <w:tcPr>
            <w:tcW w:w="1545" w:type="dxa"/>
          </w:tcPr>
          <w:p>
            <w:pPr>
              <w:rPr>
                <w:rFonts w:hint="eastAsia" w:ascii="仿宋" w:hAnsi="仿宋" w:eastAsia="仿宋"/>
                <w:sz w:val="44"/>
                <w:szCs w:val="44"/>
              </w:rPr>
            </w:pPr>
          </w:p>
        </w:tc>
        <w:tc>
          <w:tcPr>
            <w:tcW w:w="1635" w:type="dxa"/>
          </w:tcPr>
          <w:p>
            <w:pPr>
              <w:rPr>
                <w:rFonts w:hint="eastAsia" w:ascii="仿宋" w:hAnsi="仿宋" w:eastAsia="仿宋"/>
                <w:sz w:val="44"/>
                <w:szCs w:val="44"/>
              </w:rPr>
            </w:pPr>
          </w:p>
        </w:tc>
        <w:tc>
          <w:tcPr>
            <w:tcW w:w="1336" w:type="dxa"/>
          </w:tcPr>
          <w:p>
            <w:pPr>
              <w:rPr>
                <w:rFonts w:hint="eastAsia"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hint="eastAsia" w:ascii="仿宋" w:hAnsi="仿宋" w:eastAsia="仿宋"/>
                <w:sz w:val="44"/>
                <w:szCs w:val="44"/>
              </w:rPr>
            </w:pPr>
          </w:p>
        </w:tc>
        <w:tc>
          <w:tcPr>
            <w:tcW w:w="2816" w:type="dxa"/>
          </w:tcPr>
          <w:p>
            <w:pPr>
              <w:rPr>
                <w:rFonts w:hint="eastAsia" w:ascii="仿宋" w:hAnsi="仿宋" w:eastAsia="仿宋"/>
                <w:sz w:val="44"/>
                <w:szCs w:val="44"/>
              </w:rPr>
            </w:pPr>
          </w:p>
        </w:tc>
        <w:tc>
          <w:tcPr>
            <w:tcW w:w="1581" w:type="dxa"/>
          </w:tcPr>
          <w:p>
            <w:pPr>
              <w:rPr>
                <w:rFonts w:hint="eastAsia" w:ascii="仿宋" w:hAnsi="仿宋" w:eastAsia="仿宋"/>
                <w:sz w:val="44"/>
                <w:szCs w:val="44"/>
              </w:rPr>
            </w:pPr>
          </w:p>
        </w:tc>
        <w:tc>
          <w:tcPr>
            <w:tcW w:w="1795" w:type="dxa"/>
          </w:tcPr>
          <w:p>
            <w:pPr>
              <w:rPr>
                <w:rFonts w:hint="eastAsia" w:ascii="仿宋" w:hAnsi="仿宋" w:eastAsia="仿宋"/>
                <w:sz w:val="44"/>
                <w:szCs w:val="44"/>
              </w:rPr>
            </w:pPr>
          </w:p>
        </w:tc>
        <w:tc>
          <w:tcPr>
            <w:tcW w:w="2067" w:type="dxa"/>
          </w:tcPr>
          <w:p>
            <w:pPr>
              <w:rPr>
                <w:rFonts w:hint="eastAsia" w:ascii="仿宋" w:hAnsi="仿宋" w:eastAsia="仿宋"/>
                <w:sz w:val="44"/>
                <w:szCs w:val="44"/>
              </w:rPr>
            </w:pPr>
          </w:p>
        </w:tc>
        <w:tc>
          <w:tcPr>
            <w:tcW w:w="1545" w:type="dxa"/>
          </w:tcPr>
          <w:p>
            <w:pPr>
              <w:rPr>
                <w:rFonts w:hint="eastAsia" w:ascii="仿宋" w:hAnsi="仿宋" w:eastAsia="仿宋"/>
                <w:sz w:val="44"/>
                <w:szCs w:val="44"/>
              </w:rPr>
            </w:pPr>
          </w:p>
        </w:tc>
        <w:tc>
          <w:tcPr>
            <w:tcW w:w="1635" w:type="dxa"/>
          </w:tcPr>
          <w:p>
            <w:pPr>
              <w:rPr>
                <w:rFonts w:hint="eastAsia" w:ascii="仿宋" w:hAnsi="仿宋" w:eastAsia="仿宋"/>
                <w:sz w:val="44"/>
                <w:szCs w:val="44"/>
              </w:rPr>
            </w:pPr>
          </w:p>
        </w:tc>
        <w:tc>
          <w:tcPr>
            <w:tcW w:w="1336" w:type="dxa"/>
          </w:tcPr>
          <w:p>
            <w:pPr>
              <w:rPr>
                <w:rFonts w:hint="eastAsia"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hint="eastAsia" w:ascii="仿宋" w:hAnsi="仿宋" w:eastAsia="仿宋"/>
                <w:sz w:val="44"/>
                <w:szCs w:val="44"/>
              </w:rPr>
            </w:pPr>
          </w:p>
        </w:tc>
        <w:tc>
          <w:tcPr>
            <w:tcW w:w="2816" w:type="dxa"/>
          </w:tcPr>
          <w:p>
            <w:pPr>
              <w:rPr>
                <w:rFonts w:hint="eastAsia" w:ascii="仿宋" w:hAnsi="仿宋" w:eastAsia="仿宋"/>
                <w:sz w:val="44"/>
                <w:szCs w:val="44"/>
              </w:rPr>
            </w:pPr>
          </w:p>
        </w:tc>
        <w:tc>
          <w:tcPr>
            <w:tcW w:w="1581" w:type="dxa"/>
          </w:tcPr>
          <w:p>
            <w:pPr>
              <w:rPr>
                <w:rFonts w:hint="eastAsia" w:ascii="仿宋" w:hAnsi="仿宋" w:eastAsia="仿宋"/>
                <w:sz w:val="44"/>
                <w:szCs w:val="44"/>
              </w:rPr>
            </w:pPr>
          </w:p>
        </w:tc>
        <w:tc>
          <w:tcPr>
            <w:tcW w:w="1795" w:type="dxa"/>
          </w:tcPr>
          <w:p>
            <w:pPr>
              <w:rPr>
                <w:rFonts w:hint="eastAsia" w:ascii="仿宋" w:hAnsi="仿宋" w:eastAsia="仿宋"/>
                <w:sz w:val="44"/>
                <w:szCs w:val="44"/>
              </w:rPr>
            </w:pPr>
          </w:p>
        </w:tc>
        <w:tc>
          <w:tcPr>
            <w:tcW w:w="2067" w:type="dxa"/>
          </w:tcPr>
          <w:p>
            <w:pPr>
              <w:rPr>
                <w:rFonts w:hint="eastAsia" w:ascii="仿宋" w:hAnsi="仿宋" w:eastAsia="仿宋"/>
                <w:sz w:val="44"/>
                <w:szCs w:val="44"/>
              </w:rPr>
            </w:pPr>
          </w:p>
        </w:tc>
        <w:tc>
          <w:tcPr>
            <w:tcW w:w="1545" w:type="dxa"/>
          </w:tcPr>
          <w:p>
            <w:pPr>
              <w:rPr>
                <w:rFonts w:hint="eastAsia" w:ascii="仿宋" w:hAnsi="仿宋" w:eastAsia="仿宋"/>
                <w:sz w:val="44"/>
                <w:szCs w:val="44"/>
              </w:rPr>
            </w:pPr>
          </w:p>
        </w:tc>
        <w:tc>
          <w:tcPr>
            <w:tcW w:w="1635" w:type="dxa"/>
          </w:tcPr>
          <w:p>
            <w:pPr>
              <w:rPr>
                <w:rFonts w:hint="eastAsia" w:ascii="仿宋" w:hAnsi="仿宋" w:eastAsia="仿宋"/>
                <w:sz w:val="44"/>
                <w:szCs w:val="44"/>
              </w:rPr>
            </w:pPr>
          </w:p>
        </w:tc>
        <w:tc>
          <w:tcPr>
            <w:tcW w:w="1336" w:type="dxa"/>
          </w:tcPr>
          <w:p>
            <w:pPr>
              <w:rPr>
                <w:rFonts w:hint="eastAsia"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hint="eastAsia" w:ascii="仿宋" w:hAnsi="仿宋" w:eastAsia="仿宋"/>
                <w:sz w:val="44"/>
                <w:szCs w:val="44"/>
              </w:rPr>
            </w:pPr>
          </w:p>
        </w:tc>
        <w:tc>
          <w:tcPr>
            <w:tcW w:w="2816" w:type="dxa"/>
          </w:tcPr>
          <w:p>
            <w:pPr>
              <w:rPr>
                <w:rFonts w:hint="eastAsia" w:ascii="仿宋" w:hAnsi="仿宋" w:eastAsia="仿宋"/>
                <w:sz w:val="44"/>
                <w:szCs w:val="44"/>
              </w:rPr>
            </w:pPr>
          </w:p>
        </w:tc>
        <w:tc>
          <w:tcPr>
            <w:tcW w:w="1581" w:type="dxa"/>
          </w:tcPr>
          <w:p>
            <w:pPr>
              <w:rPr>
                <w:rFonts w:hint="eastAsia" w:ascii="仿宋" w:hAnsi="仿宋" w:eastAsia="仿宋"/>
                <w:sz w:val="44"/>
                <w:szCs w:val="44"/>
              </w:rPr>
            </w:pPr>
          </w:p>
        </w:tc>
        <w:tc>
          <w:tcPr>
            <w:tcW w:w="1795" w:type="dxa"/>
          </w:tcPr>
          <w:p>
            <w:pPr>
              <w:rPr>
                <w:rFonts w:hint="eastAsia" w:ascii="仿宋" w:hAnsi="仿宋" w:eastAsia="仿宋"/>
                <w:sz w:val="44"/>
                <w:szCs w:val="44"/>
              </w:rPr>
            </w:pPr>
          </w:p>
        </w:tc>
        <w:tc>
          <w:tcPr>
            <w:tcW w:w="2067" w:type="dxa"/>
          </w:tcPr>
          <w:p>
            <w:pPr>
              <w:rPr>
                <w:rFonts w:hint="eastAsia" w:ascii="仿宋" w:hAnsi="仿宋" w:eastAsia="仿宋"/>
                <w:sz w:val="44"/>
                <w:szCs w:val="44"/>
              </w:rPr>
            </w:pPr>
          </w:p>
        </w:tc>
        <w:tc>
          <w:tcPr>
            <w:tcW w:w="1545" w:type="dxa"/>
          </w:tcPr>
          <w:p>
            <w:pPr>
              <w:rPr>
                <w:rFonts w:hint="eastAsia" w:ascii="仿宋" w:hAnsi="仿宋" w:eastAsia="仿宋"/>
                <w:sz w:val="44"/>
                <w:szCs w:val="44"/>
              </w:rPr>
            </w:pPr>
          </w:p>
        </w:tc>
        <w:tc>
          <w:tcPr>
            <w:tcW w:w="1635" w:type="dxa"/>
          </w:tcPr>
          <w:p>
            <w:pPr>
              <w:rPr>
                <w:rFonts w:hint="eastAsia" w:ascii="仿宋" w:hAnsi="仿宋" w:eastAsia="仿宋"/>
                <w:sz w:val="44"/>
                <w:szCs w:val="44"/>
              </w:rPr>
            </w:pPr>
          </w:p>
        </w:tc>
        <w:tc>
          <w:tcPr>
            <w:tcW w:w="1336" w:type="dxa"/>
          </w:tcPr>
          <w:p>
            <w:pPr>
              <w:rPr>
                <w:rFonts w:hint="eastAsia" w:ascii="仿宋" w:hAnsi="仿宋" w:eastAsia="仿宋"/>
                <w:sz w:val="44"/>
                <w:szCs w:val="44"/>
              </w:rPr>
            </w:pPr>
          </w:p>
        </w:tc>
      </w:tr>
    </w:tbl>
    <w:p>
      <w:pPr>
        <w:ind w:left="7200" w:hanging="7200" w:hangingChars="2400"/>
        <w:rPr>
          <w:rFonts w:hint="eastAsia" w:ascii="仿宋" w:hAnsi="仿宋" w:eastAsia="仿宋"/>
          <w:sz w:val="30"/>
          <w:szCs w:val="30"/>
        </w:rPr>
      </w:pPr>
      <w:r>
        <w:rPr>
          <w:rFonts w:hint="eastAsia" w:ascii="仿宋" w:hAnsi="仿宋" w:eastAsia="仿宋"/>
          <w:sz w:val="30"/>
          <w:szCs w:val="30"/>
        </w:rPr>
        <w:t xml:space="preserve">                                                               报名单位盖章：</w:t>
      </w:r>
    </w:p>
    <w:p>
      <w:r>
        <w:rPr>
          <w:rFonts w:hint="eastAsia" w:ascii="仿宋" w:hAnsi="仿宋" w:eastAsia="仿宋"/>
          <w:sz w:val="30"/>
          <w:szCs w:val="30"/>
        </w:rPr>
        <w:t>备注：</w:t>
      </w:r>
      <w:r>
        <w:rPr>
          <w:rFonts w:ascii="仿宋" w:hAnsi="仿宋" w:eastAsia="仿宋"/>
          <w:sz w:val="30"/>
          <w:szCs w:val="30"/>
        </w:rPr>
        <w:t>1.</w:t>
      </w:r>
      <w:r>
        <w:rPr>
          <w:rFonts w:hint="eastAsia" w:ascii="仿宋" w:hAnsi="仿宋" w:eastAsia="仿宋"/>
          <w:sz w:val="30"/>
          <w:szCs w:val="30"/>
        </w:rPr>
        <w:t>业绩前</w:t>
      </w:r>
      <w:r>
        <w:rPr>
          <w:rFonts w:ascii="仿宋" w:hAnsi="仿宋" w:eastAsia="仿宋"/>
          <w:sz w:val="30"/>
          <w:szCs w:val="30"/>
        </w:rPr>
        <w:t>3</w:t>
      </w:r>
      <w:r>
        <w:rPr>
          <w:rFonts w:hint="eastAsia" w:ascii="仿宋" w:hAnsi="仿宋" w:eastAsia="仿宋"/>
          <w:sz w:val="30"/>
          <w:szCs w:val="30"/>
        </w:rPr>
        <w:t>项情况按提供的业绩证明材料统计。</w:t>
      </w:r>
      <w:r>
        <w:rPr>
          <w:rFonts w:ascii="仿宋" w:hAnsi="仿宋" w:eastAsia="仿宋"/>
          <w:sz w:val="30"/>
          <w:szCs w:val="30"/>
        </w:rPr>
        <w:t>2.</w:t>
      </w:r>
      <w:r>
        <w:rPr>
          <w:rFonts w:hint="eastAsia" w:ascii="仿宋" w:hAnsi="仿宋" w:eastAsia="仿宋"/>
          <w:sz w:val="30"/>
          <w:szCs w:val="30"/>
        </w:rPr>
        <w:t>同类工程（服务）业绩指涉原水管安全评估业绩。</w:t>
      </w:r>
      <w:r>
        <w:rPr>
          <w:rFonts w:ascii="仿宋" w:hAnsi="仿宋" w:eastAsia="仿宋"/>
          <w:sz w:val="30"/>
          <w:szCs w:val="30"/>
        </w:rPr>
        <w:t>3.</w:t>
      </w:r>
      <w:r>
        <w:rPr>
          <w:rFonts w:hint="eastAsia" w:ascii="仿宋" w:hAnsi="仿宋" w:eastAsia="仿宋"/>
          <w:sz w:val="30"/>
          <w:szCs w:val="30"/>
        </w:rPr>
        <w:t>近三年</w:t>
      </w:r>
      <w:r>
        <w:rPr>
          <w:rFonts w:ascii="仿宋" w:hAnsi="仿宋" w:eastAsia="仿宋"/>
          <w:sz w:val="30"/>
          <w:szCs w:val="30"/>
        </w:rPr>
        <w:t>:</w:t>
      </w:r>
      <w:r>
        <w:rPr>
          <w:rFonts w:hint="eastAsia" w:ascii="仿宋" w:hAnsi="仿宋" w:eastAsia="仿宋"/>
          <w:sz w:val="30"/>
          <w:szCs w:val="30"/>
        </w:rPr>
        <w:t>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2022</w:t>
      </w:r>
      <w:r>
        <w:rPr>
          <w:rFonts w:hint="eastAsia" w:ascii="仿宋" w:hAnsi="仿宋" w:eastAsia="仿宋"/>
          <w:sz w:val="30"/>
          <w:szCs w:val="30"/>
        </w:rPr>
        <w:t>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 </w:t>
      </w:r>
      <w:r>
        <w:rPr>
          <w:rFonts w:hint="eastAsia" w:ascii="仿宋" w:hAnsi="仿宋" w:eastAsia="仿宋"/>
          <w:sz w:val="30"/>
          <w:szCs w:val="30"/>
        </w:rPr>
        <w:t>日，则近</w:t>
      </w:r>
      <w:r>
        <w:rPr>
          <w:rFonts w:ascii="仿宋" w:hAnsi="仿宋" w:eastAsia="仿宋"/>
          <w:sz w:val="30"/>
          <w:szCs w:val="30"/>
        </w:rPr>
        <w:t xml:space="preserve"> 3 </w:t>
      </w:r>
      <w:r>
        <w:rPr>
          <w:rFonts w:hint="eastAsia" w:ascii="仿宋" w:hAnsi="仿宋" w:eastAsia="仿宋"/>
          <w:sz w:val="30"/>
          <w:szCs w:val="30"/>
        </w:rPr>
        <w:t>年的区间范围为</w:t>
      </w:r>
      <w:r>
        <w:rPr>
          <w:rFonts w:ascii="仿宋" w:hAnsi="仿宋" w:eastAsia="仿宋"/>
          <w:sz w:val="30"/>
          <w:szCs w:val="30"/>
        </w:rPr>
        <w:t xml:space="preserve"> 2019 </w:t>
      </w:r>
      <w:r>
        <w:rPr>
          <w:rFonts w:hint="eastAsia" w:ascii="仿宋" w:hAnsi="仿宋" w:eastAsia="仿宋"/>
          <w:sz w:val="30"/>
          <w:szCs w:val="30"/>
        </w:rPr>
        <w:t>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1 </w:t>
      </w:r>
      <w:r>
        <w:rPr>
          <w:rFonts w:hint="eastAsia" w:ascii="仿宋" w:hAnsi="仿宋" w:eastAsia="仿宋"/>
          <w:sz w:val="30"/>
          <w:szCs w:val="30"/>
        </w:rPr>
        <w:t>日至</w:t>
      </w:r>
      <w:r>
        <w:rPr>
          <w:rFonts w:ascii="仿宋" w:hAnsi="仿宋" w:eastAsia="仿宋"/>
          <w:sz w:val="30"/>
          <w:szCs w:val="30"/>
        </w:rPr>
        <w:t xml:space="preserve"> 2022 </w:t>
      </w:r>
      <w:r>
        <w:rPr>
          <w:rFonts w:hint="eastAsia" w:ascii="仿宋" w:hAnsi="仿宋" w:eastAsia="仿宋"/>
          <w:sz w:val="30"/>
          <w:szCs w:val="30"/>
        </w:rPr>
        <w:t>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 </w:t>
      </w:r>
      <w:r>
        <w:rPr>
          <w:rFonts w:hint="eastAsia" w:ascii="仿宋" w:hAnsi="仿宋" w:eastAsia="仿宋"/>
          <w:sz w:val="30"/>
          <w:szCs w:val="30"/>
        </w:rPr>
        <w:t>日。</w:t>
      </w:r>
      <w:r>
        <w:rPr>
          <w:rFonts w:ascii="仿宋" w:hAnsi="仿宋" w:eastAsia="仿宋"/>
          <w:sz w:val="30"/>
          <w:szCs w:val="30"/>
        </w:rPr>
        <w:t>4.</w:t>
      </w:r>
      <w:r>
        <w:rPr>
          <w:rFonts w:hint="eastAsia" w:ascii="仿宋" w:hAnsi="仿宋" w:eastAsia="仿宋"/>
          <w:sz w:val="30"/>
          <w:szCs w:val="30"/>
        </w:rPr>
        <w:t>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提的中标通知书及合同委托方证明）中必须清晰反映以下内容：工程名称、业绩金额（单独承担的同类业绩，若合同中包含多项服务，合同中需清晰反映涉原水管安全评估部分的金额；若所提供同类业绩为联合体方式承接的，合同中需清晰反映本项目投标人在该联合体业绩中所承担的涉原水管安全评估部分的金额）、签订时间、工作内容（涉原水管安全评估）。如合同无法清晰体现上述内容，需提供合同委托方证明文件或工程总概算批复文件或相关联合体证明文件（如需清晰反映本项目投标人在该联合体业绩中所承担的同类业绩服务内容及对应金额，须由原业绩联合体成员各方出具盖章证明文件，也可由合同委托方出具相关盖章证明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Pr>
        <w:pStyle w:val="4"/>
        <w:widowControl/>
        <w:ind w:left="0" w:leftChars="0"/>
        <w:rPr>
          <w:rStyle w:val="21"/>
          <w:rFonts w:ascii="仿宋" w:hAnsi="仿宋" w:eastAsia="仿宋" w:cs="仿宋"/>
          <w:b/>
          <w:bCs/>
          <w:color w:val="auto"/>
        </w:rPr>
      </w:pPr>
    </w:p>
    <w:p>
      <w:pPr>
        <w:widowControl/>
        <w:jc w:val="left"/>
      </w:pPr>
      <w:r>
        <w:br w:type="page"/>
      </w:r>
    </w:p>
    <w:p>
      <w:pPr>
        <w:rPr>
          <w:rFonts w:hint="eastAsia" w:ascii="仿宋" w:hAnsi="仿宋" w:eastAsia="仿宋" w:cs="仿宋"/>
          <w:sz w:val="32"/>
          <w:szCs w:val="32"/>
        </w:rPr>
      </w:pPr>
      <w:r>
        <w:rPr>
          <w:rFonts w:hint="eastAsia" w:ascii="仿宋" w:hAnsi="仿宋" w:eastAsia="仿宋" w:cs="仿宋"/>
          <w:sz w:val="32"/>
          <w:szCs w:val="32"/>
        </w:rPr>
        <w:t>附件</w:t>
      </w:r>
      <w:r>
        <w:rPr>
          <w:rFonts w:hint="default" w:ascii="仿宋" w:hAnsi="仿宋" w:eastAsia="仿宋" w:cs="仿宋"/>
          <w:sz w:val="32"/>
          <w:szCs w:val="32"/>
          <w:lang w:val="en-US"/>
        </w:rPr>
        <w:t>2</w:t>
      </w:r>
      <w:r>
        <w:rPr>
          <w:rFonts w:hint="eastAsia" w:ascii="仿宋" w:hAnsi="仿宋" w:eastAsia="仿宋" w:cs="仿宋"/>
          <w:sz w:val="32"/>
          <w:szCs w:val="32"/>
        </w:rPr>
        <w:t>：费用测算说明</w:t>
      </w:r>
    </w:p>
    <w:p>
      <w:pPr>
        <w:pStyle w:val="6"/>
        <w:jc w:val="center"/>
        <w:rPr>
          <w:rFonts w:hint="eastAsia" w:ascii="仿宋" w:hAnsi="仿宋" w:eastAsia="仿宋" w:cs="仿宋"/>
        </w:rPr>
      </w:pPr>
    </w:p>
    <w:p>
      <w:pPr>
        <w:jc w:val="center"/>
        <w:outlineLvl w:val="0"/>
        <w:rPr>
          <w:rFonts w:hint="eastAsia" w:ascii="仿宋" w:hAnsi="仿宋" w:eastAsia="仿宋" w:cs="仿宋"/>
          <w:b/>
          <w:bCs/>
          <w:sz w:val="40"/>
          <w:szCs w:val="40"/>
        </w:rPr>
      </w:pPr>
      <w:r>
        <w:rPr>
          <w:rFonts w:hint="eastAsia" w:ascii="仿宋" w:hAnsi="仿宋" w:eastAsia="仿宋" w:cs="仿宋"/>
          <w:b/>
          <w:bCs/>
          <w:sz w:val="40"/>
          <w:szCs w:val="40"/>
        </w:rPr>
        <w:t>龙岗区龙岗河流域排水管网系统完善工程涉原水管安全评估招标估价计算说明</w:t>
      </w:r>
    </w:p>
    <w:p>
      <w:pPr>
        <w:rPr>
          <w:rFonts w:ascii="仿宋" w:hAnsi="仿宋" w:eastAsia="仿宋" w:cs="仿宋"/>
          <w:sz w:val="32"/>
          <w:szCs w:val="32"/>
        </w:rPr>
      </w:pPr>
      <w:r>
        <w:rPr>
          <w:rFonts w:hint="eastAsia" w:ascii="仿宋" w:hAnsi="仿宋" w:eastAsia="仿宋" w:cs="仿宋"/>
          <w:sz w:val="32"/>
          <w:szCs w:val="32"/>
        </w:rPr>
        <w:t>本项目参照</w:t>
      </w:r>
      <w:r>
        <w:rPr>
          <w:rFonts w:hint="eastAsia" w:ascii="仿宋" w:hAnsi="仿宋" w:eastAsia="仿宋"/>
          <w:sz w:val="32"/>
          <w:szCs w:val="32"/>
        </w:rPr>
        <w:t>《龙岗区水务工程第三方服务费用测算成果》中2021年龙岗区龙岗河流域、观澜河流域、深圳河流域水务工程（水污染治理、内涝整治部分）涉原水管安全评估单价进行取费，涉原水管安全评估拟采用单价为11.73万元/评估点。经设计单位复核，本项目</w:t>
      </w:r>
      <w:r>
        <w:rPr>
          <w:rFonts w:hint="eastAsia" w:ascii="仿宋" w:hAnsi="仿宋" w:eastAsia="仿宋" w:cs="仿宋"/>
          <w:sz w:val="32"/>
          <w:szCs w:val="32"/>
        </w:rPr>
        <w:t>总体涉及三条原水管，考虑同一原水管上涉及的工程距离较近且工程内容相似，且三条原水管分属不同管理单位，因此建议按照同一原水管的建设内容合并为一个评估点位计费，分别开展评估工作，故</w:t>
      </w:r>
      <w:r>
        <w:rPr>
          <w:rFonts w:hint="eastAsia" w:ascii="仿宋" w:hAnsi="仿宋" w:eastAsia="仿宋"/>
          <w:sz w:val="32"/>
          <w:szCs w:val="32"/>
        </w:rPr>
        <w:t>本项目</w:t>
      </w:r>
      <w:r>
        <w:rPr>
          <w:rFonts w:hint="eastAsia" w:ascii="仿宋" w:hAnsi="仿宋" w:eastAsia="仿宋" w:cs="仿宋"/>
          <w:sz w:val="32"/>
          <w:szCs w:val="32"/>
        </w:rPr>
        <w:t>涉原水管安全评估一共3个点位，本项目招标估价为11.73×3=35.19万元。</w:t>
      </w:r>
    </w:p>
    <w:p/>
    <w:tbl>
      <w:tblPr>
        <w:tblStyle w:val="16"/>
        <w:tblW w:w="15160" w:type="dxa"/>
        <w:jc w:val="center"/>
        <w:tblLayout w:type="autofit"/>
        <w:tblCellMar>
          <w:top w:w="0" w:type="dxa"/>
          <w:left w:w="108" w:type="dxa"/>
          <w:bottom w:w="0" w:type="dxa"/>
          <w:right w:w="108" w:type="dxa"/>
        </w:tblCellMar>
      </w:tblPr>
      <w:tblGrid>
        <w:gridCol w:w="679"/>
        <w:gridCol w:w="1513"/>
        <w:gridCol w:w="1302"/>
        <w:gridCol w:w="1302"/>
        <w:gridCol w:w="1302"/>
        <w:gridCol w:w="1975"/>
        <w:gridCol w:w="3228"/>
        <w:gridCol w:w="2099"/>
        <w:gridCol w:w="1760"/>
      </w:tblGrid>
      <w:tr>
        <w:tblPrEx>
          <w:tblCellMar>
            <w:top w:w="0" w:type="dxa"/>
            <w:left w:w="108" w:type="dxa"/>
            <w:bottom w:w="0" w:type="dxa"/>
            <w:right w:w="108" w:type="dxa"/>
          </w:tblCellMar>
        </w:tblPrEx>
        <w:trPr>
          <w:trHeight w:val="666" w:hRule="atLeast"/>
          <w:jc w:val="center"/>
        </w:trPr>
        <w:tc>
          <w:tcPr>
            <w:tcW w:w="15160" w:type="dxa"/>
            <w:gridSpan w:val="9"/>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32"/>
                <w:szCs w:val="32"/>
              </w:rPr>
            </w:pPr>
            <w:r>
              <w:rPr>
                <w:rFonts w:hint="eastAsia" w:ascii="宋体" w:hAnsi="宋体" w:cs="宋体"/>
                <w:b/>
                <w:bCs/>
                <w:color w:val="000000"/>
                <w:kern w:val="0"/>
                <w:sz w:val="32"/>
                <w:szCs w:val="32"/>
                <w:lang w:bidi="ar"/>
              </w:rPr>
              <w:t>龙岗河流域排水管网系统完善工程涉原水管统计表</w:t>
            </w:r>
          </w:p>
        </w:tc>
      </w:tr>
      <w:tr>
        <w:tblPrEx>
          <w:tblCellMar>
            <w:top w:w="0" w:type="dxa"/>
            <w:left w:w="108" w:type="dxa"/>
            <w:bottom w:w="0" w:type="dxa"/>
            <w:right w:w="108" w:type="dxa"/>
          </w:tblCellMar>
        </w:tblPrEx>
        <w:trPr>
          <w:trHeight w:val="666" w:hRule="atLeast"/>
          <w:jc w:val="center"/>
        </w:trPr>
        <w:tc>
          <w:tcPr>
            <w:tcW w:w="67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1513"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项目子项类型</w:t>
            </w:r>
          </w:p>
        </w:tc>
        <w:tc>
          <w:tcPr>
            <w:tcW w:w="130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所在街道</w:t>
            </w:r>
          </w:p>
        </w:tc>
        <w:tc>
          <w:tcPr>
            <w:tcW w:w="130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设计内容</w:t>
            </w:r>
          </w:p>
        </w:tc>
        <w:tc>
          <w:tcPr>
            <w:tcW w:w="130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Style w:val="22"/>
                <w:rFonts w:hint="default"/>
                <w:lang w:bidi="ar"/>
              </w:rPr>
              <w:t>涉</w:t>
            </w:r>
            <w:r>
              <w:rPr>
                <w:rStyle w:val="23"/>
                <w:rFonts w:hint="default"/>
                <w:lang w:bidi="ar"/>
              </w:rPr>
              <w:t>原水管</w:t>
            </w:r>
            <w:r>
              <w:rPr>
                <w:rStyle w:val="22"/>
                <w:rFonts w:hint="default"/>
                <w:lang w:bidi="ar"/>
              </w:rPr>
              <w:t>名称</w:t>
            </w:r>
          </w:p>
        </w:tc>
        <w:tc>
          <w:tcPr>
            <w:tcW w:w="197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涉及位置</w:t>
            </w:r>
          </w:p>
        </w:tc>
        <w:tc>
          <w:tcPr>
            <w:tcW w:w="3228"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涉及方式</w:t>
            </w:r>
          </w:p>
        </w:tc>
        <w:tc>
          <w:tcPr>
            <w:tcW w:w="209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评估内容</w:t>
            </w:r>
          </w:p>
        </w:tc>
        <w:tc>
          <w:tcPr>
            <w:tcW w:w="176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备注</w:t>
            </w:r>
          </w:p>
        </w:tc>
      </w:tr>
      <w:tr>
        <w:tblPrEx>
          <w:tblCellMar>
            <w:top w:w="0" w:type="dxa"/>
            <w:left w:w="108" w:type="dxa"/>
            <w:bottom w:w="0" w:type="dxa"/>
            <w:right w:w="108" w:type="dxa"/>
          </w:tblCellMar>
        </w:tblPrEx>
        <w:trPr>
          <w:trHeight w:val="1322"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市政支管网完善工程</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坪地街道</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盐龙大道雨污水管</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东清输水-坪地支线</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盐龙大道与教育北路交汇处东侧</w:t>
            </w:r>
          </w:p>
        </w:tc>
        <w:tc>
          <w:tcPr>
            <w:tcW w:w="3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盐龙大道（富坪路-教育北路）自东向西铺设DN500污水管及2.0m*2.0m雨水箱涵，在教育北路东侧与坪地支线交叉</w:t>
            </w:r>
          </w:p>
        </w:tc>
        <w:tc>
          <w:tcPr>
            <w:tcW w:w="2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评估新建管道对输水工程的影响</w:t>
            </w:r>
          </w:p>
        </w:tc>
        <w:tc>
          <w:tcPr>
            <w:tcW w:w="17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合并为一个评估点</w:t>
            </w:r>
          </w:p>
        </w:tc>
      </w:tr>
      <w:tr>
        <w:tblPrEx>
          <w:tblCellMar>
            <w:top w:w="0" w:type="dxa"/>
            <w:left w:w="108" w:type="dxa"/>
            <w:bottom w:w="0" w:type="dxa"/>
            <w:right w:w="108" w:type="dxa"/>
          </w:tblCellMar>
        </w:tblPrEx>
        <w:trPr>
          <w:trHeight w:val="1322"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市政支管网缺陷修复工程</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坪地街道</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缺陷修复雨污水管</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东清输水-坪地支线</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龙岗大道与天宏路交汇处、天宏路与湖田路、坪梓路</w:t>
            </w:r>
          </w:p>
        </w:tc>
        <w:tc>
          <w:tcPr>
            <w:tcW w:w="3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该区域有9处缺陷DN200-DN800管线与东清输水工程存在交叉</w:t>
            </w:r>
          </w:p>
        </w:tc>
        <w:tc>
          <w:tcPr>
            <w:tcW w:w="2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评估缺陷修复工程对输水工程的影响</w:t>
            </w:r>
          </w:p>
        </w:tc>
        <w:tc>
          <w:tcPr>
            <w:tcW w:w="17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666"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市政支管网错混接工程</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坪地街道</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错混接污水管</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东清输水-坪地支线</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人民南路</w:t>
            </w:r>
          </w:p>
        </w:tc>
        <w:tc>
          <w:tcPr>
            <w:tcW w:w="3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错混接DN300管线进入东清输水工程保护范围，平行距离4m</w:t>
            </w:r>
          </w:p>
        </w:tc>
        <w:tc>
          <w:tcPr>
            <w:tcW w:w="2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评估错混接工程对输水工程的影响</w:t>
            </w:r>
          </w:p>
        </w:tc>
        <w:tc>
          <w:tcPr>
            <w:tcW w:w="17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994"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市政支管网完善工程</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龙岗街道</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创建路污水管</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龙清输水</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创建路</w:t>
            </w:r>
          </w:p>
        </w:tc>
        <w:tc>
          <w:tcPr>
            <w:tcW w:w="3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沿创建路自西向东铺设DN600污水管接入协力路d1000污水干管与龙清输水交叉</w:t>
            </w:r>
          </w:p>
        </w:tc>
        <w:tc>
          <w:tcPr>
            <w:tcW w:w="2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评估新建管道对输水工程的影响</w:t>
            </w:r>
          </w:p>
        </w:tc>
        <w:tc>
          <w:tcPr>
            <w:tcW w:w="17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合并为一个评估点</w:t>
            </w:r>
          </w:p>
        </w:tc>
      </w:tr>
      <w:tr>
        <w:tblPrEx>
          <w:tblCellMar>
            <w:top w:w="0" w:type="dxa"/>
            <w:left w:w="108" w:type="dxa"/>
            <w:bottom w:w="0" w:type="dxa"/>
            <w:right w:w="108" w:type="dxa"/>
          </w:tblCellMar>
        </w:tblPrEx>
        <w:trPr>
          <w:trHeight w:val="666"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市政支管网缺陷修复工程</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龙城街道</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缺陷修复雨污水管</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龙清输水</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盐龙大道龙平立交桥附近</w:t>
            </w:r>
          </w:p>
        </w:tc>
        <w:tc>
          <w:tcPr>
            <w:tcW w:w="3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该区域有3处缺陷DN400雨污水管，分别与输水工程存在交叉</w:t>
            </w:r>
          </w:p>
        </w:tc>
        <w:tc>
          <w:tcPr>
            <w:tcW w:w="2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评估缺陷修复工程对输水工程的影响</w:t>
            </w:r>
          </w:p>
        </w:tc>
        <w:tc>
          <w:tcPr>
            <w:tcW w:w="17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666"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市政支管网缺陷修复工程</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龙城街道</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缺陷修复雨水管</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龙清输水</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盐龙大道与青春路交汇处</w:t>
            </w:r>
          </w:p>
        </w:tc>
        <w:tc>
          <w:tcPr>
            <w:tcW w:w="3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缺陷修复DN300管线进入龙清输水工程保护范围，平行距离5m</w:t>
            </w:r>
          </w:p>
        </w:tc>
        <w:tc>
          <w:tcPr>
            <w:tcW w:w="2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评估缺陷修复工程对输水工程的影响</w:t>
            </w:r>
          </w:p>
        </w:tc>
        <w:tc>
          <w:tcPr>
            <w:tcW w:w="17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994"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市政支管网完善工程</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园山街道</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沙荷路污水管</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横岗调蓄工程</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Style w:val="24"/>
                <w:rFonts w:hint="default"/>
                <w:lang w:bidi="ar"/>
              </w:rPr>
              <w:t>简一村路口</w:t>
            </w:r>
            <w:r>
              <w:rPr>
                <w:rStyle w:val="24"/>
                <w:rFonts w:hint="default"/>
                <w:lang w:bidi="ar"/>
              </w:rPr>
              <w:br w:type="textWrapping"/>
            </w:r>
            <w:r>
              <w:rPr>
                <w:rStyle w:val="24"/>
                <w:rFonts w:hint="default"/>
                <w:lang w:bidi="ar"/>
              </w:rPr>
              <w:t>（沙荷路-龙腾路）</w:t>
            </w:r>
          </w:p>
        </w:tc>
        <w:tc>
          <w:tcPr>
            <w:tcW w:w="3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新建设DN400污水管道与横岗调蓄工程交叉</w:t>
            </w:r>
          </w:p>
        </w:tc>
        <w:tc>
          <w:tcPr>
            <w:tcW w:w="2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评估新建管道对调蓄工程的影响</w:t>
            </w:r>
          </w:p>
        </w:tc>
        <w:tc>
          <w:tcPr>
            <w:tcW w:w="17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合并为一个评估点</w:t>
            </w:r>
          </w:p>
        </w:tc>
      </w:tr>
      <w:tr>
        <w:tblPrEx>
          <w:tblCellMar>
            <w:top w:w="0" w:type="dxa"/>
            <w:left w:w="108" w:type="dxa"/>
            <w:bottom w:w="0" w:type="dxa"/>
            <w:right w:w="108" w:type="dxa"/>
          </w:tblCellMar>
        </w:tblPrEx>
        <w:trPr>
          <w:trHeight w:val="677"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市政支管网错混接工程</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园山街道</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错混接污水管</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横岗调蓄工程</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Style w:val="24"/>
                <w:rFonts w:hint="default"/>
                <w:lang w:bidi="ar"/>
              </w:rPr>
              <w:t>简一村路口</w:t>
            </w:r>
            <w:r>
              <w:rPr>
                <w:rStyle w:val="24"/>
                <w:rFonts w:hint="default"/>
                <w:lang w:bidi="ar"/>
              </w:rPr>
              <w:br w:type="textWrapping"/>
            </w:r>
            <w:r>
              <w:rPr>
                <w:rStyle w:val="24"/>
                <w:rFonts w:hint="default"/>
                <w:lang w:bidi="ar"/>
              </w:rPr>
              <w:t>（沙荷路-龙腾路）</w:t>
            </w:r>
          </w:p>
        </w:tc>
        <w:tc>
          <w:tcPr>
            <w:tcW w:w="3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该区域有2处错混接DN700管道与横岗调蓄工程交叉</w:t>
            </w:r>
          </w:p>
        </w:tc>
        <w:tc>
          <w:tcPr>
            <w:tcW w:w="2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评估错混接对调蓄工程的影响</w:t>
            </w:r>
          </w:p>
        </w:tc>
        <w:tc>
          <w:tcPr>
            <w:tcW w:w="17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r>
    </w:tbl>
    <w:p>
      <w:pPr>
        <w:widowControl/>
        <w:rPr>
          <w:rStyle w:val="18"/>
          <w:rFonts w:hint="eastAsia" w:ascii="仿宋" w:hAnsi="仿宋" w:eastAsia="仿宋" w:cs="仿宋"/>
          <w:b/>
          <w:bCs/>
          <w:color w:val="auto"/>
          <w:kern w:val="2"/>
        </w:rPr>
      </w:pPr>
    </w:p>
    <w:sectPr>
      <w:footerReference r:id="rId4" w:type="default"/>
      <w:pgSz w:w="16838" w:h="11906" w:orient="landscape"/>
      <w:pgMar w:top="1800" w:right="1440" w:bottom="14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7evWLAIAAFcEAAAOAAAAZHJz&#10;L2Uyb0RvYy54bWytVM2O0zAQviPxDpbvNGmBVVU1XZWtipAqdqUFcXYdp4nkP9luk/IA8AacuHDf&#10;5+pz8NlpumjhsAcuztgz/sbfNzOZX3dKkoNwvjG6oONRTonQ3JSN3hX086f1qyklPjBdMmm0KOhR&#10;eHq9ePli3tqZmJjayFI4AhDtZ60taB2CnWWZ57VQzI+MFRrOyjjFArZul5WOtUBXMpvk+VXWGlda&#10;Z7jwHqer3knPiO45gKaqGi5Whu+V0KFHdUKyAEq+bqyni/TaqhI83FaVF4HIgoJpSCuSwN7GNVvM&#10;2WznmK0bfn4Ce84TnnBSrNFIeoFascDI3jV/QamGO+NNFUbcqKwnkhQBi3H+RJv7mlmRuEBqby+i&#10;+/8Hyz8e7hxpSnTCG0o0U6j46cf308+H069vBGcQqLV+hrh7i8jQvTMdgodzj8PIu6ucil8wIvBD&#10;3uNFXtEFwuOl6WQ6zeHi8A0b4GeP163z4b0wikSjoA71S7Kyw8aHPnQIidm0WTdSphpKTdqCXr1+&#10;m6cLFw/ApUaOSKJ/bLRCt+3OzLamPIKYM31veMvXDZJvmA93zKEZ8GCMS7jFUkmDJOZsUVIb9/Vf&#10;5zEeNYKXkhbNVVCNWaJEftCoHQDDYLjB2A6G3qsbg24dYwwtTyYuuCAHs3JGfcEMLWMOuJjmyFTQ&#10;MJg3oW9wzCAXy2UKQrdZFjb63vIIHcXzdrkPEDDpGkXplThrhX5LlTnPRmzoP/cp6vF/s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IoUZjzRAAAAlAEAAAsAAAAAAAAAAQAgAAAAsQMAAF9y&#10;ZWxzLy5yZWxzUEsBAhQAFAAAAAgAh07iQH7m5SD3AAAA4QEAABMAAAAAAAAAAQAgAAAAqwQAAFtD&#10;b250ZW50X1R5cGVzXS54bWxQSwECFAAKAAAAAACHTuJAAAAAAAAAAAAAAAAABgAAAAAAAAAAABAA&#10;AACNAwAAX3JlbHMvUEsBAhQAFAAAAAgAh07iQCvt69YsAgAAVwQAAA4AAAAAAAAAAQAgAAAANQEA&#10;AGRycy9lMm9Eb2MueG1sUEsBAhQAFAAAAAgAh07iQLNJWO7QAAAABQEAAA8AAAAAAAAAAQAgAAAA&#10;OAAAAGRycy9kb3ducmV2LnhtbFBLAQIUAAoAAAAAAIdO4kAAAAAAAAAAAAAAAAAEAAAAAAAAAAAA&#10;EAAAABYAAABkcnMvUEsFBgAAAAAGAAYAWQEAAN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sUaSMgIAAGUEAAAOAAAAZHJz&#10;L2Uyb0RvYy54bWytVM2O0zAQviPxDpbvNG3Rrqqq6apsVYRUsSstiLPrOE0k/8l2m5QHgDfgxIU7&#10;z9Xn2M9O0kULhz1wScee8TfzfTPTxU2rJDkK52ujczoZjSkRmpui1vucfv60eTOjxAemCyaNFjk9&#10;CU9vlq9fLRo7F1NTGVkIRwCi/byxOa1CsPMs87wSivmRsULDWRqnWMDR7bPCsQboSmbT8fg6a4wr&#10;rDNceI/bdeekPaJ7CaApy5qLteEHJXToUJ2QLICSr2rr6TJVW5aCh7uy9CIQmVMwDemLJLB38Zst&#10;F2y+d8xWNe9LYC8p4RknxWqNpBeoNQuMHFz9F5SquTPelGHEjco6IkkRsJiMn2nzUDErEhdI7e1F&#10;dP//YPnH470jdYFJuKJEM4WOn398P//8ff71jeAOAjXWzxH3YBEZ2nemRfBw73EZebelU/EXjAj8&#10;kPd0kVe0gfD4aDadzcZwcfiGA/Czp+fW+fBeGEWikVOH/iVZ2XHrQxc6hMRs2mxqKVMPpSZNTq/f&#10;Xo3Tg4sH4FLHWJGmoYeJlLrSoxXaXdvz3JniBJrOdJPiLd/UKGXLfLhnDqOB8rE84Q6fUhqkNL1F&#10;SWXc13/dx3h0DF5KGoxaTjU2ixL5QaOTAAyD4QZjNxj6oG4NZneCpbQ8mXjgghzM0hn1BRu1ijng&#10;YpojU07DYN6GbtyxkVysVikIs2dZ2OoHyyN0lMfb1SFAzqRyFKVTAt2JB0xf6lO/KXG8/zynqKd/&#10;h+U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F2xRpIyAgAAZ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3MWM4MWMwODNmNWI3ZWFkOGEzMjE1Y2M3YzA3YzMifQ=="/>
    <w:docVar w:name="KSO_WPS_MARK_KEY" w:val="faafcf6f-a654-469e-884c-7d249584498a"/>
  </w:docVars>
  <w:rsids>
    <w:rsidRoot w:val="0BB96166"/>
    <w:rsid w:val="0001392A"/>
    <w:rsid w:val="00244B89"/>
    <w:rsid w:val="00271F2F"/>
    <w:rsid w:val="00321D23"/>
    <w:rsid w:val="00621348"/>
    <w:rsid w:val="007E452A"/>
    <w:rsid w:val="00895C0E"/>
    <w:rsid w:val="00B31811"/>
    <w:rsid w:val="00EE3E18"/>
    <w:rsid w:val="00F401E4"/>
    <w:rsid w:val="014545C7"/>
    <w:rsid w:val="01BF37C7"/>
    <w:rsid w:val="01C76ADD"/>
    <w:rsid w:val="0217259F"/>
    <w:rsid w:val="02F569C3"/>
    <w:rsid w:val="03103FE2"/>
    <w:rsid w:val="034036E2"/>
    <w:rsid w:val="03E50FF2"/>
    <w:rsid w:val="05203050"/>
    <w:rsid w:val="072D4D2F"/>
    <w:rsid w:val="08AD01D5"/>
    <w:rsid w:val="09450E28"/>
    <w:rsid w:val="097D1AB0"/>
    <w:rsid w:val="09C1235D"/>
    <w:rsid w:val="0A13403D"/>
    <w:rsid w:val="0BB96166"/>
    <w:rsid w:val="0BFBA3B6"/>
    <w:rsid w:val="0BFC428E"/>
    <w:rsid w:val="0CA02447"/>
    <w:rsid w:val="0DBA0D9D"/>
    <w:rsid w:val="0E5A2923"/>
    <w:rsid w:val="0ED168E7"/>
    <w:rsid w:val="0F581039"/>
    <w:rsid w:val="0F661726"/>
    <w:rsid w:val="0F9A6977"/>
    <w:rsid w:val="125C0BBE"/>
    <w:rsid w:val="1324792E"/>
    <w:rsid w:val="139C1402"/>
    <w:rsid w:val="166041CE"/>
    <w:rsid w:val="16920A0F"/>
    <w:rsid w:val="194B7296"/>
    <w:rsid w:val="19FE4072"/>
    <w:rsid w:val="1C710690"/>
    <w:rsid w:val="1CFA7DE6"/>
    <w:rsid w:val="1E51532B"/>
    <w:rsid w:val="1EA0009D"/>
    <w:rsid w:val="1FD81ACE"/>
    <w:rsid w:val="20485C9B"/>
    <w:rsid w:val="224810DF"/>
    <w:rsid w:val="23497478"/>
    <w:rsid w:val="23FF4F24"/>
    <w:rsid w:val="25D24051"/>
    <w:rsid w:val="26000675"/>
    <w:rsid w:val="277047AD"/>
    <w:rsid w:val="27A50598"/>
    <w:rsid w:val="27B617FB"/>
    <w:rsid w:val="27D15457"/>
    <w:rsid w:val="28057907"/>
    <w:rsid w:val="2AC602C5"/>
    <w:rsid w:val="2B340871"/>
    <w:rsid w:val="2B7A7EFF"/>
    <w:rsid w:val="2F3070C9"/>
    <w:rsid w:val="2F555BC5"/>
    <w:rsid w:val="2F6F19CE"/>
    <w:rsid w:val="2FE25E9E"/>
    <w:rsid w:val="30275F10"/>
    <w:rsid w:val="30EE63CD"/>
    <w:rsid w:val="313905F0"/>
    <w:rsid w:val="31B81BE5"/>
    <w:rsid w:val="32125E45"/>
    <w:rsid w:val="32D87995"/>
    <w:rsid w:val="32F25465"/>
    <w:rsid w:val="33386686"/>
    <w:rsid w:val="345A56D7"/>
    <w:rsid w:val="35051814"/>
    <w:rsid w:val="3575771D"/>
    <w:rsid w:val="35FD96C5"/>
    <w:rsid w:val="37283D74"/>
    <w:rsid w:val="387833DF"/>
    <w:rsid w:val="38F21F59"/>
    <w:rsid w:val="39AE2435"/>
    <w:rsid w:val="39B73AB0"/>
    <w:rsid w:val="3A560A90"/>
    <w:rsid w:val="3BDF091A"/>
    <w:rsid w:val="3C131002"/>
    <w:rsid w:val="3CCC2BD2"/>
    <w:rsid w:val="3D361E88"/>
    <w:rsid w:val="3EFC7411"/>
    <w:rsid w:val="3F77884F"/>
    <w:rsid w:val="3FCF2446"/>
    <w:rsid w:val="409F5F96"/>
    <w:rsid w:val="411617A1"/>
    <w:rsid w:val="411918A4"/>
    <w:rsid w:val="420C31E6"/>
    <w:rsid w:val="439A62FF"/>
    <w:rsid w:val="44F50E58"/>
    <w:rsid w:val="450A631F"/>
    <w:rsid w:val="47892549"/>
    <w:rsid w:val="4ACD555E"/>
    <w:rsid w:val="4B4C4280"/>
    <w:rsid w:val="4C4B3EEC"/>
    <w:rsid w:val="4DA05D99"/>
    <w:rsid w:val="4E8E097E"/>
    <w:rsid w:val="50E750E8"/>
    <w:rsid w:val="51E21083"/>
    <w:rsid w:val="523E1FA6"/>
    <w:rsid w:val="545E4B59"/>
    <w:rsid w:val="547A0454"/>
    <w:rsid w:val="56045215"/>
    <w:rsid w:val="5692549D"/>
    <w:rsid w:val="56953AC3"/>
    <w:rsid w:val="57DB1E97"/>
    <w:rsid w:val="58693C3A"/>
    <w:rsid w:val="58B73A25"/>
    <w:rsid w:val="59110A39"/>
    <w:rsid w:val="59142C25"/>
    <w:rsid w:val="5A9215F2"/>
    <w:rsid w:val="5BEA4F2D"/>
    <w:rsid w:val="5D3962DA"/>
    <w:rsid w:val="5DB4DBE3"/>
    <w:rsid w:val="5DC0337C"/>
    <w:rsid w:val="5DD833B1"/>
    <w:rsid w:val="5E0A6ACC"/>
    <w:rsid w:val="5E48400F"/>
    <w:rsid w:val="5F995D5E"/>
    <w:rsid w:val="60310561"/>
    <w:rsid w:val="607A0C2A"/>
    <w:rsid w:val="61407448"/>
    <w:rsid w:val="636649C5"/>
    <w:rsid w:val="639C60C9"/>
    <w:rsid w:val="65C92FEA"/>
    <w:rsid w:val="65DE77CB"/>
    <w:rsid w:val="664A663F"/>
    <w:rsid w:val="66880CB0"/>
    <w:rsid w:val="669E4476"/>
    <w:rsid w:val="678628B1"/>
    <w:rsid w:val="67A949B8"/>
    <w:rsid w:val="68BF1F88"/>
    <w:rsid w:val="68FC32AA"/>
    <w:rsid w:val="6A84029F"/>
    <w:rsid w:val="6AA47B81"/>
    <w:rsid w:val="6B3B6738"/>
    <w:rsid w:val="6C5E0930"/>
    <w:rsid w:val="6CFD43DC"/>
    <w:rsid w:val="6D2C4F0C"/>
    <w:rsid w:val="6DAB34F7"/>
    <w:rsid w:val="6E1E7D37"/>
    <w:rsid w:val="6FD93C2C"/>
    <w:rsid w:val="6FDBD0FE"/>
    <w:rsid w:val="6FEAFFBE"/>
    <w:rsid w:val="70A6184B"/>
    <w:rsid w:val="71131DEF"/>
    <w:rsid w:val="71597204"/>
    <w:rsid w:val="72121E09"/>
    <w:rsid w:val="72A816C9"/>
    <w:rsid w:val="73003BCB"/>
    <w:rsid w:val="73AF381F"/>
    <w:rsid w:val="73F73418"/>
    <w:rsid w:val="748675E2"/>
    <w:rsid w:val="74F74B21"/>
    <w:rsid w:val="75237D06"/>
    <w:rsid w:val="779FC2E1"/>
    <w:rsid w:val="77FF5C6A"/>
    <w:rsid w:val="7BEAD871"/>
    <w:rsid w:val="7BFF9C3E"/>
    <w:rsid w:val="7C7441CC"/>
    <w:rsid w:val="7D6FD5A3"/>
    <w:rsid w:val="7EFF44F5"/>
    <w:rsid w:val="7F4F2AE3"/>
    <w:rsid w:val="7F7EEAF4"/>
    <w:rsid w:val="7F9BA48F"/>
    <w:rsid w:val="7FB97083"/>
    <w:rsid w:val="7FBA6876"/>
    <w:rsid w:val="7FCCC4CB"/>
    <w:rsid w:val="7FD7F607"/>
    <w:rsid w:val="7FEE7241"/>
    <w:rsid w:val="975A63D8"/>
    <w:rsid w:val="BFBE571F"/>
    <w:rsid w:val="C5BF05B9"/>
    <w:rsid w:val="C7FE5378"/>
    <w:rsid w:val="D0EF708C"/>
    <w:rsid w:val="E377A186"/>
    <w:rsid w:val="E9BFD369"/>
    <w:rsid w:val="EB7E5BF9"/>
    <w:rsid w:val="EF529F08"/>
    <w:rsid w:val="F9BC83D9"/>
    <w:rsid w:val="FAEBA053"/>
    <w:rsid w:val="FB7DC274"/>
    <w:rsid w:val="FC5C594B"/>
    <w:rsid w:val="FDFD167D"/>
    <w:rsid w:val="FE7DBBB6"/>
    <w:rsid w:val="FFFB2C12"/>
    <w:rsid w:val="FFFF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cs="Times New Roman"/>
      <w:b/>
      <w:bCs/>
      <w:kern w:val="0"/>
      <w:sz w:val="36"/>
      <w:szCs w:val="36"/>
    </w:rPr>
  </w:style>
  <w:style w:type="paragraph" w:styleId="3">
    <w:name w:val="heading 3"/>
    <w:basedOn w:val="1"/>
    <w:next w:val="1"/>
    <w:unhideWhenUsed/>
    <w:qFormat/>
    <w:uiPriority w:val="9"/>
    <w:pPr>
      <w:keepNext/>
      <w:keepLines/>
      <w:spacing w:line="360" w:lineRule="auto"/>
      <w:jc w:val="left"/>
      <w:outlineLvl w:val="2"/>
    </w:pPr>
    <w:rPr>
      <w:rFonts w:ascii="宋体" w:hAnsi="宋体" w:cs="Times New Roman"/>
      <w:b/>
      <w:color w:val="000000"/>
      <w:kern w:val="20"/>
      <w:sz w:val="28"/>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1400" w:leftChars="1400"/>
    </w:pPr>
    <w:rPr>
      <w:szCs w:val="24"/>
    </w:rPr>
  </w:style>
  <w:style w:type="paragraph" w:styleId="5">
    <w:name w:val="annotation text"/>
    <w:basedOn w:val="1"/>
    <w:qFormat/>
    <w:uiPriority w:val="0"/>
    <w:pPr>
      <w:jc w:val="left"/>
    </w:pPr>
  </w:style>
  <w:style w:type="paragraph" w:styleId="6">
    <w:name w:val="Body Text"/>
    <w:basedOn w:val="1"/>
    <w:semiHidden/>
    <w:unhideWhenUsed/>
    <w:qFormat/>
    <w:uiPriority w:val="99"/>
    <w:pPr>
      <w:spacing w:after="120"/>
    </w:pPr>
  </w:style>
  <w:style w:type="paragraph" w:styleId="7">
    <w:name w:val="Body Text Indent"/>
    <w:basedOn w:val="1"/>
    <w:qFormat/>
    <w:uiPriority w:val="0"/>
    <w:pPr>
      <w:ind w:firstLine="480"/>
    </w:pPr>
    <w:rPr>
      <w:kern w:val="24"/>
    </w:rPr>
  </w:style>
  <w:style w:type="paragraph" w:styleId="8">
    <w:name w:val="Plain Text"/>
    <w:basedOn w:val="1"/>
    <w:next w:val="4"/>
    <w:qFormat/>
    <w:uiPriority w:val="0"/>
    <w:rPr>
      <w:rFonts w:ascii="宋体" w:hAnsi="Courier New" w:cs="Times New Roman"/>
      <w:szCs w:val="20"/>
    </w:rPr>
  </w:style>
  <w:style w:type="paragraph" w:styleId="9">
    <w:name w:val="Balloon Text"/>
    <w:basedOn w:val="1"/>
    <w:link w:val="25"/>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jc w:val="center"/>
    </w:pPr>
    <w:rPr>
      <w:rFonts w:ascii="宋体" w:hAnsi="宋体" w:cs="Times New Roman"/>
      <w:color w:val="3366FF"/>
      <w:sz w:val="24"/>
      <w:szCs w:val="22"/>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6"/>
    <w:unhideWhenUsed/>
    <w:qFormat/>
    <w:uiPriority w:val="99"/>
    <w:pPr>
      <w:ind w:firstLine="420" w:firstLineChars="100"/>
    </w:pPr>
    <w:rPr>
      <w:rFonts w:cs="宋体"/>
    </w:rPr>
  </w:style>
  <w:style w:type="paragraph" w:styleId="15">
    <w:name w:val="Body Text First Indent 2"/>
    <w:basedOn w:val="7"/>
    <w:qFormat/>
    <w:uiPriority w:val="0"/>
    <w:pPr>
      <w:ind w:firstLine="420" w:firstLine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26E5" w:themeColor="hyperlink"/>
      <w:u w:val="single"/>
      <w14:textFill>
        <w14:solidFill>
          <w14:schemeClr w14:val="hlink"/>
        </w14:solidFill>
      </w14:textFill>
    </w:rPr>
  </w:style>
  <w:style w:type="character" w:styleId="20">
    <w:name w:val="annotation reference"/>
    <w:basedOn w:val="18"/>
    <w:qFormat/>
    <w:uiPriority w:val="0"/>
    <w:rPr>
      <w:sz w:val="21"/>
      <w:szCs w:val="21"/>
    </w:rPr>
  </w:style>
  <w:style w:type="character" w:customStyle="1" w:styleId="21">
    <w:name w:val="fontstyle01"/>
    <w:basedOn w:val="18"/>
    <w:qFormat/>
    <w:uiPriority w:val="0"/>
    <w:rPr>
      <w:rFonts w:ascii="仿宋_GB2312" w:hAnsi="仿宋_GB2312" w:eastAsia="仿宋_GB2312" w:cs="仿宋_GB2312"/>
      <w:color w:val="000000"/>
      <w:sz w:val="32"/>
      <w:szCs w:val="32"/>
    </w:rPr>
  </w:style>
  <w:style w:type="character" w:customStyle="1" w:styleId="22">
    <w:name w:val="font31"/>
    <w:basedOn w:val="18"/>
    <w:qFormat/>
    <w:uiPriority w:val="0"/>
    <w:rPr>
      <w:rFonts w:hint="eastAsia" w:ascii="宋体" w:hAnsi="宋体" w:eastAsia="宋体" w:cs="宋体"/>
      <w:b/>
      <w:bCs/>
      <w:color w:val="000000"/>
      <w:sz w:val="20"/>
      <w:szCs w:val="20"/>
      <w:u w:val="none"/>
    </w:rPr>
  </w:style>
  <w:style w:type="character" w:customStyle="1" w:styleId="23">
    <w:name w:val="font51"/>
    <w:basedOn w:val="18"/>
    <w:qFormat/>
    <w:uiPriority w:val="0"/>
    <w:rPr>
      <w:rFonts w:hint="eastAsia" w:ascii="宋体" w:hAnsi="宋体" w:eastAsia="宋体" w:cs="宋体"/>
      <w:b/>
      <w:bCs/>
      <w:color w:val="000000"/>
      <w:sz w:val="20"/>
      <w:szCs w:val="20"/>
      <w:u w:val="none"/>
    </w:rPr>
  </w:style>
  <w:style w:type="character" w:customStyle="1" w:styleId="24">
    <w:name w:val="font41"/>
    <w:basedOn w:val="18"/>
    <w:qFormat/>
    <w:uiPriority w:val="0"/>
    <w:rPr>
      <w:rFonts w:hint="eastAsia" w:ascii="宋体" w:hAnsi="宋体" w:eastAsia="宋体" w:cs="宋体"/>
      <w:color w:val="000000"/>
      <w:sz w:val="20"/>
      <w:szCs w:val="20"/>
      <w:u w:val="none"/>
    </w:rPr>
  </w:style>
  <w:style w:type="character" w:customStyle="1" w:styleId="25">
    <w:name w:val="批注框文本 字符"/>
    <w:basedOn w:val="18"/>
    <w:link w:val="9"/>
    <w:qFormat/>
    <w:uiPriority w:val="0"/>
    <w:rPr>
      <w:rFonts w:ascii="Calibri" w:hAnsi="Calibri" w:cs="Calibri"/>
      <w:kern w:val="2"/>
      <w:sz w:val="18"/>
      <w:szCs w:val="18"/>
    </w:rPr>
  </w:style>
  <w:style w:type="paragraph" w:customStyle="1" w:styleId="26">
    <w:name w:val="Revision"/>
    <w: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6638</Words>
  <Characters>6839</Characters>
  <Lines>569</Lines>
  <Paragraphs>396</Paragraphs>
  <TotalTime>31</TotalTime>
  <ScaleCrop>false</ScaleCrop>
  <LinksUpToDate>false</LinksUpToDate>
  <CharactersWithSpaces>13081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2025-12-12T19:15:00Z</dcterms:created>
  <dc:creator>醉·九歌</dc:creator>
  <cp:lastModifiedBy>钟雯</cp:lastModifiedBy>
  <cp:lastPrinted>2025-12-12T19:37:00Z</cp:lastPrinted>
  <dcterms:modified xsi:type="dcterms:W3CDTF">2025-12-15T11:08:45Z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936A696FACC3404DA7088B70552E7FF4_13</vt:lpwstr>
  </property>
  <property fmtid="{D5CDD505-2E9C-101B-9397-08002B2CF9AE}" pid="4" name="KSOTemplateDocerSaveRecord">
    <vt:lpwstr>eyJoZGlkIjoiZGNhMDM2Njg2ZjE3MWI2YTQzMTgxZjJjMDllNzYwZGIiLCJ1c2VySWQiOiIzNTMyMzIxMDEifQ==</vt:lpwstr>
  </property>
</Properties>
</file>