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eastAsia="zh-CN"/>
        </w:rPr>
        <w:t>南湾街道2026年社区物业管理服务</w:t>
      </w:r>
      <w:r>
        <w:rPr>
          <w:rFonts w:hint="eastAsia" w:ascii="方正小标宋简体" w:hAnsi="方正小标宋简体" w:eastAsia="方正小标宋简体" w:cs="方正小标宋简体"/>
          <w:sz w:val="44"/>
          <w:szCs w:val="44"/>
          <w:lang w:val="en-US" w:eastAsia="zh-CN"/>
        </w:rPr>
        <w:t>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sz w:val="44"/>
          <w:szCs w:val="44"/>
          <w:lang w:eastAsia="zh-CN"/>
        </w:rPr>
      </w:pPr>
      <w:r>
        <w:rPr>
          <w:rFonts w:hint="default" w:ascii="方正小标宋简体" w:hAnsi="方正小标宋简体" w:eastAsia="方正小标宋简体" w:cs="方正小标宋简体"/>
          <w:sz w:val="44"/>
          <w:szCs w:val="44"/>
          <w:lang w:eastAsia="zh-CN"/>
        </w:rPr>
        <w:t>公开询价公告</w:t>
      </w:r>
    </w:p>
    <w:p>
      <w:pPr>
        <w:numPr>
          <w:ilvl w:val="0"/>
          <w:numId w:val="0"/>
        </w:numPr>
        <w:tabs>
          <w:tab w:val="left" w:pos="740"/>
        </w:tabs>
        <w:spacing w:line="560" w:lineRule="exact"/>
        <w:ind w:firstLine="640" w:firstLineChars="200"/>
        <w:rPr>
          <w:rFonts w:hint="eastAsia" w:ascii="仿宋_GB2312" w:hAnsi="仿宋_GB2312" w:eastAsia="仿宋_GB2312" w:cs="仿宋_GB2312"/>
          <w:b w:val="0"/>
          <w:bCs w:val="0"/>
          <w:color w:val="auto"/>
          <w:sz w:val="32"/>
          <w:szCs w:val="32"/>
          <w:highlight w:val="none"/>
          <w:lang w:eastAsia="zh-CN"/>
        </w:rPr>
      </w:pPr>
      <w:r>
        <w:rPr>
          <w:rFonts w:hint="default" w:ascii="仿宋_GB2312" w:hAnsi="仿宋_GB2312" w:eastAsia="仿宋_GB2312" w:cs="仿宋_GB2312"/>
          <w:b w:val="0"/>
          <w:bCs w:val="0"/>
          <w:color w:val="auto"/>
          <w:sz w:val="32"/>
          <w:szCs w:val="32"/>
          <w:highlight w:val="none"/>
          <w:lang w:eastAsia="zh-CN"/>
        </w:rPr>
        <w:t>深圳市龙岗区</w:t>
      </w:r>
      <w:r>
        <w:rPr>
          <w:rFonts w:hint="eastAsia" w:ascii="仿宋_GB2312" w:hAnsi="仿宋_GB2312" w:eastAsia="仿宋_GB2312" w:cs="仿宋_GB2312"/>
          <w:b w:val="0"/>
          <w:bCs w:val="0"/>
          <w:color w:val="auto"/>
          <w:sz w:val="32"/>
          <w:szCs w:val="32"/>
          <w:highlight w:val="none"/>
          <w:lang w:val="en-US" w:eastAsia="zh-CN"/>
        </w:rPr>
        <w:t>南湾</w:t>
      </w:r>
      <w:r>
        <w:rPr>
          <w:rFonts w:hint="default" w:ascii="仿宋_GB2312" w:hAnsi="仿宋_GB2312" w:eastAsia="仿宋_GB2312" w:cs="仿宋_GB2312"/>
          <w:b w:val="0"/>
          <w:bCs w:val="0"/>
          <w:color w:val="auto"/>
          <w:sz w:val="32"/>
          <w:szCs w:val="32"/>
          <w:highlight w:val="none"/>
          <w:lang w:eastAsia="zh-CN"/>
        </w:rPr>
        <w:t>街道</w:t>
      </w:r>
      <w:r>
        <w:rPr>
          <w:rFonts w:hint="default" w:ascii="仿宋_GB2312" w:hAnsi="仿宋_GB2312" w:cs="仿宋_GB2312"/>
          <w:b w:val="0"/>
          <w:bCs w:val="0"/>
          <w:color w:val="auto"/>
          <w:sz w:val="32"/>
          <w:szCs w:val="32"/>
          <w:highlight w:val="none"/>
          <w:lang w:eastAsia="zh-CN"/>
        </w:rPr>
        <w:t>2026年社区物业管理服务</w:t>
      </w:r>
      <w:r>
        <w:rPr>
          <w:rFonts w:hint="default" w:ascii="仿宋_GB2312" w:hAnsi="仿宋_GB2312" w:eastAsia="仿宋_GB2312" w:cs="仿宋_GB2312"/>
          <w:b w:val="0"/>
          <w:bCs w:val="0"/>
          <w:color w:val="auto"/>
          <w:sz w:val="32"/>
          <w:szCs w:val="32"/>
          <w:highlight w:val="none"/>
          <w:lang w:eastAsia="zh-CN"/>
        </w:rPr>
        <w:t>项目，采用</w:t>
      </w:r>
      <w:r>
        <w:rPr>
          <w:rFonts w:hint="eastAsia" w:ascii="仿宋_GB2312" w:hAnsi="仿宋_GB2312" w:eastAsia="仿宋_GB2312" w:cs="仿宋_GB2312"/>
          <w:b w:val="0"/>
          <w:bCs w:val="0"/>
          <w:color w:val="auto"/>
          <w:sz w:val="32"/>
          <w:szCs w:val="32"/>
          <w:highlight w:val="none"/>
          <w:lang w:val="en-US" w:eastAsia="zh-CN"/>
        </w:rPr>
        <w:t>公开</w:t>
      </w:r>
      <w:r>
        <w:rPr>
          <w:rFonts w:hint="default" w:ascii="仿宋_GB2312" w:hAnsi="仿宋_GB2312" w:eastAsia="仿宋_GB2312" w:cs="仿宋_GB2312"/>
          <w:b w:val="0"/>
          <w:bCs w:val="0"/>
          <w:color w:val="auto"/>
          <w:sz w:val="32"/>
          <w:szCs w:val="32"/>
          <w:highlight w:val="none"/>
          <w:lang w:eastAsia="zh-CN"/>
        </w:rPr>
        <w:t>询价</w:t>
      </w:r>
      <w:r>
        <w:rPr>
          <w:rFonts w:hint="eastAsia" w:ascii="仿宋_GB2312" w:hAnsi="仿宋_GB2312" w:eastAsia="仿宋_GB2312" w:cs="仿宋_GB2312"/>
          <w:b w:val="0"/>
          <w:bCs w:val="0"/>
          <w:color w:val="auto"/>
          <w:sz w:val="32"/>
          <w:szCs w:val="32"/>
          <w:highlight w:val="none"/>
          <w:lang w:val="en-US" w:eastAsia="zh-CN"/>
        </w:rPr>
        <w:t>进行采购</w:t>
      </w:r>
      <w:r>
        <w:rPr>
          <w:rFonts w:hint="default" w:ascii="仿宋_GB2312" w:hAnsi="仿宋_GB2312" w:eastAsia="仿宋_GB2312" w:cs="仿宋_GB2312"/>
          <w:b w:val="0"/>
          <w:bCs w:val="0"/>
          <w:color w:val="auto"/>
          <w:sz w:val="32"/>
          <w:szCs w:val="32"/>
          <w:highlight w:val="none"/>
          <w:lang w:eastAsia="zh-CN"/>
        </w:rPr>
        <w:t>，</w:t>
      </w:r>
      <w:r>
        <w:rPr>
          <w:rFonts w:hint="default" w:ascii="仿宋_GB2312" w:hAnsi="仿宋_GB2312" w:cs="仿宋_GB2312"/>
          <w:b w:val="0"/>
          <w:bCs w:val="0"/>
          <w:color w:val="auto"/>
          <w:sz w:val="32"/>
          <w:szCs w:val="32"/>
          <w:highlight w:val="none"/>
          <w:lang w:eastAsia="zh-CN"/>
        </w:rPr>
        <w:t>评审</w:t>
      </w:r>
      <w:r>
        <w:rPr>
          <w:rFonts w:hint="default" w:ascii="仿宋_GB2312" w:hAnsi="仿宋_GB2312" w:eastAsia="仿宋_GB2312" w:cs="仿宋_GB2312"/>
          <w:b w:val="0"/>
          <w:bCs w:val="0"/>
          <w:color w:val="auto"/>
          <w:sz w:val="32"/>
          <w:szCs w:val="32"/>
          <w:highlight w:val="none"/>
          <w:lang w:eastAsia="zh-CN"/>
        </w:rPr>
        <w:t>方法为最低价法，欢迎符合资格的供应商报名参加。</w:t>
      </w:r>
    </w:p>
    <w:tbl>
      <w:tblPr>
        <w:tblStyle w:val="5"/>
        <w:tblW w:w="9421" w:type="dxa"/>
        <w:tblInd w:w="-5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2887"/>
        <w:gridCol w:w="1738"/>
        <w:gridCol w:w="3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项目名称</w:t>
            </w:r>
          </w:p>
        </w:tc>
        <w:tc>
          <w:tcPr>
            <w:tcW w:w="2887" w:type="dxa"/>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rPr>
            </w:pPr>
            <w:r>
              <w:rPr>
                <w:rFonts w:hint="eastAsia" w:ascii="仿宋_GB2312" w:hAnsi="仿宋_GB2312" w:eastAsia="仿宋_GB2312" w:cs="仿宋_GB2312"/>
                <w:kern w:val="0"/>
                <w:sz w:val="24"/>
                <w:szCs w:val="18"/>
                <w:lang w:eastAsia="zh-CN" w:bidi="ar-SA"/>
              </w:rPr>
              <w:t>2026年社区物业管理服务项目</w:t>
            </w:r>
          </w:p>
        </w:tc>
        <w:tc>
          <w:tcPr>
            <w:tcW w:w="1738" w:type="dxa"/>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预算</w:t>
            </w: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金额（元）</w:t>
            </w:r>
          </w:p>
        </w:tc>
        <w:tc>
          <w:tcPr>
            <w:tcW w:w="3134" w:type="dxa"/>
            <w:noWrap w:val="0"/>
            <w:vAlign w:val="top"/>
          </w:tcPr>
          <w:p>
            <w:pPr>
              <w:pStyle w:val="3"/>
              <w:keepNext w:val="0"/>
              <w:keepLines w:val="0"/>
              <w:widowControl/>
              <w:suppressLineNumbers w:val="0"/>
              <w:spacing w:before="0" w:beforeAutospacing="0" w:after="0" w:afterAutospacing="0" w:line="560" w:lineRule="exact"/>
              <w:ind w:right="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rPr>
            </w:pPr>
            <w:r>
              <w:rPr>
                <w:rFonts w:hint="default" w:ascii="仿宋_GB2312" w:hAnsi="仿宋_GB2312" w:cs="仿宋_GB2312"/>
                <w:i w:val="0"/>
                <w:iCs w:val="0"/>
                <w:caps w:val="0"/>
                <w:color w:val="auto"/>
                <w:spacing w:val="0"/>
                <w:kern w:val="2"/>
                <w:sz w:val="32"/>
                <w:szCs w:val="32"/>
                <w:highlight w:val="none"/>
                <w:shd w:val="clear" w:color="auto" w:fill="auto"/>
                <w:vertAlign w:val="baseline"/>
              </w:rPr>
              <w:t>170000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662" w:type="dxa"/>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项目内容</w:t>
            </w:r>
          </w:p>
        </w:tc>
        <w:tc>
          <w:tcPr>
            <w:tcW w:w="7759" w:type="dxa"/>
            <w:gridSpan w:val="3"/>
            <w:noWrap w:val="0"/>
            <w:vAlign w:val="top"/>
          </w:tcPr>
          <w:p>
            <w:pPr>
              <w:pStyle w:val="3"/>
              <w:keepNext w:val="0"/>
              <w:keepLines w:val="0"/>
              <w:widowControl/>
              <w:numPr>
                <w:ilvl w:val="0"/>
                <w:numId w:val="1"/>
              </w:numPr>
              <w:suppressLineNumbers w:val="0"/>
              <w:spacing w:before="0" w:beforeAutospacing="0" w:after="0" w:afterAutospacing="0" w:line="560" w:lineRule="exact"/>
              <w:ind w:left="0" w:leftChars="0" w:right="0" w:firstLine="0" w:firstLineChars="0"/>
              <w:jc w:val="left"/>
              <w:rPr>
                <w:rFonts w:hint="eastAsia" w:ascii="仿宋_GB2312" w:hAnsi="仿宋_GB2312" w:eastAsia="仿宋_GB2312" w:cs="仿宋_GB2312"/>
                <w:kern w:val="0"/>
                <w:sz w:val="24"/>
                <w:szCs w:val="24"/>
                <w:lang w:eastAsia="zh-CN" w:bidi="ar-SA"/>
              </w:rPr>
            </w:pPr>
            <w:r>
              <w:rPr>
                <w:rFonts w:hint="eastAsia" w:ascii="仿宋_GB2312" w:hAnsi="仿宋_GB2312" w:eastAsia="仿宋_GB2312" w:cs="仿宋_GB2312"/>
                <w:kern w:val="0"/>
                <w:sz w:val="24"/>
                <w:szCs w:val="24"/>
                <w:lang w:eastAsia="zh-CN" w:bidi="ar-SA"/>
              </w:rPr>
              <w:t>服务地点：南新社区工作站</w:t>
            </w:r>
          </w:p>
          <w:p>
            <w:pPr>
              <w:pStyle w:val="3"/>
              <w:keepNext w:val="0"/>
              <w:keepLines w:val="0"/>
              <w:widowControl/>
              <w:numPr>
                <w:ilvl w:val="0"/>
                <w:numId w:val="1"/>
              </w:numPr>
              <w:suppressLineNumbers w:val="0"/>
              <w:spacing w:before="0" w:beforeAutospacing="0" w:after="0" w:afterAutospacing="0" w:line="560" w:lineRule="exact"/>
              <w:ind w:left="0" w:leftChars="0" w:right="0" w:firstLine="0" w:firstLineChars="0"/>
              <w:jc w:val="left"/>
              <w:rPr>
                <w:rFonts w:hint="eastAsia" w:ascii="仿宋_GB2312" w:hAnsi="仿宋_GB2312" w:eastAsia="仿宋_GB2312" w:cs="仿宋_GB2312"/>
                <w:kern w:val="0"/>
                <w:sz w:val="24"/>
                <w:szCs w:val="24"/>
                <w:lang w:eastAsia="zh-CN" w:bidi="ar-SA"/>
              </w:rPr>
            </w:pPr>
            <w:r>
              <w:rPr>
                <w:rFonts w:hint="eastAsia" w:ascii="仿宋_GB2312" w:hAnsi="仿宋_GB2312" w:eastAsia="仿宋_GB2312" w:cs="仿宋_GB2312"/>
                <w:kern w:val="0"/>
                <w:sz w:val="24"/>
                <w:szCs w:val="24"/>
                <w:lang w:eastAsia="zh-CN" w:bidi="ar-SA"/>
              </w:rPr>
              <w:t>服务期限：2026年1月16日至2027年1月15日</w:t>
            </w:r>
          </w:p>
          <w:p>
            <w:pPr>
              <w:pStyle w:val="3"/>
              <w:keepNext w:val="0"/>
              <w:keepLines w:val="0"/>
              <w:widowControl/>
              <w:numPr>
                <w:ilvl w:val="0"/>
                <w:numId w:val="1"/>
              </w:numPr>
              <w:suppressLineNumbers w:val="0"/>
              <w:spacing w:before="0" w:beforeAutospacing="0" w:after="0" w:afterAutospacing="0" w:line="560" w:lineRule="exact"/>
              <w:ind w:left="0" w:leftChars="0" w:right="0" w:firstLine="0" w:firstLineChars="0"/>
              <w:jc w:val="left"/>
              <w:rPr>
                <w:rFonts w:hint="eastAsia" w:ascii="仿宋_GB2312" w:hAnsi="仿宋_GB2312" w:eastAsia="仿宋_GB2312" w:cs="仿宋_GB2312"/>
                <w:kern w:val="0"/>
                <w:sz w:val="24"/>
                <w:szCs w:val="24"/>
                <w:lang w:eastAsia="zh-CN" w:bidi="ar-SA"/>
              </w:rPr>
            </w:pPr>
            <w:r>
              <w:rPr>
                <w:rFonts w:hint="default" w:ascii="仿宋_GB2312" w:hAnsi="仿宋_GB2312" w:cs="仿宋_GB2312"/>
                <w:kern w:val="0"/>
                <w:sz w:val="24"/>
                <w:szCs w:val="24"/>
                <w:lang w:eastAsia="zh-CN" w:bidi="ar-SA"/>
              </w:rPr>
              <w:t>服务面积：1760平方米</w:t>
            </w:r>
          </w:p>
          <w:p>
            <w:pPr>
              <w:pStyle w:val="3"/>
              <w:keepNext w:val="0"/>
              <w:keepLines w:val="0"/>
              <w:widowControl/>
              <w:numPr>
                <w:ilvl w:val="0"/>
                <w:numId w:val="1"/>
              </w:numPr>
              <w:suppressLineNumbers w:val="0"/>
              <w:spacing w:before="0" w:beforeAutospacing="0" w:after="0" w:afterAutospacing="0" w:line="560" w:lineRule="exact"/>
              <w:ind w:left="0" w:leftChars="0" w:right="0" w:firstLine="0" w:firstLineChars="0"/>
              <w:jc w:val="left"/>
              <w:rPr>
                <w:rFonts w:hint="eastAsia" w:ascii="仿宋_GB2312" w:hAnsi="仿宋_GB2312" w:eastAsia="仿宋_GB2312" w:cs="仿宋_GB2312"/>
                <w:kern w:val="0"/>
                <w:sz w:val="24"/>
                <w:szCs w:val="24"/>
                <w:lang w:eastAsia="zh-CN" w:bidi="ar-SA"/>
              </w:rPr>
            </w:pPr>
            <w:r>
              <w:rPr>
                <w:rFonts w:hint="eastAsia" w:ascii="仿宋_GB2312" w:hAnsi="仿宋_GB2312" w:eastAsia="仿宋_GB2312" w:cs="仿宋_GB2312"/>
                <w:kern w:val="0"/>
                <w:sz w:val="24"/>
                <w:szCs w:val="24"/>
                <w:lang w:eastAsia="zh-CN" w:bidi="ar-SA"/>
              </w:rPr>
              <w:t>具体要求：</w:t>
            </w:r>
          </w:p>
          <w:p>
            <w:pPr>
              <w:pStyle w:val="3"/>
              <w:keepNext w:val="0"/>
              <w:keepLines w:val="0"/>
              <w:widowControl/>
              <w:numPr>
                <w:ilvl w:val="0"/>
                <w:numId w:val="0"/>
              </w:numPr>
              <w:suppressLineNumbers w:val="0"/>
              <w:spacing w:before="0" w:beforeAutospacing="0" w:after="0" w:afterAutospacing="0" w:line="560" w:lineRule="exact"/>
              <w:ind w:right="0" w:rightChars="0"/>
              <w:jc w:val="left"/>
              <w:rPr>
                <w:rFonts w:hint="default" w:ascii="仿宋_GB2312" w:hAnsi="仿宋_GB2312" w:eastAsia="仿宋_GB2312" w:cs="仿宋_GB2312"/>
                <w:kern w:val="0"/>
                <w:sz w:val="24"/>
                <w:szCs w:val="24"/>
                <w:lang w:eastAsia="zh-CN" w:bidi="ar-SA"/>
              </w:rPr>
            </w:pPr>
            <w:r>
              <w:rPr>
                <w:rFonts w:hint="eastAsia" w:ascii="仿宋_GB2312" w:hAnsi="仿宋_GB2312" w:eastAsia="仿宋_GB2312" w:cs="仿宋_GB2312"/>
                <w:kern w:val="0"/>
                <w:sz w:val="24"/>
                <w:szCs w:val="24"/>
                <w:lang w:eastAsia="zh-CN" w:bidi="ar-SA"/>
              </w:rPr>
              <w:t>1.提供</w:t>
            </w:r>
            <w:r>
              <w:rPr>
                <w:rFonts w:hint="default" w:ascii="仿宋_GB2312" w:hAnsi="仿宋_GB2312" w:cs="仿宋_GB2312"/>
                <w:kern w:val="0"/>
                <w:sz w:val="24"/>
                <w:szCs w:val="24"/>
                <w:lang w:eastAsia="zh-CN" w:bidi="ar-SA"/>
              </w:rPr>
              <w:t>安保</w:t>
            </w:r>
            <w:r>
              <w:rPr>
                <w:rFonts w:hint="eastAsia" w:ascii="仿宋_GB2312" w:hAnsi="仿宋_GB2312" w:cs="仿宋_GB2312"/>
                <w:kern w:val="0"/>
                <w:sz w:val="24"/>
                <w:szCs w:val="24"/>
                <w:lang w:eastAsia="zh-CN" w:bidi="ar-SA"/>
              </w:rPr>
              <w:t>服务</w:t>
            </w:r>
            <w:r>
              <w:rPr>
                <w:rFonts w:hint="eastAsia" w:ascii="仿宋_GB2312" w:hAnsi="仿宋_GB2312" w:eastAsia="仿宋_GB2312" w:cs="仿宋_GB2312"/>
                <w:kern w:val="0"/>
                <w:sz w:val="24"/>
                <w:szCs w:val="24"/>
                <w:lang w:eastAsia="zh-CN" w:bidi="ar-SA"/>
              </w:rPr>
              <w:t>负责社区工作站的秩序维护</w:t>
            </w:r>
            <w:r>
              <w:rPr>
                <w:rFonts w:hint="default" w:ascii="仿宋_GB2312" w:hAnsi="仿宋_GB2312" w:cs="仿宋_GB2312"/>
                <w:kern w:val="0"/>
                <w:sz w:val="24"/>
                <w:szCs w:val="24"/>
                <w:lang w:eastAsia="zh-CN" w:bidi="ar-SA"/>
              </w:rPr>
              <w:t>，巡查管辖物业外围是否有安全风险，如遇紧急情况需及时处置并及时上报社区有关人员和物业公司；接受社区有关</w:t>
            </w:r>
            <w:r>
              <w:rPr>
                <w:rFonts w:hint="eastAsia" w:ascii="仿宋_GB2312" w:hAnsi="仿宋_GB2312" w:cs="仿宋_GB2312"/>
                <w:kern w:val="0"/>
                <w:sz w:val="24"/>
                <w:szCs w:val="24"/>
                <w:lang w:eastAsia="zh-CN" w:bidi="ar-SA"/>
              </w:rPr>
              <w:t>服务</w:t>
            </w:r>
            <w:r>
              <w:rPr>
                <w:rFonts w:hint="default" w:ascii="仿宋_GB2312" w:hAnsi="仿宋_GB2312" w:cs="仿宋_GB2312"/>
                <w:kern w:val="0"/>
                <w:sz w:val="24"/>
                <w:szCs w:val="24"/>
                <w:lang w:eastAsia="zh-CN" w:bidi="ar-SA"/>
              </w:rPr>
              <w:t>安排；</w:t>
            </w:r>
            <w:r>
              <w:rPr>
                <w:rFonts w:hint="eastAsia" w:ascii="仿宋_GB2312" w:hAnsi="仿宋_GB2312" w:cs="仿宋_GB2312"/>
                <w:kern w:val="0"/>
                <w:sz w:val="24"/>
                <w:szCs w:val="24"/>
                <w:lang w:eastAsia="zh-CN" w:bidi="ar-SA"/>
              </w:rPr>
              <w:t>服务</w:t>
            </w:r>
            <w:r>
              <w:rPr>
                <w:rFonts w:hint="default" w:ascii="仿宋_GB2312" w:hAnsi="仿宋_GB2312" w:cs="仿宋_GB2312"/>
                <w:kern w:val="0"/>
                <w:sz w:val="24"/>
                <w:szCs w:val="24"/>
                <w:lang w:eastAsia="zh-CN" w:bidi="ar-SA"/>
              </w:rPr>
              <w:t>时间必须保持通讯畅通。</w:t>
            </w:r>
            <w:r>
              <w:rPr>
                <w:rFonts w:hint="eastAsia" w:ascii="仿宋_GB2312" w:hAnsi="仿宋_GB2312" w:cs="仿宋_GB2312"/>
                <w:kern w:val="0"/>
                <w:sz w:val="24"/>
                <w:szCs w:val="24"/>
                <w:lang w:eastAsia="zh-CN" w:bidi="ar-SA"/>
              </w:rPr>
              <w:t>服务时间为</w:t>
            </w:r>
            <w:r>
              <w:rPr>
                <w:rFonts w:hint="default" w:ascii="仿宋_GB2312" w:hAnsi="仿宋_GB2312" w:cs="仿宋_GB2312"/>
                <w:kern w:val="0"/>
                <w:sz w:val="24"/>
                <w:szCs w:val="24"/>
                <w:lang w:eastAsia="zh-CN" w:bidi="ar-SA"/>
              </w:rPr>
              <w:t>每日下午6点至次日早上9点在社区值班室值班，每日上午9点至下午6点休息。</w:t>
            </w:r>
          </w:p>
          <w:p>
            <w:pPr>
              <w:pStyle w:val="3"/>
              <w:keepNext w:val="0"/>
              <w:keepLines w:val="0"/>
              <w:widowControl/>
              <w:numPr>
                <w:ilvl w:val="0"/>
                <w:numId w:val="0"/>
              </w:numPr>
              <w:suppressLineNumbers w:val="0"/>
              <w:spacing w:before="0" w:beforeAutospacing="0" w:after="0" w:afterAutospacing="0" w:line="560" w:lineRule="exact"/>
              <w:ind w:right="0" w:rightChars="0"/>
              <w:jc w:val="left"/>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pPr>
            <w:r>
              <w:rPr>
                <w:rFonts w:hint="eastAsia" w:ascii="仿宋_GB2312" w:hAnsi="仿宋_GB2312" w:eastAsia="仿宋_GB2312" w:cs="仿宋_GB2312"/>
                <w:kern w:val="0"/>
                <w:sz w:val="24"/>
                <w:szCs w:val="24"/>
                <w:lang w:eastAsia="zh-CN" w:bidi="ar-SA"/>
              </w:rPr>
              <w:t>2.</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提供</w:t>
            </w:r>
            <w:r>
              <w:rPr>
                <w:rFonts w:hint="eastAsia" w:ascii="仿宋_GB2312" w:hAnsi="仿宋_GB2312" w:cs="仿宋_GB2312"/>
                <w:i w:val="0"/>
                <w:iCs w:val="0"/>
                <w:caps w:val="0"/>
                <w:color w:val="auto"/>
                <w:spacing w:val="0"/>
                <w:kern w:val="2"/>
                <w:sz w:val="24"/>
                <w:szCs w:val="24"/>
                <w:highlight w:val="none"/>
                <w:shd w:val="clear" w:color="auto" w:fill="auto"/>
                <w:vertAlign w:val="baseline"/>
                <w:lang w:eastAsia="zh-CN"/>
              </w:rPr>
              <w:t>清洁卫生服务，</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根据社区安排的</w:t>
            </w:r>
            <w:r>
              <w:rPr>
                <w:rFonts w:hint="eastAsia" w:ascii="仿宋_GB2312" w:hAnsi="仿宋_GB2312" w:cs="仿宋_GB2312"/>
                <w:i w:val="0"/>
                <w:iCs w:val="0"/>
                <w:caps w:val="0"/>
                <w:color w:val="auto"/>
                <w:spacing w:val="0"/>
                <w:kern w:val="2"/>
                <w:sz w:val="24"/>
                <w:szCs w:val="24"/>
                <w:highlight w:val="none"/>
                <w:shd w:val="clear" w:color="auto" w:fill="auto"/>
                <w:vertAlign w:val="baseline"/>
                <w:lang w:eastAsia="zh-CN"/>
              </w:rPr>
              <w:t>时间段服务，在</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社区人员上班前须</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做好</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办公场所</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及厕所</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的清扫保洁</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垃圾</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清运</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等</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保障</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办公环境</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干净整洁无异味</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，保洁物品摆放整齐</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w:t>
            </w:r>
          </w:p>
          <w:p>
            <w:pPr>
              <w:pStyle w:val="3"/>
              <w:keepNext w:val="0"/>
              <w:keepLines w:val="0"/>
              <w:widowControl/>
              <w:numPr>
                <w:ilvl w:val="0"/>
                <w:numId w:val="0"/>
              </w:numPr>
              <w:suppressLineNumbers w:val="0"/>
              <w:spacing w:before="0" w:beforeAutospacing="0" w:after="0" w:afterAutospacing="0" w:line="560" w:lineRule="exact"/>
              <w:ind w:right="0" w:rightChars="0"/>
              <w:jc w:val="left"/>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3.</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负责</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办公场所的日常运行、维修维护、防治白蚁及卫生虫害等</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服务</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w:t>
            </w:r>
          </w:p>
          <w:p>
            <w:pPr>
              <w:pStyle w:val="3"/>
              <w:keepNext w:val="0"/>
              <w:keepLines w:val="0"/>
              <w:widowControl/>
              <w:numPr>
                <w:ilvl w:val="0"/>
                <w:numId w:val="0"/>
              </w:numPr>
              <w:suppressLineNumbers w:val="0"/>
              <w:spacing w:before="0" w:beforeAutospacing="0" w:after="0" w:afterAutospacing="0" w:line="560" w:lineRule="exact"/>
              <w:ind w:right="0" w:rightChars="0"/>
              <w:jc w:val="left"/>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pP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4.做好综合管理服务，接受社区指令，负责安保服务、清洁卫生服务的编排、检查和落实，提供日常维修维护使用的工具。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1662" w:type="dxa"/>
            <w:noWrap w:val="0"/>
            <w:vAlign w:val="top"/>
          </w:tcPr>
          <w:p>
            <w:pPr>
              <w:pStyle w:val="3"/>
              <w:keepNext w:val="0"/>
              <w:keepLines w:val="0"/>
              <w:widowControl/>
              <w:numPr>
                <w:ilvl w:val="0"/>
                <w:numId w:val="0"/>
              </w:numPr>
              <w:suppressLineNumbers w:val="0"/>
              <w:spacing w:before="0" w:beforeAutospacing="0" w:after="0" w:afterAutospacing="0" w:line="560" w:lineRule="exact"/>
              <w:ind w:right="0" w:rightChars="0"/>
              <w:jc w:val="left"/>
              <w:rPr>
                <w:rFonts w:hint="default" w:ascii="仿宋_GB2312" w:hAnsi="仿宋_GB2312" w:eastAsia="仿宋_GB2312" w:cs="仿宋_GB2312"/>
                <w:i w:val="0"/>
                <w:iCs w:val="0"/>
                <w:caps w:val="0"/>
                <w:color w:val="auto"/>
                <w:spacing w:val="0"/>
                <w:kern w:val="2"/>
                <w:sz w:val="28"/>
                <w:szCs w:val="28"/>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供应商资格条件</w:t>
            </w:r>
          </w:p>
        </w:tc>
        <w:tc>
          <w:tcPr>
            <w:tcW w:w="7759" w:type="dxa"/>
            <w:gridSpan w:val="3"/>
            <w:noWrap w:val="0"/>
            <w:vAlign w:val="top"/>
          </w:tcPr>
          <w:p>
            <w:pPr>
              <w:spacing w:line="560" w:lineRule="exact"/>
              <w:ind w:left="0" w:leftChars="0" w:firstLine="0" w:firstLineChars="0"/>
              <w:rPr>
                <w:rFonts w:hint="eastAsia" w:ascii="仿宋_GB2312" w:hAnsi="仿宋_GB2312" w:eastAsia="仿宋_GB2312" w:cs="仿宋_GB2312"/>
                <w:sz w:val="24"/>
                <w:szCs w:val="24"/>
              </w:rPr>
            </w:pPr>
            <w:bookmarkStart w:id="0" w:name="_Hlk72162904"/>
            <w:r>
              <w:rPr>
                <w:rFonts w:hint="eastAsia" w:ascii="仿宋_GB2312" w:hAnsi="仿宋_GB2312" w:eastAsia="仿宋_GB2312" w:cs="仿宋_GB2312"/>
                <w:sz w:val="24"/>
                <w:szCs w:val="24"/>
              </w:rPr>
              <w:t>1.具有独立承担民事责任的能力（提供营业执照或事业单位法人证书等证明资料复印件，原件备查，分支机构参与响应的，须同时提供总公司授权文件且授权书载明其民事责任由总公司承担）；</w:t>
            </w:r>
            <w:bookmarkEnd w:id="0"/>
          </w:p>
          <w:p>
            <w:pPr>
              <w:spacing w:line="560" w:lineRule="exact"/>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2.本项目不接受联合体投标，不接受投标人选用进口产品参与投标，不允许分包；</w:t>
            </w:r>
          </w:p>
          <w:p>
            <w:pPr>
              <w:spacing w:line="560" w:lineRule="exact"/>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3.参与本项目政府采购活动时不存在被有关部门禁止参与政府采购活动且在有效期内的情况（由供应商在《</w:t>
            </w:r>
            <w:r>
              <w:rPr>
                <w:rFonts w:hint="eastAsia" w:ascii="仿宋_GB2312" w:hAnsi="仿宋_GB2312" w:eastAsia="仿宋_GB2312" w:cs="仿宋_GB2312"/>
                <w:sz w:val="24"/>
                <w:szCs w:val="24"/>
                <w:lang w:val="en-US" w:eastAsia="zh-CN"/>
              </w:rPr>
              <w:t>参与政府采购活动及履约承诺函</w:t>
            </w:r>
            <w:r>
              <w:rPr>
                <w:rFonts w:hint="eastAsia" w:ascii="仿宋_GB2312" w:hAnsi="仿宋_GB2312" w:eastAsia="仿宋_GB2312" w:cs="仿宋_GB2312"/>
                <w:sz w:val="24"/>
                <w:szCs w:val="24"/>
              </w:rPr>
              <w:t>》中作出声明）；</w:t>
            </w:r>
          </w:p>
          <w:p>
            <w:pPr>
              <w:spacing w:line="560" w:lineRule="exact"/>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4.具备《中华人民共和国政府采购法》第二十二条第一款的条件（由供应商在《</w:t>
            </w:r>
            <w:r>
              <w:rPr>
                <w:rFonts w:hint="eastAsia" w:ascii="仿宋_GB2312" w:hAnsi="仿宋_GB2312" w:eastAsia="仿宋_GB2312" w:cs="仿宋_GB2312"/>
                <w:sz w:val="24"/>
                <w:szCs w:val="24"/>
                <w:lang w:val="en-US" w:eastAsia="zh-CN"/>
              </w:rPr>
              <w:t>参与政府采购活动及履约承诺函</w:t>
            </w:r>
            <w:r>
              <w:rPr>
                <w:rFonts w:hint="eastAsia" w:ascii="仿宋_GB2312" w:hAnsi="仿宋_GB2312" w:eastAsia="仿宋_GB2312" w:cs="仿宋_GB2312"/>
                <w:sz w:val="24"/>
                <w:szCs w:val="24"/>
              </w:rPr>
              <w:t>》中作出声明）；</w:t>
            </w:r>
          </w:p>
          <w:p>
            <w:pPr>
              <w:spacing w:line="560" w:lineRule="exact"/>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5.未被列入失信被执行人、重大税收违法案件当事人名单、政府采购严重违法失信行为记录名单（由供应商在《</w:t>
            </w:r>
            <w:r>
              <w:rPr>
                <w:rFonts w:hint="eastAsia" w:ascii="仿宋_GB2312" w:hAnsi="仿宋_GB2312" w:eastAsia="仿宋_GB2312" w:cs="仿宋_GB2312"/>
                <w:sz w:val="24"/>
                <w:szCs w:val="24"/>
                <w:lang w:val="en-US" w:eastAsia="zh-CN"/>
              </w:rPr>
              <w:t>参与政府采购活动及履约承诺函</w:t>
            </w:r>
            <w:r>
              <w:rPr>
                <w:rFonts w:hint="eastAsia" w:ascii="仿宋_GB2312" w:hAnsi="仿宋_GB2312" w:eastAsia="仿宋_GB2312" w:cs="仿宋_GB2312"/>
                <w:sz w:val="24"/>
                <w:szCs w:val="24"/>
              </w:rPr>
              <w:t>》中作出声明）；</w:t>
            </w:r>
          </w:p>
          <w:p>
            <w:pPr>
              <w:spacing w:line="560" w:lineRule="exact"/>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pPr>
              <w:pStyle w:val="2"/>
              <w:ind w:left="0" w:leftChars="0" w:firstLine="0" w:firstLineChars="0"/>
              <w:rPr>
                <w:rFonts w:hint="default" w:ascii="仿宋_GB2312" w:hAnsi="仿宋_GB2312" w:eastAsia="仿宋_GB2312" w:cs="仿宋_GB2312"/>
                <w:sz w:val="24"/>
                <w:szCs w:val="24"/>
                <w:lang w:eastAsia="zh-CN"/>
              </w:rPr>
            </w:pPr>
            <w:r>
              <w:rPr>
                <w:rFonts w:hint="eastAsia" w:ascii="仿宋_GB2312" w:hAnsi="仿宋_GB2312" w:eastAsia="仿宋_GB2312" w:cs="仿宋_GB2312"/>
                <w:b w:val="0"/>
                <w:bCs w:val="0"/>
                <w:color w:val="auto"/>
                <w:kern w:val="0"/>
                <w:sz w:val="24"/>
                <w:szCs w:val="24"/>
              </w:rPr>
              <w:t>7.承诺</w:t>
            </w:r>
            <w:r>
              <w:rPr>
                <w:rFonts w:hint="eastAsia" w:ascii="仿宋_GB2312" w:hAnsi="仿宋_GB2312" w:eastAsia="仿宋_GB2312" w:cs="仿宋_GB2312"/>
                <w:b w:val="0"/>
                <w:bCs w:val="0"/>
                <w:color w:val="auto"/>
                <w:kern w:val="0"/>
                <w:sz w:val="24"/>
                <w:szCs w:val="18"/>
                <w:lang w:eastAsia="zh-CN"/>
              </w:rPr>
              <w:t>中标后优先接收现有项目愿意继续工作的人员</w:t>
            </w:r>
            <w:r>
              <w:rPr>
                <w:rFonts w:hint="default" w:ascii="仿宋_GB2312" w:hAnsi="仿宋_GB2312" w:cs="仿宋_GB2312"/>
                <w:b w:val="0"/>
                <w:bCs w:val="0"/>
                <w:color w:val="auto"/>
                <w:kern w:val="0"/>
                <w:sz w:val="24"/>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662" w:type="dxa"/>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报价清单</w:t>
            </w:r>
          </w:p>
        </w:tc>
        <w:tc>
          <w:tcPr>
            <w:tcW w:w="7759" w:type="dxa"/>
            <w:gridSpan w:val="3"/>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详见附件3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2" w:type="dxa"/>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报名文件</w:t>
            </w:r>
          </w:p>
        </w:tc>
        <w:tc>
          <w:tcPr>
            <w:tcW w:w="7759" w:type="dxa"/>
            <w:gridSpan w:val="3"/>
            <w:noWrap w:val="0"/>
            <w:vAlign w:val="top"/>
          </w:tcPr>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ascii="仿宋_GB2312" w:hAnsi="仿宋_GB2312" w:eastAsia="仿宋_GB2312" w:cs="仿宋_GB2312"/>
                <w:color w:val="auto"/>
                <w:kern w:val="2"/>
                <w:sz w:val="24"/>
                <w:szCs w:val="24"/>
                <w:highlight w:val="none"/>
                <w:lang w:eastAsia="zh-CN"/>
              </w:rPr>
            </w:pPr>
            <w:r>
              <w:rPr>
                <w:rFonts w:hint="eastAsia" w:ascii="仿宋_GB2312" w:hAnsi="仿宋_GB2312" w:eastAsia="仿宋_GB2312" w:cs="仿宋_GB2312"/>
                <w:color w:val="auto"/>
                <w:kern w:val="2"/>
                <w:sz w:val="24"/>
                <w:szCs w:val="24"/>
                <w:highlight w:val="none"/>
                <w:lang w:eastAsia="zh-CN"/>
              </w:rPr>
              <w:t>1.</w:t>
            </w:r>
            <w:r>
              <w:rPr>
                <w:rFonts w:hint="eastAsia" w:ascii="仿宋_GB2312" w:hAnsi="仿宋_GB2312" w:eastAsia="仿宋_GB2312" w:cs="仿宋_GB2312"/>
                <w:color w:val="auto"/>
                <w:kern w:val="2"/>
                <w:sz w:val="24"/>
                <w:szCs w:val="24"/>
                <w:highlight w:val="none"/>
                <w:lang w:val="en-US" w:eastAsia="zh-CN"/>
              </w:rPr>
              <w:t>资格性审查资料（有效期内营业执照复印件、参与政府采购活动及履约承诺函（附件1）、供应商基本情况表（附件2）</w:t>
            </w:r>
            <w:r>
              <w:rPr>
                <w:rFonts w:hint="eastAsia" w:ascii="仿宋_GB2312" w:hAnsi="仿宋_GB2312" w:eastAsia="仿宋_GB2312" w:cs="仿宋_GB2312"/>
                <w:color w:val="auto"/>
                <w:kern w:val="2"/>
                <w:sz w:val="24"/>
                <w:szCs w:val="24"/>
                <w:highlight w:val="none"/>
                <w:lang w:eastAsia="zh-CN"/>
              </w:rPr>
              <w:t>以及其他与项目相关的资质材料</w:t>
            </w:r>
            <w:r>
              <w:rPr>
                <w:rFonts w:hint="eastAsia" w:ascii="仿宋_GB2312" w:hAnsi="仿宋_GB2312" w:eastAsia="仿宋_GB2312" w:cs="仿宋_GB2312"/>
                <w:color w:val="auto"/>
                <w:kern w:val="2"/>
                <w:sz w:val="24"/>
                <w:szCs w:val="24"/>
                <w:highlight w:val="none"/>
                <w:lang w:val="en-US" w:eastAsia="zh-CN"/>
              </w:rPr>
              <w:t>）</w:t>
            </w:r>
            <w:r>
              <w:rPr>
                <w:rFonts w:hint="eastAsia" w:ascii="仿宋_GB2312" w:hAnsi="仿宋_GB2312" w:eastAsia="仿宋_GB2312" w:cs="仿宋_GB2312"/>
                <w:color w:val="auto"/>
                <w:kern w:val="2"/>
                <w:sz w:val="24"/>
                <w:szCs w:val="24"/>
                <w:highlight w:val="none"/>
                <w:lang w:eastAsia="zh-CN"/>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ascii="仿宋_GB2312" w:hAnsi="仿宋_GB2312" w:eastAsia="仿宋_GB2312" w:cs="仿宋_GB2312"/>
                <w:color w:val="auto"/>
                <w:kern w:val="2"/>
                <w:sz w:val="24"/>
                <w:szCs w:val="24"/>
                <w:highlight w:val="none"/>
                <w:lang w:eastAsia="zh-CN"/>
              </w:rPr>
            </w:pPr>
            <w:r>
              <w:rPr>
                <w:rFonts w:hint="eastAsia" w:ascii="仿宋_GB2312" w:hAnsi="仿宋_GB2312" w:eastAsia="仿宋_GB2312" w:cs="仿宋_GB2312"/>
                <w:color w:val="auto"/>
                <w:kern w:val="2"/>
                <w:sz w:val="24"/>
                <w:szCs w:val="24"/>
                <w:highlight w:val="none"/>
                <w:lang w:eastAsia="zh-CN"/>
              </w:rPr>
              <w:t>2、</w:t>
            </w:r>
            <w:r>
              <w:rPr>
                <w:rFonts w:hint="eastAsia" w:ascii="仿宋_GB2312" w:hAnsi="仿宋_GB2312" w:eastAsia="仿宋_GB2312" w:cs="仿宋_GB2312"/>
                <w:color w:val="auto"/>
                <w:kern w:val="2"/>
                <w:sz w:val="24"/>
                <w:szCs w:val="24"/>
                <w:highlight w:val="none"/>
                <w:lang w:val="en-US" w:eastAsia="zh-CN"/>
              </w:rPr>
              <w:t>符合性审查资料（</w:t>
            </w:r>
            <w:r>
              <w:rPr>
                <w:rFonts w:hint="eastAsia" w:ascii="仿宋_GB2312" w:hAnsi="仿宋_GB2312" w:eastAsia="仿宋_GB2312" w:cs="仿宋_GB2312"/>
                <w:color w:val="auto"/>
                <w:kern w:val="2"/>
                <w:sz w:val="24"/>
                <w:szCs w:val="24"/>
                <w:highlight w:val="none"/>
                <w:lang w:eastAsia="zh-CN"/>
              </w:rPr>
              <w:t>报价资料，此项需对照报价清单</w:t>
            </w:r>
            <w:r>
              <w:rPr>
                <w:rFonts w:hint="default" w:ascii="仿宋_GB2312" w:hAnsi="仿宋_GB2312" w:cs="仿宋_GB2312"/>
                <w:color w:val="auto"/>
                <w:kern w:val="2"/>
                <w:sz w:val="24"/>
                <w:szCs w:val="24"/>
                <w:highlight w:val="none"/>
                <w:lang w:eastAsia="zh-CN"/>
              </w:rPr>
              <w:t>（附件3）</w:t>
            </w:r>
            <w:r>
              <w:rPr>
                <w:rFonts w:hint="eastAsia" w:ascii="仿宋_GB2312" w:hAnsi="仿宋_GB2312" w:eastAsia="仿宋_GB2312" w:cs="仿宋_GB2312"/>
                <w:color w:val="auto"/>
                <w:kern w:val="2"/>
                <w:sz w:val="24"/>
                <w:szCs w:val="24"/>
                <w:highlight w:val="none"/>
                <w:lang w:eastAsia="zh-CN"/>
              </w:rPr>
              <w:t>，分别填报单项报价和总价</w:t>
            </w:r>
            <w:r>
              <w:rPr>
                <w:rFonts w:hint="eastAsia" w:ascii="仿宋_GB2312" w:hAnsi="仿宋_GB2312" w:eastAsia="仿宋_GB2312" w:cs="仿宋_GB2312"/>
                <w:color w:val="auto"/>
                <w:kern w:val="2"/>
                <w:sz w:val="24"/>
                <w:szCs w:val="24"/>
                <w:highlight w:val="none"/>
                <w:lang w:val="en-US" w:eastAsia="zh-CN"/>
              </w:rPr>
              <w:t>）</w:t>
            </w:r>
            <w:r>
              <w:rPr>
                <w:rFonts w:hint="eastAsia" w:ascii="仿宋_GB2312" w:hAnsi="仿宋_GB2312" w:eastAsia="仿宋_GB2312" w:cs="仿宋_GB2312"/>
                <w:color w:val="auto"/>
                <w:kern w:val="2"/>
                <w:sz w:val="24"/>
                <w:szCs w:val="24"/>
                <w:highlight w:val="none"/>
                <w:lang w:eastAsia="zh-CN"/>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default" w:ascii="仿宋_GB2312" w:hAnsi="仿宋_GB2312" w:eastAsia="仿宋_GB2312" w:cs="仿宋_GB2312"/>
                <w:color w:val="auto"/>
                <w:kern w:val="2"/>
                <w:sz w:val="24"/>
                <w:szCs w:val="24"/>
                <w:highlight w:val="none"/>
                <w:lang w:eastAsia="zh-CN"/>
              </w:rPr>
            </w:pPr>
            <w:r>
              <w:rPr>
                <w:rFonts w:hint="eastAsia" w:ascii="仿宋_GB2312" w:hAnsi="仿宋_GB2312" w:eastAsia="仿宋_GB2312" w:cs="仿宋_GB2312"/>
                <w:color w:val="auto"/>
                <w:kern w:val="2"/>
                <w:sz w:val="24"/>
                <w:szCs w:val="24"/>
                <w:highlight w:val="none"/>
                <w:lang w:eastAsia="zh-CN"/>
              </w:rPr>
              <w:t>3、</w:t>
            </w:r>
            <w:r>
              <w:rPr>
                <w:rFonts w:hint="eastAsia" w:ascii="仿宋_GB2312" w:hAnsi="仿宋_GB2312" w:eastAsia="仿宋_GB2312" w:cs="仿宋_GB2312"/>
                <w:color w:val="auto"/>
                <w:kern w:val="2"/>
                <w:sz w:val="24"/>
                <w:szCs w:val="24"/>
                <w:highlight w:val="none"/>
                <w:lang w:val="en-US" w:eastAsia="zh-CN"/>
              </w:rPr>
              <w:t>投递人身份证明资料（法人代表证明书、法人身份证</w:t>
            </w:r>
            <w:r>
              <w:rPr>
                <w:rFonts w:hint="eastAsia" w:ascii="仿宋_GB2312" w:hAnsi="仿宋_GB2312" w:eastAsia="仿宋_GB2312" w:cs="仿宋_GB2312"/>
                <w:color w:val="auto"/>
                <w:kern w:val="2"/>
                <w:sz w:val="24"/>
                <w:szCs w:val="24"/>
                <w:highlight w:val="none"/>
                <w:lang w:eastAsia="zh-CN"/>
              </w:rPr>
              <w:t>复印件</w:t>
            </w:r>
            <w:r>
              <w:rPr>
                <w:rFonts w:hint="eastAsia" w:ascii="仿宋_GB2312" w:hAnsi="仿宋_GB2312" w:eastAsia="仿宋_GB2312" w:cs="仿宋_GB2312"/>
                <w:color w:val="auto"/>
                <w:kern w:val="2"/>
                <w:sz w:val="24"/>
                <w:szCs w:val="24"/>
                <w:highlight w:val="none"/>
                <w:lang w:val="en-US" w:eastAsia="zh-CN"/>
              </w:rPr>
              <w:t>、法人代表授权书等）</w:t>
            </w:r>
            <w:r>
              <w:rPr>
                <w:rFonts w:hint="eastAsia" w:ascii="仿宋_GB2312" w:hAnsi="仿宋_GB2312" w:eastAsia="仿宋_GB2312" w:cs="仿宋_GB2312"/>
                <w:color w:val="auto"/>
                <w:kern w:val="2"/>
                <w:sz w:val="24"/>
                <w:szCs w:val="24"/>
                <w:highlight w:val="none"/>
                <w:lang w:eastAsia="zh-CN"/>
              </w:rPr>
              <w:t>；</w:t>
            </w:r>
            <w:r>
              <w:rPr>
                <w:rFonts w:hint="default" w:ascii="仿宋_GB2312" w:hAnsi="仿宋_GB2312" w:cs="仿宋_GB2312"/>
                <w:color w:val="auto"/>
                <w:kern w:val="2"/>
                <w:sz w:val="24"/>
                <w:szCs w:val="24"/>
                <w:highlight w:val="none"/>
                <w:lang w:eastAsia="zh-CN"/>
              </w:rPr>
              <w:t xml:space="preserve"> </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ascii="仿宋_GB2312" w:hAnsi="仿宋_GB2312" w:eastAsia="仿宋_GB2312" w:cs="仿宋_GB2312"/>
                <w:color w:val="auto"/>
                <w:kern w:val="2"/>
                <w:sz w:val="24"/>
                <w:szCs w:val="24"/>
                <w:highlight w:val="none"/>
                <w:lang w:eastAsia="zh-CN"/>
              </w:rPr>
            </w:pPr>
            <w:r>
              <w:rPr>
                <w:rFonts w:hint="eastAsia" w:ascii="仿宋_GB2312" w:hAnsi="仿宋_GB2312" w:eastAsia="仿宋_GB2312" w:cs="仿宋_GB2312"/>
                <w:color w:val="auto"/>
                <w:kern w:val="2"/>
                <w:sz w:val="24"/>
                <w:szCs w:val="24"/>
                <w:highlight w:val="none"/>
                <w:lang w:eastAsia="zh-CN"/>
              </w:rPr>
              <w:t>4、供应商</w:t>
            </w:r>
            <w:r>
              <w:rPr>
                <w:rFonts w:hint="eastAsia" w:ascii="仿宋_GB2312" w:hAnsi="仿宋_GB2312" w:eastAsia="仿宋_GB2312" w:cs="仿宋_GB2312"/>
                <w:color w:val="auto"/>
                <w:kern w:val="2"/>
                <w:sz w:val="24"/>
                <w:szCs w:val="24"/>
                <w:highlight w:val="none"/>
                <w:lang w:val="en-US" w:eastAsia="zh-CN"/>
              </w:rPr>
              <w:t>认为与</w:t>
            </w:r>
            <w:r>
              <w:rPr>
                <w:rFonts w:hint="eastAsia" w:ascii="仿宋_GB2312" w:hAnsi="仿宋_GB2312" w:eastAsia="仿宋_GB2312" w:cs="仿宋_GB2312"/>
                <w:color w:val="auto"/>
                <w:kern w:val="2"/>
                <w:sz w:val="24"/>
                <w:szCs w:val="24"/>
                <w:highlight w:val="none"/>
                <w:lang w:eastAsia="zh-CN"/>
              </w:rPr>
              <w:t>响应本</w:t>
            </w:r>
            <w:r>
              <w:rPr>
                <w:rFonts w:hint="eastAsia" w:ascii="仿宋_GB2312" w:hAnsi="仿宋_GB2312" w:eastAsia="仿宋_GB2312" w:cs="仿宋_GB2312"/>
                <w:color w:val="auto"/>
                <w:kern w:val="2"/>
                <w:sz w:val="24"/>
                <w:szCs w:val="24"/>
                <w:highlight w:val="none"/>
                <w:lang w:val="en-US" w:eastAsia="zh-CN"/>
              </w:rPr>
              <w:t>项目相关的其他资料</w:t>
            </w:r>
            <w:r>
              <w:rPr>
                <w:rFonts w:hint="eastAsia" w:ascii="仿宋_GB2312" w:hAnsi="仿宋_GB2312" w:eastAsia="仿宋_GB2312" w:cs="仿宋_GB2312"/>
                <w:color w:val="auto"/>
                <w:kern w:val="2"/>
                <w:sz w:val="24"/>
                <w:szCs w:val="24"/>
                <w:highlight w:val="none"/>
                <w:lang w:eastAsia="zh-CN"/>
              </w:rPr>
              <w:t>，如同类项目履约资料等。</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eastAsia" w:ascii="仿宋_GB2312" w:hAnsi="仿宋_GB2312" w:eastAsia="仿宋_GB2312" w:cs="仿宋_GB2312"/>
                <w:b w:val="0"/>
                <w:bCs w:val="0"/>
                <w:color w:val="auto"/>
                <w:kern w:val="2"/>
                <w:sz w:val="24"/>
                <w:szCs w:val="24"/>
                <w:highlight w:val="none"/>
                <w:lang w:val="en-US" w:eastAsia="zh-CN"/>
              </w:rPr>
              <w:t>（以上资料均需加盖公司公章，密封现场递交至采购部门，不接受快递投递文件）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662" w:type="dxa"/>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pP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评选方法</w:t>
            </w:r>
          </w:p>
        </w:tc>
        <w:tc>
          <w:tcPr>
            <w:tcW w:w="7759" w:type="dxa"/>
            <w:gridSpan w:val="3"/>
            <w:noWrap w:val="0"/>
            <w:vAlign w:val="top"/>
          </w:tcPr>
          <w:p>
            <w:pPr>
              <w:pStyle w:val="3"/>
              <w:keepNext w:val="0"/>
              <w:keepLines w:val="0"/>
              <w:widowControl/>
              <w:suppressLineNumbers w:val="0"/>
              <w:spacing w:before="0" w:beforeAutospacing="0" w:after="0" w:afterAutospacing="0" w:line="560" w:lineRule="exact"/>
              <w:ind w:right="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最低价法</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如有相同最低价，</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以竞价方式从相同最低价中选出成交供应商</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662" w:type="dxa"/>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报名</w:t>
            </w: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及公示</w:t>
            </w: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截止时间</w:t>
            </w:r>
          </w:p>
        </w:tc>
        <w:tc>
          <w:tcPr>
            <w:tcW w:w="7759" w:type="dxa"/>
            <w:gridSpan w:val="3"/>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2025</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rPr>
              <w:t>年</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12</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rPr>
              <w:t>月</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10</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rPr>
              <w:t>日至</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2025</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rPr>
              <w:t>年</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12</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rPr>
              <w:t>月</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12</w:t>
            </w:r>
            <w:bookmarkStart w:id="1" w:name="_GoBack"/>
            <w:bookmarkEnd w:id="1"/>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rPr>
              <w:t>日，逾期送达（提交）或者未按要求密封的响应文件，现场拒收。</w:t>
            </w:r>
          </w:p>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现场投递地址：广东省深圳市龙岗区南湾街道布沙路140号南新社区工作站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2" w:type="dxa"/>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询问及联系方式</w:t>
            </w:r>
          </w:p>
        </w:tc>
        <w:tc>
          <w:tcPr>
            <w:tcW w:w="7759" w:type="dxa"/>
            <w:gridSpan w:val="3"/>
            <w:noWrap w:val="0"/>
            <w:vAlign w:val="top"/>
          </w:tcPr>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eastAsia="zh-CN"/>
              </w:rPr>
              <w:t>1、</w:t>
            </w:r>
            <w:r>
              <w:rPr>
                <w:rFonts w:hint="eastAsia" w:ascii="仿宋_GB2312" w:hAnsi="仿宋_GB2312" w:eastAsia="仿宋_GB2312" w:cs="仿宋_GB2312"/>
                <w:color w:val="auto"/>
                <w:kern w:val="2"/>
                <w:sz w:val="24"/>
                <w:szCs w:val="24"/>
                <w:highlight w:val="none"/>
                <w:lang w:val="en-US" w:eastAsia="zh-CN"/>
              </w:rPr>
              <w:t>采购</w:t>
            </w:r>
            <w:r>
              <w:rPr>
                <w:rFonts w:hint="eastAsia" w:ascii="仿宋_GB2312" w:hAnsi="仿宋_GB2312" w:eastAsia="仿宋_GB2312" w:cs="仿宋_GB2312"/>
                <w:color w:val="auto"/>
                <w:kern w:val="2"/>
                <w:sz w:val="24"/>
                <w:szCs w:val="24"/>
                <w:highlight w:val="none"/>
                <w:lang w:eastAsia="zh-CN"/>
              </w:rPr>
              <w:t>单位</w:t>
            </w:r>
            <w:r>
              <w:rPr>
                <w:rFonts w:hint="eastAsia" w:ascii="仿宋_GB2312" w:hAnsi="仿宋_GB2312" w:eastAsia="仿宋_GB2312" w:cs="仿宋_GB2312"/>
                <w:color w:val="auto"/>
                <w:kern w:val="2"/>
                <w:sz w:val="24"/>
                <w:szCs w:val="24"/>
                <w:highlight w:val="none"/>
                <w:lang w:val="en-US" w:eastAsia="zh-CN"/>
              </w:rPr>
              <w:t>联系方式</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default" w:ascii="仿宋_GB2312" w:hAnsi="仿宋_GB2312" w:cs="仿宋_GB2312"/>
                <w:color w:val="auto"/>
                <w:kern w:val="2"/>
                <w:sz w:val="24"/>
                <w:szCs w:val="24"/>
                <w:highlight w:val="none"/>
                <w:lang w:eastAsia="zh-CN"/>
              </w:rPr>
            </w:pPr>
            <w:r>
              <w:rPr>
                <w:rFonts w:hint="eastAsia" w:ascii="仿宋_GB2312" w:hAnsi="仿宋_GB2312" w:eastAsia="仿宋_GB2312" w:cs="仿宋_GB2312"/>
                <w:color w:val="auto"/>
                <w:kern w:val="2"/>
                <w:sz w:val="24"/>
                <w:szCs w:val="24"/>
                <w:highlight w:val="none"/>
                <w:lang w:eastAsia="zh-CN"/>
              </w:rPr>
              <w:t>联系人：</w:t>
            </w:r>
            <w:r>
              <w:rPr>
                <w:rFonts w:hint="default" w:ascii="仿宋_GB2312" w:hAnsi="仿宋_GB2312" w:cs="仿宋_GB2312"/>
                <w:color w:val="auto"/>
                <w:kern w:val="2"/>
                <w:sz w:val="24"/>
                <w:szCs w:val="24"/>
                <w:highlight w:val="none"/>
                <w:lang w:eastAsia="zh-CN"/>
              </w:rPr>
              <w:t>刘希文</w:t>
            </w:r>
            <w:r>
              <w:rPr>
                <w:rFonts w:hint="eastAsia" w:ascii="仿宋_GB2312" w:hAnsi="仿宋_GB2312" w:eastAsia="仿宋_GB2312" w:cs="仿宋_GB2312"/>
                <w:color w:val="auto"/>
                <w:kern w:val="2"/>
                <w:sz w:val="24"/>
                <w:szCs w:val="24"/>
                <w:highlight w:val="none"/>
                <w:lang w:eastAsia="zh-CN"/>
              </w:rPr>
              <w:t xml:space="preserve">  联系方式：</w:t>
            </w:r>
            <w:r>
              <w:rPr>
                <w:rFonts w:hint="default" w:ascii="仿宋_GB2312" w:hAnsi="仿宋_GB2312" w:cs="仿宋_GB2312"/>
                <w:color w:val="auto"/>
                <w:kern w:val="2"/>
                <w:sz w:val="24"/>
                <w:szCs w:val="24"/>
                <w:highlight w:val="none"/>
                <w:lang w:eastAsia="zh-CN"/>
              </w:rPr>
              <w:t>18820268128</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eastAsia="zh-CN"/>
              </w:rPr>
              <w:t>2、街道政府采购领导小组办公室</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pPr>
            <w:r>
              <w:rPr>
                <w:rFonts w:hint="eastAsia" w:ascii="仿宋_GB2312" w:hAnsi="仿宋_GB2312" w:eastAsia="仿宋_GB2312" w:cs="仿宋_GB2312"/>
                <w:color w:val="auto"/>
                <w:kern w:val="2"/>
                <w:sz w:val="24"/>
                <w:szCs w:val="24"/>
                <w:highlight w:val="none"/>
                <w:lang w:eastAsia="zh-CN"/>
              </w:rPr>
              <w:t>联系方式：</w:t>
            </w:r>
            <w:r>
              <w:rPr>
                <w:rFonts w:hint="eastAsia" w:ascii="仿宋_GB2312" w:hAnsi="仿宋_GB2312" w:eastAsia="仿宋_GB2312" w:cs="仿宋_GB2312"/>
                <w:color w:val="auto"/>
                <w:kern w:val="2"/>
                <w:sz w:val="24"/>
                <w:szCs w:val="24"/>
                <w:highlight w:val="none"/>
                <w:lang w:val="en-US" w:eastAsia="zh-CN"/>
              </w:rPr>
              <w:t>0755-</w:t>
            </w:r>
            <w:r>
              <w:rPr>
                <w:rFonts w:hint="eastAsia" w:ascii="仿宋_GB2312" w:hAnsi="仿宋_GB2312" w:eastAsia="仿宋_GB2312" w:cs="仿宋_GB2312"/>
                <w:color w:val="auto"/>
                <w:kern w:val="2"/>
                <w:sz w:val="24"/>
                <w:szCs w:val="24"/>
                <w:highlight w:val="none"/>
                <w:lang w:eastAsia="zh-CN"/>
              </w:rPr>
              <w:t>89609693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62" w:type="dxa"/>
            <w:noWrap w:val="0"/>
            <w:vAlign w:val="top"/>
          </w:tcPr>
          <w:p>
            <w:pPr>
              <w:pStyle w:val="3"/>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pPr>
          </w:p>
          <w:p>
            <w:pPr>
              <w:pStyle w:val="3"/>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pPr>
          </w:p>
          <w:p>
            <w:pPr>
              <w:pStyle w:val="3"/>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pPr>
          </w:p>
          <w:p>
            <w:pPr>
              <w:pStyle w:val="3"/>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pPr>
          </w:p>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000000"/>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t>备注</w:t>
            </w:r>
          </w:p>
        </w:tc>
        <w:tc>
          <w:tcPr>
            <w:tcW w:w="7759" w:type="dxa"/>
            <w:gridSpan w:val="3"/>
            <w:noWrap w:val="0"/>
            <w:vAlign w:val="top"/>
          </w:tcPr>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1、</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请供应商严格按照报价清单进行报价，对</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报价清单</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规定的项目需求内容或者需求数量进行</w:t>
            </w:r>
            <w:r>
              <w:rPr>
                <w:rFonts w:hint="eastAsia" w:ascii="仿宋_GB2312" w:hAnsi="仿宋_GB2312" w:cs="仿宋_GB2312"/>
                <w:i w:val="0"/>
                <w:iCs w:val="0"/>
                <w:caps w:val="0"/>
                <w:color w:val="000000"/>
                <w:spacing w:val="0"/>
                <w:kern w:val="2"/>
                <w:sz w:val="24"/>
                <w:szCs w:val="24"/>
                <w:highlight w:val="none"/>
                <w:shd w:val="clear" w:color="auto" w:fill="auto"/>
                <w:vertAlign w:val="baseline"/>
                <w:lang w:val="en-US" w:eastAsia="zh-CN"/>
              </w:rPr>
              <w:t>下调</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的，视为</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符合性审查不通过，不得参与本次自行采购活动</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单项报价为0的，视为无效报价。</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2、</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请供应商严格对照资格性审查资料准备相应材料，在资格性审查阶段出现资料缺少的，视为资格性审查不通过，不得参与本次自行采购活动</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3、</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本项目服务费采用包干制，应包括服务成本、法定税费和企业的利润。由供应商根据</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采购公告等资料</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自行测算报价；一经采购，报价总价</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和细项单价</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作为应邀单位与采购单位</w:t>
            </w: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签订</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的合同金额，合同期限内不作调整。</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4、采购单位三人评审小组认为响应供应商的报价明显低于其他通过符合性审查投标人的报价，有可能影响产品质量或者不能诚信履约的，应当要求其在规定时间内提供价格书面说明，必要时提交相关证明材料。</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供应商</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逾期不提交或不能证明价格合理性的，认定</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其</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符合性审查不通过。</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由采购单位三人评审小组根据材料判断是否满足符合性审查，如评审小组意见不一致的，按照“少数服从多数”原则确定评审意见。</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5</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w:t>
            </w: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供应商信用信息</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相关查询路径：</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（1）</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深圳市政府采购监管网（</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begin"/>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instrText xml:space="preserve"> HYPERLINK "http://zfcg.sz.gov.cn/cgjg/cxda/index.html" </w:instrTex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separate"/>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http://zfcg.sz.gov.cn/cgjg/cxda/index.html</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end"/>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p>
            <w:pPr>
              <w:pStyle w:val="3"/>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（2）</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国家企业信用信息公示系统（https://www.gsxt.gov.cn/index.html)或机关赋码和事业单位（</w:t>
            </w:r>
            <w:r>
              <w:rPr>
                <w:rFonts w:hint="eastAsia" w:ascii="仿宋_GB2312" w:hAnsi="仿宋_GB2312" w:cs="仿宋_GB2312"/>
                <w:i w:val="0"/>
                <w:iCs w:val="0"/>
                <w:caps w:val="0"/>
                <w:color w:val="000000"/>
                <w:spacing w:val="0"/>
                <w:kern w:val="2"/>
                <w:sz w:val="24"/>
                <w:szCs w:val="24"/>
                <w:highlight w:val="none"/>
                <w:shd w:val="clear" w:color="auto" w:fill="auto"/>
                <w:vertAlign w:val="baseline"/>
                <w:lang w:val="en-US" w:eastAsia="zh-CN"/>
              </w:rPr>
              <w:t>天眼查</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）或全国社会组织信用信息公示平台（</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begin"/>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instrText xml:space="preserve"> HYPERLINK "https://xxgs.chinanpo.mca.gov.cn/gsxt/newList" </w:instrTex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separate"/>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https://xxgs.chinanpo.mca.gov.cn/gsxt/newList</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end"/>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（3）</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中国政府采购网（</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begin"/>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instrText xml:space="preserve"> HYPERLINK "http://www.ccgp.gov.cn/search/cr/" </w:instrTex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separate"/>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http://www.ccgp.gov.cn/search/cr/</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end"/>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Times New Roman" w:hAnsi="Times New Roman" w:cs="Times New Roman"/>
                <w:i w:val="0"/>
                <w:caps w:val="0"/>
                <w:color w:val="000000"/>
                <w:spacing w:val="0"/>
                <w:kern w:val="2"/>
                <w:sz w:val="24"/>
                <w:szCs w:val="24"/>
                <w:highlight w:val="none"/>
                <w:u w:val="none"/>
                <w:shd w:val="clear" w:color="auto" w:fill="auto"/>
                <w:lang w:eastAsia="zh-CN"/>
              </w:rPr>
              <w:t>（</w:t>
            </w: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4</w:t>
            </w:r>
            <w:r>
              <w:rPr>
                <w:rFonts w:hint="default" w:ascii="Times New Roman" w:hAnsi="Times New Roman" w:cs="Times New Roman"/>
                <w:i w:val="0"/>
                <w:caps w:val="0"/>
                <w:color w:val="000000"/>
                <w:spacing w:val="0"/>
                <w:kern w:val="2"/>
                <w:sz w:val="24"/>
                <w:szCs w:val="24"/>
                <w:highlight w:val="none"/>
                <w:u w:val="none"/>
                <w:shd w:val="clear" w:color="auto" w:fill="auto"/>
                <w:lang w:eastAsia="zh-CN"/>
              </w:rPr>
              <w:t>）信用中国</w:t>
            </w:r>
            <w:r>
              <w:rPr>
                <w:rFonts w:hint="eastAsia" w:ascii="仿宋_GB2312" w:hAnsi="仿宋_GB2312" w:eastAsia="仿宋_GB2312" w:cs="仿宋_GB2312"/>
                <w:i w:val="0"/>
                <w:caps w:val="0"/>
                <w:color w:val="000000"/>
                <w:spacing w:val="0"/>
                <w:kern w:val="2"/>
                <w:sz w:val="24"/>
                <w:szCs w:val="24"/>
                <w:highlight w:val="none"/>
                <w:u w:val="none"/>
                <w:shd w:val="clear" w:color="auto" w:fill="auto"/>
                <w:lang w:eastAsia="zh-CN"/>
              </w:rPr>
              <w:t>（www.creditchina.gov.cn）</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相关</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查询</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信息以开标当日的查询结果为准</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pP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6.本采购项目预算费用最终以财政部门批复意见为准。</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长城仿宋">
    <w:altName w:val="方正仿宋_GBK"/>
    <w:panose1 w:val="00000000000000000000"/>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F47494"/>
    <w:multiLevelType w:val="singleLevel"/>
    <w:tmpl w:val="AEF4749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5FDBC16"/>
    <w:rsid w:val="15DBF46A"/>
    <w:rsid w:val="19B372A4"/>
    <w:rsid w:val="19EA0BA9"/>
    <w:rsid w:val="3BF3622A"/>
    <w:rsid w:val="467FC1E2"/>
    <w:rsid w:val="5BD77E41"/>
    <w:rsid w:val="5DEFAF8C"/>
    <w:rsid w:val="5EFDD03B"/>
    <w:rsid w:val="677B6061"/>
    <w:rsid w:val="6A7FB659"/>
    <w:rsid w:val="6F2742F9"/>
    <w:rsid w:val="77FFB02C"/>
    <w:rsid w:val="797720FD"/>
    <w:rsid w:val="799E56C1"/>
    <w:rsid w:val="79BFE0B1"/>
    <w:rsid w:val="79FE076B"/>
    <w:rsid w:val="7AEBCF26"/>
    <w:rsid w:val="7BFB87AB"/>
    <w:rsid w:val="7C47DE1A"/>
    <w:rsid w:val="7F4F8C89"/>
    <w:rsid w:val="7F5E00CC"/>
    <w:rsid w:val="7FBF395E"/>
    <w:rsid w:val="7FEBC0DA"/>
    <w:rsid w:val="7FF9CAD6"/>
    <w:rsid w:val="9F231A97"/>
    <w:rsid w:val="9FAB1A31"/>
    <w:rsid w:val="9FBF0530"/>
    <w:rsid w:val="BFF702E8"/>
    <w:rsid w:val="CFFEB3C9"/>
    <w:rsid w:val="D9FBCD20"/>
    <w:rsid w:val="DF0E249C"/>
    <w:rsid w:val="E5FDBC16"/>
    <w:rsid w:val="EFFF52C4"/>
    <w:rsid w:val="F6CFFCBC"/>
    <w:rsid w:val="F7F491F4"/>
    <w:rsid w:val="F9DBC88D"/>
    <w:rsid w:val="FBFE15B1"/>
    <w:rsid w:val="FBFE4BA3"/>
    <w:rsid w:val="FFB67671"/>
    <w:rsid w:val="FFFFE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both"/>
    </w:pPr>
    <w:rPr>
      <w:rFonts w:ascii="Calibri" w:hAnsi="Calibri"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styleId="3">
    <w:name w:val="Normal (Web)"/>
    <w:basedOn w:val="1"/>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1869</Words>
  <Characters>2107</Characters>
  <Lines>0</Lines>
  <Paragraphs>0</Paragraphs>
  <TotalTime>149</TotalTime>
  <ScaleCrop>false</ScaleCrop>
  <LinksUpToDate>false</LinksUpToDate>
  <CharactersWithSpaces>2110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2025-11-10T03:12:00Z</dcterms:created>
  <dc:creator>南新社区工作站</dc:creator>
  <cp:lastModifiedBy>南新社区工作站</cp:lastModifiedBy>
  <cp:lastPrinted>2025-12-09T22:26:00Z</cp:lastPrinted>
  <dcterms:modified xsi:type="dcterms:W3CDTF">2025-12-10T14:29:31Z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KSOTemplateDocerSaveRecord">
    <vt:lpwstr>eyJoZGlkIjoiZWYzMThiZDA1YThmMmVhZTI1MWIwODFmM2E3MTc4MDgiLCJ1c2VySWQiOiIzNDY5MTMxOTUifQ==</vt:lpwstr>
  </property>
  <property fmtid="{D5CDD505-2E9C-101B-9397-08002B2CF9AE}" pid="4" name="ICV">
    <vt:lpwstr>90C924CAB4A545038AEB620617AB721F_12</vt:lpwstr>
  </property>
</Properties>
</file>