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90AD7">
      <w:pPr>
        <w:numPr>
          <w:ilvl w:val="0"/>
          <w:numId w:val="0"/>
        </w:numPr>
        <w:jc w:val="center"/>
        <w:rPr>
          <w:rFonts w:hint="eastAsia" w:ascii="仿宋_GB2312" w:eastAsia="仿宋_GB2312"/>
          <w:sz w:val="36"/>
          <w:szCs w:val="36"/>
        </w:rPr>
      </w:pPr>
      <w:r>
        <w:rPr>
          <w:rFonts w:hint="eastAsia" w:ascii="仿宋_GB2312" w:eastAsia="仿宋_GB2312"/>
          <w:sz w:val="36"/>
          <w:szCs w:val="36"/>
          <w:lang w:eastAsia="zh-CN"/>
        </w:rPr>
        <w:t>龙岗区妇幼保健院</w:t>
      </w:r>
      <w:r>
        <w:rPr>
          <w:rFonts w:hint="eastAsia" w:ascii="仿宋_GB2312" w:eastAsia="仿宋_GB2312"/>
          <w:sz w:val="36"/>
          <w:szCs w:val="36"/>
          <w:lang w:val="en-US" w:eastAsia="zh-CN"/>
        </w:rPr>
        <w:t>社会采购代理机构遴选评分标准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990"/>
        <w:gridCol w:w="1545"/>
        <w:gridCol w:w="870"/>
        <w:gridCol w:w="5635"/>
      </w:tblGrid>
      <w:tr w14:paraId="13C7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14" w:type="dxa"/>
            <w:vAlign w:val="center"/>
          </w:tcPr>
          <w:p w14:paraId="656773D0">
            <w:pPr>
              <w:jc w:val="center"/>
              <w:rPr>
                <w:rFonts w:ascii="Times New Roman" w:hAnsi="Times New Roman" w:eastAsia="宋体" w:cs="Times New Roman"/>
                <w:b/>
                <w:bCs/>
                <w:kern w:val="2"/>
                <w:sz w:val="21"/>
                <w:szCs w:val="21"/>
                <w:lang w:val="en-US" w:eastAsia="zh-CN" w:bidi="ar-SA"/>
              </w:rPr>
            </w:pPr>
            <w:r>
              <w:rPr>
                <w:b/>
                <w:bCs/>
                <w:sz w:val="21"/>
                <w:szCs w:val="21"/>
              </w:rPr>
              <w:t>序号</w:t>
            </w:r>
          </w:p>
        </w:tc>
        <w:tc>
          <w:tcPr>
            <w:tcW w:w="3405" w:type="dxa"/>
            <w:gridSpan w:val="3"/>
            <w:vAlign w:val="center"/>
          </w:tcPr>
          <w:p w14:paraId="5BDA23EE">
            <w:pPr>
              <w:jc w:val="center"/>
              <w:rPr>
                <w:vertAlign w:val="baseline"/>
              </w:rPr>
            </w:pPr>
            <w:r>
              <w:rPr>
                <w:b/>
                <w:bCs/>
                <w:sz w:val="21"/>
                <w:szCs w:val="21"/>
              </w:rPr>
              <w:t>评分项</w:t>
            </w:r>
          </w:p>
        </w:tc>
        <w:tc>
          <w:tcPr>
            <w:tcW w:w="5635" w:type="dxa"/>
            <w:vAlign w:val="center"/>
          </w:tcPr>
          <w:p w14:paraId="64060C04">
            <w:pPr>
              <w:jc w:val="center"/>
              <w:rPr>
                <w:vertAlign w:val="baseline"/>
              </w:rPr>
            </w:pPr>
            <w:r>
              <w:rPr>
                <w:b/>
                <w:bCs/>
                <w:sz w:val="21"/>
                <w:szCs w:val="21"/>
              </w:rPr>
              <w:t>权重</w:t>
            </w:r>
          </w:p>
        </w:tc>
      </w:tr>
      <w:tr w14:paraId="406D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30489A90">
            <w:pPr>
              <w:jc w:val="center"/>
              <w:rPr>
                <w:rFonts w:hint="eastAsia" w:eastAsia="宋体"/>
                <w:vertAlign w:val="baseline"/>
                <w:lang w:val="en-US" w:eastAsia="zh-CN"/>
              </w:rPr>
            </w:pPr>
            <w:r>
              <w:rPr>
                <w:rFonts w:hint="eastAsia"/>
                <w:vertAlign w:val="baseline"/>
                <w:lang w:val="en-US" w:eastAsia="zh-CN"/>
              </w:rPr>
              <w:t>1</w:t>
            </w:r>
          </w:p>
        </w:tc>
        <w:tc>
          <w:tcPr>
            <w:tcW w:w="3405" w:type="dxa"/>
            <w:gridSpan w:val="3"/>
            <w:vAlign w:val="center"/>
          </w:tcPr>
          <w:p w14:paraId="0EEC5BCE">
            <w:pPr>
              <w:jc w:val="center"/>
              <w:rPr>
                <w:vertAlign w:val="baseline"/>
              </w:rPr>
            </w:pPr>
            <w:r>
              <w:rPr>
                <w:rFonts w:hint="eastAsia"/>
                <w:b/>
                <w:sz w:val="21"/>
                <w:szCs w:val="21"/>
                <w:lang w:eastAsia="zh-CN"/>
              </w:rPr>
              <w:t>服务费用</w:t>
            </w:r>
            <w:r>
              <w:rPr>
                <w:b/>
                <w:sz w:val="21"/>
                <w:szCs w:val="21"/>
              </w:rPr>
              <w:t>部分</w:t>
            </w:r>
          </w:p>
        </w:tc>
        <w:tc>
          <w:tcPr>
            <w:tcW w:w="5635" w:type="dxa"/>
            <w:vAlign w:val="center"/>
          </w:tcPr>
          <w:p w14:paraId="65425C52">
            <w:pPr>
              <w:jc w:val="center"/>
              <w:rPr>
                <w:rFonts w:hint="default" w:eastAsia="宋体"/>
                <w:vertAlign w:val="baseline"/>
                <w:lang w:val="en-US" w:eastAsia="zh-CN"/>
              </w:rPr>
            </w:pPr>
            <w:r>
              <w:rPr>
                <w:rFonts w:hint="eastAsia"/>
                <w:vertAlign w:val="baseline"/>
                <w:lang w:val="en-US" w:eastAsia="zh-CN"/>
              </w:rPr>
              <w:t>10</w:t>
            </w:r>
          </w:p>
        </w:tc>
      </w:tr>
      <w:tr w14:paraId="5721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4" w:type="dxa"/>
            <w:vMerge w:val="restart"/>
            <w:vAlign w:val="center"/>
          </w:tcPr>
          <w:p w14:paraId="0B7A85A3">
            <w:pPr>
              <w:jc w:val="center"/>
              <w:rPr>
                <w:vertAlign w:val="baseline"/>
              </w:rPr>
            </w:pPr>
          </w:p>
        </w:tc>
        <w:tc>
          <w:tcPr>
            <w:tcW w:w="990" w:type="dxa"/>
            <w:vAlign w:val="center"/>
          </w:tcPr>
          <w:p w14:paraId="45DC3343">
            <w:pPr>
              <w:jc w:val="center"/>
              <w:rPr>
                <w:rFonts w:hint="eastAsia" w:ascii="Times New Roman" w:hAnsi="Times New Roman" w:eastAsia="宋体" w:cs="Times New Roman"/>
                <w:b/>
                <w:kern w:val="2"/>
                <w:sz w:val="21"/>
                <w:szCs w:val="21"/>
                <w:lang w:val="en-US" w:eastAsia="zh-CN" w:bidi="ar-SA"/>
              </w:rPr>
            </w:pPr>
            <w:r>
              <w:rPr>
                <w:b/>
                <w:bCs/>
                <w:sz w:val="21"/>
                <w:szCs w:val="21"/>
              </w:rPr>
              <w:t>序号</w:t>
            </w:r>
          </w:p>
        </w:tc>
        <w:tc>
          <w:tcPr>
            <w:tcW w:w="1545" w:type="dxa"/>
            <w:vAlign w:val="center"/>
          </w:tcPr>
          <w:p w14:paraId="33E82CA2">
            <w:pPr>
              <w:jc w:val="center"/>
              <w:rPr>
                <w:rFonts w:hint="eastAsia" w:ascii="Times New Roman" w:hAnsi="Times New Roman" w:eastAsia="宋体" w:cs="Times New Roman"/>
                <w:b/>
                <w:kern w:val="2"/>
                <w:sz w:val="21"/>
                <w:szCs w:val="21"/>
                <w:lang w:val="en-US" w:eastAsia="zh-CN" w:bidi="ar-SA"/>
              </w:rPr>
            </w:pPr>
            <w:r>
              <w:rPr>
                <w:b/>
                <w:bCs/>
                <w:sz w:val="21"/>
                <w:szCs w:val="21"/>
              </w:rPr>
              <w:t>评分因素</w:t>
            </w:r>
          </w:p>
        </w:tc>
        <w:tc>
          <w:tcPr>
            <w:tcW w:w="870" w:type="dxa"/>
            <w:vAlign w:val="center"/>
          </w:tcPr>
          <w:p w14:paraId="25B2E9ED">
            <w:pPr>
              <w:jc w:val="center"/>
              <w:rPr>
                <w:rFonts w:hint="eastAsia" w:ascii="Times New Roman" w:hAnsi="Times New Roman" w:eastAsia="宋体" w:cs="Times New Roman"/>
                <w:b/>
                <w:kern w:val="2"/>
                <w:sz w:val="21"/>
                <w:szCs w:val="21"/>
                <w:lang w:val="en-US" w:eastAsia="zh-CN" w:bidi="ar-SA"/>
              </w:rPr>
            </w:pPr>
            <w:r>
              <w:rPr>
                <w:b/>
                <w:bCs/>
                <w:sz w:val="21"/>
                <w:szCs w:val="21"/>
              </w:rPr>
              <w:t>权重</w:t>
            </w:r>
          </w:p>
        </w:tc>
        <w:tc>
          <w:tcPr>
            <w:tcW w:w="5635" w:type="dxa"/>
            <w:vAlign w:val="center"/>
          </w:tcPr>
          <w:p w14:paraId="7CB3786A">
            <w:pPr>
              <w:jc w:val="center"/>
              <w:rPr>
                <w:vertAlign w:val="baseline"/>
              </w:rPr>
            </w:pPr>
            <w:r>
              <w:rPr>
                <w:b/>
                <w:bCs/>
                <w:sz w:val="21"/>
                <w:szCs w:val="21"/>
              </w:rPr>
              <w:t>评分准则</w:t>
            </w:r>
          </w:p>
        </w:tc>
      </w:tr>
      <w:tr w14:paraId="6EA8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14:paraId="7EF438BC">
            <w:pPr>
              <w:rPr>
                <w:vertAlign w:val="baseline"/>
              </w:rPr>
            </w:pPr>
          </w:p>
        </w:tc>
        <w:tc>
          <w:tcPr>
            <w:tcW w:w="990" w:type="dxa"/>
            <w:vAlign w:val="center"/>
          </w:tcPr>
          <w:p w14:paraId="6BFB52DE">
            <w:pPr>
              <w:jc w:val="center"/>
              <w:rPr>
                <w:rFonts w:hint="eastAsia" w:eastAsia="宋体"/>
                <w:vertAlign w:val="baseline"/>
                <w:lang w:val="en-US" w:eastAsia="zh-CN"/>
              </w:rPr>
            </w:pPr>
            <w:r>
              <w:rPr>
                <w:rFonts w:hint="eastAsia"/>
                <w:vertAlign w:val="baseline"/>
                <w:lang w:val="en-US" w:eastAsia="zh-CN"/>
              </w:rPr>
              <w:t>1</w:t>
            </w:r>
          </w:p>
        </w:tc>
        <w:tc>
          <w:tcPr>
            <w:tcW w:w="1545" w:type="dxa"/>
            <w:vAlign w:val="center"/>
          </w:tcPr>
          <w:p w14:paraId="784CCBCB">
            <w:pPr>
              <w:jc w:val="center"/>
              <w:rPr>
                <w:rFonts w:ascii="Times New Roman" w:hAnsi="Times New Roman" w:eastAsia="宋体" w:cs="Times New Roman"/>
                <w:kern w:val="2"/>
                <w:sz w:val="28"/>
                <w:szCs w:val="24"/>
                <w:vertAlign w:val="baseline"/>
                <w:lang w:val="en-US" w:eastAsia="zh-CN" w:bidi="ar-SA"/>
              </w:rPr>
            </w:pPr>
            <w:r>
              <w:rPr>
                <w:rFonts w:hint="eastAsia" w:ascii="Times New Roman" w:hAnsi="Times New Roman" w:cs="Times New Roman"/>
                <w:sz w:val="21"/>
                <w:szCs w:val="21"/>
                <w:lang w:val="en-US" w:eastAsia="zh-CN"/>
              </w:rPr>
              <w:t>服务费用收取方式和标准</w:t>
            </w:r>
          </w:p>
        </w:tc>
        <w:tc>
          <w:tcPr>
            <w:tcW w:w="870" w:type="dxa"/>
            <w:vAlign w:val="center"/>
          </w:tcPr>
          <w:p w14:paraId="6844937E">
            <w:pPr>
              <w:jc w:val="center"/>
              <w:rPr>
                <w:rFonts w:hint="default" w:eastAsia="宋体"/>
                <w:vertAlign w:val="baseline"/>
                <w:lang w:val="en-US" w:eastAsia="zh-CN"/>
              </w:rPr>
            </w:pPr>
            <w:r>
              <w:rPr>
                <w:rFonts w:hint="eastAsia"/>
                <w:vertAlign w:val="baseline"/>
                <w:lang w:val="en-US" w:eastAsia="zh-CN"/>
              </w:rPr>
              <w:t>8</w:t>
            </w:r>
          </w:p>
        </w:tc>
        <w:tc>
          <w:tcPr>
            <w:tcW w:w="5635" w:type="dxa"/>
            <w:vAlign w:val="center"/>
          </w:tcPr>
          <w:p w14:paraId="5C89D067">
            <w:pPr>
              <w:jc w:val="both"/>
              <w:rPr>
                <w:vertAlign w:val="baseline"/>
              </w:rPr>
            </w:pPr>
            <w:r>
              <w:rPr>
                <w:rFonts w:hint="eastAsia" w:ascii="Times New Roman" w:hAnsi="Times New Roman" w:eastAsia="宋体" w:cs="Times New Roman"/>
                <w:sz w:val="21"/>
                <w:szCs w:val="21"/>
                <w:lang w:eastAsia="zh-CN"/>
              </w:rPr>
              <w:t>根据《深圳市龙岗区财政局关于规范龙岗区社会采购代理机构管理有关事项的通知》（深龙财〔2019〕37号）</w:t>
            </w:r>
            <w:r>
              <w:rPr>
                <w:rFonts w:hint="eastAsia" w:cs="Times New Roman"/>
                <w:sz w:val="21"/>
                <w:szCs w:val="21"/>
                <w:lang w:eastAsia="zh-CN"/>
              </w:rPr>
              <w:t>收费</w:t>
            </w:r>
            <w:r>
              <w:rPr>
                <w:rFonts w:hint="eastAsia" w:ascii="Times New Roman" w:hAnsi="Times New Roman" w:eastAsia="宋体" w:cs="Times New Roman"/>
                <w:sz w:val="21"/>
                <w:szCs w:val="21"/>
                <w:lang w:eastAsia="zh-CN"/>
              </w:rPr>
              <w:t>参考标准折扣率进行</w:t>
            </w:r>
            <w:r>
              <w:rPr>
                <w:rFonts w:hint="eastAsia" w:ascii="Times New Roman" w:hAnsi="Times New Roman" w:cs="Times New Roman"/>
                <w:sz w:val="21"/>
                <w:szCs w:val="21"/>
                <w:lang w:eastAsia="zh-CN"/>
              </w:rPr>
              <w:t>计算</w:t>
            </w:r>
            <w:r>
              <w:rPr>
                <w:rFonts w:hint="eastAsia" w:ascii="Times New Roman" w:hAnsi="Times New Roman" w:eastAsia="宋体" w:cs="Times New Roman"/>
                <w:sz w:val="21"/>
                <w:szCs w:val="21"/>
                <w:lang w:eastAsia="zh-CN"/>
              </w:rPr>
              <w:t>：</w:t>
            </w:r>
            <w:r>
              <w:rPr>
                <w:rFonts w:hint="eastAsia" w:cs="Times New Roman"/>
                <w:sz w:val="21"/>
                <w:szCs w:val="21"/>
                <w:lang w:val="en-US" w:eastAsia="zh-CN"/>
              </w:rPr>
              <w:t>在下浮10%的基础上，每下浮5%得2分，满分8分。</w:t>
            </w:r>
          </w:p>
        </w:tc>
      </w:tr>
      <w:tr w14:paraId="5EF7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14:paraId="5A42DD93">
            <w:pPr>
              <w:rPr>
                <w:vertAlign w:val="baseline"/>
              </w:rPr>
            </w:pPr>
          </w:p>
        </w:tc>
        <w:tc>
          <w:tcPr>
            <w:tcW w:w="990" w:type="dxa"/>
            <w:vAlign w:val="center"/>
          </w:tcPr>
          <w:p w14:paraId="68E5869C">
            <w:pPr>
              <w:jc w:val="center"/>
              <w:rPr>
                <w:rFonts w:hint="eastAsia" w:eastAsia="宋体"/>
                <w:vertAlign w:val="baseline"/>
                <w:lang w:val="en-US" w:eastAsia="zh-CN"/>
              </w:rPr>
            </w:pPr>
            <w:r>
              <w:rPr>
                <w:rFonts w:hint="eastAsia"/>
                <w:vertAlign w:val="baseline"/>
                <w:lang w:val="en-US" w:eastAsia="zh-CN"/>
              </w:rPr>
              <w:t>2</w:t>
            </w:r>
          </w:p>
        </w:tc>
        <w:tc>
          <w:tcPr>
            <w:tcW w:w="1545" w:type="dxa"/>
            <w:vAlign w:val="center"/>
          </w:tcPr>
          <w:p w14:paraId="469B3875">
            <w:pPr>
              <w:jc w:val="center"/>
              <w:rPr>
                <w:rFonts w:ascii="Times New Roman" w:hAnsi="Times New Roman" w:eastAsia="宋体" w:cs="Times New Roman"/>
                <w:kern w:val="2"/>
                <w:sz w:val="28"/>
                <w:szCs w:val="24"/>
                <w:vertAlign w:val="baseline"/>
                <w:lang w:val="en-US" w:eastAsia="zh-CN" w:bidi="ar-SA"/>
              </w:rPr>
            </w:pPr>
            <w:r>
              <w:rPr>
                <w:rFonts w:hint="eastAsia" w:ascii="Times New Roman" w:hAnsi="Times New Roman" w:cs="Times New Roman"/>
                <w:sz w:val="21"/>
                <w:szCs w:val="21"/>
                <w:lang w:val="en-US" w:eastAsia="zh-CN"/>
              </w:rPr>
              <w:t>最低收费标准</w:t>
            </w:r>
          </w:p>
        </w:tc>
        <w:tc>
          <w:tcPr>
            <w:tcW w:w="870" w:type="dxa"/>
            <w:vAlign w:val="center"/>
          </w:tcPr>
          <w:p w14:paraId="18C67B16">
            <w:pPr>
              <w:jc w:val="center"/>
              <w:rPr>
                <w:rFonts w:hint="eastAsia" w:eastAsia="宋体"/>
                <w:vertAlign w:val="baseline"/>
                <w:lang w:val="en-US" w:eastAsia="zh-CN"/>
              </w:rPr>
            </w:pPr>
            <w:r>
              <w:rPr>
                <w:rFonts w:hint="eastAsia"/>
                <w:vertAlign w:val="baseline"/>
                <w:lang w:val="en-US" w:eastAsia="zh-CN"/>
              </w:rPr>
              <w:t>2</w:t>
            </w:r>
          </w:p>
        </w:tc>
        <w:tc>
          <w:tcPr>
            <w:tcW w:w="5635" w:type="dxa"/>
            <w:vAlign w:val="center"/>
          </w:tcPr>
          <w:p w14:paraId="7DBB8490">
            <w:pPr>
              <w:jc w:val="both"/>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最低收费标准</w:t>
            </w:r>
            <w:r>
              <w:rPr>
                <w:rFonts w:hint="eastAsia" w:cs="Times New Roman"/>
                <w:sz w:val="21"/>
                <w:szCs w:val="21"/>
                <w:lang w:val="en-US" w:eastAsia="zh-CN"/>
              </w:rPr>
              <w:t>低于</w:t>
            </w:r>
            <w:r>
              <w:rPr>
                <w:rFonts w:hint="eastAsia" w:ascii="Times New Roman" w:hAnsi="Times New Roman" w:eastAsia="宋体" w:cs="Times New Roman"/>
                <w:sz w:val="21"/>
                <w:szCs w:val="21"/>
                <w:lang w:val="en-US" w:eastAsia="zh-CN"/>
              </w:rPr>
              <w:t>3500元（含）得2分；</w:t>
            </w:r>
          </w:p>
          <w:p w14:paraId="0B935150">
            <w:pPr>
              <w:jc w:val="both"/>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最低收费标准3500元</w:t>
            </w:r>
            <w:r>
              <w:rPr>
                <w:rFonts w:hint="eastAsia" w:cs="Times New Roman"/>
                <w:sz w:val="21"/>
                <w:szCs w:val="21"/>
                <w:lang w:val="en-US" w:eastAsia="zh-CN"/>
              </w:rPr>
              <w:t>（不含）</w:t>
            </w:r>
            <w:r>
              <w:rPr>
                <w:rFonts w:hint="eastAsia" w:ascii="Times New Roman" w:hAnsi="Times New Roman" w:eastAsia="宋体" w:cs="Times New Roman"/>
                <w:sz w:val="21"/>
                <w:szCs w:val="21"/>
                <w:lang w:val="en-US" w:eastAsia="zh-CN"/>
              </w:rPr>
              <w:t>-4000元（含）得1.5分；</w:t>
            </w:r>
          </w:p>
          <w:p w14:paraId="25DAD330">
            <w:pPr>
              <w:jc w:val="both"/>
              <w:rPr>
                <w:rFonts w:hint="eastAsia" w:cs="Times New Roman"/>
                <w:sz w:val="21"/>
                <w:szCs w:val="21"/>
                <w:lang w:val="en-US" w:eastAsia="zh-CN"/>
              </w:rPr>
            </w:pPr>
            <w:r>
              <w:rPr>
                <w:rFonts w:hint="eastAsia" w:ascii="Times New Roman" w:hAnsi="Times New Roman" w:eastAsia="宋体" w:cs="Times New Roman"/>
                <w:sz w:val="21"/>
                <w:szCs w:val="21"/>
                <w:lang w:val="en-US" w:eastAsia="zh-CN"/>
              </w:rPr>
              <w:t>最低收费标准4000元（</w:t>
            </w:r>
            <w:r>
              <w:rPr>
                <w:rFonts w:hint="eastAsia" w:cs="Times New Roman"/>
                <w:sz w:val="21"/>
                <w:szCs w:val="21"/>
                <w:lang w:val="en-US" w:eastAsia="zh-CN"/>
              </w:rPr>
              <w:t>不</w:t>
            </w:r>
            <w:r>
              <w:rPr>
                <w:rFonts w:hint="eastAsia" w:ascii="Times New Roman" w:hAnsi="Times New Roman" w:eastAsia="宋体" w:cs="Times New Roman"/>
                <w:sz w:val="21"/>
                <w:szCs w:val="21"/>
                <w:lang w:val="en-US" w:eastAsia="zh-CN"/>
              </w:rPr>
              <w:t>含）-</w:t>
            </w:r>
            <w:r>
              <w:rPr>
                <w:rFonts w:hint="eastAsia" w:cs="Times New Roman"/>
                <w:sz w:val="21"/>
                <w:szCs w:val="21"/>
                <w:lang w:val="en-US" w:eastAsia="zh-CN"/>
              </w:rPr>
              <w:t>4</w:t>
            </w:r>
            <w:r>
              <w:rPr>
                <w:rFonts w:hint="eastAsia" w:ascii="Times New Roman" w:hAnsi="Times New Roman" w:eastAsia="宋体" w:cs="Times New Roman"/>
                <w:sz w:val="21"/>
                <w:szCs w:val="21"/>
                <w:lang w:val="en-US" w:eastAsia="zh-CN"/>
              </w:rPr>
              <w:t>500元（含）得1分</w:t>
            </w:r>
            <w:r>
              <w:rPr>
                <w:rFonts w:hint="eastAsia" w:cs="Times New Roman"/>
                <w:sz w:val="21"/>
                <w:szCs w:val="21"/>
                <w:lang w:val="en-US" w:eastAsia="zh-CN"/>
              </w:rPr>
              <w:t>；</w:t>
            </w:r>
          </w:p>
          <w:p w14:paraId="3E2B9A3D">
            <w:pPr>
              <w:jc w:val="both"/>
              <w:rPr>
                <w:rFonts w:hint="default"/>
                <w:lang w:val="en-US" w:eastAsia="zh-CN"/>
              </w:rPr>
            </w:pPr>
            <w:r>
              <w:rPr>
                <w:rFonts w:hint="eastAsia" w:ascii="Times New Roman" w:hAnsi="Times New Roman" w:eastAsia="宋体" w:cs="Times New Roman"/>
                <w:sz w:val="21"/>
                <w:szCs w:val="21"/>
                <w:lang w:val="en-US" w:eastAsia="zh-CN"/>
              </w:rPr>
              <w:t>最低收费标准4</w:t>
            </w:r>
            <w:r>
              <w:rPr>
                <w:rFonts w:hint="eastAsia" w:cs="Times New Roman"/>
                <w:sz w:val="21"/>
                <w:szCs w:val="21"/>
                <w:lang w:val="en-US" w:eastAsia="zh-CN"/>
              </w:rPr>
              <w:t>5</w:t>
            </w:r>
            <w:r>
              <w:rPr>
                <w:rFonts w:hint="eastAsia" w:ascii="Times New Roman" w:hAnsi="Times New Roman" w:eastAsia="宋体" w:cs="Times New Roman"/>
                <w:sz w:val="21"/>
                <w:szCs w:val="21"/>
                <w:lang w:val="en-US" w:eastAsia="zh-CN"/>
              </w:rPr>
              <w:t>00元（</w:t>
            </w:r>
            <w:r>
              <w:rPr>
                <w:rFonts w:hint="eastAsia" w:cs="Times New Roman"/>
                <w:sz w:val="21"/>
                <w:szCs w:val="21"/>
                <w:lang w:val="en-US" w:eastAsia="zh-CN"/>
              </w:rPr>
              <w:t>不</w:t>
            </w:r>
            <w:r>
              <w:rPr>
                <w:rFonts w:hint="eastAsia" w:ascii="Times New Roman" w:hAnsi="Times New Roman" w:eastAsia="宋体" w:cs="Times New Roman"/>
                <w:sz w:val="21"/>
                <w:szCs w:val="21"/>
                <w:lang w:val="en-US" w:eastAsia="zh-CN"/>
              </w:rPr>
              <w:t>含）-500</w:t>
            </w:r>
            <w:r>
              <w:rPr>
                <w:rFonts w:hint="eastAsia" w:cs="Times New Roman"/>
                <w:sz w:val="21"/>
                <w:szCs w:val="21"/>
                <w:lang w:val="en-US" w:eastAsia="zh-CN"/>
              </w:rPr>
              <w:t>0</w:t>
            </w:r>
            <w:r>
              <w:rPr>
                <w:rFonts w:hint="eastAsia" w:ascii="Times New Roman" w:hAnsi="Times New Roman" w:eastAsia="宋体" w:cs="Times New Roman"/>
                <w:sz w:val="21"/>
                <w:szCs w:val="21"/>
                <w:lang w:val="en-US" w:eastAsia="zh-CN"/>
              </w:rPr>
              <w:t>元（含）得</w:t>
            </w:r>
            <w:r>
              <w:rPr>
                <w:rFonts w:hint="eastAsia" w:cs="Times New Roman"/>
                <w:sz w:val="21"/>
                <w:szCs w:val="21"/>
                <w:lang w:val="en-US" w:eastAsia="zh-CN"/>
              </w:rPr>
              <w:t>0.5</w:t>
            </w:r>
            <w:r>
              <w:rPr>
                <w:rFonts w:hint="eastAsia" w:ascii="Times New Roman" w:hAnsi="Times New Roman" w:eastAsia="宋体" w:cs="Times New Roman"/>
                <w:sz w:val="21"/>
                <w:szCs w:val="21"/>
                <w:lang w:val="en-US" w:eastAsia="zh-CN"/>
              </w:rPr>
              <w:t>分。</w:t>
            </w:r>
          </w:p>
        </w:tc>
      </w:tr>
      <w:tr w14:paraId="3FB5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46044B14">
            <w:pPr>
              <w:jc w:val="center"/>
              <w:rPr>
                <w:rFonts w:hint="eastAsia" w:eastAsia="宋体"/>
                <w:vertAlign w:val="baseline"/>
                <w:lang w:val="en-US" w:eastAsia="zh-CN"/>
              </w:rPr>
            </w:pPr>
            <w:r>
              <w:rPr>
                <w:rFonts w:hint="eastAsia"/>
                <w:vertAlign w:val="baseline"/>
                <w:lang w:val="en-US" w:eastAsia="zh-CN"/>
              </w:rPr>
              <w:t>2</w:t>
            </w:r>
          </w:p>
        </w:tc>
        <w:tc>
          <w:tcPr>
            <w:tcW w:w="3405" w:type="dxa"/>
            <w:gridSpan w:val="3"/>
            <w:vAlign w:val="center"/>
          </w:tcPr>
          <w:p w14:paraId="1D7CFD5B">
            <w:pPr>
              <w:jc w:val="center"/>
              <w:rPr>
                <w:vertAlign w:val="baseline"/>
              </w:rPr>
            </w:pPr>
            <w:r>
              <w:rPr>
                <w:b/>
                <w:sz w:val="21"/>
                <w:szCs w:val="21"/>
              </w:rPr>
              <w:t>技术部分</w:t>
            </w:r>
          </w:p>
        </w:tc>
        <w:tc>
          <w:tcPr>
            <w:tcW w:w="5635" w:type="dxa"/>
            <w:vAlign w:val="center"/>
          </w:tcPr>
          <w:p w14:paraId="14ED35C5">
            <w:pPr>
              <w:jc w:val="center"/>
              <w:rPr>
                <w:rFonts w:hint="default" w:eastAsia="宋体"/>
                <w:vertAlign w:val="baseline"/>
                <w:lang w:val="en-US" w:eastAsia="zh-CN"/>
              </w:rPr>
            </w:pPr>
            <w:r>
              <w:rPr>
                <w:rFonts w:hint="eastAsia"/>
                <w:vertAlign w:val="baseline"/>
                <w:lang w:val="en-US" w:eastAsia="zh-CN"/>
              </w:rPr>
              <w:t>50</w:t>
            </w:r>
          </w:p>
        </w:tc>
      </w:tr>
      <w:tr w14:paraId="5316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14" w:type="dxa"/>
            <w:vMerge w:val="restart"/>
          </w:tcPr>
          <w:p w14:paraId="1D1B1E69">
            <w:pPr>
              <w:rPr>
                <w:vertAlign w:val="baseline"/>
              </w:rPr>
            </w:pPr>
          </w:p>
        </w:tc>
        <w:tc>
          <w:tcPr>
            <w:tcW w:w="990" w:type="dxa"/>
            <w:vAlign w:val="center"/>
          </w:tcPr>
          <w:p w14:paraId="2BB9544A">
            <w:pPr>
              <w:jc w:val="center"/>
              <w:rPr>
                <w:rFonts w:ascii="Times New Roman" w:hAnsi="Times New Roman" w:eastAsia="宋体" w:cs="Times New Roman"/>
                <w:b/>
                <w:bCs/>
                <w:kern w:val="2"/>
                <w:sz w:val="21"/>
                <w:szCs w:val="21"/>
                <w:lang w:val="en-US" w:eastAsia="zh-CN" w:bidi="ar-SA"/>
              </w:rPr>
            </w:pPr>
            <w:r>
              <w:rPr>
                <w:b/>
                <w:bCs/>
                <w:sz w:val="21"/>
                <w:szCs w:val="21"/>
              </w:rPr>
              <w:t>序号</w:t>
            </w:r>
          </w:p>
        </w:tc>
        <w:tc>
          <w:tcPr>
            <w:tcW w:w="1545" w:type="dxa"/>
            <w:vAlign w:val="center"/>
          </w:tcPr>
          <w:p w14:paraId="40090FF5">
            <w:pPr>
              <w:jc w:val="center"/>
              <w:rPr>
                <w:rFonts w:ascii="Times New Roman" w:hAnsi="Times New Roman" w:eastAsia="宋体" w:cs="Times New Roman"/>
                <w:b/>
                <w:bCs/>
                <w:kern w:val="2"/>
                <w:sz w:val="21"/>
                <w:szCs w:val="21"/>
                <w:lang w:val="en-US" w:eastAsia="zh-CN" w:bidi="ar-SA"/>
              </w:rPr>
            </w:pPr>
            <w:r>
              <w:rPr>
                <w:b/>
                <w:bCs/>
                <w:sz w:val="21"/>
                <w:szCs w:val="21"/>
              </w:rPr>
              <w:t>评分因素</w:t>
            </w:r>
          </w:p>
        </w:tc>
        <w:tc>
          <w:tcPr>
            <w:tcW w:w="870" w:type="dxa"/>
            <w:vAlign w:val="center"/>
          </w:tcPr>
          <w:p w14:paraId="1CF8AF3E">
            <w:pPr>
              <w:jc w:val="center"/>
              <w:rPr>
                <w:rFonts w:ascii="Times New Roman" w:hAnsi="Times New Roman" w:eastAsia="宋体" w:cs="Times New Roman"/>
                <w:b/>
                <w:bCs/>
                <w:kern w:val="2"/>
                <w:sz w:val="21"/>
                <w:szCs w:val="21"/>
                <w:lang w:val="en-US" w:eastAsia="zh-CN" w:bidi="ar-SA"/>
              </w:rPr>
            </w:pPr>
            <w:r>
              <w:rPr>
                <w:b/>
                <w:bCs/>
                <w:sz w:val="21"/>
                <w:szCs w:val="21"/>
              </w:rPr>
              <w:t>权重</w:t>
            </w:r>
          </w:p>
        </w:tc>
        <w:tc>
          <w:tcPr>
            <w:tcW w:w="5635" w:type="dxa"/>
            <w:vAlign w:val="center"/>
          </w:tcPr>
          <w:p w14:paraId="69C88093">
            <w:pPr>
              <w:jc w:val="center"/>
              <w:rPr>
                <w:vertAlign w:val="baseline"/>
              </w:rPr>
            </w:pPr>
            <w:r>
              <w:rPr>
                <w:b/>
                <w:bCs/>
                <w:sz w:val="21"/>
                <w:szCs w:val="21"/>
              </w:rPr>
              <w:t>评分准则</w:t>
            </w:r>
          </w:p>
        </w:tc>
      </w:tr>
      <w:tr w14:paraId="0189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Borders/>
          </w:tcPr>
          <w:p w14:paraId="654B37F9">
            <w:pPr>
              <w:rPr>
                <w:vertAlign w:val="baseline"/>
              </w:rPr>
            </w:pPr>
          </w:p>
        </w:tc>
        <w:tc>
          <w:tcPr>
            <w:tcW w:w="990" w:type="dxa"/>
            <w:vAlign w:val="center"/>
          </w:tcPr>
          <w:p w14:paraId="339D6289">
            <w:pPr>
              <w:jc w:val="center"/>
              <w:rPr>
                <w:rFonts w:hint="eastAsia" w:eastAsia="宋体"/>
                <w:vertAlign w:val="baseline"/>
                <w:lang w:val="en-US" w:eastAsia="zh-CN"/>
              </w:rPr>
            </w:pPr>
            <w:r>
              <w:rPr>
                <w:rFonts w:hint="eastAsia"/>
                <w:vertAlign w:val="baseline"/>
                <w:lang w:val="en-US" w:eastAsia="zh-CN"/>
              </w:rPr>
              <w:t>1</w:t>
            </w:r>
          </w:p>
        </w:tc>
        <w:tc>
          <w:tcPr>
            <w:tcW w:w="1545" w:type="dxa"/>
            <w:vAlign w:val="center"/>
          </w:tcPr>
          <w:p w14:paraId="2C769B42">
            <w:pPr>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项目服务方案</w:t>
            </w:r>
          </w:p>
        </w:tc>
        <w:tc>
          <w:tcPr>
            <w:tcW w:w="870" w:type="dxa"/>
            <w:vAlign w:val="center"/>
          </w:tcPr>
          <w:p w14:paraId="2EB964E0">
            <w:pPr>
              <w:jc w:val="center"/>
              <w:rPr>
                <w:rFonts w:hint="default" w:ascii="Times New Roman" w:hAnsi="Times New Roman" w:cs="Times New Roman"/>
                <w:sz w:val="21"/>
                <w:szCs w:val="21"/>
                <w:lang w:val="en-US" w:eastAsia="zh-CN"/>
              </w:rPr>
            </w:pPr>
            <w:r>
              <w:rPr>
                <w:rFonts w:hint="eastAsia" w:cs="Times New Roman"/>
                <w:sz w:val="21"/>
                <w:szCs w:val="21"/>
                <w:lang w:val="en-US" w:eastAsia="zh-CN"/>
              </w:rPr>
              <w:t>15</w:t>
            </w:r>
          </w:p>
        </w:tc>
        <w:tc>
          <w:tcPr>
            <w:tcW w:w="5635" w:type="dxa"/>
            <w:vAlign w:val="center"/>
          </w:tcPr>
          <w:p w14:paraId="6DE884AF">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（一）评审内容：</w:t>
            </w:r>
          </w:p>
          <w:p w14:paraId="2952D5FB">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根据投标文件投标供应商需按本项目要求提供实施方案，包括以下内容：</w:t>
            </w:r>
          </w:p>
          <w:p w14:paraId="10FCCB2B">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1.项目实施总体思路及技术方案；</w:t>
            </w:r>
          </w:p>
          <w:p w14:paraId="2CC3EB4E">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2.紧急项目实施方案；</w:t>
            </w:r>
          </w:p>
          <w:p w14:paraId="5698CD2D">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3.项目集中期满足响应时间的措施；</w:t>
            </w:r>
          </w:p>
          <w:p w14:paraId="332CE5CD">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4.项目投标供应商不满足法定数量时的分析与对策。</w:t>
            </w:r>
          </w:p>
          <w:p w14:paraId="44E84D21">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（二）评审依据：</w:t>
            </w:r>
          </w:p>
          <w:p w14:paraId="07AD9F55">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满足以上四项要求得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分，满足以上三项要求得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分，满足以上两项要求得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分，满足以上一项要求得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分，其它情况不得分。在此基础上，评审委员会根据各投标供应商的具体响应内容按照量化的评审因素指标进一步评审：</w:t>
            </w:r>
          </w:p>
          <w:p w14:paraId="0D16C532">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（1）优评分标准：对项目实施方案的内容描述全面，具体，表达清晰、完整、严谨、针对性强、科学合理、贴合本项目的实际情况、可操作性强的，得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p w14:paraId="439BF840">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（2）良评分标准：对项目实施方案的内容描述较全面，较具体，表达较清晰、较完整、较严谨，针对性较强、较科学合理、较贴合本项目的实际情况、可操作性较强的，得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27EC49A3">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（3）中评分标准：对项目实施方案的内容描述基本全面，表达基本清晰，针对性一般、基本贴合本项目的实际情况、可操作性一般的，得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5E8E63B2">
            <w:pPr>
              <w:jc w:val="both"/>
              <w:rPr>
                <w:rFonts w:hint="eastAsia" w:ascii="Times New Roman" w:hAnsi="Times New Roman" w:cs="Times New Roman"/>
                <w:sz w:val="21"/>
                <w:szCs w:val="21"/>
                <w:lang w:val="en-US" w:eastAsia="zh-CN"/>
              </w:rPr>
            </w:pPr>
            <w:r>
              <w:rPr>
                <w:rFonts w:hint="eastAsia" w:ascii="宋体" w:hAnsi="宋体" w:eastAsia="宋体" w:cs="宋体"/>
                <w:color w:val="auto"/>
                <w:sz w:val="21"/>
                <w:szCs w:val="21"/>
                <w:highlight w:val="none"/>
                <w:lang w:val="en-US" w:eastAsia="zh-CN"/>
              </w:rPr>
              <w:t>（4）差评分标准：对项目实施方案的内容描述缺失，表达不清晰，无实际操作意义或与项目关联度不大，得0分。</w:t>
            </w:r>
          </w:p>
        </w:tc>
      </w:tr>
      <w:tr w14:paraId="509C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Borders/>
          </w:tcPr>
          <w:p w14:paraId="19D238D2">
            <w:pPr>
              <w:rPr>
                <w:vertAlign w:val="baseline"/>
              </w:rPr>
            </w:pPr>
          </w:p>
        </w:tc>
        <w:tc>
          <w:tcPr>
            <w:tcW w:w="990" w:type="dxa"/>
            <w:vAlign w:val="center"/>
          </w:tcPr>
          <w:p w14:paraId="5B538D7F">
            <w:pPr>
              <w:jc w:val="center"/>
              <w:rPr>
                <w:rFonts w:hint="eastAsia" w:eastAsia="宋体"/>
                <w:vertAlign w:val="baseline"/>
                <w:lang w:val="en-US" w:eastAsia="zh-CN"/>
              </w:rPr>
            </w:pPr>
            <w:r>
              <w:rPr>
                <w:rFonts w:hint="eastAsia"/>
                <w:vertAlign w:val="baseline"/>
                <w:lang w:val="en-US" w:eastAsia="zh-CN"/>
              </w:rPr>
              <w:t>2</w:t>
            </w:r>
          </w:p>
        </w:tc>
        <w:tc>
          <w:tcPr>
            <w:tcW w:w="1545" w:type="dxa"/>
            <w:vAlign w:val="center"/>
          </w:tcPr>
          <w:p w14:paraId="60B00FD4">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质疑</w:t>
            </w:r>
            <w:r>
              <w:rPr>
                <w:rFonts w:hint="eastAsia" w:cs="Times New Roman"/>
                <w:color w:val="auto"/>
                <w:sz w:val="21"/>
                <w:szCs w:val="21"/>
                <w:lang w:val="en-US" w:eastAsia="zh-CN"/>
              </w:rPr>
              <w:t>投诉</w:t>
            </w:r>
            <w:r>
              <w:rPr>
                <w:rFonts w:hint="eastAsia" w:ascii="Times New Roman" w:hAnsi="Times New Roman" w:cs="Times New Roman"/>
                <w:color w:val="auto"/>
                <w:sz w:val="21"/>
                <w:szCs w:val="21"/>
                <w:lang w:val="en-US" w:eastAsia="zh-CN"/>
              </w:rPr>
              <w:t>处理能力</w:t>
            </w:r>
          </w:p>
        </w:tc>
        <w:tc>
          <w:tcPr>
            <w:tcW w:w="870" w:type="dxa"/>
            <w:vAlign w:val="center"/>
          </w:tcPr>
          <w:p w14:paraId="6BA3F9C4">
            <w:pPr>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10</w:t>
            </w:r>
          </w:p>
        </w:tc>
        <w:tc>
          <w:tcPr>
            <w:tcW w:w="5635" w:type="dxa"/>
            <w:vAlign w:val="center"/>
          </w:tcPr>
          <w:p w14:paraId="452DE008">
            <w:p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（一）评分内容：</w:t>
            </w:r>
          </w:p>
          <w:p w14:paraId="7640E53C">
            <w:p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投标供应商需提供1个质疑</w:t>
            </w:r>
            <w:r>
              <w:rPr>
                <w:rFonts w:hint="eastAsia" w:cs="Times New Roman"/>
                <w:sz w:val="21"/>
                <w:szCs w:val="21"/>
                <w:lang w:val="en-US" w:eastAsia="zh-CN"/>
              </w:rPr>
              <w:t>投诉</w:t>
            </w:r>
            <w:r>
              <w:rPr>
                <w:rFonts w:hint="default" w:ascii="Times New Roman" w:hAnsi="Times New Roman" w:cs="Times New Roman"/>
                <w:sz w:val="21"/>
                <w:szCs w:val="21"/>
                <w:lang w:val="en-US" w:eastAsia="zh-CN"/>
              </w:rPr>
              <w:t>项目案例，包括但不限于以下内容：</w:t>
            </w:r>
          </w:p>
          <w:p w14:paraId="197D1203">
            <w:p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1、项目质疑函；</w:t>
            </w:r>
          </w:p>
          <w:p w14:paraId="0859C362">
            <w:p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2、招标代理机构质疑回复函；</w:t>
            </w:r>
          </w:p>
          <w:p w14:paraId="31DE9201">
            <w:p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3、财政局行政裁决书；</w:t>
            </w:r>
          </w:p>
          <w:p w14:paraId="368721D8">
            <w:p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4、代理机构內部质疑</w:t>
            </w:r>
            <w:r>
              <w:rPr>
                <w:rFonts w:hint="eastAsia" w:cs="Times New Roman"/>
                <w:sz w:val="21"/>
                <w:szCs w:val="21"/>
                <w:lang w:val="en-US" w:eastAsia="zh-CN"/>
              </w:rPr>
              <w:t>投诉</w:t>
            </w:r>
            <w:r>
              <w:rPr>
                <w:rFonts w:hint="default" w:ascii="Times New Roman" w:hAnsi="Times New Roman" w:cs="Times New Roman"/>
                <w:sz w:val="21"/>
                <w:szCs w:val="21"/>
                <w:lang w:val="en-US" w:eastAsia="zh-CN"/>
              </w:rPr>
              <w:t>处理机制方案。</w:t>
            </w:r>
          </w:p>
          <w:p w14:paraId="64F5A615">
            <w:p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（二）评分依据：</w:t>
            </w:r>
          </w:p>
          <w:p w14:paraId="4519F5BB">
            <w:p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1.满足以上四个方面得</w:t>
            </w:r>
            <w:r>
              <w:rPr>
                <w:rFonts w:hint="eastAsia" w:cs="Times New Roman"/>
                <w:sz w:val="21"/>
                <w:szCs w:val="21"/>
                <w:lang w:val="en-US" w:eastAsia="zh-CN"/>
              </w:rPr>
              <w:t>5</w:t>
            </w:r>
            <w:r>
              <w:rPr>
                <w:rFonts w:hint="default" w:ascii="Times New Roman" w:hAnsi="Times New Roman" w:cs="Times New Roman"/>
                <w:sz w:val="21"/>
                <w:szCs w:val="21"/>
                <w:lang w:val="en-US" w:eastAsia="zh-CN"/>
              </w:rPr>
              <w:t>分，未满足不得分。</w:t>
            </w:r>
          </w:p>
          <w:p w14:paraId="13CF2DC9">
            <w:p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2.在此基础上，评审委员会根据各投标供应商的具体响应内容进一步评审：</w:t>
            </w:r>
          </w:p>
          <w:p w14:paraId="61B4998A">
            <w:p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（1）代理机构在处理质疑中充分发挥了专业能力，有力为采购人解决问题，得</w:t>
            </w:r>
            <w:r>
              <w:rPr>
                <w:rFonts w:hint="eastAsia" w:cs="Times New Roman"/>
                <w:sz w:val="21"/>
                <w:szCs w:val="21"/>
                <w:lang w:val="en-US" w:eastAsia="zh-CN"/>
              </w:rPr>
              <w:t>5</w:t>
            </w:r>
            <w:r>
              <w:rPr>
                <w:rFonts w:hint="default" w:ascii="Times New Roman" w:hAnsi="Times New Roman" w:cs="Times New Roman"/>
                <w:sz w:val="21"/>
                <w:szCs w:val="21"/>
                <w:lang w:val="en-US" w:eastAsia="zh-CN"/>
              </w:rPr>
              <w:t>分；</w:t>
            </w:r>
          </w:p>
          <w:p w14:paraId="540F0247">
            <w:p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（2）方案较合理、有一定针对性、一定可操作性，评审为良加</w:t>
            </w:r>
            <w:r>
              <w:rPr>
                <w:rFonts w:hint="eastAsia" w:cs="Times New Roman"/>
                <w:sz w:val="21"/>
                <w:szCs w:val="21"/>
                <w:lang w:val="en-US" w:eastAsia="zh-CN"/>
              </w:rPr>
              <w:t>2</w:t>
            </w:r>
            <w:r>
              <w:rPr>
                <w:rFonts w:hint="default" w:ascii="Times New Roman" w:hAnsi="Times New Roman" w:cs="Times New Roman"/>
                <w:sz w:val="21"/>
                <w:szCs w:val="21"/>
                <w:lang w:val="en-US" w:eastAsia="zh-CN"/>
              </w:rPr>
              <w:t>分；</w:t>
            </w:r>
          </w:p>
          <w:p w14:paraId="1968C821">
            <w:p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（3）方案较一般、针对性一般、可操作性一般，评审为中加1分；</w:t>
            </w:r>
          </w:p>
          <w:p w14:paraId="017A299A">
            <w:p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（4）方案较差、针对性、无可操作性，评审为差不加分。</w:t>
            </w:r>
          </w:p>
        </w:tc>
      </w:tr>
      <w:tr w14:paraId="792A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Borders/>
          </w:tcPr>
          <w:p w14:paraId="2F8301B3">
            <w:pPr>
              <w:rPr>
                <w:vertAlign w:val="baseline"/>
              </w:rPr>
            </w:pPr>
          </w:p>
        </w:tc>
        <w:tc>
          <w:tcPr>
            <w:tcW w:w="990" w:type="dxa"/>
            <w:vAlign w:val="center"/>
          </w:tcPr>
          <w:p w14:paraId="63E43E15">
            <w:pPr>
              <w:jc w:val="center"/>
              <w:rPr>
                <w:rFonts w:hint="eastAsia" w:eastAsia="宋体"/>
                <w:vertAlign w:val="baseline"/>
                <w:lang w:val="en-US" w:eastAsia="zh-CN"/>
              </w:rPr>
            </w:pPr>
            <w:r>
              <w:rPr>
                <w:rFonts w:hint="eastAsia"/>
                <w:vertAlign w:val="baseline"/>
                <w:lang w:val="en-US" w:eastAsia="zh-CN"/>
              </w:rPr>
              <w:t>3</w:t>
            </w:r>
          </w:p>
        </w:tc>
        <w:tc>
          <w:tcPr>
            <w:tcW w:w="1545" w:type="dxa"/>
            <w:vAlign w:val="center"/>
          </w:tcPr>
          <w:p w14:paraId="71A43C45">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项目重难点分析、应对措施及合理化建议</w:t>
            </w:r>
          </w:p>
        </w:tc>
        <w:tc>
          <w:tcPr>
            <w:tcW w:w="870" w:type="dxa"/>
            <w:vAlign w:val="center"/>
          </w:tcPr>
          <w:p w14:paraId="56C59740">
            <w:pPr>
              <w:jc w:val="center"/>
              <w:rPr>
                <w:rFonts w:hint="default" w:ascii="Times New Roman" w:hAnsi="Times New Roman" w:cs="Times New Roman"/>
                <w:sz w:val="21"/>
                <w:szCs w:val="21"/>
                <w:lang w:val="en-US" w:eastAsia="zh-CN"/>
              </w:rPr>
            </w:pPr>
            <w:r>
              <w:rPr>
                <w:rFonts w:hint="eastAsia" w:cs="Times New Roman"/>
                <w:sz w:val="21"/>
                <w:szCs w:val="21"/>
                <w:lang w:val="en-US" w:eastAsia="zh-CN"/>
              </w:rPr>
              <w:t>10</w:t>
            </w:r>
          </w:p>
        </w:tc>
        <w:tc>
          <w:tcPr>
            <w:tcW w:w="5635" w:type="dxa"/>
          </w:tcPr>
          <w:p w14:paraId="3AA5D566">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（一）评分内容：</w:t>
            </w:r>
          </w:p>
          <w:p w14:paraId="5EF4642C">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投标供应商详细说明项目重点难点分析、应对措施及相关的合理化建议等问题进行分析。</w:t>
            </w:r>
          </w:p>
          <w:p w14:paraId="284488A0">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1.项目重点难点分析；</w:t>
            </w:r>
          </w:p>
          <w:p w14:paraId="5FF01FE9">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2.应对措施；</w:t>
            </w:r>
          </w:p>
          <w:p w14:paraId="74AB2A13">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3.相关的合理化建议。</w:t>
            </w:r>
          </w:p>
          <w:p w14:paraId="6DCCDA35">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（二）评分依据：</w:t>
            </w:r>
          </w:p>
          <w:p w14:paraId="2958D00C">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满足以上三个方面得5分，满足以上任意两个方面得3分，满足以上任意一个方面得1分，未满足不得分。在此基础上，评审委员会根据各投标供应商的具体响应内容进一步评审：</w:t>
            </w:r>
          </w:p>
          <w:p w14:paraId="265092EF">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优评分标准：项目重点难点分析内容齐全，对关键问题有深刻且全面的理解，正确识别并分析了项目中遇到的复杂性和挑战问题，提出的解决策略明确、具体，且针对性强的措施，建议具有前瞻性，能够预防潜在问题的，得5分；</w:t>
            </w:r>
          </w:p>
          <w:p w14:paraId="0E2D25EB">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良评分标准：项目重点难点分析内容齐全，对问题的理解较为全面，但可能缺乏深度，识别了大部分难点，但对其复杂性的理解可能不够深入，解决策略基本合适，但可能缺乏灵活性或全面性。提出了一些有益的建议，但可能不够系统和全面的，得</w:t>
            </w:r>
            <w:r>
              <w:rPr>
                <w:rFonts w:hint="eastAsia" w:cs="Times New Roman"/>
                <w:sz w:val="21"/>
                <w:szCs w:val="21"/>
                <w:lang w:val="en-US" w:eastAsia="zh-CN"/>
              </w:rPr>
              <w:t>2</w:t>
            </w:r>
            <w:r>
              <w:rPr>
                <w:rFonts w:hint="eastAsia" w:ascii="Times New Roman" w:hAnsi="Times New Roman" w:cs="Times New Roman"/>
                <w:sz w:val="21"/>
                <w:szCs w:val="21"/>
                <w:lang w:val="en-US" w:eastAsia="zh-CN"/>
              </w:rPr>
              <w:t>分；</w:t>
            </w:r>
          </w:p>
          <w:p w14:paraId="6C2BFCC9">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中评分标准：项目重点难点分析内容较为齐全，对问题的理解基本正确，但遗漏了一些重要方面，难点识别不够准确，对部分问题的复杂性有所忽视，解决策略基本可行，但可能缺乏针对性或效率，建议有一定的实用性，但可能缺乏前瞻性和创新性的，得</w:t>
            </w:r>
            <w:r>
              <w:rPr>
                <w:rFonts w:hint="eastAsia" w:cs="Times New Roman"/>
                <w:sz w:val="21"/>
                <w:szCs w:val="21"/>
                <w:lang w:val="en-US" w:eastAsia="zh-CN"/>
              </w:rPr>
              <w:t>1</w:t>
            </w:r>
            <w:r>
              <w:rPr>
                <w:rFonts w:hint="eastAsia" w:ascii="Times New Roman" w:hAnsi="Times New Roman" w:cs="Times New Roman"/>
                <w:sz w:val="21"/>
                <w:szCs w:val="21"/>
                <w:lang w:val="en-US" w:eastAsia="zh-CN"/>
              </w:rPr>
              <w:t>分；</w:t>
            </w:r>
          </w:p>
          <w:p w14:paraId="2FB71AED">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差评分标准：内容不全的（没有完整包含项目重点难点分析、应对措施及合理化建议等四部分）；对问题的理解存在明显偏差或遗漏，未能有效识别或分析项目中的难点，解决策略不明确或无法实施，建议无关紧要，缺乏实际可操作性的，得0分；</w:t>
            </w:r>
          </w:p>
          <w:p w14:paraId="7EF85B66">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备注：未提供的本项不得分</w:t>
            </w:r>
          </w:p>
        </w:tc>
      </w:tr>
      <w:tr w14:paraId="01B9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Borders/>
          </w:tcPr>
          <w:p w14:paraId="04B432DB">
            <w:pPr>
              <w:rPr>
                <w:vertAlign w:val="baseline"/>
              </w:rPr>
            </w:pPr>
          </w:p>
        </w:tc>
        <w:tc>
          <w:tcPr>
            <w:tcW w:w="990" w:type="dxa"/>
            <w:vAlign w:val="center"/>
          </w:tcPr>
          <w:p w14:paraId="35A5CD45">
            <w:pPr>
              <w:jc w:val="center"/>
              <w:rPr>
                <w:rFonts w:hint="default"/>
                <w:vertAlign w:val="baseline"/>
                <w:lang w:val="en-US" w:eastAsia="zh-CN"/>
              </w:rPr>
            </w:pPr>
            <w:r>
              <w:rPr>
                <w:rFonts w:hint="eastAsia"/>
                <w:vertAlign w:val="baseline"/>
                <w:lang w:val="en-US" w:eastAsia="zh-CN"/>
              </w:rPr>
              <w:t>4</w:t>
            </w:r>
          </w:p>
        </w:tc>
        <w:tc>
          <w:tcPr>
            <w:tcW w:w="1545" w:type="dxa"/>
            <w:vAlign w:val="center"/>
          </w:tcPr>
          <w:p w14:paraId="629B7B87">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档案管理方案</w:t>
            </w:r>
          </w:p>
        </w:tc>
        <w:tc>
          <w:tcPr>
            <w:tcW w:w="870" w:type="dxa"/>
            <w:vAlign w:val="center"/>
          </w:tcPr>
          <w:p w14:paraId="7A5D461E">
            <w:pPr>
              <w:jc w:val="center"/>
              <w:rPr>
                <w:rFonts w:hint="default" w:cs="Times New Roman"/>
                <w:sz w:val="21"/>
                <w:szCs w:val="21"/>
                <w:lang w:val="en-US" w:eastAsia="zh-CN"/>
              </w:rPr>
            </w:pPr>
            <w:r>
              <w:rPr>
                <w:rFonts w:hint="eastAsia" w:cs="Times New Roman"/>
                <w:sz w:val="21"/>
                <w:szCs w:val="21"/>
                <w:lang w:val="en-US" w:eastAsia="zh-CN"/>
              </w:rPr>
              <w:t>5</w:t>
            </w:r>
          </w:p>
        </w:tc>
        <w:tc>
          <w:tcPr>
            <w:tcW w:w="5635" w:type="dxa"/>
          </w:tcPr>
          <w:p w14:paraId="1A077D13">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（一）评审内容：</w:t>
            </w:r>
          </w:p>
          <w:p w14:paraId="311A7CA3">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1.考察投标人档案管理方案（包括但不限于：档案管理完整性、条理性、信息安全、检索方便性等）；</w:t>
            </w:r>
          </w:p>
          <w:p w14:paraId="511B6B70">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（二）评分标准：</w:t>
            </w:r>
          </w:p>
          <w:p w14:paraId="22DFB13C">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满足以上</w:t>
            </w:r>
            <w:r>
              <w:rPr>
                <w:rFonts w:hint="eastAsia" w:cs="Times New Roman"/>
                <w:sz w:val="21"/>
                <w:szCs w:val="21"/>
                <w:lang w:val="en-US" w:eastAsia="zh-CN"/>
              </w:rPr>
              <w:t>内容</w:t>
            </w:r>
            <w:r>
              <w:rPr>
                <w:rFonts w:hint="eastAsia" w:ascii="Times New Roman" w:hAnsi="Times New Roman" w:cs="Times New Roman"/>
                <w:sz w:val="21"/>
                <w:szCs w:val="21"/>
                <w:lang w:val="en-US" w:eastAsia="zh-CN"/>
              </w:rPr>
              <w:t>得</w:t>
            </w:r>
            <w:r>
              <w:rPr>
                <w:rFonts w:hint="eastAsia" w:cs="Times New Roman"/>
                <w:sz w:val="21"/>
                <w:szCs w:val="21"/>
                <w:lang w:val="en-US" w:eastAsia="zh-CN"/>
              </w:rPr>
              <w:t>2.5</w:t>
            </w:r>
            <w:r>
              <w:rPr>
                <w:rFonts w:hint="eastAsia" w:ascii="Times New Roman" w:hAnsi="Times New Roman" w:cs="Times New Roman"/>
                <w:sz w:val="21"/>
                <w:szCs w:val="21"/>
                <w:lang w:val="en-US" w:eastAsia="zh-CN"/>
              </w:rPr>
              <w:t>分，未满足不得分。在此基础上，评审委员会根据各投标供应商的具体响应内容进一步评审：</w:t>
            </w:r>
          </w:p>
          <w:p w14:paraId="260C4D6E">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1.方案包含以上要求内容，表述清晰，可操作性强，档案样例资料目录清晰、资料齐全、条理有序得</w:t>
            </w:r>
            <w:r>
              <w:rPr>
                <w:rFonts w:hint="eastAsia" w:cs="Times New Roman"/>
                <w:sz w:val="21"/>
                <w:szCs w:val="21"/>
                <w:lang w:val="en-US" w:eastAsia="zh-CN"/>
              </w:rPr>
              <w:t>2.</w:t>
            </w:r>
            <w:r>
              <w:rPr>
                <w:rFonts w:hint="eastAsia" w:ascii="Times New Roman" w:hAnsi="Times New Roman" w:cs="Times New Roman"/>
                <w:sz w:val="21"/>
                <w:szCs w:val="21"/>
                <w:lang w:val="en-US" w:eastAsia="zh-CN"/>
              </w:rPr>
              <w:t>5分；</w:t>
            </w:r>
          </w:p>
          <w:p w14:paraId="02EBAA06">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2.方案包含以上内容，表述较清晰，可操作性较强，档案样例资料目录较清晰、资料较齐全得</w:t>
            </w:r>
            <w:r>
              <w:rPr>
                <w:rFonts w:hint="eastAsia" w:cs="Times New Roman"/>
                <w:sz w:val="21"/>
                <w:szCs w:val="21"/>
                <w:lang w:val="en-US" w:eastAsia="zh-CN"/>
              </w:rPr>
              <w:t>1</w:t>
            </w:r>
            <w:r>
              <w:rPr>
                <w:rFonts w:hint="eastAsia" w:ascii="Times New Roman" w:hAnsi="Times New Roman" w:cs="Times New Roman"/>
                <w:sz w:val="21"/>
                <w:szCs w:val="21"/>
                <w:lang w:val="en-US" w:eastAsia="zh-CN"/>
              </w:rPr>
              <w:t>分；</w:t>
            </w:r>
          </w:p>
          <w:p w14:paraId="3001D3DC">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3.方案表述较差，不具可操作性，档案样例资料总体差不得分。</w:t>
            </w:r>
          </w:p>
        </w:tc>
      </w:tr>
      <w:tr w14:paraId="5A27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Borders/>
          </w:tcPr>
          <w:p w14:paraId="005FB6AF">
            <w:pPr>
              <w:rPr>
                <w:vertAlign w:val="baseline"/>
              </w:rPr>
            </w:pPr>
          </w:p>
        </w:tc>
        <w:tc>
          <w:tcPr>
            <w:tcW w:w="990" w:type="dxa"/>
            <w:vAlign w:val="center"/>
          </w:tcPr>
          <w:p w14:paraId="57162F51">
            <w:pPr>
              <w:jc w:val="center"/>
              <w:rPr>
                <w:rFonts w:hint="default"/>
                <w:vertAlign w:val="baseline"/>
                <w:lang w:val="en-US" w:eastAsia="zh-CN"/>
              </w:rPr>
            </w:pPr>
            <w:r>
              <w:rPr>
                <w:rFonts w:hint="eastAsia"/>
                <w:vertAlign w:val="baseline"/>
                <w:lang w:val="en-US" w:eastAsia="zh-CN"/>
              </w:rPr>
              <w:t>5</w:t>
            </w:r>
          </w:p>
        </w:tc>
        <w:tc>
          <w:tcPr>
            <w:tcW w:w="1545" w:type="dxa"/>
            <w:vAlign w:val="center"/>
          </w:tcPr>
          <w:p w14:paraId="52A0D65E">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内部控制方案</w:t>
            </w:r>
          </w:p>
        </w:tc>
        <w:tc>
          <w:tcPr>
            <w:tcW w:w="870" w:type="dxa"/>
            <w:vAlign w:val="center"/>
          </w:tcPr>
          <w:p w14:paraId="0768B281">
            <w:pPr>
              <w:jc w:val="center"/>
              <w:rPr>
                <w:rFonts w:hint="default" w:cs="Times New Roman"/>
                <w:sz w:val="21"/>
                <w:szCs w:val="21"/>
                <w:lang w:val="en-US" w:eastAsia="zh-CN"/>
              </w:rPr>
            </w:pPr>
            <w:r>
              <w:rPr>
                <w:rFonts w:hint="eastAsia" w:cs="Times New Roman"/>
                <w:sz w:val="21"/>
                <w:szCs w:val="21"/>
                <w:lang w:val="en-US" w:eastAsia="zh-CN"/>
              </w:rPr>
              <w:t>10</w:t>
            </w:r>
          </w:p>
        </w:tc>
        <w:tc>
          <w:tcPr>
            <w:tcW w:w="5635" w:type="dxa"/>
          </w:tcPr>
          <w:p w14:paraId="3854F4CB">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（一）评审内容：</w:t>
            </w:r>
          </w:p>
          <w:p w14:paraId="303298E3">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投标人针对本项目要求，对采购代理机构内部招标规范以及工作指引进行阐述：</w:t>
            </w:r>
          </w:p>
          <w:p w14:paraId="4E3CF3E3">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（二）评分标准：</w:t>
            </w:r>
          </w:p>
          <w:p w14:paraId="7C7CA7CC">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满足以上</w:t>
            </w:r>
            <w:r>
              <w:rPr>
                <w:rFonts w:hint="eastAsia" w:cs="Times New Roman"/>
                <w:sz w:val="21"/>
                <w:szCs w:val="21"/>
                <w:lang w:val="en-US" w:eastAsia="zh-CN"/>
              </w:rPr>
              <w:t>内容</w:t>
            </w:r>
            <w:r>
              <w:rPr>
                <w:rFonts w:hint="eastAsia" w:ascii="Times New Roman" w:hAnsi="Times New Roman" w:cs="Times New Roman"/>
                <w:sz w:val="21"/>
                <w:szCs w:val="21"/>
                <w:lang w:val="en-US" w:eastAsia="zh-CN"/>
              </w:rPr>
              <w:t>得</w:t>
            </w:r>
            <w:r>
              <w:rPr>
                <w:rFonts w:hint="eastAsia" w:cs="Times New Roman"/>
                <w:sz w:val="21"/>
                <w:szCs w:val="21"/>
                <w:lang w:val="en-US" w:eastAsia="zh-CN"/>
              </w:rPr>
              <w:t>5</w:t>
            </w:r>
            <w:r>
              <w:rPr>
                <w:rFonts w:hint="eastAsia" w:ascii="Times New Roman" w:hAnsi="Times New Roman" w:cs="Times New Roman"/>
                <w:sz w:val="21"/>
                <w:szCs w:val="21"/>
                <w:lang w:val="en-US" w:eastAsia="zh-CN"/>
              </w:rPr>
              <w:t>分，未满足不得分。在此基础上，评审委员会根据各投标供应商的具体响应内容进一步评审</w:t>
            </w:r>
            <w:r>
              <w:rPr>
                <w:rFonts w:hint="eastAsia" w:ascii="Times New Roman" w:hAnsi="Times New Roman" w:cs="Times New Roman"/>
                <w:sz w:val="21"/>
                <w:szCs w:val="21"/>
                <w:lang w:val="en-US" w:eastAsia="zh-CN"/>
              </w:rPr>
              <w:t>：</w:t>
            </w:r>
          </w:p>
          <w:p w14:paraId="0163C5BB">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优秀：满足以上五项内容及标准要求的，得</w:t>
            </w:r>
            <w:r>
              <w:rPr>
                <w:rFonts w:hint="eastAsia" w:cs="Times New Roman"/>
                <w:sz w:val="21"/>
                <w:szCs w:val="21"/>
                <w:lang w:val="en-US" w:eastAsia="zh-CN"/>
              </w:rPr>
              <w:t>5</w:t>
            </w:r>
            <w:r>
              <w:rPr>
                <w:rFonts w:hint="eastAsia" w:ascii="Times New Roman" w:hAnsi="Times New Roman" w:cs="Times New Roman"/>
                <w:sz w:val="21"/>
                <w:szCs w:val="21"/>
                <w:lang w:val="en-US" w:eastAsia="zh-CN"/>
              </w:rPr>
              <w:t>分；</w:t>
            </w:r>
          </w:p>
          <w:p w14:paraId="40F988B0">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良好：满足以上四项内容及标准要求的，得</w:t>
            </w:r>
            <w:r>
              <w:rPr>
                <w:rFonts w:hint="eastAsia" w:cs="Times New Roman"/>
                <w:sz w:val="21"/>
                <w:szCs w:val="21"/>
                <w:lang w:val="en-US" w:eastAsia="zh-CN"/>
              </w:rPr>
              <w:t>2</w:t>
            </w:r>
            <w:r>
              <w:rPr>
                <w:rFonts w:hint="eastAsia" w:ascii="Times New Roman" w:hAnsi="Times New Roman" w:cs="Times New Roman"/>
                <w:sz w:val="21"/>
                <w:szCs w:val="21"/>
                <w:lang w:val="en-US" w:eastAsia="zh-CN"/>
              </w:rPr>
              <w:t>分；</w:t>
            </w:r>
          </w:p>
          <w:p w14:paraId="6F8EBEF1">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中等：满足以上三项内容及标准要求的，得</w:t>
            </w:r>
            <w:r>
              <w:rPr>
                <w:rFonts w:hint="eastAsia" w:cs="Times New Roman"/>
                <w:sz w:val="21"/>
                <w:szCs w:val="21"/>
                <w:lang w:val="en-US" w:eastAsia="zh-CN"/>
              </w:rPr>
              <w:t>1</w:t>
            </w:r>
            <w:r>
              <w:rPr>
                <w:rFonts w:hint="eastAsia" w:ascii="Times New Roman" w:hAnsi="Times New Roman" w:cs="Times New Roman"/>
                <w:sz w:val="21"/>
                <w:szCs w:val="21"/>
                <w:lang w:val="en-US" w:eastAsia="zh-CN"/>
              </w:rPr>
              <w:t>分；</w:t>
            </w:r>
          </w:p>
          <w:p w14:paraId="5A27AF81">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差等：上述情况之外的，不得分。</w:t>
            </w:r>
          </w:p>
        </w:tc>
      </w:tr>
      <w:tr w14:paraId="5EE7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14" w:type="dxa"/>
            <w:vAlign w:val="center"/>
          </w:tcPr>
          <w:p w14:paraId="3632BCE1">
            <w:pPr>
              <w:jc w:val="center"/>
              <w:rPr>
                <w:rFonts w:hint="eastAsia"/>
                <w:b/>
                <w:sz w:val="21"/>
                <w:szCs w:val="21"/>
                <w:lang w:val="en-US" w:eastAsia="zh-CN"/>
              </w:rPr>
            </w:pPr>
            <w:r>
              <w:rPr>
                <w:rFonts w:hint="eastAsia"/>
                <w:b/>
                <w:sz w:val="21"/>
                <w:szCs w:val="21"/>
                <w:lang w:val="en-US" w:eastAsia="zh-CN"/>
              </w:rPr>
              <w:t>3</w:t>
            </w:r>
          </w:p>
        </w:tc>
        <w:tc>
          <w:tcPr>
            <w:tcW w:w="3405" w:type="dxa"/>
            <w:gridSpan w:val="3"/>
            <w:vAlign w:val="center"/>
          </w:tcPr>
          <w:p w14:paraId="02FC4A46">
            <w:pPr>
              <w:jc w:val="center"/>
              <w:rPr>
                <w:rFonts w:hint="eastAsia"/>
                <w:b/>
                <w:sz w:val="21"/>
                <w:szCs w:val="21"/>
                <w:lang w:val="en-US" w:eastAsia="zh-CN"/>
              </w:rPr>
            </w:pPr>
            <w:r>
              <w:rPr>
                <w:rFonts w:hint="eastAsia"/>
                <w:b/>
                <w:sz w:val="21"/>
                <w:szCs w:val="21"/>
                <w:lang w:val="en-US" w:eastAsia="zh-CN"/>
              </w:rPr>
              <w:t>综合实力</w:t>
            </w:r>
          </w:p>
        </w:tc>
        <w:tc>
          <w:tcPr>
            <w:tcW w:w="5635" w:type="dxa"/>
            <w:vAlign w:val="center"/>
          </w:tcPr>
          <w:p w14:paraId="495DA655">
            <w:pPr>
              <w:jc w:val="center"/>
              <w:rPr>
                <w:rFonts w:hint="default"/>
                <w:b/>
                <w:sz w:val="21"/>
                <w:szCs w:val="21"/>
                <w:lang w:val="en-US" w:eastAsia="zh-CN"/>
              </w:rPr>
            </w:pPr>
            <w:r>
              <w:rPr>
                <w:rFonts w:hint="eastAsia"/>
                <w:b/>
                <w:sz w:val="21"/>
                <w:szCs w:val="21"/>
                <w:lang w:val="en-US" w:eastAsia="zh-CN"/>
              </w:rPr>
              <w:t>40</w:t>
            </w:r>
          </w:p>
        </w:tc>
      </w:tr>
      <w:tr w14:paraId="3944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14" w:type="dxa"/>
            <w:vMerge w:val="restart"/>
          </w:tcPr>
          <w:p w14:paraId="6378520B">
            <w:pPr>
              <w:rPr>
                <w:vertAlign w:val="baseline"/>
              </w:rPr>
            </w:pPr>
          </w:p>
        </w:tc>
        <w:tc>
          <w:tcPr>
            <w:tcW w:w="990" w:type="dxa"/>
            <w:vAlign w:val="center"/>
          </w:tcPr>
          <w:p w14:paraId="7895569D">
            <w:pPr>
              <w:jc w:val="center"/>
              <w:rPr>
                <w:vertAlign w:val="baseline"/>
              </w:rPr>
            </w:pPr>
            <w:r>
              <w:rPr>
                <w:b/>
                <w:bCs/>
                <w:sz w:val="21"/>
                <w:szCs w:val="21"/>
              </w:rPr>
              <w:t>序号</w:t>
            </w:r>
          </w:p>
        </w:tc>
        <w:tc>
          <w:tcPr>
            <w:tcW w:w="1545" w:type="dxa"/>
            <w:vAlign w:val="center"/>
          </w:tcPr>
          <w:p w14:paraId="423896EC">
            <w:pPr>
              <w:jc w:val="center"/>
              <w:rPr>
                <w:vertAlign w:val="baseline"/>
              </w:rPr>
            </w:pPr>
            <w:r>
              <w:rPr>
                <w:b/>
                <w:bCs/>
                <w:sz w:val="21"/>
                <w:szCs w:val="21"/>
              </w:rPr>
              <w:t>评分因素</w:t>
            </w:r>
          </w:p>
        </w:tc>
        <w:tc>
          <w:tcPr>
            <w:tcW w:w="870" w:type="dxa"/>
            <w:vAlign w:val="center"/>
          </w:tcPr>
          <w:p w14:paraId="61D76958">
            <w:pPr>
              <w:jc w:val="center"/>
              <w:rPr>
                <w:vertAlign w:val="baseline"/>
              </w:rPr>
            </w:pPr>
            <w:r>
              <w:rPr>
                <w:b/>
                <w:bCs/>
                <w:sz w:val="21"/>
                <w:szCs w:val="21"/>
              </w:rPr>
              <w:t>权重</w:t>
            </w:r>
          </w:p>
        </w:tc>
        <w:tc>
          <w:tcPr>
            <w:tcW w:w="5635" w:type="dxa"/>
            <w:vAlign w:val="center"/>
          </w:tcPr>
          <w:p w14:paraId="726B3F54">
            <w:pPr>
              <w:jc w:val="center"/>
              <w:rPr>
                <w:vertAlign w:val="baseline"/>
              </w:rPr>
            </w:pPr>
            <w:r>
              <w:rPr>
                <w:b/>
                <w:bCs/>
                <w:sz w:val="21"/>
                <w:szCs w:val="21"/>
              </w:rPr>
              <w:t>评分准则</w:t>
            </w:r>
          </w:p>
        </w:tc>
      </w:tr>
      <w:tr w14:paraId="3D81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14:paraId="06F668D4">
            <w:pPr>
              <w:rPr>
                <w:vertAlign w:val="baseline"/>
              </w:rPr>
            </w:pPr>
          </w:p>
        </w:tc>
        <w:tc>
          <w:tcPr>
            <w:tcW w:w="990" w:type="dxa"/>
            <w:vAlign w:val="center"/>
          </w:tcPr>
          <w:p w14:paraId="084A9BA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545" w:type="dxa"/>
            <w:vAlign w:val="center"/>
          </w:tcPr>
          <w:p w14:paraId="625B375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同类项目业绩</w:t>
            </w:r>
            <w:r>
              <w:rPr>
                <w:rFonts w:hint="eastAsia" w:ascii="宋体" w:hAnsi="宋体" w:eastAsia="宋体" w:cs="宋体"/>
                <w:color w:val="auto"/>
                <w:sz w:val="21"/>
                <w:szCs w:val="21"/>
                <w:highlight w:val="none"/>
                <w:lang w:val="en-US" w:eastAsia="zh-CN"/>
              </w:rPr>
              <w:t>情况</w:t>
            </w:r>
          </w:p>
        </w:tc>
        <w:tc>
          <w:tcPr>
            <w:tcW w:w="870" w:type="dxa"/>
            <w:vAlign w:val="center"/>
          </w:tcPr>
          <w:p w14:paraId="35FF414B">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5635" w:type="dxa"/>
          </w:tcPr>
          <w:p w14:paraId="435B6E05">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（一）评分内容：</w:t>
            </w:r>
          </w:p>
          <w:p w14:paraId="0F12946C">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每有一项有效业绩，得2分，最高得10分。不提供或者不能有效证明的，得0分。</w:t>
            </w:r>
          </w:p>
          <w:p w14:paraId="404698D0">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有效业绩定义：（同时满足以下全部要求同类业绩才属于有效业绩）</w:t>
            </w:r>
          </w:p>
          <w:p w14:paraId="75504DBC">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1.同类业绩指：合同甲方为深圳公立医疗卫生机构，同一甲方的不同合同只算一项有效业绩</w:t>
            </w:r>
          </w:p>
          <w:p w14:paraId="1DB71A8F">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2.合同关键页需体现以下相关内容：“采购代理服务”或“政府采购代理服务”等相关内容（意思相近即可）</w:t>
            </w:r>
          </w:p>
          <w:p w14:paraId="5A0D79AF">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3.合同签订时间为2023年1月1日至本项目投标截止时间前。</w:t>
            </w:r>
          </w:p>
          <w:p w14:paraId="56AA3FD5">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（二）评分依据：</w:t>
            </w:r>
          </w:p>
          <w:p w14:paraId="4BF51E2F">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1.要求提供合同关键信息（含签订合同双方的单位名称、主要服务内容）作为得分依据。</w:t>
            </w:r>
          </w:p>
          <w:p w14:paraId="63C5EFB9">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2.通过合同关键信息无法判断是否得分的，还须同时提供能证明得分的其它证明资料，如项目报告或合同甲方出具的证明文件等。</w:t>
            </w:r>
          </w:p>
          <w:p w14:paraId="0EA8F02C">
            <w:pPr>
              <w:keepNext w:val="0"/>
              <w:keepLines w:val="0"/>
              <w:numPr>
                <w:ilvl w:val="0"/>
                <w:numId w:val="0"/>
              </w:numPr>
              <w:suppressLineNumbers w:val="0"/>
              <w:spacing w:before="0" w:beforeAutospacing="0" w:after="0" w:afterAutospacing="0"/>
              <w:ind w:left="0" w:leftChars="0" w:right="0"/>
              <w:jc w:val="left"/>
            </w:pPr>
            <w:r>
              <w:rPr>
                <w:rFonts w:hint="eastAsia" w:ascii="Times New Roman" w:hAnsi="Times New Roman" w:eastAsia="宋体" w:cs="Times New Roman"/>
                <w:sz w:val="21"/>
                <w:szCs w:val="21"/>
                <w:lang w:val="en-US" w:eastAsia="zh-CN"/>
              </w:rPr>
              <w:t>3.未按要求提供相关证明材料（或相关证明材料无法判断是否符合评分要求）的不计得分。</w:t>
            </w:r>
          </w:p>
        </w:tc>
      </w:tr>
      <w:tr w14:paraId="50C7F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14:paraId="53EEF713">
            <w:pPr>
              <w:rPr>
                <w:vertAlign w:val="baseline"/>
              </w:rPr>
            </w:pPr>
          </w:p>
        </w:tc>
        <w:tc>
          <w:tcPr>
            <w:tcW w:w="990" w:type="dxa"/>
            <w:vAlign w:val="center"/>
          </w:tcPr>
          <w:p w14:paraId="22C1E25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545" w:type="dxa"/>
            <w:vAlign w:val="center"/>
          </w:tcPr>
          <w:p w14:paraId="1850498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拟安排的项目负责人情况</w:t>
            </w:r>
          </w:p>
        </w:tc>
        <w:tc>
          <w:tcPr>
            <w:tcW w:w="870" w:type="dxa"/>
            <w:vAlign w:val="center"/>
          </w:tcPr>
          <w:p w14:paraId="5F1487C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5635" w:type="dxa"/>
            <w:vAlign w:val="top"/>
          </w:tcPr>
          <w:p w14:paraId="5CF0DC72">
            <w:pPr>
              <w:keepNext w:val="0"/>
              <w:keepLines w:val="0"/>
              <w:numPr>
                <w:ilvl w:val="0"/>
                <w:numId w:val="0"/>
              </w:numPr>
              <w:suppressLineNumbers w:val="0"/>
              <w:wordWrap w:val="0"/>
              <w:spacing w:before="0" w:beforeAutospacing="0" w:after="0" w:afterAutospacing="0"/>
              <w:ind w:right="0" w:rightChars="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评分内容：</w:t>
            </w:r>
          </w:p>
          <w:p w14:paraId="024C5D3C">
            <w:pPr>
              <w:keepNext w:val="0"/>
              <w:keepLines w:val="0"/>
              <w:numPr>
                <w:ilvl w:val="0"/>
                <w:numId w:val="0"/>
              </w:numPr>
              <w:suppressLineNumbers w:val="0"/>
              <w:spacing w:before="0" w:beforeAutospacing="0" w:after="0" w:afterAutospacing="0"/>
              <w:ind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拟安排的项目负责人须为投标人自有员工。在此基础上：</w:t>
            </w:r>
          </w:p>
          <w:p w14:paraId="1184E819">
            <w:pPr>
              <w:keepNext w:val="0"/>
              <w:keepLines w:val="0"/>
              <w:numPr>
                <w:ilvl w:val="0"/>
                <w:numId w:val="0"/>
              </w:numPr>
              <w:suppressLineNumbers w:val="0"/>
              <w:wordWrap w:val="0"/>
              <w:spacing w:before="0" w:beforeAutospacing="0" w:after="0" w:afterAutospacing="0"/>
              <w:ind w:right="0"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1)具有全日制本科（或以上）学历的，得3分；</w:t>
            </w:r>
          </w:p>
          <w:p w14:paraId="13217964">
            <w:pPr>
              <w:keepNext w:val="0"/>
              <w:keepLines w:val="0"/>
              <w:numPr>
                <w:ilvl w:val="0"/>
                <w:numId w:val="0"/>
              </w:numPr>
              <w:suppressLineNumbers w:val="0"/>
              <w:wordWrap w:val="0"/>
              <w:spacing w:before="0" w:beforeAutospacing="0" w:after="0" w:afterAutospacing="0"/>
              <w:ind w:right="0"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2)具有5年或以上政府采购从业经验的，得5分；具有3年或以上政府采购从业经验的，得3分；具有2年或以上政府采购从业经验的，得1分；其他不得分。</w:t>
            </w:r>
          </w:p>
          <w:p w14:paraId="147FEAC3">
            <w:pPr>
              <w:keepNext w:val="0"/>
              <w:keepLines w:val="0"/>
              <w:numPr>
                <w:ilvl w:val="0"/>
                <w:numId w:val="0"/>
              </w:numPr>
              <w:suppressLineNumbers w:val="0"/>
              <w:wordWrap w:val="0"/>
              <w:spacing w:before="0" w:beforeAutospacing="0" w:after="0" w:afterAutospacing="0"/>
              <w:ind w:right="0"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（二）评分依据：</w:t>
            </w:r>
          </w:p>
          <w:p w14:paraId="4139B0F2">
            <w:pPr>
              <w:keepNext w:val="0"/>
              <w:keepLines w:val="0"/>
              <w:numPr>
                <w:ilvl w:val="0"/>
                <w:numId w:val="0"/>
              </w:numPr>
              <w:suppressLineNumbers w:val="0"/>
              <w:wordWrap w:val="0"/>
              <w:spacing w:before="0" w:beforeAutospacing="0" w:after="0" w:afterAutospacing="0"/>
              <w:ind w:right="0"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要求提供通过投标供应商缴纳的近1个月（由于社保部门或税务部门原因最近1个月的社保证明无法提供的可往前顺延1个月）的社保证明作为证明依据，如投标供应商为新成立企业且成立时间不足1个月可提供加盖公章的情况说明或者证明材料亦视为符合。如依法不需要缴纳社会保险的，应提供相应文件证明。如为退休返聘人员则提供劳动合同或返聘协议复印件。</w:t>
            </w:r>
          </w:p>
          <w:p w14:paraId="1E7DAE81">
            <w:pPr>
              <w:keepNext w:val="0"/>
              <w:keepLines w:val="0"/>
              <w:numPr>
                <w:ilvl w:val="0"/>
                <w:numId w:val="0"/>
              </w:numPr>
              <w:suppressLineNumbers w:val="0"/>
              <w:wordWrap w:val="0"/>
              <w:spacing w:before="0" w:beforeAutospacing="0" w:after="0" w:afterAutospacing="0"/>
              <w:ind w:right="0"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2.需提供项目负责人的学历证书复印件；</w:t>
            </w:r>
          </w:p>
          <w:p w14:paraId="6DFA812C">
            <w:pPr>
              <w:keepNext w:val="0"/>
              <w:keepLines w:val="0"/>
              <w:numPr>
                <w:ilvl w:val="0"/>
                <w:numId w:val="0"/>
              </w:numPr>
              <w:suppressLineNumbers w:val="0"/>
              <w:wordWrap w:val="0"/>
              <w:spacing w:before="0" w:beforeAutospacing="0" w:after="0" w:afterAutospacing="0"/>
              <w:ind w:right="0" w:rightChars="0"/>
              <w:rPr>
                <w:b/>
                <w:bCs/>
                <w:vertAlign w:val="baseline"/>
              </w:rPr>
            </w:pPr>
            <w:r>
              <w:rPr>
                <w:rFonts w:hint="eastAsia" w:ascii="宋体" w:hAnsi="宋体" w:eastAsia="宋体" w:cs="宋体"/>
                <w:b w:val="0"/>
                <w:bCs w:val="0"/>
                <w:color w:val="auto"/>
                <w:sz w:val="21"/>
                <w:szCs w:val="21"/>
                <w:highlight w:val="none"/>
                <w:lang w:val="en-US" w:eastAsia="zh-CN"/>
              </w:rPr>
              <w:t>3.从业经验提供招标代理单位为投标负责人连续缴纳的社保证明资料（从业经验时间段内的社保缴纳明细均要提供），间断3个月以内的可以累加，间断3个月以上的以最近一段连续缴纳社保时间计算从业经验时间。</w:t>
            </w:r>
          </w:p>
        </w:tc>
      </w:tr>
      <w:tr w14:paraId="600F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14:paraId="1858DE08">
            <w:pPr>
              <w:rPr>
                <w:vertAlign w:val="baseline"/>
              </w:rPr>
            </w:pPr>
          </w:p>
        </w:tc>
        <w:tc>
          <w:tcPr>
            <w:tcW w:w="990" w:type="dxa"/>
            <w:vAlign w:val="center"/>
          </w:tcPr>
          <w:p w14:paraId="4B5F1CDD">
            <w:pPr>
              <w:keepNext w:val="0"/>
              <w:keepLines w:val="0"/>
              <w:suppressLineNumbers w:val="0"/>
              <w:wordWrap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545" w:type="dxa"/>
            <w:vAlign w:val="center"/>
          </w:tcPr>
          <w:p w14:paraId="12E69DD0">
            <w:pPr>
              <w:keepNext w:val="0"/>
              <w:keepLines w:val="0"/>
              <w:suppressLineNumbers w:val="0"/>
              <w:wordWrap w:val="0"/>
              <w:spacing w:before="0" w:beforeAutospacing="0" w:after="0" w:afterAutospacing="0"/>
              <w:ind w:left="0" w:leftChars="0" w:right="0" w:rightChars="0"/>
              <w:jc w:val="center"/>
              <w:rPr>
                <w:color w:val="auto"/>
                <w:vertAlign w:val="baseline"/>
              </w:rPr>
            </w:pPr>
            <w:r>
              <w:rPr>
                <w:rFonts w:hint="eastAsia" w:ascii="宋体" w:hAnsi="宋体" w:eastAsia="宋体" w:cs="宋体"/>
                <w:color w:val="auto"/>
                <w:sz w:val="21"/>
                <w:szCs w:val="21"/>
                <w:highlight w:val="none"/>
              </w:rPr>
              <w:t>拟安排的</w:t>
            </w:r>
            <w:r>
              <w:rPr>
                <w:rFonts w:hint="eastAsia" w:ascii="宋体" w:hAnsi="宋体" w:eastAsia="宋体" w:cs="宋体"/>
                <w:color w:val="auto"/>
                <w:sz w:val="21"/>
                <w:szCs w:val="21"/>
                <w:highlight w:val="none"/>
                <w:lang w:val="en-US" w:eastAsia="zh-CN"/>
              </w:rPr>
              <w:t>项目团队成员</w:t>
            </w:r>
            <w:r>
              <w:rPr>
                <w:rFonts w:hint="eastAsia" w:ascii="宋体" w:hAnsi="宋体" w:eastAsia="宋体" w:cs="宋体"/>
                <w:color w:val="auto"/>
                <w:sz w:val="21"/>
                <w:szCs w:val="21"/>
                <w:highlight w:val="none"/>
              </w:rPr>
              <w:t>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项目负责人除外</w:t>
            </w:r>
            <w:r>
              <w:rPr>
                <w:rFonts w:hint="eastAsia" w:ascii="宋体" w:hAnsi="宋体" w:eastAsia="宋体" w:cs="宋体"/>
                <w:color w:val="auto"/>
                <w:sz w:val="21"/>
                <w:szCs w:val="21"/>
                <w:highlight w:val="none"/>
                <w:lang w:eastAsia="zh-CN"/>
              </w:rPr>
              <w:t>）</w:t>
            </w:r>
          </w:p>
        </w:tc>
        <w:tc>
          <w:tcPr>
            <w:tcW w:w="870" w:type="dxa"/>
            <w:vAlign w:val="center"/>
          </w:tcPr>
          <w:p w14:paraId="7E929204">
            <w:pPr>
              <w:keepNext w:val="0"/>
              <w:keepLines w:val="0"/>
              <w:suppressLineNumbers w:val="0"/>
              <w:wordWrap w:val="0"/>
              <w:spacing w:before="0" w:beforeAutospacing="0" w:after="0" w:afterAutospacing="0"/>
              <w:ind w:left="0" w:leftChars="0" w:right="0" w:rightChars="0"/>
              <w:jc w:val="center"/>
              <w:rPr>
                <w:color w:val="auto"/>
                <w:vertAlign w:val="baseline"/>
              </w:rPr>
            </w:pPr>
            <w:r>
              <w:rPr>
                <w:rFonts w:hint="eastAsia" w:ascii="宋体" w:hAnsi="宋体" w:cs="宋体"/>
                <w:color w:val="auto"/>
                <w:sz w:val="21"/>
                <w:szCs w:val="21"/>
                <w:highlight w:val="none"/>
                <w:lang w:val="en-US" w:eastAsia="zh-CN"/>
              </w:rPr>
              <w:t>6</w:t>
            </w:r>
          </w:p>
        </w:tc>
        <w:tc>
          <w:tcPr>
            <w:tcW w:w="5635" w:type="dxa"/>
            <w:vAlign w:val="top"/>
          </w:tcPr>
          <w:p w14:paraId="6FAEA10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（一）评分内容：</w:t>
            </w:r>
          </w:p>
          <w:p w14:paraId="284E4DD4">
            <w:pPr>
              <w:keepNext w:val="0"/>
              <w:keepLines w:val="0"/>
              <w:pageBreakBefore w:val="0"/>
              <w:widowControl w:val="0"/>
              <w:numPr>
                <w:ilvl w:val="0"/>
                <w:numId w:val="0"/>
              </w:numPr>
              <w:suppressLineNumbers w:val="0"/>
              <w:tabs>
                <w:tab w:val="left" w:pos="312"/>
              </w:tabs>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拟安排的项目团队成员（项目负责人除外）：不少于3人，且均需为投标供应商本单位自有员工（以社保为准），否则本项不得分，在此基础上按以下内容评分：</w:t>
            </w:r>
          </w:p>
          <w:p w14:paraId="2746CD48">
            <w:pPr>
              <w:keepNext w:val="0"/>
              <w:keepLines w:val="0"/>
              <w:pageBreakBefore w:val="0"/>
              <w:widowControl w:val="0"/>
              <w:numPr>
                <w:ilvl w:val="0"/>
                <w:numId w:val="0"/>
              </w:numPr>
              <w:suppressLineNumbers w:val="0"/>
              <w:tabs>
                <w:tab w:val="left" w:pos="312"/>
              </w:tabs>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拟安排的项目团队成员（项目负责人除外）：</w:t>
            </w:r>
          </w:p>
          <w:p w14:paraId="1D6B858B">
            <w:pPr>
              <w:keepNext w:val="0"/>
              <w:keepLines w:val="0"/>
              <w:pageBreakBefore w:val="0"/>
              <w:widowControl w:val="0"/>
              <w:numPr>
                <w:ilvl w:val="0"/>
                <w:numId w:val="0"/>
              </w:numPr>
              <w:suppressLineNumbers w:val="0"/>
              <w:tabs>
                <w:tab w:val="left" w:pos="312"/>
              </w:tabs>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1.团队成员中每有1人具有全日制本科（或以上）学历的，得1分，本项满分3分；</w:t>
            </w:r>
          </w:p>
          <w:p w14:paraId="3A8294D1">
            <w:pPr>
              <w:keepNext w:val="0"/>
              <w:keepLines w:val="0"/>
              <w:pageBreakBefore w:val="0"/>
              <w:widowControl w:val="0"/>
              <w:numPr>
                <w:ilvl w:val="0"/>
                <w:numId w:val="0"/>
              </w:numPr>
              <w:suppressLineNumbers w:val="0"/>
              <w:tabs>
                <w:tab w:val="left" w:pos="312"/>
              </w:tabs>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2.团队成员中每有1人具有3年以上政府采购从业经验，得1分，本项满分3分。</w:t>
            </w:r>
          </w:p>
          <w:p w14:paraId="5C07F8C9">
            <w:pPr>
              <w:keepNext w:val="0"/>
              <w:keepLines w:val="0"/>
              <w:pageBreakBefore w:val="0"/>
              <w:widowControl w:val="0"/>
              <w:numPr>
                <w:ilvl w:val="0"/>
                <w:numId w:val="0"/>
              </w:numPr>
              <w:suppressLineNumbers w:val="0"/>
              <w:tabs>
                <w:tab w:val="left" w:pos="312"/>
              </w:tabs>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二）评分依据：</w:t>
            </w:r>
          </w:p>
          <w:p w14:paraId="4F41EB41">
            <w:pPr>
              <w:keepNext w:val="0"/>
              <w:keepLines w:val="0"/>
              <w:pageBreakBefore w:val="0"/>
              <w:widowControl w:val="0"/>
              <w:numPr>
                <w:ilvl w:val="0"/>
                <w:numId w:val="0"/>
              </w:numPr>
              <w:suppressLineNumbers w:val="0"/>
              <w:tabs>
                <w:tab w:val="left" w:pos="312"/>
              </w:tabs>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要求提供通过投标供应商缴纳的近1个月（由于社保部门或税务部门原因最近1个月的社保证明无法提供的可往前顺延1个月）的社保证明作为证明依据，如投标供应商为新成立企业且成立时间不足1个月可提供加盖公章的情况说明或者证明材料亦视为符合。如依法不需要缴纳社会保险的，应提供相应文件证明。如为退休返聘人员则提供劳动合同或返聘协议复印件。</w:t>
            </w:r>
          </w:p>
          <w:p w14:paraId="7659FF75">
            <w:pPr>
              <w:keepNext w:val="0"/>
              <w:keepLines w:val="0"/>
              <w:pageBreakBefore w:val="0"/>
              <w:widowControl w:val="0"/>
              <w:numPr>
                <w:ilvl w:val="0"/>
                <w:numId w:val="0"/>
              </w:numPr>
              <w:suppressLineNumbers w:val="0"/>
              <w:tabs>
                <w:tab w:val="left" w:pos="312"/>
              </w:tabs>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需提供项目团队成员的学历证书复印件。未提供或提供的内容不符合要求的，不得分。学历证明需提供学历证书和学信网查询记录；学信网无法查询的需提供毕业院校、人社部门等颁发机构或监管机构等单位出具的证明；海外留学人员（含港澳台）学历无法通过学信网站查询的，需提供教育部留学服务中心出具的学历学位认证书及教育部留学服务中心官网查询截图。证明材料均提供复印件；</w:t>
            </w:r>
          </w:p>
          <w:p w14:paraId="0B5FB8B0">
            <w:pPr>
              <w:keepNext w:val="0"/>
              <w:keepLines w:val="0"/>
              <w:pageBreakBefore w:val="0"/>
              <w:widowControl w:val="0"/>
              <w:numPr>
                <w:ilvl w:val="0"/>
                <w:numId w:val="0"/>
              </w:numPr>
              <w:suppressLineNumbers w:val="0"/>
              <w:tabs>
                <w:tab w:val="left" w:pos="312"/>
              </w:tabs>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从业经验提供招标代理单位为项目团队成员连续缴纳的社保证明资料（从业经验时间段内的社保缴纳明细均要提供），间断3个月以内的可以累加，间断3个月以上的以最近一段连续缴纳社保时间计算从业经验时间。</w:t>
            </w:r>
          </w:p>
          <w:p w14:paraId="35B23AEA">
            <w:pPr>
              <w:keepNext w:val="0"/>
              <w:keepLines w:val="0"/>
              <w:pageBreakBefore w:val="0"/>
              <w:widowControl w:val="0"/>
              <w:numPr>
                <w:ilvl w:val="0"/>
                <w:numId w:val="0"/>
              </w:numPr>
              <w:suppressLineNumbers w:val="0"/>
              <w:tabs>
                <w:tab w:val="left" w:pos="312"/>
              </w:tabs>
              <w:kinsoku/>
              <w:wordWrap w:val="0"/>
              <w:overflowPunct/>
              <w:topLinePunct w:val="0"/>
              <w:autoSpaceDE/>
              <w:autoSpaceDN/>
              <w:bidi w:val="0"/>
              <w:adjustRightInd/>
              <w:snapToGrid/>
              <w:spacing w:before="0" w:beforeAutospacing="0" w:after="0" w:afterAutospacing="0" w:line="240" w:lineRule="auto"/>
              <w:ind w:left="0" w:right="0"/>
              <w:jc w:val="both"/>
              <w:textAlignment w:val="auto"/>
              <w:rPr>
                <w:b w:val="0"/>
                <w:bCs w:val="0"/>
                <w:color w:val="auto"/>
                <w:vertAlign w:val="baseline"/>
              </w:rPr>
            </w:pPr>
            <w:r>
              <w:rPr>
                <w:rFonts w:hint="eastAsia" w:ascii="宋体" w:hAnsi="宋体" w:eastAsia="宋体" w:cs="宋体"/>
                <w:b w:val="0"/>
                <w:bCs w:val="0"/>
                <w:color w:val="auto"/>
                <w:kern w:val="2"/>
                <w:sz w:val="21"/>
                <w:szCs w:val="21"/>
                <w:highlight w:val="none"/>
                <w:lang w:val="en-US" w:eastAsia="zh-CN" w:bidi="ar-SA"/>
              </w:rPr>
              <w:t>4.同一人符合两项可累计得分。</w:t>
            </w:r>
          </w:p>
        </w:tc>
      </w:tr>
      <w:tr w14:paraId="702A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14:paraId="520CE568">
            <w:pPr>
              <w:rPr>
                <w:vertAlign w:val="baseline"/>
              </w:rPr>
            </w:pPr>
          </w:p>
        </w:tc>
        <w:tc>
          <w:tcPr>
            <w:tcW w:w="990" w:type="dxa"/>
            <w:vAlign w:val="center"/>
          </w:tcPr>
          <w:p w14:paraId="13FB4EA0">
            <w:pPr>
              <w:keepNext w:val="0"/>
              <w:keepLines w:val="0"/>
              <w:suppressLineNumbers w:val="0"/>
              <w:wordWrap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45" w:type="dxa"/>
            <w:vAlign w:val="center"/>
          </w:tcPr>
          <w:p w14:paraId="10516FB3">
            <w:pPr>
              <w:keepNext w:val="0"/>
              <w:keepLines w:val="0"/>
              <w:suppressLineNumbers w:val="0"/>
              <w:wordWrap w:val="0"/>
              <w:spacing w:before="0" w:beforeAutospacing="0" w:after="0" w:afterAutospacing="0"/>
              <w:ind w:left="0" w:leftChars="0" w:right="0" w:right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服务便利性</w:t>
            </w:r>
          </w:p>
        </w:tc>
        <w:tc>
          <w:tcPr>
            <w:tcW w:w="870" w:type="dxa"/>
            <w:vAlign w:val="center"/>
          </w:tcPr>
          <w:p w14:paraId="29094CD6">
            <w:pPr>
              <w:keepNext w:val="0"/>
              <w:keepLines w:val="0"/>
              <w:suppressLineNumbers w:val="0"/>
              <w:wordWrap w:val="0"/>
              <w:spacing w:before="0" w:beforeAutospacing="0" w:after="0" w:afterAutospacing="0"/>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5635" w:type="dxa"/>
            <w:vAlign w:val="center"/>
          </w:tcPr>
          <w:p w14:paraId="029A9391">
            <w:pPr>
              <w:keepNext w:val="0"/>
              <w:keepLines w:val="0"/>
              <w:pageBreakBefore w:val="0"/>
              <w:widowControl w:val="0"/>
              <w:numPr>
                <w:ilvl w:val="0"/>
                <w:numId w:val="0"/>
              </w:numPr>
              <w:suppressLineNumbers w:val="0"/>
              <w:tabs>
                <w:tab w:val="left" w:pos="312"/>
              </w:tabs>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（一）评分内容：</w:t>
            </w:r>
          </w:p>
          <w:p w14:paraId="36C3A253">
            <w:pPr>
              <w:keepNext w:val="0"/>
              <w:keepLines w:val="0"/>
              <w:pageBreakBefore w:val="0"/>
              <w:widowControl w:val="0"/>
              <w:numPr>
                <w:ilvl w:val="0"/>
                <w:numId w:val="0"/>
              </w:numPr>
              <w:suppressLineNumbers w:val="0"/>
              <w:tabs>
                <w:tab w:val="left" w:pos="312"/>
              </w:tabs>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根据投标人自有评标办公地址到深圳市龙岗区妇幼保健院在百度地图或高德地图导航截图行车时间。</w:t>
            </w:r>
          </w:p>
          <w:p w14:paraId="06E8700E">
            <w:pPr>
              <w:keepNext w:val="0"/>
              <w:keepLines w:val="0"/>
              <w:pageBreakBefore w:val="0"/>
              <w:widowControl w:val="0"/>
              <w:numPr>
                <w:ilvl w:val="0"/>
                <w:numId w:val="0"/>
              </w:numPr>
              <w:suppressLineNumbers w:val="0"/>
              <w:tabs>
                <w:tab w:val="left" w:pos="312"/>
              </w:tabs>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1、≤40分钟内到达的，得5分；</w:t>
            </w:r>
          </w:p>
          <w:p w14:paraId="4557B660">
            <w:pPr>
              <w:keepNext w:val="0"/>
              <w:keepLines w:val="0"/>
              <w:pageBreakBefore w:val="0"/>
              <w:widowControl w:val="0"/>
              <w:numPr>
                <w:ilvl w:val="0"/>
                <w:numId w:val="0"/>
              </w:numPr>
              <w:suppressLineNumbers w:val="0"/>
              <w:tabs>
                <w:tab w:val="left" w:pos="312"/>
              </w:tabs>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2、41-49分钟到达的，得3分；</w:t>
            </w:r>
          </w:p>
          <w:p w14:paraId="6EAED931">
            <w:pPr>
              <w:keepNext w:val="0"/>
              <w:keepLines w:val="0"/>
              <w:pageBreakBefore w:val="0"/>
              <w:widowControl w:val="0"/>
              <w:numPr>
                <w:ilvl w:val="0"/>
                <w:numId w:val="0"/>
              </w:numPr>
              <w:suppressLineNumbers w:val="0"/>
              <w:tabs>
                <w:tab w:val="left" w:pos="312"/>
              </w:tabs>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3、50分钟以上到达的不得分。</w:t>
            </w:r>
          </w:p>
          <w:p w14:paraId="111796DA">
            <w:pPr>
              <w:keepNext w:val="0"/>
              <w:keepLines w:val="0"/>
              <w:pageBreakBefore w:val="0"/>
              <w:widowControl w:val="0"/>
              <w:numPr>
                <w:ilvl w:val="0"/>
                <w:numId w:val="0"/>
              </w:numPr>
              <w:suppressLineNumbers w:val="0"/>
              <w:tabs>
                <w:tab w:val="left" w:pos="312"/>
              </w:tabs>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（二）评分依据:</w:t>
            </w:r>
          </w:p>
          <w:p w14:paraId="34FF9AB0">
            <w:pPr>
              <w:keepNext w:val="0"/>
              <w:keepLines w:val="0"/>
              <w:pageBreakBefore w:val="0"/>
              <w:widowControl w:val="0"/>
              <w:numPr>
                <w:ilvl w:val="0"/>
                <w:numId w:val="0"/>
              </w:numPr>
              <w:suppressLineNumbers w:val="0"/>
              <w:tabs>
                <w:tab w:val="left" w:pos="312"/>
              </w:tabs>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1、提供的办公场地有深圳市政府采购监管网备案，并提供深圳政府采购监管网的相关截图；</w:t>
            </w:r>
          </w:p>
          <w:p w14:paraId="252E80BA">
            <w:pPr>
              <w:keepNext w:val="0"/>
              <w:keepLines w:val="0"/>
              <w:pageBreakBefore w:val="0"/>
              <w:widowControl w:val="0"/>
              <w:numPr>
                <w:ilvl w:val="0"/>
                <w:numId w:val="0"/>
              </w:numPr>
              <w:suppressLineNumbers w:val="0"/>
              <w:tabs>
                <w:tab w:val="left" w:pos="312"/>
              </w:tabs>
              <w:kinsoku/>
              <w:wordWrap w:val="0"/>
              <w:overflowPunct/>
              <w:topLinePunct w:val="0"/>
              <w:autoSpaceDE/>
              <w:autoSpaceDN/>
              <w:bidi w:val="0"/>
              <w:adjustRightInd/>
              <w:snapToGrid/>
              <w:spacing w:before="0" w:beforeAutospacing="0" w:after="0" w:afterAutospacing="0" w:line="240" w:lineRule="auto"/>
              <w:ind w:left="0" w:right="0"/>
              <w:jc w:val="both"/>
              <w:textAlignment w:val="auto"/>
              <w:rPr>
                <w:b w:val="0"/>
                <w:bCs w:val="0"/>
                <w:vertAlign w:val="baseline"/>
              </w:rPr>
            </w:pPr>
            <w:r>
              <w:rPr>
                <w:rFonts w:hint="eastAsia" w:ascii="宋体" w:hAnsi="宋体" w:eastAsia="宋体" w:cs="宋体"/>
                <w:b w:val="0"/>
                <w:bCs w:val="0"/>
                <w:color w:val="auto"/>
                <w:kern w:val="2"/>
                <w:sz w:val="21"/>
                <w:szCs w:val="21"/>
                <w:highlight w:val="none"/>
                <w:lang w:val="en-US" w:eastAsia="zh-CN" w:bidi="ar-SA"/>
              </w:rPr>
              <w:t>2、提供工作日（周一至周五）工作时间段（08:00-12:00,14:00-17:00）内的百度地图或高德地图导航截图，加盖公章。</w:t>
            </w:r>
          </w:p>
        </w:tc>
      </w:tr>
      <w:tr w14:paraId="6FB2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14:paraId="6B4DFD4A">
            <w:pPr>
              <w:rPr>
                <w:vertAlign w:val="baseline"/>
              </w:rPr>
            </w:pPr>
          </w:p>
        </w:tc>
        <w:tc>
          <w:tcPr>
            <w:tcW w:w="990" w:type="dxa"/>
            <w:vAlign w:val="center"/>
          </w:tcPr>
          <w:p w14:paraId="01BB3254">
            <w:pPr>
              <w:keepNext w:val="0"/>
              <w:keepLines w:val="0"/>
              <w:suppressLineNumbers w:val="0"/>
              <w:wordWrap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45" w:type="dxa"/>
            <w:vAlign w:val="center"/>
          </w:tcPr>
          <w:p w14:paraId="5C1CC358">
            <w:pPr>
              <w:keepNext w:val="0"/>
              <w:keepLines w:val="0"/>
              <w:suppressLineNumbers w:val="0"/>
              <w:wordWrap w:val="0"/>
              <w:spacing w:before="0" w:beforeAutospacing="0" w:after="0" w:afterAutospacing="0"/>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诚信</w:t>
            </w:r>
          </w:p>
        </w:tc>
        <w:tc>
          <w:tcPr>
            <w:tcW w:w="870" w:type="dxa"/>
            <w:vAlign w:val="center"/>
          </w:tcPr>
          <w:p w14:paraId="3145F980">
            <w:pPr>
              <w:keepNext w:val="0"/>
              <w:keepLines w:val="0"/>
              <w:suppressLineNumbers w:val="0"/>
              <w:wordWrap w:val="0"/>
              <w:spacing w:before="0" w:beforeAutospacing="0" w:after="0" w:afterAutospacing="0"/>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bookmarkStart w:id="1" w:name="_GoBack"/>
            <w:bookmarkEnd w:id="1"/>
          </w:p>
        </w:tc>
        <w:tc>
          <w:tcPr>
            <w:tcW w:w="5635" w:type="dxa"/>
            <w:vAlign w:val="center"/>
          </w:tcPr>
          <w:p w14:paraId="4F8E2F6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根据《深圳市政府采购供应商诚信管理暂行办法》相关规定，投标人在参与政府采购活动中出现诚信相关问题且在相关主管部门处理措施实施期限内的本项不得分，否则得满分。（提供《诚信承诺函》原件，按招标文件格式要求提供，不提供不得分。如被认定提供的陈述与事实不符的，作无效投标处理。）</w:t>
            </w:r>
          </w:p>
        </w:tc>
      </w:tr>
    </w:tbl>
    <w:p w14:paraId="15B67103">
      <w:bookmarkStart w:id="0" w:name="InsertEnd"/>
      <w:bookmarkEnd w:id="0"/>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5DEB7752"/>
    <w:rsid w:val="00360E24"/>
    <w:rsid w:val="007314A1"/>
    <w:rsid w:val="00A87F74"/>
    <w:rsid w:val="00C84172"/>
    <w:rsid w:val="0156352C"/>
    <w:rsid w:val="01E17FAF"/>
    <w:rsid w:val="02645FED"/>
    <w:rsid w:val="030B47EA"/>
    <w:rsid w:val="03D472D2"/>
    <w:rsid w:val="03DB41BC"/>
    <w:rsid w:val="043F299D"/>
    <w:rsid w:val="0453773B"/>
    <w:rsid w:val="04657F2A"/>
    <w:rsid w:val="047563BF"/>
    <w:rsid w:val="05F96B7B"/>
    <w:rsid w:val="06956C5C"/>
    <w:rsid w:val="07F97307"/>
    <w:rsid w:val="08393BA7"/>
    <w:rsid w:val="08BD6586"/>
    <w:rsid w:val="092263E9"/>
    <w:rsid w:val="09616F12"/>
    <w:rsid w:val="09887CB5"/>
    <w:rsid w:val="0A590531"/>
    <w:rsid w:val="0A5E78F5"/>
    <w:rsid w:val="0A825391"/>
    <w:rsid w:val="0A913826"/>
    <w:rsid w:val="0B1D155E"/>
    <w:rsid w:val="0BA13F3D"/>
    <w:rsid w:val="0C4B5C57"/>
    <w:rsid w:val="0D032E47"/>
    <w:rsid w:val="0D15073F"/>
    <w:rsid w:val="0D6245C0"/>
    <w:rsid w:val="0DEE2D3E"/>
    <w:rsid w:val="0E213113"/>
    <w:rsid w:val="0F1B4006"/>
    <w:rsid w:val="10345380"/>
    <w:rsid w:val="10507CE0"/>
    <w:rsid w:val="10FB151F"/>
    <w:rsid w:val="11C72224"/>
    <w:rsid w:val="11E06E41"/>
    <w:rsid w:val="12107727"/>
    <w:rsid w:val="131274CE"/>
    <w:rsid w:val="13C92283"/>
    <w:rsid w:val="13F37300"/>
    <w:rsid w:val="141E7F46"/>
    <w:rsid w:val="14BF5434"/>
    <w:rsid w:val="14D62EA9"/>
    <w:rsid w:val="14D964F6"/>
    <w:rsid w:val="152F25BA"/>
    <w:rsid w:val="160D0CC2"/>
    <w:rsid w:val="160E2D03"/>
    <w:rsid w:val="1635775C"/>
    <w:rsid w:val="16A13043"/>
    <w:rsid w:val="16DA0303"/>
    <w:rsid w:val="175E0F34"/>
    <w:rsid w:val="17852965"/>
    <w:rsid w:val="179E03F5"/>
    <w:rsid w:val="17B07195"/>
    <w:rsid w:val="188249D3"/>
    <w:rsid w:val="18FD6DA5"/>
    <w:rsid w:val="19461A5F"/>
    <w:rsid w:val="198E2E15"/>
    <w:rsid w:val="1ACF2F1C"/>
    <w:rsid w:val="1B270C0E"/>
    <w:rsid w:val="1B75684C"/>
    <w:rsid w:val="1CC127E7"/>
    <w:rsid w:val="1CC57360"/>
    <w:rsid w:val="1D352737"/>
    <w:rsid w:val="1DF5145A"/>
    <w:rsid w:val="1E2D340E"/>
    <w:rsid w:val="1E5170FD"/>
    <w:rsid w:val="1E7159F1"/>
    <w:rsid w:val="1F907D9B"/>
    <w:rsid w:val="1F9279CD"/>
    <w:rsid w:val="203942EC"/>
    <w:rsid w:val="20633533"/>
    <w:rsid w:val="22212BA3"/>
    <w:rsid w:val="228757E3"/>
    <w:rsid w:val="23C30A9D"/>
    <w:rsid w:val="23FC7B0B"/>
    <w:rsid w:val="2580476C"/>
    <w:rsid w:val="260F6C7E"/>
    <w:rsid w:val="26647BE9"/>
    <w:rsid w:val="26AE60BB"/>
    <w:rsid w:val="26F947D6"/>
    <w:rsid w:val="27BA1BD2"/>
    <w:rsid w:val="27CC3C98"/>
    <w:rsid w:val="28500425"/>
    <w:rsid w:val="288A7DDB"/>
    <w:rsid w:val="28BA7F95"/>
    <w:rsid w:val="28C841C6"/>
    <w:rsid w:val="28D20880"/>
    <w:rsid w:val="2912392D"/>
    <w:rsid w:val="29FB2613"/>
    <w:rsid w:val="2A553F7E"/>
    <w:rsid w:val="2AAD433F"/>
    <w:rsid w:val="2BE63FE5"/>
    <w:rsid w:val="2C752B50"/>
    <w:rsid w:val="2CDA3C02"/>
    <w:rsid w:val="2D2E4AC5"/>
    <w:rsid w:val="2D546C0A"/>
    <w:rsid w:val="2D5B3AF4"/>
    <w:rsid w:val="2E132621"/>
    <w:rsid w:val="2E690493"/>
    <w:rsid w:val="2E9B6172"/>
    <w:rsid w:val="2F1E127D"/>
    <w:rsid w:val="2F223DA9"/>
    <w:rsid w:val="2F3740ED"/>
    <w:rsid w:val="2F3C37B2"/>
    <w:rsid w:val="2FA572A9"/>
    <w:rsid w:val="30A92DC8"/>
    <w:rsid w:val="31496359"/>
    <w:rsid w:val="339715FE"/>
    <w:rsid w:val="33B41377"/>
    <w:rsid w:val="342B5D7A"/>
    <w:rsid w:val="34C21E44"/>
    <w:rsid w:val="360311CD"/>
    <w:rsid w:val="36932551"/>
    <w:rsid w:val="36CF10AF"/>
    <w:rsid w:val="374970B3"/>
    <w:rsid w:val="38165564"/>
    <w:rsid w:val="38C84008"/>
    <w:rsid w:val="39551D3F"/>
    <w:rsid w:val="397877DC"/>
    <w:rsid w:val="3A282FB0"/>
    <w:rsid w:val="3C814BF9"/>
    <w:rsid w:val="3CA32DC2"/>
    <w:rsid w:val="3CF31938"/>
    <w:rsid w:val="3CF950D8"/>
    <w:rsid w:val="3CFD6976"/>
    <w:rsid w:val="3D0117ED"/>
    <w:rsid w:val="3D3B124C"/>
    <w:rsid w:val="3D467882"/>
    <w:rsid w:val="3E1D6BA4"/>
    <w:rsid w:val="3E646581"/>
    <w:rsid w:val="3EC0417E"/>
    <w:rsid w:val="3F4C14EF"/>
    <w:rsid w:val="3F6C393F"/>
    <w:rsid w:val="40CD75B4"/>
    <w:rsid w:val="40F736DC"/>
    <w:rsid w:val="413C266C"/>
    <w:rsid w:val="41FF6CEC"/>
    <w:rsid w:val="42AE426E"/>
    <w:rsid w:val="438E21FA"/>
    <w:rsid w:val="43FA76B2"/>
    <w:rsid w:val="44191BBB"/>
    <w:rsid w:val="444906F3"/>
    <w:rsid w:val="44B244EA"/>
    <w:rsid w:val="44D501D8"/>
    <w:rsid w:val="44DA134B"/>
    <w:rsid w:val="451124F4"/>
    <w:rsid w:val="456A6B72"/>
    <w:rsid w:val="45FC3543"/>
    <w:rsid w:val="46144D30"/>
    <w:rsid w:val="4618037D"/>
    <w:rsid w:val="462431C5"/>
    <w:rsid w:val="46945D0A"/>
    <w:rsid w:val="470E4BB7"/>
    <w:rsid w:val="47431429"/>
    <w:rsid w:val="47887784"/>
    <w:rsid w:val="47F045E0"/>
    <w:rsid w:val="480E67F8"/>
    <w:rsid w:val="4880045B"/>
    <w:rsid w:val="489839F7"/>
    <w:rsid w:val="49042E3A"/>
    <w:rsid w:val="492B6619"/>
    <w:rsid w:val="49867CF3"/>
    <w:rsid w:val="49A07ED7"/>
    <w:rsid w:val="49D86032"/>
    <w:rsid w:val="49F7474D"/>
    <w:rsid w:val="4B3519D1"/>
    <w:rsid w:val="4B44381C"/>
    <w:rsid w:val="4B7F49FA"/>
    <w:rsid w:val="4BA20244"/>
    <w:rsid w:val="4BDE5BC4"/>
    <w:rsid w:val="4C5440D8"/>
    <w:rsid w:val="4C8D3147"/>
    <w:rsid w:val="4CA95D86"/>
    <w:rsid w:val="4CC47896"/>
    <w:rsid w:val="4F260FFE"/>
    <w:rsid w:val="50395ABF"/>
    <w:rsid w:val="50C74BE8"/>
    <w:rsid w:val="51167BAE"/>
    <w:rsid w:val="513B13C3"/>
    <w:rsid w:val="52A71888"/>
    <w:rsid w:val="52F61889"/>
    <w:rsid w:val="53101E8A"/>
    <w:rsid w:val="533D7674"/>
    <w:rsid w:val="5384019D"/>
    <w:rsid w:val="54F06C40"/>
    <w:rsid w:val="5515565F"/>
    <w:rsid w:val="554051FA"/>
    <w:rsid w:val="57AF6667"/>
    <w:rsid w:val="58403763"/>
    <w:rsid w:val="59575208"/>
    <w:rsid w:val="59B00787"/>
    <w:rsid w:val="59C0182F"/>
    <w:rsid w:val="5A117165"/>
    <w:rsid w:val="5A4C4641"/>
    <w:rsid w:val="5A802B93"/>
    <w:rsid w:val="5AD22D98"/>
    <w:rsid w:val="5B08347B"/>
    <w:rsid w:val="5B1A029B"/>
    <w:rsid w:val="5B835E40"/>
    <w:rsid w:val="5BA65FD3"/>
    <w:rsid w:val="5BF40AEC"/>
    <w:rsid w:val="5CE768A3"/>
    <w:rsid w:val="5D9B1B67"/>
    <w:rsid w:val="5DEB7752"/>
    <w:rsid w:val="5EEB766C"/>
    <w:rsid w:val="5F322057"/>
    <w:rsid w:val="5F904FD0"/>
    <w:rsid w:val="604F3145"/>
    <w:rsid w:val="60E07891"/>
    <w:rsid w:val="60F84B34"/>
    <w:rsid w:val="611D2893"/>
    <w:rsid w:val="61AC4E56"/>
    <w:rsid w:val="61B50D1E"/>
    <w:rsid w:val="621974FF"/>
    <w:rsid w:val="62361E5F"/>
    <w:rsid w:val="62B2525D"/>
    <w:rsid w:val="62BE3C02"/>
    <w:rsid w:val="637C7D45"/>
    <w:rsid w:val="63B93FA7"/>
    <w:rsid w:val="63C65464"/>
    <w:rsid w:val="63C67212"/>
    <w:rsid w:val="63FE4BFE"/>
    <w:rsid w:val="6408782B"/>
    <w:rsid w:val="64306D81"/>
    <w:rsid w:val="647C5B23"/>
    <w:rsid w:val="64E748DC"/>
    <w:rsid w:val="651915C4"/>
    <w:rsid w:val="65197815"/>
    <w:rsid w:val="65DF714A"/>
    <w:rsid w:val="66187ACD"/>
    <w:rsid w:val="66211F52"/>
    <w:rsid w:val="66D103A8"/>
    <w:rsid w:val="66FD12B1"/>
    <w:rsid w:val="679D64DC"/>
    <w:rsid w:val="67A10C1A"/>
    <w:rsid w:val="67E45EB9"/>
    <w:rsid w:val="680C5410"/>
    <w:rsid w:val="68444BA9"/>
    <w:rsid w:val="68DE141F"/>
    <w:rsid w:val="69160CB9"/>
    <w:rsid w:val="6B122D3D"/>
    <w:rsid w:val="6CAB51F7"/>
    <w:rsid w:val="6D9640F9"/>
    <w:rsid w:val="6DCC3314"/>
    <w:rsid w:val="6ECF4587"/>
    <w:rsid w:val="6EF8049C"/>
    <w:rsid w:val="6F7F0B57"/>
    <w:rsid w:val="6F977CB5"/>
    <w:rsid w:val="6FD35191"/>
    <w:rsid w:val="700A0487"/>
    <w:rsid w:val="70957F69"/>
    <w:rsid w:val="70A97C9F"/>
    <w:rsid w:val="712E2EFD"/>
    <w:rsid w:val="715F4802"/>
    <w:rsid w:val="71D64AC4"/>
    <w:rsid w:val="7221510B"/>
    <w:rsid w:val="73591E51"/>
    <w:rsid w:val="73E7745D"/>
    <w:rsid w:val="74B35591"/>
    <w:rsid w:val="766A1C7F"/>
    <w:rsid w:val="76D8308D"/>
    <w:rsid w:val="77493F8A"/>
    <w:rsid w:val="779E42D6"/>
    <w:rsid w:val="77FC2DAB"/>
    <w:rsid w:val="796751D5"/>
    <w:rsid w:val="799B717E"/>
    <w:rsid w:val="79CC49FF"/>
    <w:rsid w:val="79E87A8A"/>
    <w:rsid w:val="7AFB1A3F"/>
    <w:rsid w:val="7B36628C"/>
    <w:rsid w:val="7C1903CF"/>
    <w:rsid w:val="7C4354AF"/>
    <w:rsid w:val="7C607D71"/>
    <w:rsid w:val="7CC43426"/>
    <w:rsid w:val="7CEA58C8"/>
    <w:rsid w:val="7D1B3CD3"/>
    <w:rsid w:val="7D433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qFormat/>
    <w:uiPriority w:val="99"/>
    <w:pPr>
      <w:jc w:val="left"/>
    </w:pPr>
    <w:rPr>
      <w:rFonts w:asciiTheme="minorHAnsi" w:hAnsiTheme="minorHAnsi" w:eastAsiaTheme="minorEastAsia" w:cstheme="minorBidi"/>
    </w:rPr>
  </w:style>
  <w:style w:type="paragraph" w:styleId="5">
    <w:name w:val="Body Text Indent 2"/>
    <w:basedOn w:val="1"/>
    <w:next w:val="1"/>
    <w:unhideWhenUsed/>
    <w:qFormat/>
    <w:uiPriority w:val="99"/>
    <w:pPr>
      <w:spacing w:after="120" w:line="480" w:lineRule="auto"/>
      <w:ind w:left="420" w:leftChars="200"/>
    </w:pPr>
    <w:rPr>
      <w:rFonts w:ascii="Calibri" w:hAnsi="Calibri"/>
      <w:szCs w:val="2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2469</Words>
  <Characters>2551</Characters>
  <Lines>0</Lines>
  <Paragraphs>0</Paragraphs>
  <TotalTime>0</TotalTime>
  <ScaleCrop>false</ScaleCrop>
  <LinksUpToDate>false</LinksUpToDate>
  <CharactersWithSpaces>2551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2021-12-08T03:14:00Z</dcterms:created>
  <dc:creator>Jessicalee</dc:creator>
  <cp:lastModifiedBy>追梦</cp:lastModifiedBy>
  <dcterms:modified xsi:type="dcterms:W3CDTF">2025-12-03T03:25:50Z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E4A80CB0B20543728B7634004197ABC7</vt:lpwstr>
  </property>
</Properties>
</file>