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0" w:lineRule="exact"/>
        <w:ind w:firstLine="1152"/>
        <w:rPr>
          <w:rFonts w:ascii="Times New Roman" w:hAnsi="Times New Roman"/>
          <w:b/>
          <w:bCs/>
          <w:color w:val="333399"/>
          <w:spacing w:val="-20"/>
          <w:w w:val="85"/>
          <w:sz w:val="72"/>
        </w:rPr>
      </w:pPr>
    </w:p>
    <w:p>
      <w:pPr>
        <w:keepNext w:val="0"/>
        <w:keepLines w:val="0"/>
        <w:pageBreakBefore w:val="0"/>
        <w:widowControl w:val="0"/>
        <w:kinsoku/>
        <w:wordWrap/>
        <w:overflowPunct/>
        <w:topLinePunct w:val="0"/>
        <w:autoSpaceDE/>
        <w:autoSpaceDN/>
        <w:bidi w:val="0"/>
        <w:adjustRightInd/>
        <w:snapToGrid/>
        <w:spacing w:before="219" w:beforeLines="50" w:line="530" w:lineRule="exact"/>
        <w:ind w:firstLine="0" w:firstLineChars="0"/>
        <w:textAlignment w:val="auto"/>
        <w:rPr>
          <w:rFonts w:ascii="Times New Roman" w:hAnsi="Times New Roman"/>
          <w:b/>
          <w:bCs/>
          <w:color w:val="333399"/>
          <w:spacing w:val="-20"/>
          <w:w w:val="85"/>
          <w:sz w:val="72"/>
        </w:rPr>
      </w:pPr>
    </w:p>
    <w:p>
      <w:pPr>
        <w:keepNext w:val="0"/>
        <w:keepLines w:val="0"/>
        <w:pageBreakBefore w:val="0"/>
        <w:widowControl w:val="0"/>
        <w:kinsoku/>
        <w:wordWrap/>
        <w:overflowPunct/>
        <w:topLinePunct w:val="0"/>
        <w:autoSpaceDE/>
        <w:autoSpaceDN/>
        <w:bidi w:val="0"/>
        <w:adjustRightInd/>
        <w:snapToGrid/>
        <w:spacing w:before="219" w:beforeLines="50" w:line="550" w:lineRule="exact"/>
        <w:ind w:firstLine="0" w:firstLineChars="0"/>
        <w:jc w:val="center"/>
        <w:textAlignment w:val="auto"/>
        <w:rPr>
          <w:rFonts w:hint="eastAsia" w:ascii="Times New Roman" w:hAnsi="Times New Roman" w:eastAsia="方正小标宋简体"/>
          <w:color w:val="333399"/>
          <w:spacing w:val="-20"/>
          <w:w w:val="85"/>
          <w:sz w:val="56"/>
          <w:szCs w:val="21"/>
          <w:lang w:eastAsia="zh-CN"/>
        </w:rPr>
      </w:pPr>
      <w:r>
        <w:rPr>
          <w:rFonts w:hint="eastAsia" w:ascii="Times New Roman" w:hAnsi="Times New Roman" w:eastAsia="方正小标宋简体"/>
          <w:color w:val="333399"/>
          <w:spacing w:val="-20"/>
          <w:w w:val="85"/>
          <w:sz w:val="56"/>
          <w:szCs w:val="21"/>
          <w:lang w:eastAsia="zh-CN"/>
        </w:rPr>
        <w:t>深圳市龙岗区应急管理局</w:t>
      </w:r>
    </w:p>
    <w:p>
      <w:pPr>
        <w:keepNext w:val="0"/>
        <w:keepLines w:val="0"/>
        <w:pageBreakBefore w:val="0"/>
        <w:widowControl w:val="0"/>
        <w:kinsoku/>
        <w:wordWrap/>
        <w:overflowPunct/>
        <w:topLinePunct w:val="0"/>
        <w:autoSpaceDE/>
        <w:autoSpaceDN/>
        <w:bidi w:val="0"/>
        <w:adjustRightInd/>
        <w:snapToGrid/>
        <w:spacing w:before="219" w:beforeLines="50" w:line="550" w:lineRule="exact"/>
        <w:ind w:firstLine="0" w:firstLineChars="0"/>
        <w:jc w:val="center"/>
        <w:textAlignment w:val="auto"/>
        <w:rPr>
          <w:rFonts w:ascii="Times New Roman" w:hAnsi="Times New Roman" w:eastAsia="方正小标宋简体"/>
          <w:color w:val="333399"/>
          <w:spacing w:val="-20"/>
          <w:w w:val="85"/>
          <w:sz w:val="56"/>
          <w:szCs w:val="21"/>
        </w:rPr>
      </w:pPr>
    </w:p>
    <w:p>
      <w:pPr>
        <w:keepNext w:val="0"/>
        <w:keepLines w:val="0"/>
        <w:pageBreakBefore w:val="0"/>
        <w:widowControl w:val="0"/>
        <w:kinsoku/>
        <w:wordWrap/>
        <w:overflowPunct/>
        <w:topLinePunct w:val="0"/>
        <w:autoSpaceDE/>
        <w:autoSpaceDN/>
        <w:bidi w:val="0"/>
        <w:adjustRightInd/>
        <w:snapToGrid/>
        <w:spacing w:before="219" w:beforeLines="50" w:line="550" w:lineRule="exact"/>
        <w:ind w:firstLine="0" w:firstLineChars="0"/>
        <w:jc w:val="center"/>
        <w:textAlignment w:val="auto"/>
        <w:rPr>
          <w:rFonts w:ascii="Times New Roman" w:hAnsi="Times New Roman" w:eastAsia="方正小标宋简体"/>
          <w:color w:val="333399"/>
          <w:spacing w:val="-20"/>
          <w:w w:val="85"/>
          <w:sz w:val="56"/>
          <w:szCs w:val="21"/>
        </w:rPr>
      </w:pPr>
      <w:r>
        <w:rPr>
          <w:rFonts w:hint="eastAsia" w:ascii="Times New Roman" w:hAnsi="Times New Roman" w:eastAsia="方正小标宋简体"/>
          <w:color w:val="333399"/>
          <w:spacing w:val="-20"/>
          <w:w w:val="85"/>
          <w:sz w:val="56"/>
          <w:szCs w:val="21"/>
        </w:rPr>
        <w:t>采购招标需求调</w:t>
      </w:r>
      <w:r>
        <w:rPr>
          <w:rFonts w:hint="eastAsia" w:ascii="Times New Roman" w:hAnsi="Times New Roman" w:eastAsia="方正小标宋简体"/>
          <w:color w:val="333399"/>
          <w:spacing w:val="-20"/>
          <w:w w:val="85"/>
          <w:sz w:val="56"/>
          <w:szCs w:val="21"/>
          <w:lang w:val="en-US" w:eastAsia="zh-CN"/>
        </w:rPr>
        <w:t>查</w:t>
      </w:r>
      <w:r>
        <w:rPr>
          <w:rFonts w:hint="eastAsia" w:ascii="Times New Roman" w:hAnsi="Times New Roman" w:eastAsia="方正小标宋简体"/>
          <w:color w:val="333399"/>
          <w:spacing w:val="-20"/>
          <w:w w:val="85"/>
          <w:sz w:val="56"/>
          <w:szCs w:val="21"/>
        </w:rPr>
        <w:t>文件</w:t>
      </w:r>
    </w:p>
    <w:p>
      <w:pPr>
        <w:spacing w:line="530" w:lineRule="exact"/>
        <w:ind w:firstLine="640"/>
        <w:rPr>
          <w:rFonts w:ascii="Times New Roman" w:hAnsi="Times New Roman"/>
          <w:color w:val="333399"/>
        </w:rPr>
      </w:pPr>
      <w:r>
        <w:rPr>
          <w:rFonts w:ascii="Times New Roman" w:hAnsi="Times New Roman"/>
          <w:color w:val="333399"/>
        </w:rPr>
        <w:t xml:space="preserve"> </w:t>
      </w:r>
    </w:p>
    <w:p>
      <w:pPr>
        <w:spacing w:line="530" w:lineRule="exact"/>
        <w:ind w:firstLine="0" w:firstLineChars="0"/>
        <w:jc w:val="center"/>
        <w:rPr>
          <w:rFonts w:ascii="Times New Roman" w:hAnsi="Times New Roman" w:eastAsia="方正小标宋简体"/>
          <w:color w:val="333399"/>
          <w:sz w:val="48"/>
          <w:szCs w:val="21"/>
        </w:rPr>
      </w:pPr>
      <w:bookmarkStart w:id="0" w:name="_Hlk173486384"/>
    </w:p>
    <w:bookmarkEnd w:id="0"/>
    <w:p>
      <w:pPr>
        <w:spacing w:line="530" w:lineRule="exact"/>
        <w:ind w:firstLine="0" w:firstLineChars="0"/>
        <w:jc w:val="center"/>
        <w:rPr>
          <w:rFonts w:ascii="Times New Roman" w:hAnsi="Times New Roman" w:eastAsia="方正小标宋简体"/>
          <w:color w:val="333399"/>
          <w:sz w:val="52"/>
        </w:rPr>
      </w:pPr>
    </w:p>
    <w:p>
      <w:pPr>
        <w:spacing w:line="530" w:lineRule="exact"/>
        <w:ind w:firstLine="0" w:firstLineChars="0"/>
        <w:jc w:val="center"/>
        <w:rPr>
          <w:rFonts w:ascii="Times New Roman" w:hAnsi="Times New Roman" w:eastAsia="方正小标宋简体"/>
          <w:color w:val="333399"/>
          <w:sz w:val="52"/>
        </w:rPr>
      </w:pPr>
    </w:p>
    <w:p>
      <w:pPr>
        <w:spacing w:line="530" w:lineRule="exact"/>
        <w:ind w:firstLine="0" w:firstLineChars="0"/>
        <w:jc w:val="center"/>
        <w:rPr>
          <w:rFonts w:ascii="Times New Roman" w:hAnsi="Times New Roman" w:eastAsia="方正小标宋简体"/>
          <w:color w:val="333399"/>
          <w:sz w:val="52"/>
        </w:rPr>
      </w:pPr>
    </w:p>
    <w:p>
      <w:pPr>
        <w:spacing w:line="530" w:lineRule="exact"/>
        <w:ind w:firstLine="0" w:firstLineChars="0"/>
        <w:rPr>
          <w:rFonts w:ascii="Times New Roman" w:hAnsi="Times New Roman" w:eastAsia="方正小标宋简体"/>
          <w:color w:val="333399"/>
          <w:sz w:val="52"/>
        </w:rPr>
      </w:pPr>
    </w:p>
    <w:p>
      <w:pPr>
        <w:spacing w:line="530" w:lineRule="exact"/>
        <w:ind w:firstLine="0" w:firstLineChars="0"/>
        <w:jc w:val="center"/>
        <w:rPr>
          <w:rFonts w:ascii="Times New Roman" w:hAnsi="Times New Roman"/>
          <w:b/>
          <w:bCs/>
          <w:color w:val="333399"/>
          <w:spacing w:val="20"/>
        </w:rPr>
      </w:pPr>
      <w:r>
        <w:rPr>
          <w:rFonts w:hint="eastAsia" w:ascii="Times New Roman" w:hAnsi="Times New Roman"/>
          <w:b/>
          <w:bCs/>
          <w:color w:val="333399"/>
          <w:spacing w:val="20"/>
        </w:rPr>
        <w:t>项目名称：</w:t>
      </w:r>
      <w:r>
        <w:rPr>
          <w:rFonts w:hint="eastAsia" w:ascii="Times New Roman" w:hAnsi="Times New Roman"/>
          <w:b/>
          <w:bCs/>
          <w:color w:val="333399"/>
          <w:spacing w:val="20"/>
          <w:lang w:eastAsia="zh-CN"/>
        </w:rPr>
        <w:t>龙岗区应急管理监测预警指挥中心项目（二期）</w:t>
      </w:r>
      <w:r>
        <w:rPr>
          <w:rFonts w:ascii="Times New Roman" w:hAnsi="Times New Roman"/>
        </w:rPr>
        <w:br w:type="page"/>
      </w:r>
    </w:p>
    <w:p>
      <w:pPr>
        <w:spacing w:line="530" w:lineRule="exact"/>
        <w:ind w:firstLine="643"/>
        <w:jc w:val="left"/>
        <w:outlineLvl w:val="1"/>
        <w:rPr>
          <w:rFonts w:ascii="Times New Roman" w:hAnsi="Times New Roman" w:eastAsia="楷体_GB2312"/>
          <w:b/>
          <w:bCs/>
          <w:kern w:val="28"/>
          <w:szCs w:val="32"/>
        </w:rPr>
      </w:pPr>
      <w:r>
        <w:rPr>
          <w:rFonts w:hint="eastAsia" w:ascii="Times New Roman" w:hAnsi="Times New Roman" w:eastAsia="楷体_GB2312"/>
          <w:b/>
          <w:bCs/>
          <w:kern w:val="28"/>
          <w:szCs w:val="32"/>
        </w:rPr>
        <w:t>第一部分 项目基本情况</w:t>
      </w:r>
    </w:p>
    <w:p>
      <w:pPr>
        <w:keepNext w:val="0"/>
        <w:keepLines w:val="0"/>
        <w:pageBreakBefore w:val="0"/>
        <w:widowControl w:val="0"/>
        <w:kinsoku/>
        <w:wordWrap/>
        <w:overflowPunct/>
        <w:topLinePunct w:val="0"/>
        <w:autoSpaceDE/>
        <w:autoSpaceDN/>
        <w:bidi w:val="0"/>
        <w:adjustRightInd/>
        <w:snapToGrid/>
        <w:spacing w:line="530" w:lineRule="exact"/>
        <w:ind w:firstLine="642" w:firstLineChars="200"/>
        <w:textAlignment w:val="auto"/>
        <w:rPr>
          <w:rFonts w:ascii="Times New Roman" w:hAnsi="Times New Roman"/>
          <w:b/>
          <w:bCs/>
        </w:rPr>
      </w:pPr>
      <w:r>
        <w:rPr>
          <w:rFonts w:ascii="Times New Roman" w:hAnsi="Times New Roman"/>
          <w:b/>
          <w:bCs/>
        </w:rPr>
        <w:t>1</w:t>
      </w:r>
      <w:r>
        <w:rPr>
          <w:rFonts w:hint="eastAsia" w:ascii="Times New Roman" w:hAnsi="Times New Roman"/>
          <w:b/>
          <w:bCs/>
        </w:rPr>
        <w:t>项目清单及预算</w:t>
      </w:r>
    </w:p>
    <w:p>
      <w:pPr>
        <w:spacing w:line="530" w:lineRule="exact"/>
        <w:ind w:firstLine="0" w:firstLineChars="0"/>
        <w:rPr>
          <w:rFonts w:ascii="Times New Roman" w:hAnsi="Times New Roman"/>
          <w:b/>
          <w:bCs/>
        </w:rPr>
      </w:pPr>
      <w:r>
        <w:rPr>
          <w:rFonts w:hint="eastAsia" w:ascii="Times New Roman" w:hAnsi="Times New Roman"/>
          <w:b/>
          <w:bCs/>
        </w:rPr>
        <w:t>预算：</w:t>
      </w:r>
      <w:r>
        <w:rPr>
          <w:rFonts w:hint="eastAsia" w:ascii="Times New Roman" w:hAnsi="Times New Roman"/>
          <w:b/>
          <w:bCs/>
          <w:lang w:val="en-US" w:eastAsia="zh-CN"/>
        </w:rPr>
        <w:t>897.4</w:t>
      </w:r>
      <w:r>
        <w:rPr>
          <w:rFonts w:hint="eastAsia" w:ascii="Times New Roman" w:hAnsi="Times New Roman"/>
          <w:b/>
          <w:bCs/>
        </w:rPr>
        <w:t>万元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tcPr>
          <w:p>
            <w:pPr>
              <w:spacing w:line="530" w:lineRule="exact"/>
              <w:ind w:firstLine="0" w:firstLineChars="0"/>
              <w:rPr>
                <w:rFonts w:hint="eastAsia" w:ascii="Times New Roman" w:hAnsi="Times New Roman"/>
                <w:bCs/>
              </w:rPr>
            </w:pPr>
            <w:r>
              <w:rPr>
                <w:rFonts w:hint="eastAsia" w:ascii="Times New Roman" w:hAnsi="Times New Roman"/>
                <w:bCs/>
              </w:rPr>
              <w:t>序号</w:t>
            </w:r>
          </w:p>
        </w:tc>
        <w:tc>
          <w:tcPr>
            <w:tcW w:w="7025" w:type="dxa"/>
            <w:noWrap/>
          </w:tcPr>
          <w:p>
            <w:pPr>
              <w:spacing w:line="530" w:lineRule="exact"/>
              <w:ind w:firstLine="0" w:firstLineChars="0"/>
              <w:jc w:val="center"/>
              <w:rPr>
                <w:rFonts w:hint="eastAsia" w:ascii="Times New Roman" w:hAnsi="Times New Roman"/>
                <w:bCs/>
              </w:rPr>
            </w:pPr>
            <w:r>
              <w:rPr>
                <w:rFonts w:hint="eastAsia" w:ascii="Times New Roman" w:hAnsi="Times New Roman"/>
                <w:bCs/>
              </w:rPr>
              <w:t>功能点描述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pPr>
              <w:keepNext w:val="0"/>
              <w:keepLines w:val="0"/>
              <w:widowControl/>
              <w:suppressLineNumbers w:val="0"/>
              <w:ind w:firstLine="481"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一</w:t>
            </w:r>
          </w:p>
        </w:tc>
        <w:tc>
          <w:tcPr>
            <w:tcW w:w="7025" w:type="dxa"/>
            <w:noWrap/>
            <w:vAlign w:val="center"/>
          </w:tcPr>
          <w:p>
            <w:pPr>
              <w:keepNext w:val="0"/>
              <w:keepLines w:val="0"/>
              <w:widowControl/>
              <w:suppressLineNumbers w:val="0"/>
              <w:ind w:firstLine="481" w:firstLineChars="200"/>
              <w:jc w:val="left"/>
              <w:textAlignment w:val="center"/>
              <w:rPr>
                <w:rFonts w:hint="eastAsia" w:ascii="Times New Roman" w:hAnsi="Times New Roman" w:cs="Times New Roman"/>
                <w:bCs/>
              </w:rPr>
            </w:pPr>
            <w:r>
              <w:rPr>
                <w:rFonts w:hint="default" w:ascii="仿宋_GB2312" w:hAnsi="宋体" w:eastAsia="仿宋_GB2312" w:cs="仿宋_GB2312"/>
                <w:b/>
                <w:bCs/>
                <w:i w:val="0"/>
                <w:iCs w:val="0"/>
                <w:color w:val="000000"/>
                <w:kern w:val="0"/>
                <w:sz w:val="24"/>
                <w:szCs w:val="24"/>
                <w:u w:val="none"/>
                <w:lang w:val="en-US" w:eastAsia="zh-CN" w:bidi="ar"/>
              </w:rPr>
              <w:t>岩溶风险防控专项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pPr>
              <w:keepNext w:val="0"/>
              <w:keepLines w:val="0"/>
              <w:widowControl/>
              <w:suppressLineNumbers w:val="0"/>
              <w:ind w:firstLine="481"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1</w:t>
            </w:r>
          </w:p>
        </w:tc>
        <w:tc>
          <w:tcPr>
            <w:tcW w:w="7025" w:type="dxa"/>
            <w:noWrap/>
            <w:vAlign w:val="center"/>
          </w:tcPr>
          <w:p>
            <w:pPr>
              <w:keepNext w:val="0"/>
              <w:keepLines w:val="0"/>
              <w:widowControl/>
              <w:suppressLineNumbers w:val="0"/>
              <w:ind w:firstLine="481" w:firstLineChars="200"/>
              <w:jc w:val="left"/>
              <w:textAlignment w:val="center"/>
              <w:rPr>
                <w:rFonts w:hint="eastAsia" w:ascii="Times New Roman" w:hAnsi="Times New Roman" w:cs="Times New Roman"/>
                <w:bCs/>
              </w:rPr>
            </w:pPr>
            <w:r>
              <w:rPr>
                <w:rFonts w:hint="default" w:ascii="仿宋_GB2312" w:hAnsi="宋体" w:eastAsia="仿宋_GB2312" w:cs="仿宋_GB2312"/>
                <w:b/>
                <w:bCs/>
                <w:i w:val="0"/>
                <w:iCs w:val="0"/>
                <w:color w:val="000000"/>
                <w:kern w:val="0"/>
                <w:sz w:val="24"/>
                <w:szCs w:val="24"/>
                <w:u w:val="none"/>
                <w:lang w:val="en-US" w:eastAsia="zh-CN" w:bidi="ar"/>
              </w:rPr>
              <w:t>岩溶风险一张图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pPr>
              <w:keepNext w:val="0"/>
              <w:keepLines w:val="0"/>
              <w:widowControl/>
              <w:suppressLineNumbers w:val="0"/>
              <w:ind w:firstLine="481"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2</w:t>
            </w:r>
          </w:p>
        </w:tc>
        <w:tc>
          <w:tcPr>
            <w:tcW w:w="7025" w:type="dxa"/>
            <w:shd w:val="clear" w:color="auto" w:fill="auto"/>
            <w:noWrap/>
            <w:vAlign w:val="center"/>
          </w:tcPr>
          <w:p>
            <w:pPr>
              <w:keepNext w:val="0"/>
              <w:keepLines w:val="0"/>
              <w:widowControl/>
              <w:suppressLineNumbers w:val="0"/>
              <w:ind w:firstLine="481" w:firstLineChars="200"/>
              <w:jc w:val="left"/>
              <w:textAlignment w:val="center"/>
              <w:rPr>
                <w:rFonts w:hint="eastAsia" w:ascii="Times New Roman" w:hAnsi="Times New Roman" w:eastAsia="仿宋_GB2312" w:cs="Times New Roman"/>
                <w:bCs/>
                <w:kern w:val="2"/>
                <w:sz w:val="32"/>
                <w:szCs w:val="22"/>
                <w:lang w:val="en-US" w:eastAsia="zh-CN" w:bidi="ar-SA"/>
              </w:rPr>
            </w:pPr>
            <w:r>
              <w:rPr>
                <w:rFonts w:hint="default" w:ascii="仿宋_GB2312" w:hAnsi="宋体" w:eastAsia="仿宋_GB2312" w:cs="仿宋_GB2312"/>
                <w:b/>
                <w:bCs/>
                <w:i w:val="0"/>
                <w:iCs w:val="0"/>
                <w:color w:val="000000"/>
                <w:kern w:val="0"/>
                <w:sz w:val="24"/>
                <w:szCs w:val="24"/>
                <w:u w:val="none"/>
                <w:lang w:val="en-US" w:eastAsia="zh-CN" w:bidi="ar"/>
              </w:rPr>
              <w:t>岩溶风险预警管理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pPr>
              <w:keepNext w:val="0"/>
              <w:keepLines w:val="0"/>
              <w:widowControl/>
              <w:suppressLineNumbers w:val="0"/>
              <w:ind w:firstLine="481"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3</w:t>
            </w:r>
          </w:p>
        </w:tc>
        <w:tc>
          <w:tcPr>
            <w:tcW w:w="7025" w:type="dxa"/>
            <w:noWrap/>
            <w:vAlign w:val="center"/>
          </w:tcPr>
          <w:p>
            <w:pPr>
              <w:keepNext w:val="0"/>
              <w:keepLines w:val="0"/>
              <w:widowControl/>
              <w:suppressLineNumbers w:val="0"/>
              <w:ind w:firstLine="481"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岩溶风险移动应用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pPr>
              <w:keepNext w:val="0"/>
              <w:keepLines w:val="0"/>
              <w:widowControl/>
              <w:suppressLineNumbers w:val="0"/>
              <w:ind w:firstLine="481"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4</w:t>
            </w:r>
          </w:p>
        </w:tc>
        <w:tc>
          <w:tcPr>
            <w:tcW w:w="7025" w:type="dxa"/>
            <w:shd w:val="clear" w:color="auto" w:fill="auto"/>
            <w:noWrap/>
            <w:vAlign w:val="center"/>
          </w:tcPr>
          <w:p>
            <w:pPr>
              <w:keepNext w:val="0"/>
              <w:keepLines w:val="0"/>
              <w:widowControl/>
              <w:suppressLineNumbers w:val="0"/>
              <w:ind w:firstLine="481" w:firstLineChars="200"/>
              <w:jc w:val="left"/>
              <w:textAlignment w:val="center"/>
              <w:rPr>
                <w:rFonts w:hint="eastAsia" w:ascii="Times New Roman" w:hAnsi="Times New Roman" w:eastAsia="仿宋_GB2312" w:cs="Times New Roman"/>
                <w:bCs/>
                <w:kern w:val="2"/>
                <w:sz w:val="32"/>
                <w:szCs w:val="22"/>
                <w:lang w:val="en-US" w:eastAsia="zh-CN" w:bidi="ar-SA"/>
              </w:rPr>
            </w:pPr>
            <w:r>
              <w:rPr>
                <w:rFonts w:hint="default" w:ascii="仿宋_GB2312" w:hAnsi="宋体" w:eastAsia="仿宋_GB2312" w:cs="仿宋_GB2312"/>
                <w:b/>
                <w:bCs/>
                <w:i w:val="0"/>
                <w:iCs w:val="0"/>
                <w:color w:val="000000"/>
                <w:kern w:val="0"/>
                <w:sz w:val="24"/>
                <w:szCs w:val="24"/>
                <w:u w:val="none"/>
                <w:lang w:val="en-US" w:eastAsia="zh-CN" w:bidi="ar"/>
              </w:rPr>
              <w:t>岩溶支撑能力建设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pPr>
              <w:keepNext w:val="0"/>
              <w:keepLines w:val="0"/>
              <w:widowControl/>
              <w:suppressLineNumbers w:val="0"/>
              <w:ind w:firstLine="481"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5</w:t>
            </w:r>
          </w:p>
        </w:tc>
        <w:tc>
          <w:tcPr>
            <w:tcW w:w="7025" w:type="dxa"/>
            <w:noWrap/>
            <w:vAlign w:val="center"/>
          </w:tcPr>
          <w:p>
            <w:pPr>
              <w:keepNext w:val="0"/>
              <w:keepLines w:val="0"/>
              <w:widowControl/>
              <w:suppressLineNumbers w:val="0"/>
              <w:ind w:firstLine="481"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岩溶专题数据整理建库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pPr>
              <w:keepNext w:val="0"/>
              <w:keepLines w:val="0"/>
              <w:widowControl/>
              <w:suppressLineNumbers w:val="0"/>
              <w:ind w:firstLine="481"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二</w:t>
            </w:r>
          </w:p>
        </w:tc>
        <w:tc>
          <w:tcPr>
            <w:tcW w:w="7025" w:type="dxa"/>
            <w:noWrap/>
            <w:vAlign w:val="center"/>
          </w:tcPr>
          <w:p>
            <w:pPr>
              <w:keepNext w:val="0"/>
              <w:keepLines w:val="0"/>
              <w:widowControl/>
              <w:suppressLineNumbers w:val="0"/>
              <w:ind w:firstLine="481"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边坡风险防控专项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pPr>
              <w:keepNext w:val="0"/>
              <w:keepLines w:val="0"/>
              <w:widowControl/>
              <w:suppressLineNumbers w:val="0"/>
              <w:ind w:firstLine="481"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1</w:t>
            </w:r>
          </w:p>
        </w:tc>
        <w:tc>
          <w:tcPr>
            <w:tcW w:w="7025" w:type="dxa"/>
            <w:noWrap/>
            <w:vAlign w:val="center"/>
          </w:tcPr>
          <w:p>
            <w:pPr>
              <w:keepNext w:val="0"/>
              <w:keepLines w:val="0"/>
              <w:widowControl/>
              <w:suppressLineNumbers w:val="0"/>
              <w:ind w:firstLine="481"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边坡风险一张图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pPr>
              <w:keepNext w:val="0"/>
              <w:keepLines w:val="0"/>
              <w:widowControl/>
              <w:suppressLineNumbers w:val="0"/>
              <w:ind w:firstLine="481"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2</w:t>
            </w:r>
          </w:p>
        </w:tc>
        <w:tc>
          <w:tcPr>
            <w:tcW w:w="7025" w:type="dxa"/>
            <w:noWrap/>
            <w:vAlign w:val="center"/>
          </w:tcPr>
          <w:p>
            <w:pPr>
              <w:keepNext w:val="0"/>
              <w:keepLines w:val="0"/>
              <w:widowControl/>
              <w:suppressLineNumbers w:val="0"/>
              <w:ind w:firstLine="481"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边坡风险预警管理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pPr>
              <w:keepNext w:val="0"/>
              <w:keepLines w:val="0"/>
              <w:widowControl/>
              <w:suppressLineNumbers w:val="0"/>
              <w:ind w:firstLine="481"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3</w:t>
            </w:r>
          </w:p>
        </w:tc>
        <w:tc>
          <w:tcPr>
            <w:tcW w:w="7025" w:type="dxa"/>
            <w:noWrap/>
            <w:vAlign w:val="center"/>
          </w:tcPr>
          <w:p>
            <w:pPr>
              <w:keepNext w:val="0"/>
              <w:keepLines w:val="0"/>
              <w:widowControl/>
              <w:suppressLineNumbers w:val="0"/>
              <w:ind w:firstLine="481"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边坡专题库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pPr>
              <w:keepNext w:val="0"/>
              <w:keepLines w:val="0"/>
              <w:widowControl/>
              <w:suppressLineNumbers w:val="0"/>
              <w:ind w:firstLine="481"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三</w:t>
            </w:r>
          </w:p>
        </w:tc>
        <w:tc>
          <w:tcPr>
            <w:tcW w:w="7025" w:type="dxa"/>
            <w:noWrap/>
            <w:vAlign w:val="center"/>
          </w:tcPr>
          <w:p>
            <w:pPr>
              <w:keepNext w:val="0"/>
              <w:keepLines w:val="0"/>
              <w:widowControl/>
              <w:suppressLineNumbers w:val="0"/>
              <w:ind w:firstLine="481"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平台拓展建设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pPr>
              <w:keepNext w:val="0"/>
              <w:keepLines w:val="0"/>
              <w:widowControl/>
              <w:suppressLineNumbers w:val="0"/>
              <w:ind w:firstLine="481"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1</w:t>
            </w:r>
          </w:p>
        </w:tc>
        <w:tc>
          <w:tcPr>
            <w:tcW w:w="7025" w:type="dxa"/>
            <w:noWrap/>
            <w:vAlign w:val="center"/>
          </w:tcPr>
          <w:p>
            <w:pPr>
              <w:keepNext w:val="0"/>
              <w:keepLines w:val="0"/>
              <w:widowControl/>
              <w:suppressLineNumbers w:val="0"/>
              <w:ind w:firstLine="481"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安全态势监控中心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pPr>
              <w:keepNext w:val="0"/>
              <w:keepLines w:val="0"/>
              <w:widowControl/>
              <w:suppressLineNumbers w:val="0"/>
              <w:ind w:firstLine="481"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2</w:t>
            </w:r>
          </w:p>
        </w:tc>
        <w:tc>
          <w:tcPr>
            <w:tcW w:w="7025" w:type="dxa"/>
            <w:noWrap/>
            <w:vAlign w:val="center"/>
          </w:tcPr>
          <w:p>
            <w:pPr>
              <w:keepNext w:val="0"/>
              <w:keepLines w:val="0"/>
              <w:widowControl/>
              <w:suppressLineNumbers w:val="0"/>
              <w:ind w:firstLine="481"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自定义创建专项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pPr>
              <w:keepNext w:val="0"/>
              <w:keepLines w:val="0"/>
              <w:widowControl/>
              <w:suppressLineNumbers w:val="0"/>
              <w:ind w:firstLine="481"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3</w:t>
            </w:r>
          </w:p>
        </w:tc>
        <w:tc>
          <w:tcPr>
            <w:tcW w:w="7025" w:type="dxa"/>
            <w:noWrap/>
            <w:vAlign w:val="center"/>
          </w:tcPr>
          <w:p>
            <w:pPr>
              <w:keepNext w:val="0"/>
              <w:keepLines w:val="0"/>
              <w:widowControl/>
              <w:suppressLineNumbers w:val="0"/>
              <w:ind w:firstLine="481"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功能支撑保障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pPr>
              <w:keepNext w:val="0"/>
              <w:keepLines w:val="0"/>
              <w:widowControl/>
              <w:suppressLineNumbers w:val="0"/>
              <w:ind w:firstLine="481"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四</w:t>
            </w:r>
          </w:p>
        </w:tc>
        <w:tc>
          <w:tcPr>
            <w:tcW w:w="7025" w:type="dxa"/>
            <w:noWrap/>
            <w:vAlign w:val="center"/>
          </w:tcPr>
          <w:p>
            <w:pPr>
              <w:keepNext w:val="0"/>
              <w:keepLines w:val="0"/>
              <w:widowControl/>
              <w:suppressLineNumbers w:val="0"/>
              <w:ind w:firstLine="481"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主动监测专项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pPr>
              <w:keepNext w:val="0"/>
              <w:keepLines w:val="0"/>
              <w:widowControl/>
              <w:suppressLineNumbers w:val="0"/>
              <w:ind w:firstLine="481"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1</w:t>
            </w:r>
          </w:p>
        </w:tc>
        <w:tc>
          <w:tcPr>
            <w:tcW w:w="7025" w:type="dxa"/>
            <w:noWrap/>
            <w:vAlign w:val="center"/>
          </w:tcPr>
          <w:p>
            <w:pPr>
              <w:keepNext w:val="0"/>
              <w:keepLines w:val="0"/>
              <w:widowControl/>
              <w:suppressLineNumbers w:val="0"/>
              <w:ind w:firstLine="481"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监测对象识别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pPr>
              <w:keepNext w:val="0"/>
              <w:keepLines w:val="0"/>
              <w:widowControl/>
              <w:suppressLineNumbers w:val="0"/>
              <w:ind w:firstLine="481"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2</w:t>
            </w:r>
          </w:p>
        </w:tc>
        <w:tc>
          <w:tcPr>
            <w:tcW w:w="7025" w:type="dxa"/>
            <w:noWrap/>
            <w:vAlign w:val="center"/>
          </w:tcPr>
          <w:p>
            <w:pPr>
              <w:keepNext w:val="0"/>
              <w:keepLines w:val="0"/>
              <w:widowControl/>
              <w:suppressLineNumbers w:val="0"/>
              <w:ind w:firstLine="481"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区域地质勘探分析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pPr>
              <w:keepNext w:val="0"/>
              <w:keepLines w:val="0"/>
              <w:widowControl/>
              <w:suppressLineNumbers w:val="0"/>
              <w:ind w:firstLine="481"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3</w:t>
            </w:r>
          </w:p>
        </w:tc>
        <w:tc>
          <w:tcPr>
            <w:tcW w:w="7025" w:type="dxa"/>
            <w:noWrap/>
            <w:vAlign w:val="center"/>
          </w:tcPr>
          <w:p>
            <w:pPr>
              <w:keepNext w:val="0"/>
              <w:keepLines w:val="0"/>
              <w:widowControl/>
              <w:suppressLineNumbers w:val="0"/>
              <w:ind w:firstLine="481"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地下水位动态监测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pPr>
              <w:keepNext w:val="0"/>
              <w:keepLines w:val="0"/>
              <w:widowControl/>
              <w:suppressLineNumbers w:val="0"/>
              <w:ind w:firstLine="481"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4</w:t>
            </w:r>
          </w:p>
        </w:tc>
        <w:tc>
          <w:tcPr>
            <w:tcW w:w="7025" w:type="dxa"/>
            <w:noWrap/>
            <w:vAlign w:val="center"/>
          </w:tcPr>
          <w:p>
            <w:pPr>
              <w:keepNext w:val="0"/>
              <w:keepLines w:val="0"/>
              <w:widowControl/>
              <w:suppressLineNumbers w:val="0"/>
              <w:ind w:firstLine="481"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隐患房屋自动化监测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pPr>
              <w:keepNext w:val="0"/>
              <w:keepLines w:val="0"/>
              <w:widowControl/>
              <w:suppressLineNumbers w:val="0"/>
              <w:ind w:firstLine="481"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5</w:t>
            </w:r>
          </w:p>
        </w:tc>
        <w:tc>
          <w:tcPr>
            <w:tcW w:w="7025" w:type="dxa"/>
            <w:noWrap/>
            <w:vAlign w:val="center"/>
          </w:tcPr>
          <w:p>
            <w:pPr>
              <w:keepNext w:val="0"/>
              <w:keepLines w:val="0"/>
              <w:widowControl/>
              <w:suppressLineNumbers w:val="0"/>
              <w:ind w:firstLine="481"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监测数据综合研判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pPr>
              <w:keepNext w:val="0"/>
              <w:keepLines w:val="0"/>
              <w:widowControl/>
              <w:suppressLineNumbers w:val="0"/>
              <w:ind w:firstLine="481"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五</w:t>
            </w:r>
          </w:p>
        </w:tc>
        <w:tc>
          <w:tcPr>
            <w:tcW w:w="7025" w:type="dxa"/>
            <w:noWrap/>
            <w:vAlign w:val="center"/>
          </w:tcPr>
          <w:p>
            <w:pPr>
              <w:keepNext w:val="0"/>
              <w:keepLines w:val="0"/>
              <w:widowControl/>
              <w:suppressLineNumbers w:val="0"/>
              <w:ind w:firstLine="481"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系统对接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pPr>
              <w:keepNext w:val="0"/>
              <w:keepLines w:val="0"/>
              <w:widowControl/>
              <w:suppressLineNumbers w:val="0"/>
              <w:ind w:firstLine="481"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1</w:t>
            </w:r>
          </w:p>
        </w:tc>
        <w:tc>
          <w:tcPr>
            <w:tcW w:w="7025" w:type="dxa"/>
            <w:noWrap/>
            <w:vAlign w:val="center"/>
          </w:tcPr>
          <w:p>
            <w:pPr>
              <w:keepNext w:val="0"/>
              <w:keepLines w:val="0"/>
              <w:widowControl/>
              <w:suppressLineNumbers w:val="0"/>
              <w:ind w:firstLine="481"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岩溶专项数据接入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pPr>
              <w:keepNext w:val="0"/>
              <w:keepLines w:val="0"/>
              <w:widowControl/>
              <w:suppressLineNumbers w:val="0"/>
              <w:ind w:firstLine="481" w:firstLineChars="200"/>
              <w:jc w:val="center"/>
              <w:textAlignment w:val="center"/>
              <w:rPr>
                <w:rFonts w:hint="eastAsia" w:ascii="等线" w:hAnsi="等线" w:eastAsia="等线"/>
                <w:color w:val="000000"/>
                <w:sz w:val="22"/>
              </w:rPr>
            </w:pPr>
            <w:r>
              <w:rPr>
                <w:rFonts w:hint="default" w:ascii="仿宋_GB2312" w:hAnsi="宋体" w:eastAsia="仿宋_GB2312" w:cs="仿宋_GB2312"/>
                <w:b/>
                <w:bCs/>
                <w:i w:val="0"/>
                <w:iCs w:val="0"/>
                <w:color w:val="000000"/>
                <w:kern w:val="0"/>
                <w:sz w:val="24"/>
                <w:szCs w:val="24"/>
                <w:u w:val="none"/>
                <w:lang w:val="en-US" w:eastAsia="zh-CN" w:bidi="ar"/>
              </w:rPr>
              <w:t>2</w:t>
            </w:r>
          </w:p>
        </w:tc>
        <w:tc>
          <w:tcPr>
            <w:tcW w:w="7025" w:type="dxa"/>
            <w:noWrap/>
            <w:vAlign w:val="center"/>
          </w:tcPr>
          <w:p>
            <w:pPr>
              <w:keepNext w:val="0"/>
              <w:keepLines w:val="0"/>
              <w:widowControl/>
              <w:suppressLineNumbers w:val="0"/>
              <w:ind w:firstLine="481" w:firstLineChars="200"/>
              <w:jc w:val="left"/>
              <w:textAlignment w:val="center"/>
              <w:rPr>
                <w:rFonts w:hint="eastAsia"/>
                <w:b/>
                <w:bCs/>
                <w:lang w:val="en-US" w:eastAsia="zh-CN"/>
              </w:rPr>
            </w:pPr>
            <w:r>
              <w:rPr>
                <w:rFonts w:hint="default" w:ascii="仿宋_GB2312" w:hAnsi="宋体" w:eastAsia="仿宋_GB2312" w:cs="仿宋_GB2312"/>
                <w:b/>
                <w:bCs/>
                <w:i w:val="0"/>
                <w:iCs w:val="0"/>
                <w:color w:val="000000"/>
                <w:kern w:val="0"/>
                <w:sz w:val="24"/>
                <w:szCs w:val="24"/>
                <w:u w:val="none"/>
                <w:lang w:val="en-US" w:eastAsia="zh-CN" w:bidi="ar"/>
              </w:rPr>
              <w:t>边坡专项数据接入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pPr>
              <w:keepNext w:val="0"/>
              <w:keepLines w:val="0"/>
              <w:widowControl/>
              <w:suppressLineNumbers w:val="0"/>
              <w:ind w:firstLine="481" w:firstLineChars="200"/>
              <w:jc w:val="center"/>
              <w:textAlignment w:val="center"/>
              <w:rPr>
                <w:rFonts w:hint="eastAsia" w:ascii="等线" w:hAnsi="等线" w:eastAsia="等线"/>
                <w:color w:val="000000"/>
                <w:sz w:val="22"/>
              </w:rPr>
            </w:pPr>
            <w:r>
              <w:rPr>
                <w:rFonts w:hint="default" w:ascii="仿宋_GB2312" w:hAnsi="宋体" w:eastAsia="仿宋_GB2312" w:cs="仿宋_GB2312"/>
                <w:b/>
                <w:bCs/>
                <w:i w:val="0"/>
                <w:iCs w:val="0"/>
                <w:color w:val="000000"/>
                <w:kern w:val="0"/>
                <w:sz w:val="24"/>
                <w:szCs w:val="24"/>
                <w:u w:val="none"/>
                <w:lang w:val="en-US" w:eastAsia="zh-CN" w:bidi="ar"/>
              </w:rPr>
              <w:t>3</w:t>
            </w:r>
          </w:p>
        </w:tc>
        <w:tc>
          <w:tcPr>
            <w:tcW w:w="7025" w:type="dxa"/>
            <w:noWrap/>
            <w:vAlign w:val="center"/>
          </w:tcPr>
          <w:p>
            <w:pPr>
              <w:keepNext w:val="0"/>
              <w:keepLines w:val="0"/>
              <w:widowControl/>
              <w:suppressLineNumbers w:val="0"/>
              <w:ind w:firstLine="481" w:firstLineChars="200"/>
              <w:jc w:val="left"/>
              <w:textAlignment w:val="center"/>
              <w:rPr>
                <w:rFonts w:hint="eastAsia"/>
                <w:b/>
                <w:bCs/>
                <w:lang w:val="en-US" w:eastAsia="zh-CN"/>
              </w:rPr>
            </w:pPr>
            <w:r>
              <w:rPr>
                <w:rFonts w:hint="default" w:ascii="仿宋_GB2312" w:hAnsi="宋体" w:eastAsia="仿宋_GB2312" w:cs="仿宋_GB2312"/>
                <w:b/>
                <w:bCs/>
                <w:i w:val="0"/>
                <w:iCs w:val="0"/>
                <w:color w:val="000000"/>
                <w:kern w:val="0"/>
                <w:sz w:val="24"/>
                <w:szCs w:val="24"/>
                <w:u w:val="none"/>
                <w:lang w:val="en-US" w:eastAsia="zh-CN" w:bidi="ar"/>
              </w:rPr>
              <w:t>其他数据接入</w:t>
            </w:r>
          </w:p>
        </w:tc>
      </w:tr>
    </w:tbl>
    <w:p>
      <w:pPr>
        <w:spacing w:line="530" w:lineRule="exact"/>
        <w:ind w:firstLine="643"/>
        <w:jc w:val="left"/>
        <w:outlineLvl w:val="1"/>
        <w:rPr>
          <w:rFonts w:ascii="Times New Roman" w:hAnsi="Times New Roman"/>
          <w:b/>
          <w:bCs/>
        </w:rPr>
      </w:pPr>
      <w:r>
        <w:rPr>
          <w:rFonts w:ascii="Times New Roman" w:hAnsi="Times New Roman"/>
          <w:b/>
          <w:bCs/>
        </w:rPr>
        <w:t>2</w:t>
      </w:r>
      <w:r>
        <w:rPr>
          <w:rFonts w:hint="eastAsia" w:ascii="Times New Roman" w:hAnsi="Times New Roman"/>
          <w:b/>
          <w:bCs/>
        </w:rPr>
        <w:t>交付物</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6022"/>
        <w:gridCol w:w="873"/>
        <w:gridCol w:w="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79" w:type="pct"/>
            <w:vAlign w:val="center"/>
          </w:tcPr>
          <w:p>
            <w:pPr>
              <w:spacing w:line="530" w:lineRule="exact"/>
              <w:ind w:firstLine="0" w:firstLineChars="0"/>
              <w:jc w:val="center"/>
              <w:rPr>
                <w:rFonts w:ascii="Times New Roman" w:hAnsi="Times New Roman"/>
                <w:b/>
                <w:sz w:val="24"/>
                <w:szCs w:val="24"/>
              </w:rPr>
            </w:pPr>
            <w:bookmarkStart w:id="1" w:name="_Hlk88949691"/>
            <w:r>
              <w:rPr>
                <w:rFonts w:hint="eastAsia" w:ascii="Times New Roman" w:hAnsi="Times New Roman"/>
                <w:b/>
                <w:sz w:val="24"/>
                <w:szCs w:val="24"/>
              </w:rPr>
              <w:t>序号</w:t>
            </w:r>
          </w:p>
        </w:tc>
        <w:tc>
          <w:tcPr>
            <w:tcW w:w="3532" w:type="pct"/>
            <w:vAlign w:val="center"/>
          </w:tcPr>
          <w:p>
            <w:pPr>
              <w:spacing w:line="530" w:lineRule="exact"/>
              <w:ind w:firstLine="0" w:firstLineChars="0"/>
              <w:jc w:val="center"/>
              <w:rPr>
                <w:rFonts w:ascii="Times New Roman" w:hAnsi="Times New Roman"/>
                <w:b/>
                <w:sz w:val="24"/>
                <w:szCs w:val="24"/>
              </w:rPr>
            </w:pPr>
            <w:r>
              <w:rPr>
                <w:rFonts w:hint="eastAsia" w:ascii="Times New Roman" w:hAnsi="Times New Roman"/>
                <w:b/>
                <w:sz w:val="24"/>
                <w:szCs w:val="24"/>
              </w:rPr>
              <w:t>名称</w:t>
            </w:r>
          </w:p>
        </w:tc>
        <w:tc>
          <w:tcPr>
            <w:tcW w:w="512" w:type="pct"/>
            <w:vAlign w:val="center"/>
          </w:tcPr>
          <w:p>
            <w:pPr>
              <w:spacing w:line="530" w:lineRule="exact"/>
              <w:ind w:firstLine="0" w:firstLineChars="0"/>
              <w:jc w:val="center"/>
              <w:rPr>
                <w:rFonts w:ascii="Times New Roman" w:hAnsi="Times New Roman"/>
                <w:b/>
                <w:sz w:val="24"/>
                <w:szCs w:val="24"/>
              </w:rPr>
            </w:pPr>
            <w:r>
              <w:rPr>
                <w:rFonts w:hint="eastAsia" w:ascii="Times New Roman" w:hAnsi="Times New Roman"/>
                <w:b/>
                <w:sz w:val="24"/>
                <w:szCs w:val="24"/>
              </w:rPr>
              <w:t>单位</w:t>
            </w:r>
          </w:p>
        </w:tc>
        <w:tc>
          <w:tcPr>
            <w:tcW w:w="475" w:type="pct"/>
            <w:vAlign w:val="center"/>
          </w:tcPr>
          <w:p>
            <w:pPr>
              <w:spacing w:line="530" w:lineRule="exact"/>
              <w:ind w:firstLine="0" w:firstLineChars="0"/>
              <w:jc w:val="center"/>
              <w:rPr>
                <w:rFonts w:ascii="Times New Roman" w:hAnsi="Times New Roman"/>
                <w:b/>
                <w:sz w:val="24"/>
                <w:szCs w:val="24"/>
              </w:rPr>
            </w:pPr>
            <w:r>
              <w:rPr>
                <w:rFonts w:hint="eastAsia" w:ascii="Times New Roman" w:hAnsi="Times New Roman"/>
                <w:b/>
                <w:sz w:val="24"/>
                <w:szCs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79" w:type="pct"/>
            <w:vAlign w:val="center"/>
          </w:tcPr>
          <w:p>
            <w:pPr>
              <w:spacing w:line="530" w:lineRule="exact"/>
              <w:ind w:firstLine="0" w:firstLineChars="0"/>
              <w:jc w:val="center"/>
              <w:rPr>
                <w:rFonts w:ascii="Times New Roman" w:hAnsi="Times New Roman"/>
                <w:sz w:val="24"/>
                <w:szCs w:val="24"/>
              </w:rPr>
            </w:pPr>
            <w:r>
              <w:rPr>
                <w:rFonts w:ascii="Times New Roman" w:hAnsi="Times New Roman"/>
                <w:sz w:val="24"/>
                <w:szCs w:val="24"/>
              </w:rPr>
              <w:t>1</w:t>
            </w:r>
          </w:p>
        </w:tc>
        <w:tc>
          <w:tcPr>
            <w:tcW w:w="3532" w:type="pct"/>
            <w:vAlign w:val="center"/>
          </w:tcPr>
          <w:p>
            <w:pPr>
              <w:spacing w:line="530" w:lineRule="exact"/>
              <w:ind w:firstLine="0" w:firstLineChars="0"/>
              <w:jc w:val="center"/>
              <w:rPr>
                <w:rFonts w:ascii="Times New Roman" w:hAnsi="Times New Roman"/>
                <w:sz w:val="24"/>
                <w:szCs w:val="24"/>
                <w:highlight w:val="none"/>
              </w:rPr>
            </w:pPr>
            <w:r>
              <w:rPr>
                <w:rFonts w:hint="eastAsia" w:ascii="宋体" w:hAnsi="宋体" w:cs="宋体"/>
                <w:highlight w:val="none"/>
              </w:rPr>
              <w:t>系统成果</w:t>
            </w:r>
          </w:p>
        </w:tc>
        <w:tc>
          <w:tcPr>
            <w:tcW w:w="512" w:type="pct"/>
            <w:vAlign w:val="center"/>
          </w:tcPr>
          <w:p>
            <w:pPr>
              <w:spacing w:line="530" w:lineRule="exact"/>
              <w:ind w:firstLine="0" w:firstLineChars="0"/>
              <w:jc w:val="center"/>
              <w:rPr>
                <w:rFonts w:ascii="Times New Roman" w:hAnsi="Times New Roman"/>
                <w:sz w:val="24"/>
                <w:szCs w:val="24"/>
              </w:rPr>
            </w:pPr>
            <w:r>
              <w:rPr>
                <w:rFonts w:hint="eastAsia" w:ascii="Times New Roman" w:hAnsi="Times New Roman"/>
                <w:sz w:val="24"/>
                <w:szCs w:val="24"/>
              </w:rPr>
              <w:t>套</w:t>
            </w:r>
          </w:p>
        </w:tc>
        <w:tc>
          <w:tcPr>
            <w:tcW w:w="475" w:type="pct"/>
            <w:vAlign w:val="center"/>
          </w:tcPr>
          <w:p>
            <w:pPr>
              <w:spacing w:line="530" w:lineRule="exact"/>
              <w:ind w:firstLine="0" w:firstLineChars="0"/>
              <w:jc w:val="center"/>
              <w:rPr>
                <w:rFonts w:ascii="Times New Roman" w:hAnsi="Times New Roman"/>
                <w:sz w:val="24"/>
                <w:szCs w:val="24"/>
              </w:rPr>
            </w:pPr>
            <w:r>
              <w:rPr>
                <w:rFonts w:ascii="Times New Roman" w:hAnsi="Times New Roman"/>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79" w:type="pct"/>
            <w:vAlign w:val="center"/>
          </w:tcPr>
          <w:p>
            <w:pPr>
              <w:spacing w:line="530" w:lineRule="exact"/>
              <w:ind w:firstLine="0" w:firstLineChars="0"/>
              <w:jc w:val="center"/>
              <w:rPr>
                <w:rFonts w:ascii="Times New Roman" w:hAnsi="Times New Roman"/>
                <w:sz w:val="24"/>
                <w:szCs w:val="24"/>
              </w:rPr>
            </w:pPr>
            <w:r>
              <w:rPr>
                <w:rFonts w:ascii="Times New Roman" w:hAnsi="Times New Roman"/>
                <w:sz w:val="24"/>
                <w:szCs w:val="24"/>
              </w:rPr>
              <w:t>2</w:t>
            </w:r>
          </w:p>
        </w:tc>
        <w:tc>
          <w:tcPr>
            <w:tcW w:w="3532" w:type="pct"/>
            <w:vAlign w:val="center"/>
          </w:tcPr>
          <w:p>
            <w:pPr>
              <w:spacing w:line="530" w:lineRule="exact"/>
              <w:ind w:firstLine="0" w:firstLineChars="0"/>
              <w:jc w:val="center"/>
              <w:rPr>
                <w:rFonts w:ascii="Times New Roman" w:hAnsi="Times New Roman"/>
                <w:sz w:val="24"/>
                <w:szCs w:val="24"/>
                <w:highlight w:val="none"/>
              </w:rPr>
            </w:pPr>
            <w:r>
              <w:rPr>
                <w:rFonts w:hint="eastAsia" w:ascii="宋体" w:hAnsi="宋体" w:cs="宋体"/>
                <w:highlight w:val="none"/>
              </w:rPr>
              <w:t>数据成果</w:t>
            </w:r>
          </w:p>
        </w:tc>
        <w:tc>
          <w:tcPr>
            <w:tcW w:w="512" w:type="pct"/>
            <w:vAlign w:val="center"/>
          </w:tcPr>
          <w:p>
            <w:pPr>
              <w:spacing w:line="530" w:lineRule="exact"/>
              <w:ind w:firstLine="0" w:firstLineChars="0"/>
              <w:jc w:val="center"/>
              <w:rPr>
                <w:rFonts w:ascii="Times New Roman" w:hAnsi="Times New Roman"/>
                <w:sz w:val="24"/>
                <w:szCs w:val="24"/>
              </w:rPr>
            </w:pPr>
            <w:r>
              <w:rPr>
                <w:rFonts w:hint="eastAsia" w:ascii="Times New Roman" w:hAnsi="Times New Roman"/>
                <w:sz w:val="24"/>
                <w:szCs w:val="24"/>
              </w:rPr>
              <w:t>套</w:t>
            </w:r>
          </w:p>
        </w:tc>
        <w:tc>
          <w:tcPr>
            <w:tcW w:w="475" w:type="pct"/>
            <w:vAlign w:val="center"/>
          </w:tcPr>
          <w:p>
            <w:pPr>
              <w:spacing w:line="530" w:lineRule="exact"/>
              <w:ind w:firstLine="0" w:firstLineChars="0"/>
              <w:jc w:val="center"/>
              <w:rPr>
                <w:rFonts w:ascii="Times New Roman" w:hAnsi="Times New Roman"/>
                <w:sz w:val="24"/>
                <w:szCs w:val="24"/>
              </w:rPr>
            </w:pPr>
            <w:r>
              <w:rPr>
                <w:rFonts w:ascii="Times New Roman" w:hAnsi="Times New Roman"/>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79" w:type="pct"/>
            <w:vAlign w:val="center"/>
          </w:tcPr>
          <w:p>
            <w:pPr>
              <w:spacing w:line="530" w:lineRule="exact"/>
              <w:ind w:firstLine="0" w:firstLineChars="0"/>
              <w:jc w:val="center"/>
              <w:rPr>
                <w:rFonts w:ascii="Times New Roman" w:hAnsi="Times New Roman"/>
                <w:sz w:val="24"/>
                <w:szCs w:val="24"/>
              </w:rPr>
            </w:pPr>
            <w:r>
              <w:rPr>
                <w:rFonts w:ascii="Times New Roman" w:hAnsi="Times New Roman"/>
                <w:sz w:val="24"/>
                <w:szCs w:val="24"/>
              </w:rPr>
              <w:t>3</w:t>
            </w:r>
          </w:p>
        </w:tc>
        <w:tc>
          <w:tcPr>
            <w:tcW w:w="3532" w:type="pct"/>
            <w:vAlign w:val="center"/>
          </w:tcPr>
          <w:p>
            <w:pPr>
              <w:spacing w:line="530" w:lineRule="exact"/>
              <w:ind w:firstLine="0" w:firstLineChars="0"/>
              <w:jc w:val="center"/>
              <w:rPr>
                <w:rFonts w:ascii="Times New Roman" w:hAnsi="Times New Roman"/>
                <w:sz w:val="24"/>
                <w:szCs w:val="24"/>
                <w:highlight w:val="none"/>
              </w:rPr>
            </w:pPr>
            <w:r>
              <w:rPr>
                <w:rFonts w:hint="eastAsia" w:ascii="宋体" w:hAnsi="宋体" w:cs="宋体"/>
                <w:highlight w:val="none"/>
              </w:rPr>
              <w:t>主动监测服务报告成果</w:t>
            </w:r>
          </w:p>
        </w:tc>
        <w:tc>
          <w:tcPr>
            <w:tcW w:w="512" w:type="pct"/>
            <w:vAlign w:val="center"/>
          </w:tcPr>
          <w:p>
            <w:pPr>
              <w:spacing w:line="530" w:lineRule="exact"/>
              <w:ind w:firstLine="0" w:firstLineChars="0"/>
              <w:jc w:val="center"/>
              <w:rPr>
                <w:rFonts w:ascii="Times New Roman" w:hAnsi="Times New Roman"/>
                <w:sz w:val="24"/>
                <w:szCs w:val="24"/>
              </w:rPr>
            </w:pPr>
            <w:r>
              <w:rPr>
                <w:rFonts w:hint="eastAsia" w:ascii="Times New Roman" w:hAnsi="Times New Roman"/>
                <w:sz w:val="24"/>
                <w:szCs w:val="24"/>
              </w:rPr>
              <w:t>套</w:t>
            </w:r>
          </w:p>
        </w:tc>
        <w:tc>
          <w:tcPr>
            <w:tcW w:w="475" w:type="pct"/>
            <w:vAlign w:val="center"/>
          </w:tcPr>
          <w:p>
            <w:pPr>
              <w:spacing w:line="530" w:lineRule="exact"/>
              <w:ind w:firstLine="0" w:firstLineChars="0"/>
              <w:jc w:val="center"/>
              <w:rPr>
                <w:rFonts w:ascii="Times New Roman" w:hAnsi="Times New Roman"/>
                <w:sz w:val="24"/>
                <w:szCs w:val="24"/>
              </w:rPr>
            </w:pPr>
            <w:r>
              <w:rPr>
                <w:rFonts w:ascii="Times New Roman" w:hAnsi="Times New Roman"/>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79" w:type="pct"/>
            <w:vAlign w:val="center"/>
          </w:tcPr>
          <w:p>
            <w:pPr>
              <w:spacing w:line="530" w:lineRule="exact"/>
              <w:ind w:firstLine="0" w:firstLineChars="0"/>
              <w:jc w:val="center"/>
              <w:rPr>
                <w:rFonts w:ascii="Times New Roman" w:hAnsi="Times New Roman"/>
                <w:sz w:val="24"/>
                <w:szCs w:val="24"/>
              </w:rPr>
            </w:pPr>
            <w:r>
              <w:rPr>
                <w:rFonts w:ascii="Times New Roman" w:hAnsi="Times New Roman"/>
                <w:sz w:val="24"/>
                <w:szCs w:val="24"/>
              </w:rPr>
              <w:t>4</w:t>
            </w:r>
          </w:p>
        </w:tc>
        <w:tc>
          <w:tcPr>
            <w:tcW w:w="3532" w:type="pct"/>
            <w:vAlign w:val="center"/>
          </w:tcPr>
          <w:p>
            <w:pPr>
              <w:spacing w:line="530" w:lineRule="exact"/>
              <w:ind w:firstLine="0" w:firstLineChars="0"/>
              <w:jc w:val="center"/>
              <w:rPr>
                <w:rFonts w:ascii="Times New Roman" w:hAnsi="Times New Roman"/>
                <w:sz w:val="24"/>
                <w:szCs w:val="24"/>
                <w:highlight w:val="none"/>
              </w:rPr>
            </w:pPr>
            <w:r>
              <w:rPr>
                <w:rFonts w:hint="eastAsia" w:ascii="宋体" w:hAnsi="宋体" w:cs="宋体"/>
                <w:highlight w:val="none"/>
              </w:rPr>
              <w:t>文档成果</w:t>
            </w:r>
          </w:p>
        </w:tc>
        <w:tc>
          <w:tcPr>
            <w:tcW w:w="512" w:type="pct"/>
            <w:vAlign w:val="center"/>
          </w:tcPr>
          <w:p>
            <w:pPr>
              <w:spacing w:line="530" w:lineRule="exact"/>
              <w:ind w:firstLine="0" w:firstLineChars="0"/>
              <w:jc w:val="center"/>
              <w:rPr>
                <w:rFonts w:ascii="Times New Roman" w:hAnsi="Times New Roman"/>
                <w:sz w:val="24"/>
                <w:szCs w:val="24"/>
              </w:rPr>
            </w:pPr>
            <w:r>
              <w:rPr>
                <w:rFonts w:hint="eastAsia" w:ascii="Times New Roman" w:hAnsi="Times New Roman"/>
                <w:sz w:val="24"/>
                <w:szCs w:val="24"/>
              </w:rPr>
              <w:t>套</w:t>
            </w:r>
          </w:p>
        </w:tc>
        <w:tc>
          <w:tcPr>
            <w:tcW w:w="475" w:type="pct"/>
            <w:vAlign w:val="center"/>
          </w:tcPr>
          <w:p>
            <w:pPr>
              <w:spacing w:line="530" w:lineRule="exact"/>
              <w:ind w:firstLine="0" w:firstLineChars="0"/>
              <w:jc w:val="center"/>
              <w:rPr>
                <w:rFonts w:ascii="Times New Roman" w:hAnsi="Times New Roman"/>
                <w:sz w:val="24"/>
                <w:szCs w:val="24"/>
              </w:rPr>
            </w:pPr>
            <w:r>
              <w:rPr>
                <w:rFonts w:ascii="Times New Roman" w:hAnsi="Times New Roman"/>
                <w:sz w:val="24"/>
                <w:szCs w:val="24"/>
              </w:rPr>
              <w:t>1</w:t>
            </w:r>
          </w:p>
        </w:tc>
      </w:tr>
      <w:bookmarkEnd w:id="1"/>
    </w:tbl>
    <w:p>
      <w:pPr>
        <w:widowControl/>
        <w:spacing w:line="530" w:lineRule="exact"/>
        <w:ind w:firstLine="643"/>
        <w:jc w:val="left"/>
        <w:rPr>
          <w:rFonts w:ascii="Times New Roman" w:hAnsi="Times New Roman" w:eastAsia="楷体_GB2312"/>
          <w:b/>
          <w:bCs/>
          <w:kern w:val="28"/>
          <w:szCs w:val="32"/>
        </w:rPr>
      </w:pPr>
      <w:r>
        <w:rPr>
          <w:rFonts w:hint="eastAsia" w:ascii="Times New Roman" w:hAnsi="Times New Roman" w:eastAsia="楷体_GB2312"/>
          <w:b/>
          <w:bCs/>
          <w:kern w:val="28"/>
          <w:szCs w:val="32"/>
        </w:rPr>
        <w:t>第二部分</w:t>
      </w:r>
      <w:r>
        <w:rPr>
          <w:rFonts w:ascii="Times New Roman" w:hAnsi="Times New Roman" w:eastAsia="楷体_GB2312"/>
          <w:b/>
          <w:bCs/>
          <w:kern w:val="28"/>
          <w:szCs w:val="32"/>
        </w:rPr>
        <w:t xml:space="preserve">  </w:t>
      </w:r>
      <w:r>
        <w:rPr>
          <w:rFonts w:hint="eastAsia" w:ascii="Times New Roman" w:hAnsi="Times New Roman" w:eastAsia="楷体_GB2312"/>
          <w:b/>
          <w:bCs/>
          <w:kern w:val="28"/>
          <w:szCs w:val="32"/>
        </w:rPr>
        <w:t>服务需求内容表述</w:t>
      </w:r>
    </w:p>
    <w:p>
      <w:pPr>
        <w:spacing w:line="530" w:lineRule="exact"/>
        <w:ind w:firstLine="643"/>
        <w:rPr>
          <w:rFonts w:ascii="Times New Roman" w:hAnsi="Times New Roman"/>
          <w:b/>
          <w:bCs/>
        </w:rPr>
      </w:pPr>
      <w:r>
        <w:rPr>
          <w:rFonts w:ascii="Times New Roman" w:hAnsi="Times New Roman"/>
          <w:b/>
          <w:bCs/>
        </w:rPr>
        <w:t>1</w:t>
      </w:r>
      <w:r>
        <w:rPr>
          <w:rFonts w:hint="eastAsia" w:ascii="Times New Roman" w:hAnsi="Times New Roman"/>
          <w:b/>
          <w:bCs/>
          <w:lang w:eastAsia="zh-CN"/>
        </w:rPr>
        <w:t>、</w:t>
      </w:r>
      <w:r>
        <w:rPr>
          <w:rFonts w:hint="eastAsia" w:ascii="Times New Roman" w:hAnsi="Times New Roman"/>
          <w:b/>
          <w:bCs/>
        </w:rPr>
        <w:t>招标项目概况</w:t>
      </w:r>
    </w:p>
    <w:p>
      <w:pPr>
        <w:spacing w:line="530" w:lineRule="exact"/>
        <w:ind w:firstLine="640"/>
        <w:rPr>
          <w:rFonts w:hint="eastAsia" w:ascii="仿宋_GB2312" w:hAnsiTheme="minorEastAsia" w:cstheme="minorEastAsia"/>
          <w:szCs w:val="32"/>
        </w:rPr>
      </w:pPr>
      <w:r>
        <w:rPr>
          <w:rFonts w:hint="eastAsia" w:ascii="仿宋_GB2312" w:hAnsiTheme="minorEastAsia" w:cstheme="minorEastAsia"/>
          <w:szCs w:val="32"/>
        </w:rPr>
        <w:t>党和国家高度重视应急管理信息化工作。习近平总书记指出，要适应科技信息化发展大势，以信息化推进应急管理现代化，提高监测预警能力、监管执法能力、辅助指挥决策能力、救援实战能力和社会动员能力。为深入贯彻落实党和国家关于应急管理信息化的重大决策部署，</w:t>
      </w:r>
      <w:bookmarkStart w:id="10" w:name="_GoBack"/>
      <w:bookmarkEnd w:id="10"/>
      <w:r>
        <w:rPr>
          <w:rFonts w:hint="default" w:ascii="仿宋_GB2312" w:hAnsiTheme="minorEastAsia" w:cstheme="minorEastAsia"/>
          <w:szCs w:val="32"/>
        </w:rPr>
        <w:t>应急管理部</w:t>
      </w:r>
      <w:r>
        <w:rPr>
          <w:rFonts w:hint="eastAsia" w:ascii="仿宋_GB2312" w:hAnsiTheme="minorEastAsia" w:cstheme="minorEastAsia"/>
          <w:szCs w:val="32"/>
        </w:rPr>
        <w:t>、省应急管理厅、市应急管理局分别印发《关于进一步提升基层应急管理能力的意见》（中办、国办，2024年9月）《关于推进应急管理信息化建设的意见》《深圳市推进安全韧性城市建设实施方案》和《深圳市应急管理监测预警指挥体系建设工作方案》，对应急管理信息化工作提出明确要求，要求加强顶层设计，坚持统分结合、统筹部署，加强互联互通、数据共享，提高综合监测、风险早期识别和预报预警能力。</w:t>
      </w:r>
    </w:p>
    <w:p>
      <w:pPr>
        <w:spacing w:line="530" w:lineRule="exact"/>
        <w:ind w:firstLine="640"/>
        <w:rPr>
          <w:rFonts w:hint="eastAsia" w:ascii="仿宋_GB2312" w:hAnsiTheme="minorEastAsia" w:cstheme="minorEastAsia"/>
          <w:szCs w:val="32"/>
        </w:rPr>
      </w:pPr>
      <w:r>
        <w:rPr>
          <w:rFonts w:hint="eastAsia" w:ascii="仿宋_GB2312" w:hAnsiTheme="minorEastAsia" w:cstheme="minorEastAsia"/>
          <w:szCs w:val="32"/>
        </w:rPr>
        <w:t>深圳市安全管理委员会办公室印发《深圳市安全管理委员会办公室关于开展边坡、挡土墙风险隐患排查整治专项行动的通知》（深安办〔2024〕73号）提出“进一步做好地质灾害隐患点和边坡、挡土墙等重点部位巡查监测”。</w:t>
      </w:r>
    </w:p>
    <w:p>
      <w:pPr>
        <w:spacing w:line="530" w:lineRule="exact"/>
        <w:ind w:firstLine="640"/>
        <w:rPr>
          <w:rFonts w:hint="eastAsia" w:ascii="仿宋_GB2312" w:hAnsiTheme="minorEastAsia" w:cstheme="minorEastAsia"/>
          <w:szCs w:val="32"/>
        </w:rPr>
      </w:pPr>
      <w:r>
        <w:rPr>
          <w:rFonts w:hint="eastAsia" w:ascii="仿宋_GB2312" w:hAnsiTheme="minorEastAsia" w:cstheme="minorEastAsia"/>
          <w:szCs w:val="32"/>
        </w:rPr>
        <w:t>数字孪生先锋城市建设是我市智慧城市和数字政府建设重点工作，以数字孪生为特点的智慧城市建设，是新的时代背景下智慧城市建设发展的必然方向。《深圳市数字孪生先锋城市行动计划（2024）》要求“深化‘数字孪生+应急安全’应用，提升城市韧性。基于BIM/CIM完善城市安全风险综合监测预警平台，依托CIM平台打造地质安全风险防控管理、地质环境条件综合评价等应用，增强城市地质灾害防控能力”。</w:t>
      </w:r>
    </w:p>
    <w:p>
      <w:pPr>
        <w:spacing w:line="530" w:lineRule="exact"/>
        <w:ind w:firstLine="640"/>
        <w:rPr>
          <w:rFonts w:hint="eastAsia" w:ascii="仿宋_GB2312" w:hAnsiTheme="minorEastAsia" w:cstheme="minorEastAsia"/>
          <w:szCs w:val="32"/>
        </w:rPr>
      </w:pPr>
      <w:r>
        <w:rPr>
          <w:rFonts w:hint="eastAsia" w:ascii="仿宋_GB2312" w:hAnsiTheme="minorEastAsia" w:cstheme="minorEastAsia"/>
          <w:szCs w:val="32"/>
        </w:rPr>
        <w:t>为落实区委主要领导关于“谋划CIM地下空间平台赋能地质灾害监测预警，实现更加精准的风险防控”系列指示和相关工作要求，龙岗区应急管理局拟在应急管理监测预警指挥中心项目（一期）的建设基础上，结合辖区应急管理工作的动态需求和实际业务调整，拟启动龙岗区应急管理监测预警指挥中心项目（二期）建设工作。</w:t>
      </w:r>
    </w:p>
    <w:p>
      <w:pPr>
        <w:spacing w:line="530" w:lineRule="exact"/>
        <w:ind w:firstLine="640"/>
        <w:rPr>
          <w:rFonts w:hint="eastAsia" w:ascii="仿宋_GB2312" w:hAnsiTheme="minorEastAsia" w:cstheme="minorEastAsia"/>
          <w:szCs w:val="32"/>
        </w:rPr>
      </w:pPr>
      <w:r>
        <w:rPr>
          <w:rFonts w:hint="eastAsia" w:ascii="仿宋_GB2312" w:hAnsiTheme="minorEastAsia" w:cstheme="minorEastAsia"/>
          <w:b/>
          <w:bCs/>
          <w:szCs w:val="32"/>
        </w:rPr>
        <w:t>2、项目建设目标</w:t>
      </w:r>
    </w:p>
    <w:p>
      <w:pPr>
        <w:spacing w:line="530" w:lineRule="exact"/>
        <w:ind w:firstLine="640"/>
        <w:rPr>
          <w:rFonts w:hint="eastAsia" w:ascii="仿宋_GB2312" w:hAnsiTheme="minorEastAsia" w:cstheme="minorEastAsia"/>
          <w:szCs w:val="32"/>
        </w:rPr>
      </w:pPr>
      <w:r>
        <w:rPr>
          <w:rFonts w:hint="eastAsia" w:ascii="仿宋_GB2312" w:hAnsiTheme="minorEastAsia" w:cstheme="minorEastAsia"/>
          <w:szCs w:val="32"/>
        </w:rPr>
        <w:t>本项目结合龙岗区工程建设诱发岩溶地质灾害防治、边坡风险防控迫切需求，在区应急管理监测预警指挥平台总体框架下，升级优化监测预警指挥平台，开展岩溶、边坡风险防控应用。加强人为诱发地质灾害领域应急管理监测预警能力、监管执法能力、辅助指挥决策能力、救援实战能力、社会动员能力，提高全区应急管理的科学化、专业化、智能化、精细化水平。</w:t>
      </w:r>
    </w:p>
    <w:p>
      <w:pPr>
        <w:spacing w:line="530" w:lineRule="exact"/>
        <w:ind w:firstLine="640"/>
        <w:rPr>
          <w:rFonts w:hint="eastAsia" w:ascii="仿宋_GB2312" w:hAnsiTheme="minorEastAsia" w:cstheme="minorEastAsia"/>
          <w:szCs w:val="32"/>
        </w:rPr>
      </w:pPr>
      <w:r>
        <w:rPr>
          <w:rFonts w:hint="eastAsia" w:ascii="仿宋_GB2312" w:hAnsiTheme="minorEastAsia" w:cstheme="minorEastAsia"/>
          <w:szCs w:val="32"/>
        </w:rPr>
        <w:t>一是提升岩溶风险防控能力，聚焦工程建设诱发岩溶地质灾害监测预警迫切需求，汇聚整合市、区相关部门业务数据，摸清地下工程风险底数，结合风险静态和动态数据，研发监测预警模型，实现全区整体性风险评估，对高风险区域进行动态监测预警，生成风险提示并推送至相关单位，以期实现风险协同处置和闭环。提升工程建设诱发岩溶风险研判能力，增强岩溶地质灾害监测预警能力。</w:t>
      </w:r>
    </w:p>
    <w:p>
      <w:pPr>
        <w:spacing w:line="530" w:lineRule="exact"/>
        <w:ind w:firstLine="640"/>
        <w:rPr>
          <w:rFonts w:hint="eastAsia" w:ascii="仿宋_GB2312" w:hAnsiTheme="minorEastAsia" w:cstheme="minorEastAsia"/>
          <w:szCs w:val="32"/>
        </w:rPr>
      </w:pPr>
      <w:r>
        <w:rPr>
          <w:rFonts w:hint="eastAsia" w:ascii="仿宋_GB2312" w:hAnsiTheme="minorEastAsia" w:cstheme="minorEastAsia"/>
          <w:szCs w:val="32"/>
        </w:rPr>
        <w:t>二是提升边坡风险防控能力，摸清边坡底数，建立全区“边坡一本账”。在应急管理监测预警指挥平台扩展边坡专题模块，开展重点边坡台账管理、巡查监管、治理进度跟踪、风险提示等工作。基于“人防+技防”，强化“隐患点+风险区”双控工作，实现边坡风险隐患源头管控。</w:t>
      </w:r>
    </w:p>
    <w:p>
      <w:pPr>
        <w:spacing w:line="530" w:lineRule="exact"/>
        <w:ind w:firstLine="640"/>
        <w:rPr>
          <w:rFonts w:hint="eastAsia" w:ascii="仿宋_GB2312" w:hAnsiTheme="minorEastAsia" w:cstheme="minorEastAsia"/>
          <w:szCs w:val="32"/>
        </w:rPr>
      </w:pPr>
      <w:r>
        <w:rPr>
          <w:rFonts w:hint="eastAsia" w:ascii="仿宋_GB2312" w:hAnsiTheme="minorEastAsia" w:cstheme="minorEastAsia"/>
          <w:szCs w:val="32"/>
        </w:rPr>
        <w:t>三是拓展应急管理监测预警指挥平台能力，结合应急管理需求，以智能化手段为核心，构建岩溶、边坡等多领域应急事件闭环管理体系，通过引入AI算法提升风险识别精度与应急响应速度，建立动态配置模块为运营团队提供可视化数据维护与模块化监控能力，支撑监测预警指挥中心实体化高效运行；同时拓展平台业务范围，接入多样化应急事件类型，形成智能驱动、灵活配置、多域协同的监测预警与应急指挥体系，全面提升灾害防控与应急处置能力。</w:t>
      </w:r>
    </w:p>
    <w:p>
      <w:pPr>
        <w:spacing w:line="530" w:lineRule="exact"/>
        <w:ind w:firstLine="643"/>
        <w:rPr>
          <w:rFonts w:ascii="Times New Roman" w:hAnsi="Times New Roman"/>
          <w:b/>
          <w:bCs/>
        </w:rPr>
      </w:pPr>
      <w:r>
        <w:rPr>
          <w:rFonts w:hint="eastAsia" w:ascii="Times New Roman" w:hAnsi="Times New Roman"/>
          <w:b/>
          <w:bCs/>
          <w:lang w:val="en-US" w:eastAsia="zh-CN"/>
        </w:rPr>
        <w:t>3、</w:t>
      </w:r>
      <w:r>
        <w:rPr>
          <w:rFonts w:hint="eastAsia" w:ascii="Times New Roman" w:hAnsi="Times New Roman"/>
          <w:b/>
          <w:bCs/>
        </w:rPr>
        <w:t>交货地点</w:t>
      </w:r>
    </w:p>
    <w:p>
      <w:pPr>
        <w:spacing w:line="530" w:lineRule="exact"/>
        <w:ind w:firstLine="640"/>
        <w:rPr>
          <w:rFonts w:ascii="Times New Roman" w:hAnsi="Times New Roman"/>
          <w:kern w:val="0"/>
          <w:szCs w:val="21"/>
        </w:rPr>
      </w:pPr>
      <w:r>
        <w:rPr>
          <w:rFonts w:hint="eastAsia" w:ascii="Times New Roman" w:hAnsi="Times New Roman"/>
          <w:kern w:val="0"/>
          <w:szCs w:val="21"/>
        </w:rPr>
        <w:t>交货地点：采购人指定地点。</w:t>
      </w:r>
    </w:p>
    <w:p>
      <w:pPr>
        <w:spacing w:line="530" w:lineRule="exact"/>
        <w:ind w:firstLine="643"/>
        <w:rPr>
          <w:rFonts w:ascii="Times New Roman" w:hAnsi="Times New Roman"/>
          <w:b/>
          <w:bCs/>
        </w:rPr>
      </w:pPr>
      <w:r>
        <w:rPr>
          <w:rFonts w:hint="eastAsia" w:ascii="Times New Roman" w:hAnsi="Times New Roman"/>
          <w:b/>
          <w:bCs/>
          <w:lang w:val="en-US" w:eastAsia="zh-CN"/>
        </w:rPr>
        <w:t>4、</w:t>
      </w:r>
      <w:r>
        <w:rPr>
          <w:rFonts w:hint="eastAsia" w:ascii="Times New Roman" w:hAnsi="Times New Roman"/>
          <w:b/>
          <w:bCs/>
        </w:rPr>
        <w:t>交付要求</w:t>
      </w:r>
    </w:p>
    <w:p>
      <w:pPr>
        <w:pStyle w:val="5"/>
        <w:ind w:firstLineChars="200"/>
        <w:rPr>
          <w:rFonts w:hint="eastAsia" w:ascii="宋体" w:hAnsi="宋体" w:cs="宋体"/>
          <w:color w:val="000000"/>
          <w:szCs w:val="21"/>
          <w:highlight w:val="none"/>
        </w:rPr>
      </w:pPr>
      <w:r>
        <w:rPr>
          <w:rFonts w:hint="eastAsia" w:ascii="宋体" w:hAnsi="宋体" w:cs="宋体"/>
          <w:color w:val="000000"/>
          <w:szCs w:val="21"/>
          <w:highlight w:val="none"/>
        </w:rPr>
        <w:t>项目服务期限：</w:t>
      </w:r>
    </w:p>
    <w:p>
      <w:pPr>
        <w:pStyle w:val="5"/>
        <w:ind w:firstLineChars="200"/>
        <w:rPr>
          <w:highlight w:val="none"/>
        </w:rPr>
      </w:pPr>
      <w:r>
        <w:rPr>
          <w:rFonts w:hint="eastAsia"/>
          <w:highlight w:val="none"/>
        </w:rPr>
        <w:t>整体项目计划建设周期为</w:t>
      </w:r>
      <w:r>
        <w:rPr>
          <w:highlight w:val="none"/>
        </w:rPr>
        <w:t>9</w:t>
      </w:r>
      <w:r>
        <w:rPr>
          <w:rFonts w:hint="eastAsia"/>
          <w:highlight w:val="none"/>
        </w:rPr>
        <w:t>个月。各个阶段具体工作内容和进度安排如下：</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1595"/>
        <w:gridCol w:w="447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blHeader/>
        </w:trPr>
        <w:tc>
          <w:tcPr>
            <w:tcW w:w="439" w:type="pct"/>
            <w:vMerge w:val="restart"/>
            <w:shd w:val="clear" w:color="auto" w:fill="BEBEBE"/>
            <w:vAlign w:val="center"/>
          </w:tcPr>
          <w:p>
            <w:pPr>
              <w:pStyle w:val="35"/>
              <w:snapToGrid w:val="0"/>
              <w:spacing w:before="60" w:beforeLines="25" w:beforeAutospacing="0" w:after="60" w:afterLines="25" w:afterAutospacing="0" w:line="240" w:lineRule="auto"/>
              <w:rPr>
                <w:rFonts w:hint="eastAsia" w:ascii="宋体" w:hAnsi="宋体"/>
                <w:b/>
                <w:bCs/>
                <w:color w:val="auto"/>
                <w:sz w:val="21"/>
                <w:szCs w:val="21"/>
              </w:rPr>
            </w:pPr>
            <w:bookmarkStart w:id="2" w:name="_Toc13275"/>
            <w:bookmarkStart w:id="3" w:name="_Toc22119"/>
            <w:bookmarkStart w:id="4" w:name="_Toc5988"/>
            <w:bookmarkStart w:id="5" w:name="_Toc7884"/>
            <w:bookmarkStart w:id="6" w:name="_Toc4189"/>
            <w:bookmarkStart w:id="7" w:name="_Toc19301"/>
            <w:bookmarkStart w:id="8" w:name="_Toc14172"/>
            <w:r>
              <w:rPr>
                <w:rFonts w:ascii="宋体" w:hAnsi="宋体"/>
                <w:b/>
                <w:bCs/>
                <w:color w:val="auto"/>
                <w:sz w:val="21"/>
                <w:szCs w:val="21"/>
              </w:rPr>
              <w:t>序号</w:t>
            </w:r>
          </w:p>
        </w:tc>
        <w:tc>
          <w:tcPr>
            <w:tcW w:w="1092" w:type="pct"/>
            <w:vMerge w:val="restart"/>
            <w:shd w:val="clear" w:color="auto" w:fill="BEBEBE"/>
            <w:vAlign w:val="center"/>
          </w:tcPr>
          <w:p>
            <w:pPr>
              <w:pStyle w:val="35"/>
              <w:snapToGrid w:val="0"/>
              <w:spacing w:before="60" w:beforeLines="25" w:beforeAutospacing="0" w:after="60" w:afterLines="25" w:afterAutospacing="0" w:line="240" w:lineRule="auto"/>
              <w:rPr>
                <w:rFonts w:hint="eastAsia" w:ascii="宋体" w:hAnsi="宋体"/>
                <w:b/>
                <w:bCs/>
                <w:color w:val="auto"/>
                <w:sz w:val="21"/>
                <w:szCs w:val="21"/>
              </w:rPr>
            </w:pPr>
            <w:r>
              <w:rPr>
                <w:rFonts w:ascii="宋体" w:hAnsi="宋体"/>
                <w:b/>
                <w:bCs/>
                <w:color w:val="auto"/>
                <w:sz w:val="21"/>
                <w:szCs w:val="21"/>
              </w:rPr>
              <w:t>项目阶段</w:t>
            </w:r>
          </w:p>
        </w:tc>
        <w:tc>
          <w:tcPr>
            <w:tcW w:w="2782" w:type="pct"/>
            <w:vMerge w:val="restart"/>
            <w:shd w:val="clear" w:color="auto" w:fill="BEBEBE"/>
            <w:vAlign w:val="center"/>
          </w:tcPr>
          <w:p>
            <w:pPr>
              <w:pStyle w:val="35"/>
              <w:snapToGrid w:val="0"/>
              <w:spacing w:before="60" w:beforeLines="25" w:beforeAutospacing="0" w:after="60" w:afterLines="25" w:afterAutospacing="0" w:line="240" w:lineRule="auto"/>
              <w:rPr>
                <w:rFonts w:hint="eastAsia" w:ascii="宋体" w:hAnsi="宋体"/>
                <w:b/>
                <w:bCs/>
                <w:color w:val="auto"/>
                <w:sz w:val="21"/>
                <w:szCs w:val="21"/>
              </w:rPr>
            </w:pPr>
            <w:r>
              <w:rPr>
                <w:rFonts w:ascii="宋体" w:hAnsi="宋体"/>
                <w:b/>
                <w:bCs/>
                <w:color w:val="auto"/>
                <w:sz w:val="21"/>
                <w:szCs w:val="21"/>
              </w:rPr>
              <w:t>工作内容</w:t>
            </w:r>
          </w:p>
        </w:tc>
        <w:tc>
          <w:tcPr>
            <w:tcW w:w="686" w:type="pct"/>
            <w:vMerge w:val="restart"/>
            <w:shd w:val="clear" w:color="auto" w:fill="BEBEBE"/>
            <w:noWrap/>
            <w:vAlign w:val="center"/>
          </w:tcPr>
          <w:p>
            <w:pPr>
              <w:pStyle w:val="35"/>
              <w:snapToGrid w:val="0"/>
              <w:spacing w:before="60" w:beforeLines="25" w:beforeAutospacing="0" w:after="60" w:afterLines="25" w:afterAutospacing="0" w:line="240" w:lineRule="auto"/>
              <w:rPr>
                <w:rFonts w:hint="eastAsia" w:ascii="宋体" w:hAnsi="宋体"/>
                <w:b/>
                <w:bCs/>
                <w:color w:val="auto"/>
                <w:sz w:val="21"/>
                <w:szCs w:val="21"/>
              </w:rPr>
            </w:pPr>
            <w:r>
              <w:rPr>
                <w:rFonts w:ascii="宋体" w:hAnsi="宋体"/>
                <w:b/>
                <w:bCs/>
                <w:color w:val="auto"/>
                <w:sz w:val="21"/>
                <w:szCs w:val="21"/>
              </w:rPr>
              <w:t>计划</w:t>
            </w:r>
          </w:p>
          <w:p>
            <w:pPr>
              <w:pStyle w:val="35"/>
              <w:snapToGrid w:val="0"/>
              <w:spacing w:before="60" w:beforeLines="25" w:beforeAutospacing="0" w:after="60" w:afterLines="25" w:afterAutospacing="0" w:line="240" w:lineRule="auto"/>
              <w:rPr>
                <w:rFonts w:hint="eastAsia" w:ascii="宋体" w:hAnsi="宋体"/>
                <w:b/>
                <w:bCs/>
                <w:color w:val="auto"/>
                <w:sz w:val="21"/>
                <w:szCs w:val="21"/>
              </w:rPr>
            </w:pPr>
            <w:r>
              <w:rPr>
                <w:rFonts w:ascii="宋体" w:hAnsi="宋体"/>
                <w:b/>
                <w:bCs/>
                <w:color w:val="auto"/>
                <w:sz w:val="21"/>
                <w:szCs w:val="21"/>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blHeader/>
        </w:trPr>
        <w:tc>
          <w:tcPr>
            <w:tcW w:w="439" w:type="pct"/>
            <w:vMerge w:val="continue"/>
            <w:shd w:val="clear" w:color="auto" w:fill="BEBEBE"/>
            <w:vAlign w:val="center"/>
          </w:tcPr>
          <w:p>
            <w:pPr>
              <w:pStyle w:val="35"/>
              <w:snapToGrid w:val="0"/>
              <w:spacing w:before="60" w:beforeLines="25" w:beforeAutospacing="0" w:after="60" w:afterLines="25" w:afterAutospacing="0" w:line="240" w:lineRule="auto"/>
              <w:jc w:val="both"/>
              <w:rPr>
                <w:rFonts w:hint="eastAsia" w:ascii="宋体" w:hAnsi="宋体"/>
                <w:color w:val="auto"/>
                <w:sz w:val="21"/>
                <w:szCs w:val="21"/>
              </w:rPr>
            </w:pPr>
          </w:p>
        </w:tc>
        <w:tc>
          <w:tcPr>
            <w:tcW w:w="1092" w:type="pct"/>
            <w:vMerge w:val="continue"/>
            <w:shd w:val="clear" w:color="auto" w:fill="BEBEBE"/>
            <w:vAlign w:val="center"/>
          </w:tcPr>
          <w:p>
            <w:pPr>
              <w:pStyle w:val="35"/>
              <w:snapToGrid w:val="0"/>
              <w:spacing w:before="60" w:beforeLines="25" w:beforeAutospacing="0" w:after="60" w:afterLines="25" w:afterAutospacing="0" w:line="240" w:lineRule="auto"/>
              <w:jc w:val="both"/>
              <w:rPr>
                <w:rFonts w:hint="eastAsia" w:ascii="宋体" w:hAnsi="宋体"/>
                <w:color w:val="auto"/>
                <w:sz w:val="21"/>
                <w:szCs w:val="21"/>
              </w:rPr>
            </w:pPr>
          </w:p>
        </w:tc>
        <w:tc>
          <w:tcPr>
            <w:tcW w:w="2782" w:type="pct"/>
            <w:vMerge w:val="continue"/>
            <w:shd w:val="clear" w:color="auto" w:fill="BEBEBE"/>
            <w:vAlign w:val="center"/>
          </w:tcPr>
          <w:p>
            <w:pPr>
              <w:pStyle w:val="35"/>
              <w:snapToGrid w:val="0"/>
              <w:spacing w:before="60" w:beforeLines="25" w:beforeAutospacing="0" w:after="60" w:afterLines="25" w:afterAutospacing="0" w:line="240" w:lineRule="auto"/>
              <w:jc w:val="both"/>
              <w:rPr>
                <w:rFonts w:hint="eastAsia" w:ascii="宋体" w:hAnsi="宋体"/>
                <w:color w:val="auto"/>
                <w:sz w:val="21"/>
                <w:szCs w:val="21"/>
              </w:rPr>
            </w:pPr>
          </w:p>
        </w:tc>
        <w:tc>
          <w:tcPr>
            <w:tcW w:w="686" w:type="pct"/>
            <w:vMerge w:val="continue"/>
            <w:shd w:val="clear" w:color="auto" w:fill="BEBEBE"/>
            <w:vAlign w:val="center"/>
          </w:tcPr>
          <w:p>
            <w:pPr>
              <w:pStyle w:val="35"/>
              <w:snapToGrid w:val="0"/>
              <w:spacing w:before="60" w:beforeLines="25" w:beforeAutospacing="0" w:after="60" w:afterLines="25" w:afterAutospacing="0" w:line="240" w:lineRule="auto"/>
              <w:jc w:val="both"/>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9" w:type="pct"/>
            <w:vMerge w:val="restart"/>
            <w:noWrap/>
            <w:vAlign w:val="center"/>
          </w:tcPr>
          <w:p>
            <w:pPr>
              <w:pStyle w:val="35"/>
              <w:snapToGrid w:val="0"/>
              <w:spacing w:before="60" w:beforeLines="25" w:beforeAutospacing="0" w:after="60" w:afterLines="25" w:afterAutospacing="0" w:line="240" w:lineRule="auto"/>
              <w:rPr>
                <w:rFonts w:hint="eastAsia" w:ascii="宋体" w:hAnsi="宋体"/>
                <w:color w:val="auto"/>
                <w:sz w:val="21"/>
                <w:szCs w:val="21"/>
              </w:rPr>
            </w:pPr>
            <w:r>
              <w:rPr>
                <w:rFonts w:hint="eastAsia" w:ascii="宋体" w:hAnsi="宋体"/>
                <w:color w:val="auto"/>
                <w:sz w:val="21"/>
                <w:szCs w:val="21"/>
              </w:rPr>
              <w:t>1</w:t>
            </w:r>
          </w:p>
        </w:tc>
        <w:tc>
          <w:tcPr>
            <w:tcW w:w="1092" w:type="pct"/>
            <w:vMerge w:val="restart"/>
            <w:vAlign w:val="center"/>
          </w:tcPr>
          <w:p>
            <w:pPr>
              <w:pStyle w:val="35"/>
              <w:snapToGrid w:val="0"/>
              <w:spacing w:before="60" w:beforeLines="25" w:beforeAutospacing="0" w:after="60" w:afterLines="25" w:afterAutospacing="0" w:line="240" w:lineRule="auto"/>
              <w:ind w:left="0" w:leftChars="0" w:firstLine="0" w:firstLineChars="0"/>
              <w:jc w:val="both"/>
              <w:rPr>
                <w:rFonts w:hint="eastAsia" w:ascii="宋体" w:hAnsi="宋体"/>
                <w:color w:val="auto"/>
                <w:sz w:val="21"/>
                <w:szCs w:val="21"/>
              </w:rPr>
            </w:pPr>
            <w:bookmarkStart w:id="9" w:name="_Hlk172728110"/>
            <w:r>
              <w:rPr>
                <w:rFonts w:hint="eastAsia" w:ascii="宋体" w:hAnsi="宋体"/>
                <w:color w:val="auto"/>
                <w:sz w:val="21"/>
                <w:szCs w:val="21"/>
              </w:rPr>
              <w:t>项目启动阶段</w:t>
            </w:r>
            <w:bookmarkEnd w:id="9"/>
          </w:p>
        </w:tc>
        <w:tc>
          <w:tcPr>
            <w:tcW w:w="2782" w:type="pct"/>
            <w:vAlign w:val="center"/>
          </w:tcPr>
          <w:p>
            <w:pPr>
              <w:pStyle w:val="35"/>
              <w:snapToGrid w:val="0"/>
              <w:spacing w:before="60" w:beforeLines="25" w:beforeAutospacing="0" w:after="60" w:afterLines="25" w:afterAutospacing="0" w:line="240" w:lineRule="auto"/>
              <w:jc w:val="both"/>
              <w:rPr>
                <w:rFonts w:hint="eastAsia" w:ascii="宋体" w:hAnsi="宋体"/>
                <w:color w:val="auto"/>
                <w:sz w:val="21"/>
                <w:szCs w:val="21"/>
              </w:rPr>
            </w:pPr>
            <w:r>
              <w:rPr>
                <w:rFonts w:hint="eastAsia" w:ascii="宋体" w:hAnsi="宋体"/>
                <w:color w:val="auto"/>
                <w:sz w:val="21"/>
                <w:szCs w:val="21"/>
              </w:rPr>
              <w:t>建设单位、承建单位、监理单位共同成立项目小组，制定项目实施计划。</w:t>
            </w:r>
          </w:p>
        </w:tc>
        <w:tc>
          <w:tcPr>
            <w:tcW w:w="686" w:type="pct"/>
            <w:vMerge w:val="restart"/>
            <w:vAlign w:val="center"/>
          </w:tcPr>
          <w:p>
            <w:pPr>
              <w:pStyle w:val="35"/>
              <w:snapToGrid w:val="0"/>
              <w:spacing w:before="60" w:beforeLines="25" w:beforeAutospacing="0" w:after="60" w:afterLines="25" w:afterAutospacing="0" w:line="240" w:lineRule="auto"/>
              <w:rPr>
                <w:rFonts w:hint="eastAsia" w:ascii="宋体" w:hAnsi="宋体"/>
                <w:color w:val="auto"/>
                <w:sz w:val="21"/>
                <w:szCs w:val="21"/>
              </w:rPr>
            </w:pPr>
            <w:r>
              <w:rPr>
                <w:rFonts w:hint="eastAsia" w:ascii="宋体" w:hAnsi="宋体"/>
                <w:color w:val="auto"/>
                <w:sz w:val="21"/>
                <w:szCs w:val="21"/>
              </w:rPr>
              <w:t>1</w:t>
            </w:r>
            <w:r>
              <w:rPr>
                <w:rFonts w:ascii="宋体" w:hAnsi="宋体"/>
                <w:color w:val="auto"/>
                <w:sz w:val="21"/>
                <w:szCs w:val="21"/>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9" w:type="pct"/>
            <w:vMerge w:val="continue"/>
            <w:noWrap/>
            <w:vAlign w:val="center"/>
          </w:tcPr>
          <w:p>
            <w:pPr>
              <w:pStyle w:val="35"/>
              <w:snapToGrid w:val="0"/>
              <w:spacing w:before="60" w:beforeLines="25" w:beforeAutospacing="0" w:after="60" w:afterLines="25" w:afterAutospacing="0" w:line="240" w:lineRule="auto"/>
              <w:rPr>
                <w:rFonts w:hint="eastAsia" w:ascii="宋体" w:hAnsi="宋体"/>
                <w:color w:val="auto"/>
                <w:sz w:val="21"/>
                <w:szCs w:val="21"/>
                <w:highlight w:val="magenta"/>
              </w:rPr>
            </w:pPr>
          </w:p>
        </w:tc>
        <w:tc>
          <w:tcPr>
            <w:tcW w:w="1092" w:type="pct"/>
            <w:vMerge w:val="continue"/>
            <w:vAlign w:val="center"/>
          </w:tcPr>
          <w:p>
            <w:pPr>
              <w:pStyle w:val="35"/>
              <w:snapToGrid w:val="0"/>
              <w:spacing w:before="60" w:beforeLines="25" w:beforeAutospacing="0" w:after="60" w:afterLines="25" w:afterAutospacing="0" w:line="240" w:lineRule="auto"/>
              <w:jc w:val="both"/>
              <w:rPr>
                <w:rFonts w:hint="eastAsia" w:ascii="宋体" w:hAnsi="宋体"/>
                <w:color w:val="auto"/>
                <w:sz w:val="21"/>
                <w:szCs w:val="21"/>
                <w:highlight w:val="magenta"/>
              </w:rPr>
            </w:pPr>
          </w:p>
        </w:tc>
        <w:tc>
          <w:tcPr>
            <w:tcW w:w="2782" w:type="pct"/>
            <w:vAlign w:val="center"/>
          </w:tcPr>
          <w:p>
            <w:pPr>
              <w:pStyle w:val="35"/>
              <w:snapToGrid w:val="0"/>
              <w:spacing w:before="60" w:beforeLines="25" w:beforeAutospacing="0" w:after="60" w:afterLines="25" w:afterAutospacing="0" w:line="240" w:lineRule="auto"/>
              <w:jc w:val="both"/>
              <w:rPr>
                <w:rFonts w:hint="eastAsia" w:ascii="宋体" w:hAnsi="宋体"/>
                <w:color w:val="auto"/>
                <w:sz w:val="21"/>
                <w:szCs w:val="21"/>
                <w:highlight w:val="magenta"/>
              </w:rPr>
            </w:pPr>
            <w:r>
              <w:rPr>
                <w:rFonts w:hint="eastAsia" w:ascii="宋体" w:hAnsi="宋体"/>
                <w:color w:val="auto"/>
                <w:sz w:val="21"/>
                <w:szCs w:val="21"/>
              </w:rPr>
              <w:t>承建单位进行需求调研，编制龙岗区应急管理监测预警指挥中心二期项目需求调研报告，开展监测服务准备工作。</w:t>
            </w:r>
          </w:p>
        </w:tc>
        <w:tc>
          <w:tcPr>
            <w:tcW w:w="686" w:type="pct"/>
            <w:vMerge w:val="continue"/>
            <w:vAlign w:val="center"/>
          </w:tcPr>
          <w:p>
            <w:pPr>
              <w:pStyle w:val="35"/>
              <w:snapToGrid w:val="0"/>
              <w:spacing w:before="60" w:beforeLines="25" w:beforeAutospacing="0" w:after="60" w:afterLines="25" w:afterAutospacing="0" w:line="240" w:lineRule="auto"/>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9" w:type="pct"/>
            <w:noWrap/>
            <w:vAlign w:val="center"/>
          </w:tcPr>
          <w:p>
            <w:pPr>
              <w:pStyle w:val="35"/>
              <w:snapToGrid w:val="0"/>
              <w:spacing w:before="60" w:beforeLines="25" w:beforeAutospacing="0" w:after="60" w:afterLines="25" w:afterAutospacing="0" w:line="240" w:lineRule="auto"/>
              <w:rPr>
                <w:rFonts w:hint="eastAsia" w:ascii="宋体" w:hAnsi="宋体"/>
                <w:color w:val="auto"/>
                <w:sz w:val="21"/>
                <w:szCs w:val="21"/>
              </w:rPr>
            </w:pPr>
            <w:r>
              <w:rPr>
                <w:rFonts w:hint="eastAsia" w:ascii="宋体" w:hAnsi="宋体"/>
                <w:color w:val="auto"/>
                <w:sz w:val="21"/>
                <w:szCs w:val="21"/>
              </w:rPr>
              <w:t>2</w:t>
            </w:r>
          </w:p>
        </w:tc>
        <w:tc>
          <w:tcPr>
            <w:tcW w:w="1092" w:type="pct"/>
            <w:vAlign w:val="center"/>
          </w:tcPr>
          <w:p>
            <w:pPr>
              <w:pStyle w:val="35"/>
              <w:snapToGrid w:val="0"/>
              <w:spacing w:before="60" w:beforeLines="25" w:beforeAutospacing="0" w:after="60" w:afterLines="25" w:afterAutospacing="0" w:line="240" w:lineRule="auto"/>
              <w:ind w:left="0" w:leftChars="0" w:firstLine="0" w:firstLineChars="0"/>
              <w:jc w:val="both"/>
              <w:rPr>
                <w:rFonts w:hint="eastAsia" w:ascii="宋体" w:hAnsi="宋体"/>
                <w:color w:val="auto"/>
                <w:sz w:val="21"/>
                <w:szCs w:val="21"/>
              </w:rPr>
            </w:pPr>
            <w:r>
              <w:rPr>
                <w:rFonts w:hint="eastAsia" w:ascii="宋体" w:hAnsi="宋体"/>
                <w:color w:val="auto"/>
                <w:sz w:val="21"/>
                <w:szCs w:val="21"/>
              </w:rPr>
              <w:t>系统设计阶段</w:t>
            </w:r>
          </w:p>
        </w:tc>
        <w:tc>
          <w:tcPr>
            <w:tcW w:w="2782" w:type="pct"/>
            <w:vAlign w:val="center"/>
          </w:tcPr>
          <w:p>
            <w:pPr>
              <w:pStyle w:val="35"/>
              <w:snapToGrid w:val="0"/>
              <w:spacing w:before="60" w:beforeLines="25" w:beforeAutospacing="0" w:after="60" w:afterLines="25" w:afterAutospacing="0" w:line="240" w:lineRule="auto"/>
              <w:jc w:val="both"/>
              <w:rPr>
                <w:rFonts w:hint="eastAsia" w:ascii="宋体" w:hAnsi="宋体"/>
                <w:color w:val="auto"/>
                <w:sz w:val="21"/>
                <w:szCs w:val="21"/>
              </w:rPr>
            </w:pPr>
            <w:r>
              <w:rPr>
                <w:rFonts w:hint="eastAsia" w:ascii="宋体" w:hAnsi="宋体"/>
                <w:color w:val="auto"/>
                <w:sz w:val="21"/>
                <w:szCs w:val="21"/>
              </w:rPr>
              <w:t>在需求调研的基础上，对龙岗区应急管理监测预警指挥中心二期项目开发进行深化设计，并编制软件需求说明书、工作任务分解表、开发和履行进度计划表、系统设计说明书等。开展监测布点设计、现场踏勘和设备安装工作。</w:t>
            </w:r>
          </w:p>
        </w:tc>
        <w:tc>
          <w:tcPr>
            <w:tcW w:w="686" w:type="pct"/>
            <w:vMerge w:val="restart"/>
            <w:vAlign w:val="center"/>
          </w:tcPr>
          <w:p>
            <w:pPr>
              <w:pStyle w:val="35"/>
              <w:snapToGrid w:val="0"/>
              <w:spacing w:before="60" w:beforeLines="25" w:beforeAutospacing="0" w:after="60" w:afterLines="25" w:afterAutospacing="0" w:line="240" w:lineRule="auto"/>
              <w:rPr>
                <w:rFonts w:hint="eastAsia" w:ascii="宋体" w:hAnsi="宋体"/>
                <w:color w:val="auto"/>
                <w:sz w:val="21"/>
                <w:szCs w:val="21"/>
              </w:rPr>
            </w:pPr>
            <w:r>
              <w:rPr>
                <w:rFonts w:hint="eastAsia" w:ascii="宋体" w:hAnsi="宋体"/>
                <w:color w:val="auto"/>
                <w:sz w:val="21"/>
                <w:szCs w:val="21"/>
              </w:rPr>
              <w:t>5</w:t>
            </w:r>
            <w:r>
              <w:rPr>
                <w:rFonts w:ascii="宋体" w:hAnsi="宋体"/>
                <w:color w:val="auto"/>
                <w:sz w:val="21"/>
                <w:szCs w:val="21"/>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9" w:type="pct"/>
            <w:noWrap/>
            <w:vAlign w:val="center"/>
          </w:tcPr>
          <w:p>
            <w:pPr>
              <w:pStyle w:val="35"/>
              <w:snapToGrid w:val="0"/>
              <w:spacing w:before="60" w:beforeLines="25" w:beforeAutospacing="0" w:after="60" w:afterLines="25" w:afterAutospacing="0" w:line="240" w:lineRule="auto"/>
              <w:rPr>
                <w:rFonts w:hint="eastAsia" w:ascii="宋体" w:hAnsi="宋体"/>
                <w:color w:val="auto"/>
                <w:sz w:val="21"/>
                <w:szCs w:val="21"/>
              </w:rPr>
            </w:pPr>
            <w:r>
              <w:rPr>
                <w:rFonts w:hint="eastAsia" w:ascii="宋体" w:hAnsi="宋体"/>
                <w:color w:val="auto"/>
                <w:sz w:val="21"/>
                <w:szCs w:val="21"/>
              </w:rPr>
              <w:t>3</w:t>
            </w:r>
          </w:p>
        </w:tc>
        <w:tc>
          <w:tcPr>
            <w:tcW w:w="1092" w:type="pct"/>
            <w:vAlign w:val="center"/>
          </w:tcPr>
          <w:p>
            <w:pPr>
              <w:pStyle w:val="35"/>
              <w:snapToGrid w:val="0"/>
              <w:spacing w:before="60" w:beforeLines="25" w:beforeAutospacing="0" w:after="60" w:afterLines="25" w:afterAutospacing="0" w:line="240" w:lineRule="auto"/>
              <w:ind w:left="0" w:leftChars="0" w:firstLine="0" w:firstLineChars="0"/>
              <w:jc w:val="both"/>
              <w:rPr>
                <w:rFonts w:hint="eastAsia" w:ascii="宋体" w:hAnsi="宋体"/>
                <w:color w:val="auto"/>
                <w:sz w:val="21"/>
                <w:szCs w:val="21"/>
              </w:rPr>
            </w:pPr>
            <w:r>
              <w:rPr>
                <w:rFonts w:hint="eastAsia" w:ascii="宋体" w:hAnsi="宋体"/>
                <w:color w:val="auto"/>
                <w:sz w:val="21"/>
                <w:szCs w:val="21"/>
              </w:rPr>
              <w:t>开发阶段</w:t>
            </w:r>
          </w:p>
        </w:tc>
        <w:tc>
          <w:tcPr>
            <w:tcW w:w="2782" w:type="pct"/>
            <w:vAlign w:val="center"/>
          </w:tcPr>
          <w:p>
            <w:pPr>
              <w:pStyle w:val="35"/>
              <w:snapToGrid w:val="0"/>
              <w:spacing w:before="60" w:beforeLines="25" w:beforeAutospacing="0" w:after="60" w:afterLines="25" w:afterAutospacing="0" w:line="240" w:lineRule="auto"/>
              <w:jc w:val="both"/>
              <w:rPr>
                <w:rFonts w:hint="eastAsia" w:ascii="宋体" w:hAnsi="宋体"/>
                <w:color w:val="auto"/>
                <w:sz w:val="21"/>
                <w:szCs w:val="21"/>
              </w:rPr>
            </w:pPr>
            <w:r>
              <w:rPr>
                <w:rFonts w:hint="eastAsia" w:ascii="宋体" w:hAnsi="宋体"/>
                <w:color w:val="auto"/>
                <w:sz w:val="21"/>
                <w:szCs w:val="21"/>
              </w:rPr>
              <w:t>对龙岗区应急管理监测预警指挥中心二期建设模块进行软件开发、UI设计、数据库建设、系统对接等。开展地下水位和隐患房屋持续性监测服务。</w:t>
            </w:r>
          </w:p>
        </w:tc>
        <w:tc>
          <w:tcPr>
            <w:tcW w:w="686" w:type="pct"/>
            <w:vMerge w:val="continue"/>
            <w:vAlign w:val="center"/>
          </w:tcPr>
          <w:p>
            <w:pPr>
              <w:pStyle w:val="35"/>
              <w:snapToGrid w:val="0"/>
              <w:spacing w:before="60" w:beforeLines="25" w:beforeAutospacing="0" w:after="60" w:afterLines="25" w:afterAutospacing="0" w:line="240" w:lineRule="auto"/>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9" w:type="pct"/>
            <w:noWrap/>
            <w:vAlign w:val="center"/>
          </w:tcPr>
          <w:p>
            <w:pPr>
              <w:pStyle w:val="35"/>
              <w:snapToGrid w:val="0"/>
              <w:spacing w:before="60" w:beforeLines="25" w:beforeAutospacing="0" w:after="60" w:afterLines="25" w:afterAutospacing="0" w:line="240" w:lineRule="auto"/>
              <w:rPr>
                <w:rFonts w:hint="eastAsia" w:ascii="宋体" w:hAnsi="宋体"/>
                <w:color w:val="auto"/>
                <w:sz w:val="21"/>
                <w:szCs w:val="21"/>
              </w:rPr>
            </w:pPr>
            <w:r>
              <w:rPr>
                <w:rFonts w:hint="eastAsia" w:ascii="宋体" w:hAnsi="宋体"/>
                <w:color w:val="auto"/>
                <w:sz w:val="21"/>
                <w:szCs w:val="21"/>
              </w:rPr>
              <w:t>4</w:t>
            </w:r>
          </w:p>
        </w:tc>
        <w:tc>
          <w:tcPr>
            <w:tcW w:w="1092" w:type="pct"/>
            <w:vAlign w:val="center"/>
          </w:tcPr>
          <w:p>
            <w:pPr>
              <w:pStyle w:val="35"/>
              <w:snapToGrid w:val="0"/>
              <w:spacing w:before="60" w:beforeLines="25" w:beforeAutospacing="0" w:after="60" w:afterLines="25" w:afterAutospacing="0" w:line="240" w:lineRule="auto"/>
              <w:ind w:left="0" w:leftChars="0" w:firstLine="0" w:firstLineChars="0"/>
              <w:jc w:val="both"/>
              <w:rPr>
                <w:rFonts w:hint="eastAsia" w:ascii="宋体" w:hAnsi="宋体"/>
                <w:color w:val="auto"/>
                <w:sz w:val="21"/>
                <w:szCs w:val="21"/>
              </w:rPr>
            </w:pPr>
            <w:r>
              <w:rPr>
                <w:rFonts w:hint="eastAsia" w:ascii="宋体" w:hAnsi="宋体"/>
                <w:color w:val="auto"/>
                <w:sz w:val="21"/>
                <w:szCs w:val="21"/>
              </w:rPr>
              <w:t>测试阶段</w:t>
            </w:r>
          </w:p>
        </w:tc>
        <w:tc>
          <w:tcPr>
            <w:tcW w:w="2782" w:type="pct"/>
            <w:vAlign w:val="center"/>
          </w:tcPr>
          <w:p>
            <w:pPr>
              <w:pStyle w:val="35"/>
              <w:snapToGrid w:val="0"/>
              <w:spacing w:before="60" w:beforeLines="25" w:beforeAutospacing="0" w:after="60" w:afterLines="25" w:afterAutospacing="0" w:line="240" w:lineRule="auto"/>
              <w:jc w:val="both"/>
              <w:rPr>
                <w:rFonts w:hint="eastAsia" w:ascii="宋体" w:hAnsi="宋体"/>
                <w:color w:val="auto"/>
                <w:sz w:val="21"/>
                <w:szCs w:val="21"/>
              </w:rPr>
            </w:pPr>
            <w:r>
              <w:rPr>
                <w:rFonts w:hint="eastAsia" w:ascii="宋体" w:hAnsi="宋体"/>
                <w:color w:val="auto"/>
                <w:sz w:val="21"/>
                <w:szCs w:val="21"/>
              </w:rPr>
              <w:t>对龙岗区应急管理监测预警指挥中心二期各建设模块进行功能测试、性能测试、单元测试、安全测试、集成测试、上线模拟测试等，并编制系统测试报告。</w:t>
            </w:r>
          </w:p>
        </w:tc>
        <w:tc>
          <w:tcPr>
            <w:tcW w:w="686" w:type="pct"/>
            <w:vMerge w:val="continue"/>
            <w:vAlign w:val="center"/>
          </w:tcPr>
          <w:p>
            <w:pPr>
              <w:pStyle w:val="35"/>
              <w:snapToGrid w:val="0"/>
              <w:spacing w:before="60" w:beforeLines="25" w:beforeAutospacing="0" w:after="60" w:afterLines="25" w:afterAutospacing="0" w:line="240" w:lineRule="auto"/>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9" w:type="pct"/>
            <w:noWrap/>
            <w:vAlign w:val="center"/>
          </w:tcPr>
          <w:p>
            <w:pPr>
              <w:pStyle w:val="35"/>
              <w:snapToGrid w:val="0"/>
              <w:spacing w:before="60" w:beforeLines="25" w:beforeAutospacing="0" w:after="60" w:afterLines="25" w:afterAutospacing="0" w:line="240" w:lineRule="auto"/>
              <w:rPr>
                <w:rFonts w:hint="eastAsia" w:ascii="宋体" w:hAnsi="宋体"/>
                <w:color w:val="auto"/>
                <w:sz w:val="21"/>
                <w:szCs w:val="21"/>
              </w:rPr>
            </w:pPr>
            <w:r>
              <w:rPr>
                <w:rFonts w:hint="eastAsia" w:ascii="宋体" w:hAnsi="宋体"/>
                <w:color w:val="auto"/>
                <w:sz w:val="21"/>
                <w:szCs w:val="21"/>
              </w:rPr>
              <w:t>5</w:t>
            </w:r>
          </w:p>
        </w:tc>
        <w:tc>
          <w:tcPr>
            <w:tcW w:w="1092" w:type="pct"/>
            <w:vAlign w:val="center"/>
          </w:tcPr>
          <w:p>
            <w:pPr>
              <w:pStyle w:val="35"/>
              <w:snapToGrid w:val="0"/>
              <w:spacing w:before="60" w:beforeLines="25" w:beforeAutospacing="0" w:after="60" w:afterLines="25" w:afterAutospacing="0" w:line="240" w:lineRule="auto"/>
              <w:ind w:left="0" w:leftChars="0" w:firstLine="0" w:firstLineChars="0"/>
              <w:jc w:val="both"/>
              <w:rPr>
                <w:rFonts w:hint="eastAsia" w:ascii="宋体" w:hAnsi="宋体"/>
                <w:color w:val="auto"/>
                <w:sz w:val="21"/>
                <w:szCs w:val="21"/>
              </w:rPr>
            </w:pPr>
            <w:r>
              <w:rPr>
                <w:rFonts w:ascii="宋体" w:hAnsi="宋体"/>
                <w:color w:val="auto"/>
                <w:sz w:val="21"/>
                <w:szCs w:val="21"/>
              </w:rPr>
              <w:t>部署阶段</w:t>
            </w:r>
          </w:p>
        </w:tc>
        <w:tc>
          <w:tcPr>
            <w:tcW w:w="2782" w:type="pct"/>
            <w:vAlign w:val="center"/>
          </w:tcPr>
          <w:p>
            <w:pPr>
              <w:pStyle w:val="35"/>
              <w:snapToGrid w:val="0"/>
              <w:spacing w:before="60" w:beforeLines="25" w:beforeAutospacing="0" w:after="60" w:afterLines="25" w:afterAutospacing="0" w:line="240" w:lineRule="auto"/>
              <w:jc w:val="both"/>
              <w:rPr>
                <w:rFonts w:hint="eastAsia" w:ascii="宋体" w:hAnsi="宋体"/>
                <w:color w:val="auto"/>
                <w:sz w:val="21"/>
                <w:szCs w:val="21"/>
              </w:rPr>
            </w:pPr>
            <w:r>
              <w:rPr>
                <w:rFonts w:ascii="宋体" w:hAnsi="宋体"/>
                <w:color w:val="auto"/>
                <w:sz w:val="21"/>
                <w:szCs w:val="21"/>
              </w:rPr>
              <w:t>完成</w:t>
            </w:r>
            <w:r>
              <w:rPr>
                <w:rFonts w:hint="eastAsia" w:ascii="宋体" w:hAnsi="宋体"/>
                <w:color w:val="auto"/>
                <w:sz w:val="21"/>
                <w:szCs w:val="21"/>
              </w:rPr>
              <w:t>相关</w:t>
            </w:r>
            <w:r>
              <w:rPr>
                <w:rFonts w:ascii="宋体" w:hAnsi="宋体"/>
                <w:color w:val="auto"/>
                <w:sz w:val="21"/>
                <w:szCs w:val="21"/>
              </w:rPr>
              <w:t>应用部署，整体系统联调。</w:t>
            </w:r>
          </w:p>
        </w:tc>
        <w:tc>
          <w:tcPr>
            <w:tcW w:w="686" w:type="pct"/>
            <w:vMerge w:val="continue"/>
            <w:vAlign w:val="center"/>
          </w:tcPr>
          <w:p>
            <w:pPr>
              <w:pStyle w:val="35"/>
              <w:snapToGrid w:val="0"/>
              <w:spacing w:before="60" w:beforeLines="25" w:beforeAutospacing="0" w:after="60" w:afterLines="25" w:afterAutospacing="0" w:line="240" w:lineRule="auto"/>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9" w:type="pct"/>
            <w:noWrap/>
            <w:vAlign w:val="center"/>
          </w:tcPr>
          <w:p>
            <w:pPr>
              <w:pStyle w:val="35"/>
              <w:snapToGrid w:val="0"/>
              <w:spacing w:before="60" w:beforeLines="25" w:beforeAutospacing="0" w:after="60" w:afterLines="25" w:afterAutospacing="0" w:line="240" w:lineRule="auto"/>
              <w:rPr>
                <w:rFonts w:hint="eastAsia" w:ascii="宋体" w:hAnsi="宋体"/>
                <w:color w:val="auto"/>
                <w:sz w:val="21"/>
                <w:szCs w:val="21"/>
              </w:rPr>
            </w:pPr>
            <w:r>
              <w:rPr>
                <w:rFonts w:ascii="宋体" w:hAnsi="宋体"/>
                <w:color w:val="auto"/>
                <w:sz w:val="21"/>
                <w:szCs w:val="21"/>
              </w:rPr>
              <w:t>6</w:t>
            </w:r>
          </w:p>
        </w:tc>
        <w:tc>
          <w:tcPr>
            <w:tcW w:w="1092" w:type="pct"/>
            <w:vAlign w:val="center"/>
          </w:tcPr>
          <w:p>
            <w:pPr>
              <w:pStyle w:val="35"/>
              <w:snapToGrid w:val="0"/>
              <w:spacing w:before="60" w:beforeLines="25" w:beforeAutospacing="0" w:after="60" w:afterLines="25" w:afterAutospacing="0" w:line="240" w:lineRule="auto"/>
              <w:ind w:left="0" w:leftChars="0" w:firstLine="0" w:firstLineChars="0"/>
              <w:jc w:val="both"/>
              <w:rPr>
                <w:rFonts w:hint="eastAsia" w:ascii="宋体" w:hAnsi="宋体"/>
                <w:color w:val="auto"/>
                <w:sz w:val="21"/>
                <w:szCs w:val="21"/>
              </w:rPr>
            </w:pPr>
            <w:r>
              <w:rPr>
                <w:rFonts w:ascii="宋体" w:hAnsi="宋体"/>
                <w:color w:val="auto"/>
                <w:sz w:val="21"/>
                <w:szCs w:val="21"/>
              </w:rPr>
              <w:t>初验阶段</w:t>
            </w:r>
          </w:p>
        </w:tc>
        <w:tc>
          <w:tcPr>
            <w:tcW w:w="2782" w:type="pct"/>
            <w:vAlign w:val="center"/>
          </w:tcPr>
          <w:p>
            <w:pPr>
              <w:pStyle w:val="35"/>
              <w:snapToGrid w:val="0"/>
              <w:spacing w:before="60" w:beforeLines="25" w:beforeAutospacing="0" w:after="60" w:afterLines="25" w:afterAutospacing="0" w:line="240" w:lineRule="auto"/>
              <w:jc w:val="both"/>
              <w:rPr>
                <w:rFonts w:hint="eastAsia" w:ascii="宋体" w:hAnsi="宋体"/>
                <w:color w:val="auto"/>
                <w:sz w:val="21"/>
                <w:szCs w:val="21"/>
              </w:rPr>
            </w:pPr>
            <w:r>
              <w:rPr>
                <w:rFonts w:ascii="宋体" w:hAnsi="宋体"/>
                <w:color w:val="auto"/>
                <w:sz w:val="21"/>
                <w:szCs w:val="21"/>
              </w:rPr>
              <w:t>建设单位、承建单位、监理单位共同完成初验，并向建设单位提交初验报告。</w:t>
            </w:r>
          </w:p>
        </w:tc>
        <w:tc>
          <w:tcPr>
            <w:tcW w:w="686" w:type="pct"/>
            <w:noWrap/>
            <w:vAlign w:val="center"/>
          </w:tcPr>
          <w:p>
            <w:pPr>
              <w:pStyle w:val="35"/>
              <w:snapToGrid w:val="0"/>
              <w:spacing w:before="60" w:beforeLines="25" w:beforeAutospacing="0" w:after="60" w:afterLines="25" w:afterAutospacing="0" w:line="240" w:lineRule="auto"/>
              <w:rPr>
                <w:rFonts w:hint="eastAsia" w:ascii="宋体" w:hAnsi="宋体"/>
                <w:color w:val="auto"/>
                <w:sz w:val="21"/>
                <w:szCs w:val="21"/>
              </w:rPr>
            </w:pPr>
            <w:r>
              <w:rPr>
                <w:rFonts w:ascii="宋体" w:hAnsi="宋体"/>
                <w:color w:val="auto"/>
                <w:sz w:val="21"/>
                <w:szCs w:val="21"/>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9" w:type="pct"/>
            <w:noWrap/>
            <w:vAlign w:val="center"/>
          </w:tcPr>
          <w:p>
            <w:pPr>
              <w:pStyle w:val="35"/>
              <w:snapToGrid w:val="0"/>
              <w:spacing w:before="60" w:beforeLines="25" w:beforeAutospacing="0" w:after="60" w:afterLines="25" w:afterAutospacing="0" w:line="240" w:lineRule="auto"/>
              <w:rPr>
                <w:rFonts w:hint="eastAsia" w:ascii="宋体" w:hAnsi="宋体"/>
                <w:color w:val="auto"/>
                <w:sz w:val="21"/>
                <w:szCs w:val="21"/>
              </w:rPr>
            </w:pPr>
            <w:r>
              <w:rPr>
                <w:rFonts w:ascii="宋体" w:hAnsi="宋体"/>
                <w:color w:val="auto"/>
                <w:sz w:val="21"/>
                <w:szCs w:val="21"/>
              </w:rPr>
              <w:t>7</w:t>
            </w:r>
          </w:p>
        </w:tc>
        <w:tc>
          <w:tcPr>
            <w:tcW w:w="1092" w:type="pct"/>
            <w:vAlign w:val="center"/>
          </w:tcPr>
          <w:p>
            <w:pPr>
              <w:pStyle w:val="35"/>
              <w:snapToGrid w:val="0"/>
              <w:spacing w:before="60" w:beforeLines="25" w:beforeAutospacing="0" w:after="60" w:afterLines="25" w:afterAutospacing="0" w:line="240" w:lineRule="auto"/>
              <w:ind w:left="0" w:leftChars="0" w:firstLine="0" w:firstLineChars="0"/>
              <w:jc w:val="both"/>
              <w:rPr>
                <w:rFonts w:hint="eastAsia" w:ascii="宋体" w:hAnsi="宋体"/>
                <w:color w:val="auto"/>
                <w:sz w:val="21"/>
                <w:szCs w:val="21"/>
              </w:rPr>
            </w:pPr>
            <w:r>
              <w:rPr>
                <w:rFonts w:ascii="宋体" w:hAnsi="宋体"/>
                <w:color w:val="auto"/>
                <w:sz w:val="21"/>
                <w:szCs w:val="21"/>
              </w:rPr>
              <w:t>试运行阶段</w:t>
            </w:r>
          </w:p>
        </w:tc>
        <w:tc>
          <w:tcPr>
            <w:tcW w:w="2782" w:type="pct"/>
            <w:vAlign w:val="center"/>
          </w:tcPr>
          <w:p>
            <w:pPr>
              <w:pStyle w:val="35"/>
              <w:snapToGrid w:val="0"/>
              <w:spacing w:before="60" w:beforeLines="25" w:beforeAutospacing="0" w:after="60" w:afterLines="25" w:afterAutospacing="0" w:line="240" w:lineRule="auto"/>
              <w:jc w:val="both"/>
              <w:rPr>
                <w:rFonts w:hint="eastAsia" w:ascii="宋体" w:hAnsi="宋体"/>
                <w:color w:val="auto"/>
                <w:sz w:val="21"/>
                <w:szCs w:val="21"/>
              </w:rPr>
            </w:pPr>
            <w:r>
              <w:rPr>
                <w:rFonts w:ascii="宋体" w:hAnsi="宋体"/>
                <w:color w:val="auto"/>
                <w:sz w:val="21"/>
                <w:szCs w:val="21"/>
              </w:rPr>
              <w:t>编制试运行方案，开展上线试运行，根据试运行效果，持续优化系统。</w:t>
            </w:r>
          </w:p>
        </w:tc>
        <w:tc>
          <w:tcPr>
            <w:tcW w:w="686" w:type="pct"/>
            <w:vMerge w:val="restart"/>
            <w:noWrap/>
            <w:vAlign w:val="center"/>
          </w:tcPr>
          <w:p>
            <w:pPr>
              <w:pStyle w:val="35"/>
              <w:snapToGrid w:val="0"/>
              <w:spacing w:before="60" w:beforeLines="25" w:beforeAutospacing="0" w:after="60" w:afterLines="25" w:afterAutospacing="0" w:line="240" w:lineRule="auto"/>
              <w:rPr>
                <w:rFonts w:hint="eastAsia" w:ascii="宋体" w:hAnsi="宋体"/>
                <w:color w:val="auto"/>
                <w:sz w:val="21"/>
                <w:szCs w:val="21"/>
              </w:rPr>
            </w:pPr>
            <w:r>
              <w:rPr>
                <w:rFonts w:hint="eastAsia" w:ascii="宋体" w:hAnsi="宋体"/>
                <w:color w:val="auto"/>
                <w:sz w:val="21"/>
                <w:szCs w:val="21"/>
              </w:rPr>
              <w:t>1</w:t>
            </w:r>
            <w:r>
              <w:rPr>
                <w:rFonts w:ascii="宋体" w:hAnsi="宋体"/>
                <w:color w:val="auto"/>
                <w:sz w:val="21"/>
                <w:szCs w:val="21"/>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9" w:type="pct"/>
            <w:noWrap/>
            <w:vAlign w:val="center"/>
          </w:tcPr>
          <w:p>
            <w:pPr>
              <w:pStyle w:val="35"/>
              <w:snapToGrid w:val="0"/>
              <w:spacing w:before="60" w:beforeLines="25" w:beforeAutospacing="0" w:after="60" w:afterLines="25" w:afterAutospacing="0" w:line="240" w:lineRule="auto"/>
              <w:rPr>
                <w:rFonts w:hint="eastAsia" w:ascii="宋体" w:hAnsi="宋体"/>
                <w:color w:val="auto"/>
                <w:sz w:val="21"/>
                <w:szCs w:val="21"/>
              </w:rPr>
            </w:pPr>
            <w:r>
              <w:rPr>
                <w:rFonts w:ascii="宋体" w:hAnsi="宋体"/>
                <w:color w:val="auto"/>
                <w:sz w:val="21"/>
                <w:szCs w:val="21"/>
              </w:rPr>
              <w:t>8</w:t>
            </w:r>
          </w:p>
        </w:tc>
        <w:tc>
          <w:tcPr>
            <w:tcW w:w="1092" w:type="pct"/>
            <w:vAlign w:val="center"/>
          </w:tcPr>
          <w:p>
            <w:pPr>
              <w:pStyle w:val="35"/>
              <w:snapToGrid w:val="0"/>
              <w:spacing w:before="60" w:beforeLines="25" w:beforeAutospacing="0" w:after="60" w:afterLines="25" w:afterAutospacing="0" w:line="240" w:lineRule="auto"/>
              <w:ind w:left="0" w:leftChars="0" w:firstLine="0" w:firstLineChars="0"/>
              <w:jc w:val="both"/>
              <w:rPr>
                <w:rFonts w:hint="eastAsia" w:ascii="宋体" w:hAnsi="宋体"/>
                <w:color w:val="auto"/>
                <w:sz w:val="21"/>
                <w:szCs w:val="21"/>
              </w:rPr>
            </w:pPr>
            <w:r>
              <w:rPr>
                <w:rFonts w:ascii="宋体" w:hAnsi="宋体"/>
                <w:color w:val="auto"/>
                <w:sz w:val="21"/>
                <w:szCs w:val="21"/>
              </w:rPr>
              <w:t>用户培训阶段</w:t>
            </w:r>
          </w:p>
        </w:tc>
        <w:tc>
          <w:tcPr>
            <w:tcW w:w="2782" w:type="pct"/>
            <w:vAlign w:val="center"/>
          </w:tcPr>
          <w:p>
            <w:pPr>
              <w:pStyle w:val="35"/>
              <w:snapToGrid w:val="0"/>
              <w:spacing w:before="60" w:beforeLines="25" w:beforeAutospacing="0" w:after="60" w:afterLines="25" w:afterAutospacing="0" w:line="240" w:lineRule="auto"/>
              <w:jc w:val="both"/>
              <w:rPr>
                <w:rFonts w:hint="eastAsia" w:ascii="宋体" w:hAnsi="宋体"/>
                <w:color w:val="auto"/>
                <w:sz w:val="21"/>
                <w:szCs w:val="21"/>
              </w:rPr>
            </w:pPr>
            <w:r>
              <w:rPr>
                <w:rFonts w:ascii="宋体" w:hAnsi="宋体"/>
                <w:color w:val="auto"/>
                <w:sz w:val="21"/>
                <w:szCs w:val="21"/>
              </w:rPr>
              <w:t>对相关领导、工作</w:t>
            </w:r>
            <w:r>
              <w:rPr>
                <w:rFonts w:hint="eastAsia" w:ascii="宋体" w:hAnsi="宋体"/>
                <w:color w:val="auto"/>
                <w:sz w:val="21"/>
                <w:szCs w:val="21"/>
              </w:rPr>
              <w:t>人员</w:t>
            </w:r>
            <w:r>
              <w:rPr>
                <w:rFonts w:ascii="宋体" w:hAnsi="宋体"/>
                <w:color w:val="auto"/>
                <w:sz w:val="21"/>
                <w:szCs w:val="21"/>
              </w:rPr>
              <w:t>进行培训，并编制相应的培训手册。</w:t>
            </w:r>
          </w:p>
        </w:tc>
        <w:tc>
          <w:tcPr>
            <w:tcW w:w="686" w:type="pct"/>
            <w:vMerge w:val="continue"/>
            <w:vAlign w:val="center"/>
          </w:tcPr>
          <w:p>
            <w:pPr>
              <w:pStyle w:val="35"/>
              <w:snapToGrid w:val="0"/>
              <w:spacing w:before="60" w:beforeLines="25" w:beforeAutospacing="0" w:after="60" w:afterLines="25" w:afterAutospacing="0" w:line="240" w:lineRule="auto"/>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9" w:type="pct"/>
            <w:noWrap/>
            <w:vAlign w:val="center"/>
          </w:tcPr>
          <w:p>
            <w:pPr>
              <w:pStyle w:val="35"/>
              <w:snapToGrid w:val="0"/>
              <w:spacing w:before="60" w:beforeLines="25" w:beforeAutospacing="0" w:after="60" w:afterLines="25" w:afterAutospacing="0" w:line="240" w:lineRule="auto"/>
              <w:rPr>
                <w:rFonts w:hint="eastAsia" w:ascii="宋体" w:hAnsi="宋体"/>
                <w:color w:val="auto"/>
                <w:sz w:val="21"/>
                <w:szCs w:val="21"/>
              </w:rPr>
            </w:pPr>
            <w:r>
              <w:rPr>
                <w:rFonts w:ascii="宋体" w:hAnsi="宋体"/>
                <w:color w:val="auto"/>
                <w:sz w:val="21"/>
                <w:szCs w:val="21"/>
              </w:rPr>
              <w:t>9</w:t>
            </w:r>
          </w:p>
        </w:tc>
        <w:tc>
          <w:tcPr>
            <w:tcW w:w="1092" w:type="pct"/>
            <w:vAlign w:val="center"/>
          </w:tcPr>
          <w:p>
            <w:pPr>
              <w:pStyle w:val="35"/>
              <w:snapToGrid w:val="0"/>
              <w:spacing w:before="60" w:beforeLines="25" w:beforeAutospacing="0" w:after="60" w:afterLines="25" w:afterAutospacing="0" w:line="240" w:lineRule="auto"/>
              <w:ind w:left="0" w:leftChars="0" w:firstLine="0" w:firstLineChars="0"/>
              <w:jc w:val="both"/>
              <w:rPr>
                <w:rFonts w:hint="eastAsia" w:ascii="宋体" w:hAnsi="宋体"/>
                <w:color w:val="auto"/>
                <w:sz w:val="21"/>
                <w:szCs w:val="21"/>
              </w:rPr>
            </w:pPr>
            <w:r>
              <w:rPr>
                <w:rFonts w:ascii="宋体" w:hAnsi="宋体"/>
                <w:color w:val="auto"/>
                <w:sz w:val="21"/>
                <w:szCs w:val="21"/>
              </w:rPr>
              <w:t>系统终验阶段</w:t>
            </w:r>
          </w:p>
        </w:tc>
        <w:tc>
          <w:tcPr>
            <w:tcW w:w="2782" w:type="pct"/>
            <w:vAlign w:val="center"/>
          </w:tcPr>
          <w:p>
            <w:pPr>
              <w:pStyle w:val="35"/>
              <w:snapToGrid w:val="0"/>
              <w:spacing w:before="60" w:beforeLines="25" w:beforeAutospacing="0" w:after="60" w:afterLines="25" w:afterAutospacing="0" w:line="240" w:lineRule="auto"/>
              <w:jc w:val="both"/>
              <w:rPr>
                <w:rFonts w:hint="eastAsia" w:ascii="宋体" w:hAnsi="宋体"/>
                <w:color w:val="auto"/>
                <w:sz w:val="21"/>
                <w:szCs w:val="21"/>
              </w:rPr>
            </w:pPr>
            <w:r>
              <w:rPr>
                <w:rFonts w:ascii="宋体" w:hAnsi="宋体"/>
                <w:color w:val="auto"/>
                <w:sz w:val="21"/>
                <w:szCs w:val="21"/>
              </w:rPr>
              <w:t>建设单位、承建单位、监理单位共同完成终验，并向建设单位提交终验报告和第三方测评报告。</w:t>
            </w:r>
          </w:p>
        </w:tc>
        <w:tc>
          <w:tcPr>
            <w:tcW w:w="686" w:type="pct"/>
            <w:noWrap/>
            <w:vAlign w:val="center"/>
          </w:tcPr>
          <w:p>
            <w:pPr>
              <w:pStyle w:val="35"/>
              <w:snapToGrid w:val="0"/>
              <w:spacing w:before="60" w:beforeLines="25" w:beforeAutospacing="0" w:after="60" w:afterLines="25" w:afterAutospacing="0" w:line="240" w:lineRule="auto"/>
              <w:rPr>
                <w:rFonts w:hint="eastAsia" w:ascii="宋体" w:hAnsi="宋体"/>
                <w:color w:val="auto"/>
                <w:sz w:val="21"/>
                <w:szCs w:val="21"/>
              </w:rPr>
            </w:pPr>
            <w:r>
              <w:rPr>
                <w:rFonts w:hint="eastAsia" w:ascii="宋体" w:hAnsi="宋体"/>
                <w:color w:val="auto"/>
                <w:sz w:val="21"/>
                <w:szCs w:val="21"/>
              </w:rPr>
              <w:t>1</w:t>
            </w:r>
            <w:r>
              <w:rPr>
                <w:rFonts w:ascii="宋体" w:hAnsi="宋体"/>
                <w:color w:val="auto"/>
                <w:sz w:val="21"/>
                <w:szCs w:val="21"/>
              </w:rPr>
              <w:t>个月</w:t>
            </w:r>
          </w:p>
        </w:tc>
      </w:tr>
      <w:bookmarkEnd w:id="2"/>
      <w:bookmarkEnd w:id="3"/>
      <w:bookmarkEnd w:id="4"/>
      <w:bookmarkEnd w:id="5"/>
      <w:bookmarkEnd w:id="6"/>
      <w:bookmarkEnd w:id="7"/>
      <w:bookmarkEnd w:id="8"/>
    </w:tbl>
    <w:p>
      <w:pPr>
        <w:spacing w:line="530" w:lineRule="exact"/>
        <w:ind w:firstLine="640"/>
        <w:rPr>
          <w:rFonts w:ascii="Times New Roman" w:hAnsi="Times New Roman"/>
          <w:kern w:val="0"/>
          <w:szCs w:val="21"/>
        </w:rPr>
      </w:pPr>
    </w:p>
    <w:p>
      <w:pPr>
        <w:spacing w:line="530" w:lineRule="exact"/>
        <w:ind w:firstLine="643"/>
        <w:rPr>
          <w:rFonts w:ascii="Times New Roman" w:hAnsi="Times New Roman"/>
          <w:b/>
          <w:bCs/>
          <w:highlight w:val="none"/>
        </w:rPr>
      </w:pPr>
      <w:r>
        <w:rPr>
          <w:rFonts w:hint="eastAsia" w:ascii="Times New Roman" w:hAnsi="Times New Roman"/>
          <w:b/>
          <w:bCs/>
          <w:highlight w:val="none"/>
          <w:lang w:val="en-US" w:eastAsia="zh-CN"/>
        </w:rPr>
        <w:t>5、</w:t>
      </w:r>
      <w:r>
        <w:rPr>
          <w:rFonts w:hint="eastAsia" w:ascii="Times New Roman" w:hAnsi="Times New Roman"/>
          <w:b/>
          <w:bCs/>
          <w:highlight w:val="none"/>
        </w:rPr>
        <w:t>售后服务</w:t>
      </w:r>
    </w:p>
    <w:p>
      <w:pPr>
        <w:spacing w:line="530" w:lineRule="exact"/>
        <w:ind w:firstLine="640"/>
        <w:rPr>
          <w:rFonts w:ascii="Times New Roman" w:hAnsi="Times New Roman"/>
          <w:kern w:val="0"/>
          <w:szCs w:val="21"/>
          <w:highlight w:val="none"/>
        </w:rPr>
      </w:pPr>
      <w:r>
        <w:rPr>
          <w:rFonts w:hint="eastAsia" w:ascii="宋体" w:hAnsi="宋体" w:cs="宋体"/>
          <w:color w:val="000000"/>
          <w:szCs w:val="21"/>
          <w:highlight w:val="none"/>
        </w:rPr>
        <w:t>质保期：本项目质保期为2年，质保期间供应商应提供以下服务：一旦出现相关技术问题，中标人须做出迅速反应，2小时内予以答复，4小时内技术人员通过电话、电子邮件等方式提供技术支持，确保采购人所购买的服务正常运行。</w:t>
      </w:r>
    </w:p>
    <w:p>
      <w:pPr>
        <w:spacing w:line="530" w:lineRule="exact"/>
        <w:ind w:firstLine="643"/>
        <w:rPr>
          <w:rFonts w:ascii="Times New Roman" w:hAnsi="Times New Roman"/>
          <w:b/>
          <w:bCs/>
          <w:highlight w:val="none"/>
        </w:rPr>
      </w:pPr>
      <w:r>
        <w:rPr>
          <w:rFonts w:hint="eastAsia" w:ascii="Times New Roman" w:hAnsi="Times New Roman"/>
          <w:b/>
          <w:bCs/>
          <w:highlight w:val="none"/>
          <w:lang w:val="en-US" w:eastAsia="zh-CN"/>
        </w:rPr>
        <w:t>6、</w:t>
      </w:r>
      <w:r>
        <w:rPr>
          <w:rFonts w:hint="eastAsia" w:ascii="Times New Roman" w:hAnsi="Times New Roman"/>
          <w:b/>
          <w:bCs/>
          <w:highlight w:val="none"/>
        </w:rPr>
        <w:t>知识产权保证</w:t>
      </w:r>
    </w:p>
    <w:p>
      <w:pPr>
        <w:spacing w:line="530" w:lineRule="exact"/>
        <w:ind w:firstLine="640"/>
        <w:rPr>
          <w:rFonts w:ascii="Times New Roman" w:hAnsi="Times New Roman"/>
          <w:kern w:val="0"/>
          <w:szCs w:val="21"/>
        </w:rPr>
      </w:pPr>
      <w:r>
        <w:rPr>
          <w:rFonts w:hint="eastAsia" w:ascii="Times New Roman" w:hAnsi="Times New Roman"/>
          <w:kern w:val="0"/>
          <w:szCs w:val="21"/>
          <w:highlight w:val="none"/>
        </w:rPr>
        <w:t>成交供应商应保证提供的</w:t>
      </w:r>
      <w:r>
        <w:rPr>
          <w:rFonts w:hint="eastAsia" w:ascii="Times New Roman" w:hAnsi="Times New Roman"/>
          <w:kern w:val="0"/>
          <w:szCs w:val="21"/>
          <w:highlight w:val="none"/>
          <w:lang w:eastAsia="zh-CN"/>
        </w:rPr>
        <w:t>交付成果</w:t>
      </w:r>
      <w:r>
        <w:rPr>
          <w:rFonts w:hint="eastAsia" w:ascii="Times New Roman" w:hAnsi="Times New Roman"/>
          <w:kern w:val="0"/>
          <w:szCs w:val="21"/>
          <w:highlight w:val="none"/>
        </w:rPr>
        <w:t>不存</w:t>
      </w:r>
      <w:r>
        <w:rPr>
          <w:rFonts w:hint="eastAsia" w:ascii="Times New Roman" w:hAnsi="Times New Roman"/>
          <w:kern w:val="0"/>
          <w:szCs w:val="21"/>
        </w:rPr>
        <w:t>在任何侵权。如成交供应商向采购人提供的</w:t>
      </w:r>
      <w:r>
        <w:rPr>
          <w:rFonts w:hint="eastAsia" w:ascii="Times New Roman" w:hAnsi="Times New Roman"/>
          <w:kern w:val="0"/>
          <w:szCs w:val="21"/>
          <w:lang w:eastAsia="zh-CN"/>
        </w:rPr>
        <w:t>交付成果</w:t>
      </w:r>
      <w:r>
        <w:rPr>
          <w:rFonts w:hint="eastAsia" w:ascii="Times New Roman" w:hAnsi="Times New Roman"/>
          <w:kern w:val="0"/>
          <w:szCs w:val="21"/>
        </w:rPr>
        <w:t>存在任何权利瑕疵或纠纷的，成交供应商须出面与第三方交涉并独自承担一切法律责任和解决纠纷过程中产生的所有费用。</w:t>
      </w:r>
    </w:p>
    <w:p>
      <w:pPr>
        <w:spacing w:line="530" w:lineRule="exact"/>
        <w:ind w:firstLine="640"/>
        <w:rPr>
          <w:rFonts w:ascii="Times New Roman" w:hAnsi="Times New Roman"/>
          <w:kern w:val="0"/>
          <w:szCs w:val="21"/>
        </w:rPr>
      </w:pPr>
      <w:r>
        <w:rPr>
          <w:rFonts w:hint="eastAsia" w:ascii="Times New Roman" w:hAnsi="Times New Roman"/>
          <w:kern w:val="0"/>
          <w:szCs w:val="21"/>
        </w:rPr>
        <w:t>本合同项下的知识产权所有权和使用软件产生的有关利益分配权归采购人所有；成交供应商保证本合同项下涉及的数据不得侵犯他人隐私和所有权。</w:t>
      </w:r>
    </w:p>
    <w:p>
      <w:pPr>
        <w:spacing w:line="530" w:lineRule="exact"/>
        <w:ind w:firstLine="640"/>
        <w:rPr>
          <w:rFonts w:ascii="Times New Roman" w:hAnsi="Times New Roman"/>
          <w:kern w:val="0"/>
          <w:szCs w:val="21"/>
        </w:rPr>
      </w:pPr>
      <w:r>
        <w:rPr>
          <w:rFonts w:hint="eastAsia" w:ascii="Times New Roman" w:hAnsi="Times New Roman"/>
          <w:kern w:val="0"/>
          <w:szCs w:val="21"/>
        </w:rPr>
        <w:t>投标人必须保证</w:t>
      </w:r>
      <w:r>
        <w:rPr>
          <w:rFonts w:hint="eastAsia" w:ascii="Times New Roman" w:hAnsi="Times New Roman"/>
          <w:kern w:val="0"/>
          <w:szCs w:val="21"/>
          <w:lang w:eastAsia="zh-CN"/>
        </w:rPr>
        <w:t>交付成果</w:t>
      </w:r>
      <w:r>
        <w:rPr>
          <w:rFonts w:hint="eastAsia" w:ascii="Times New Roman" w:hAnsi="Times New Roman"/>
          <w:kern w:val="0"/>
          <w:szCs w:val="21"/>
        </w:rPr>
        <w:t>及使用到的开发工具软件的版权的合法性，如应采购人要求，成交供应商有义务向采购人提供相关证明材料。因投标人侵犯他人合法权益或因采购人使用投标人按约定移交给采购人的成果导致侵犯他人权益的，由投标人承担全部赔偿及其他法律责任。</w:t>
      </w:r>
    </w:p>
    <w:p>
      <w:pPr>
        <w:spacing w:line="530" w:lineRule="exact"/>
        <w:ind w:firstLine="640"/>
        <w:rPr>
          <w:rFonts w:ascii="Times New Roman" w:hAnsi="Times New Roman"/>
          <w:kern w:val="0"/>
          <w:szCs w:val="21"/>
        </w:rPr>
      </w:pPr>
      <w:r>
        <w:rPr>
          <w:rFonts w:hint="eastAsia" w:ascii="Times New Roman" w:hAnsi="Times New Roman"/>
          <w:kern w:val="0"/>
          <w:szCs w:val="21"/>
        </w:rPr>
        <w:t>投标人交付件（包括全部</w:t>
      </w:r>
      <w:r>
        <w:rPr>
          <w:rFonts w:hint="eastAsia" w:ascii="Times New Roman" w:hAnsi="Times New Roman"/>
          <w:kern w:val="0"/>
          <w:szCs w:val="21"/>
          <w:lang w:eastAsia="zh-CN"/>
        </w:rPr>
        <w:t>交付成果</w:t>
      </w:r>
      <w:r>
        <w:rPr>
          <w:rFonts w:hint="eastAsia" w:ascii="Times New Roman" w:hAnsi="Times New Roman"/>
          <w:kern w:val="0"/>
          <w:szCs w:val="21"/>
        </w:rPr>
        <w:t>、介质、文档等有形物品）的所有权归采购人拥有。</w:t>
      </w:r>
    </w:p>
    <w:p>
      <w:pPr>
        <w:tabs>
          <w:tab w:val="left" w:pos="892"/>
        </w:tabs>
        <w:autoSpaceDE w:val="0"/>
        <w:autoSpaceDN w:val="0"/>
        <w:spacing w:line="530" w:lineRule="exact"/>
        <w:contextualSpacing/>
        <w:rPr>
          <w:rFonts w:ascii="Times New Roman" w:hAnsi="Times New Roman"/>
          <w:kern w:val="0"/>
          <w:szCs w:val="21"/>
        </w:rPr>
      </w:pPr>
      <w:r>
        <w:rPr>
          <w:rFonts w:hint="eastAsia" w:ascii="Times New Roman" w:hAnsi="Times New Roman"/>
          <w:kern w:val="0"/>
          <w:szCs w:val="21"/>
        </w:rPr>
        <w:t>本项目中全部</w:t>
      </w:r>
      <w:r>
        <w:rPr>
          <w:rFonts w:hint="eastAsia" w:ascii="Times New Roman" w:hAnsi="Times New Roman"/>
          <w:kern w:val="0"/>
          <w:szCs w:val="21"/>
          <w:lang w:eastAsia="zh-CN"/>
        </w:rPr>
        <w:t>交付成果</w:t>
      </w:r>
      <w:r>
        <w:rPr>
          <w:rFonts w:hint="eastAsia" w:ascii="Times New Roman" w:hAnsi="Times New Roman"/>
          <w:kern w:val="0"/>
          <w:szCs w:val="21"/>
        </w:rPr>
        <w:t>不加密、不封装、不加时间锁、可编辑、可升级开发。采购人可以委托第三方使用</w:t>
      </w:r>
      <w:r>
        <w:rPr>
          <w:rFonts w:hint="eastAsia" w:ascii="Times New Roman" w:hAnsi="Times New Roman"/>
          <w:kern w:val="0"/>
          <w:szCs w:val="21"/>
          <w:lang w:eastAsia="zh-CN"/>
        </w:rPr>
        <w:t>交付成果</w:t>
      </w:r>
      <w:r>
        <w:rPr>
          <w:rFonts w:hint="eastAsia" w:ascii="Times New Roman" w:hAnsi="Times New Roman"/>
          <w:kern w:val="0"/>
          <w:szCs w:val="21"/>
        </w:rPr>
        <w:t>进行二次开发。</w:t>
      </w:r>
    </w:p>
    <w:p>
      <w:pPr>
        <w:tabs>
          <w:tab w:val="left" w:pos="892"/>
        </w:tabs>
        <w:autoSpaceDE w:val="0"/>
        <w:autoSpaceDN w:val="0"/>
        <w:spacing w:line="530" w:lineRule="exact"/>
        <w:contextualSpacing/>
        <w:rPr>
          <w:rFonts w:ascii="Times New Roman" w:hAnsi="Times New Roman"/>
          <w:kern w:val="0"/>
          <w:szCs w:val="21"/>
        </w:rPr>
      </w:pPr>
      <w:r>
        <w:rPr>
          <w:rFonts w:hint="eastAsia" w:ascii="Times New Roman" w:hAnsi="Times New Roman"/>
          <w:kern w:val="0"/>
          <w:szCs w:val="21"/>
        </w:rPr>
        <w:t>检测合格的</w:t>
      </w:r>
      <w:r>
        <w:rPr>
          <w:rFonts w:hint="eastAsia" w:ascii="Times New Roman" w:hAnsi="Times New Roman"/>
          <w:kern w:val="0"/>
          <w:szCs w:val="21"/>
          <w:lang w:eastAsia="zh-CN"/>
        </w:rPr>
        <w:t>交付成果</w:t>
      </w:r>
      <w:r>
        <w:rPr>
          <w:rFonts w:hint="eastAsia" w:ascii="Times New Roman" w:hAnsi="Times New Roman"/>
          <w:kern w:val="0"/>
          <w:szCs w:val="21"/>
        </w:rPr>
        <w:t>，指投标人提供的初始</w:t>
      </w:r>
      <w:r>
        <w:rPr>
          <w:rFonts w:hint="eastAsia" w:ascii="Times New Roman" w:hAnsi="Times New Roman"/>
          <w:kern w:val="0"/>
          <w:szCs w:val="21"/>
          <w:lang w:eastAsia="zh-CN"/>
        </w:rPr>
        <w:t>交付成果</w:t>
      </w:r>
      <w:r>
        <w:rPr>
          <w:rFonts w:hint="eastAsia" w:ascii="Times New Roman" w:hAnsi="Times New Roman"/>
          <w:kern w:val="0"/>
          <w:szCs w:val="21"/>
        </w:rPr>
        <w:t>，以及二次开发所生成的全部</w:t>
      </w:r>
      <w:r>
        <w:rPr>
          <w:rFonts w:hint="eastAsia" w:ascii="Times New Roman" w:hAnsi="Times New Roman"/>
          <w:kern w:val="0"/>
          <w:szCs w:val="21"/>
          <w:lang w:eastAsia="zh-CN"/>
        </w:rPr>
        <w:t>交付成果</w:t>
      </w:r>
      <w:r>
        <w:rPr>
          <w:rFonts w:hint="eastAsia" w:ascii="Times New Roman" w:hAnsi="Times New Roman"/>
          <w:kern w:val="0"/>
          <w:szCs w:val="21"/>
        </w:rPr>
        <w:t>和所有的编译配置文件，经过采购人编译，并且正常应用一个月以上才视为</w:t>
      </w:r>
      <w:r>
        <w:rPr>
          <w:rFonts w:hint="eastAsia" w:ascii="Times New Roman" w:hAnsi="Times New Roman"/>
          <w:kern w:val="0"/>
          <w:szCs w:val="21"/>
          <w:lang w:eastAsia="zh-CN"/>
        </w:rPr>
        <w:t>交付成果</w:t>
      </w:r>
      <w:r>
        <w:rPr>
          <w:rFonts w:hint="eastAsia" w:ascii="Times New Roman" w:hAnsi="Times New Roman"/>
          <w:kern w:val="0"/>
          <w:szCs w:val="21"/>
        </w:rPr>
        <w:t>检测合格。</w:t>
      </w:r>
    </w:p>
    <w:p>
      <w:pPr>
        <w:tabs>
          <w:tab w:val="left" w:pos="892"/>
        </w:tabs>
        <w:autoSpaceDE w:val="0"/>
        <w:autoSpaceDN w:val="0"/>
        <w:spacing w:line="530" w:lineRule="exact"/>
        <w:ind w:firstLine="480" w:firstLineChars="150"/>
        <w:contextualSpacing/>
        <w:rPr>
          <w:rFonts w:ascii="Times New Roman" w:hAnsi="Times New Roman"/>
          <w:kern w:val="0"/>
          <w:szCs w:val="21"/>
          <w:highlight w:val="yellow"/>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425" w:num="1"/>
      <w:titlePg/>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楷体_GB2312">
    <w:altName w:val="方正楷体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0" w:firstLineChars="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p>
    <w:pPr>
      <w:ind w:firstLine="640"/>
    </w:pPr>
  </w:p>
  <w:p>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p>
    <w:pPr>
      <w:ind w:firstLine="640"/>
    </w:pPr>
  </w:p>
  <w:p>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4NzJjMmFjODlmYmZhZWQ0ZjJhMTdkNjI0MTk2ZjMifQ=="/>
  </w:docVars>
  <w:rsids>
    <w:rsidRoot w:val="797612D3"/>
    <w:rsid w:val="000062DD"/>
    <w:rsid w:val="000066BC"/>
    <w:rsid w:val="00006D5E"/>
    <w:rsid w:val="0001094B"/>
    <w:rsid w:val="00022C60"/>
    <w:rsid w:val="000256BE"/>
    <w:rsid w:val="000320AC"/>
    <w:rsid w:val="00035185"/>
    <w:rsid w:val="0004445E"/>
    <w:rsid w:val="00047BC8"/>
    <w:rsid w:val="000500BB"/>
    <w:rsid w:val="00053960"/>
    <w:rsid w:val="000604F7"/>
    <w:rsid w:val="00080B1B"/>
    <w:rsid w:val="00090965"/>
    <w:rsid w:val="00093A3B"/>
    <w:rsid w:val="000A158C"/>
    <w:rsid w:val="000B0A31"/>
    <w:rsid w:val="000B3958"/>
    <w:rsid w:val="000C1A57"/>
    <w:rsid w:val="000C683B"/>
    <w:rsid w:val="000D27B7"/>
    <w:rsid w:val="000D2CB7"/>
    <w:rsid w:val="000D7243"/>
    <w:rsid w:val="000E22C2"/>
    <w:rsid w:val="00112CDA"/>
    <w:rsid w:val="00116BD1"/>
    <w:rsid w:val="00120E16"/>
    <w:rsid w:val="00130AAC"/>
    <w:rsid w:val="00134A6F"/>
    <w:rsid w:val="001407FB"/>
    <w:rsid w:val="0014231F"/>
    <w:rsid w:val="00146C71"/>
    <w:rsid w:val="00151157"/>
    <w:rsid w:val="00153D8C"/>
    <w:rsid w:val="00167341"/>
    <w:rsid w:val="00174903"/>
    <w:rsid w:val="001923D0"/>
    <w:rsid w:val="00196BA8"/>
    <w:rsid w:val="001A22C5"/>
    <w:rsid w:val="001A4B7B"/>
    <w:rsid w:val="001A6271"/>
    <w:rsid w:val="001B2BD3"/>
    <w:rsid w:val="001B32C8"/>
    <w:rsid w:val="001B5F4D"/>
    <w:rsid w:val="001C3FF4"/>
    <w:rsid w:val="001D0283"/>
    <w:rsid w:val="001D30CD"/>
    <w:rsid w:val="001D6511"/>
    <w:rsid w:val="001F737D"/>
    <w:rsid w:val="002020C7"/>
    <w:rsid w:val="0020437B"/>
    <w:rsid w:val="0022038E"/>
    <w:rsid w:val="0022421E"/>
    <w:rsid w:val="00232ADB"/>
    <w:rsid w:val="0024247A"/>
    <w:rsid w:val="002438B4"/>
    <w:rsid w:val="002475F3"/>
    <w:rsid w:val="002548AC"/>
    <w:rsid w:val="0026052D"/>
    <w:rsid w:val="00261FF1"/>
    <w:rsid w:val="0026267D"/>
    <w:rsid w:val="002744C5"/>
    <w:rsid w:val="00285FD1"/>
    <w:rsid w:val="002A3D93"/>
    <w:rsid w:val="002A3E2C"/>
    <w:rsid w:val="002B4B7F"/>
    <w:rsid w:val="002C324F"/>
    <w:rsid w:val="002C5B46"/>
    <w:rsid w:val="002D13F2"/>
    <w:rsid w:val="002D3168"/>
    <w:rsid w:val="002D3FF9"/>
    <w:rsid w:val="002E1655"/>
    <w:rsid w:val="002E2390"/>
    <w:rsid w:val="002E71E1"/>
    <w:rsid w:val="002F6D59"/>
    <w:rsid w:val="00302BC8"/>
    <w:rsid w:val="00307C19"/>
    <w:rsid w:val="003206CD"/>
    <w:rsid w:val="0032422F"/>
    <w:rsid w:val="003260A8"/>
    <w:rsid w:val="00342BA1"/>
    <w:rsid w:val="00355DAE"/>
    <w:rsid w:val="003738FF"/>
    <w:rsid w:val="003747E9"/>
    <w:rsid w:val="003863B1"/>
    <w:rsid w:val="003873B5"/>
    <w:rsid w:val="0039060B"/>
    <w:rsid w:val="0039670A"/>
    <w:rsid w:val="003978D6"/>
    <w:rsid w:val="003A1ED0"/>
    <w:rsid w:val="003B44B3"/>
    <w:rsid w:val="003B6A17"/>
    <w:rsid w:val="003C4B40"/>
    <w:rsid w:val="003D102C"/>
    <w:rsid w:val="003D1C97"/>
    <w:rsid w:val="003D522E"/>
    <w:rsid w:val="003E2E37"/>
    <w:rsid w:val="003E6C40"/>
    <w:rsid w:val="003F3BCA"/>
    <w:rsid w:val="00417691"/>
    <w:rsid w:val="00417B04"/>
    <w:rsid w:val="00417B96"/>
    <w:rsid w:val="00417BE8"/>
    <w:rsid w:val="00417E4F"/>
    <w:rsid w:val="00422499"/>
    <w:rsid w:val="004242DB"/>
    <w:rsid w:val="0044318C"/>
    <w:rsid w:val="004602CD"/>
    <w:rsid w:val="00462F33"/>
    <w:rsid w:val="00466A50"/>
    <w:rsid w:val="00471192"/>
    <w:rsid w:val="00476910"/>
    <w:rsid w:val="00484043"/>
    <w:rsid w:val="004907A1"/>
    <w:rsid w:val="00493371"/>
    <w:rsid w:val="004A2017"/>
    <w:rsid w:val="004A2C77"/>
    <w:rsid w:val="004A6F78"/>
    <w:rsid w:val="004A7BC9"/>
    <w:rsid w:val="004E08D2"/>
    <w:rsid w:val="004E50A6"/>
    <w:rsid w:val="0050177B"/>
    <w:rsid w:val="00502F8D"/>
    <w:rsid w:val="00504BFB"/>
    <w:rsid w:val="00505205"/>
    <w:rsid w:val="005105A4"/>
    <w:rsid w:val="00522187"/>
    <w:rsid w:val="005248B0"/>
    <w:rsid w:val="0055726A"/>
    <w:rsid w:val="00562E5F"/>
    <w:rsid w:val="005652BB"/>
    <w:rsid w:val="00574591"/>
    <w:rsid w:val="00582745"/>
    <w:rsid w:val="005865BC"/>
    <w:rsid w:val="00587532"/>
    <w:rsid w:val="00587656"/>
    <w:rsid w:val="00593B54"/>
    <w:rsid w:val="005A1FF2"/>
    <w:rsid w:val="005A3344"/>
    <w:rsid w:val="005A4419"/>
    <w:rsid w:val="005A4FF0"/>
    <w:rsid w:val="005A5558"/>
    <w:rsid w:val="005B1BA5"/>
    <w:rsid w:val="005C05FE"/>
    <w:rsid w:val="005C4EFE"/>
    <w:rsid w:val="005E1ED2"/>
    <w:rsid w:val="005E4858"/>
    <w:rsid w:val="005F7BB9"/>
    <w:rsid w:val="00612C48"/>
    <w:rsid w:val="00615DCF"/>
    <w:rsid w:val="006368B5"/>
    <w:rsid w:val="0063744C"/>
    <w:rsid w:val="006411E5"/>
    <w:rsid w:val="00644C6D"/>
    <w:rsid w:val="006506E6"/>
    <w:rsid w:val="00653386"/>
    <w:rsid w:val="00667673"/>
    <w:rsid w:val="006A3EA5"/>
    <w:rsid w:val="006A403C"/>
    <w:rsid w:val="006B7814"/>
    <w:rsid w:val="006C164A"/>
    <w:rsid w:val="006C29B6"/>
    <w:rsid w:val="006C7AAD"/>
    <w:rsid w:val="006D057A"/>
    <w:rsid w:val="006D09E6"/>
    <w:rsid w:val="006F1374"/>
    <w:rsid w:val="006F29D1"/>
    <w:rsid w:val="00706042"/>
    <w:rsid w:val="00711221"/>
    <w:rsid w:val="007159B3"/>
    <w:rsid w:val="00716831"/>
    <w:rsid w:val="007277FA"/>
    <w:rsid w:val="00731D43"/>
    <w:rsid w:val="00734F3E"/>
    <w:rsid w:val="00765116"/>
    <w:rsid w:val="00766223"/>
    <w:rsid w:val="007701D7"/>
    <w:rsid w:val="00784658"/>
    <w:rsid w:val="00784F18"/>
    <w:rsid w:val="007B5313"/>
    <w:rsid w:val="007B56DF"/>
    <w:rsid w:val="007D7E49"/>
    <w:rsid w:val="007E2D10"/>
    <w:rsid w:val="00801D24"/>
    <w:rsid w:val="00803299"/>
    <w:rsid w:val="00807C35"/>
    <w:rsid w:val="008105A9"/>
    <w:rsid w:val="008135E2"/>
    <w:rsid w:val="00835968"/>
    <w:rsid w:val="008373F3"/>
    <w:rsid w:val="008449E1"/>
    <w:rsid w:val="00851160"/>
    <w:rsid w:val="00852827"/>
    <w:rsid w:val="00884090"/>
    <w:rsid w:val="00890145"/>
    <w:rsid w:val="00893F09"/>
    <w:rsid w:val="0089689D"/>
    <w:rsid w:val="008A5262"/>
    <w:rsid w:val="008A63F4"/>
    <w:rsid w:val="008C07F5"/>
    <w:rsid w:val="008C364C"/>
    <w:rsid w:val="008C7EA1"/>
    <w:rsid w:val="008E2769"/>
    <w:rsid w:val="008E62AA"/>
    <w:rsid w:val="008F3018"/>
    <w:rsid w:val="00902B46"/>
    <w:rsid w:val="00912EF8"/>
    <w:rsid w:val="0094593C"/>
    <w:rsid w:val="00950126"/>
    <w:rsid w:val="0095763F"/>
    <w:rsid w:val="00964FEE"/>
    <w:rsid w:val="00972EE5"/>
    <w:rsid w:val="009821E5"/>
    <w:rsid w:val="00990246"/>
    <w:rsid w:val="009A52AD"/>
    <w:rsid w:val="009A736D"/>
    <w:rsid w:val="009B2B61"/>
    <w:rsid w:val="009B331F"/>
    <w:rsid w:val="009B3401"/>
    <w:rsid w:val="009B395E"/>
    <w:rsid w:val="009C2800"/>
    <w:rsid w:val="009C67F3"/>
    <w:rsid w:val="009E516F"/>
    <w:rsid w:val="009F0E86"/>
    <w:rsid w:val="009F1490"/>
    <w:rsid w:val="00A032FD"/>
    <w:rsid w:val="00A23F1A"/>
    <w:rsid w:val="00A3092D"/>
    <w:rsid w:val="00A71E6A"/>
    <w:rsid w:val="00A724FD"/>
    <w:rsid w:val="00A87956"/>
    <w:rsid w:val="00A95F44"/>
    <w:rsid w:val="00AA250B"/>
    <w:rsid w:val="00AB17A3"/>
    <w:rsid w:val="00AB4289"/>
    <w:rsid w:val="00AB67DF"/>
    <w:rsid w:val="00AC0E57"/>
    <w:rsid w:val="00AC4B99"/>
    <w:rsid w:val="00AD4874"/>
    <w:rsid w:val="00AF0790"/>
    <w:rsid w:val="00AF6663"/>
    <w:rsid w:val="00B10396"/>
    <w:rsid w:val="00B15916"/>
    <w:rsid w:val="00B31ECD"/>
    <w:rsid w:val="00B35E03"/>
    <w:rsid w:val="00B37E81"/>
    <w:rsid w:val="00B63854"/>
    <w:rsid w:val="00B649B6"/>
    <w:rsid w:val="00B770FA"/>
    <w:rsid w:val="00B82568"/>
    <w:rsid w:val="00B86D83"/>
    <w:rsid w:val="00B8745E"/>
    <w:rsid w:val="00B97BCD"/>
    <w:rsid w:val="00BA6A95"/>
    <w:rsid w:val="00BB5CE9"/>
    <w:rsid w:val="00BB5D13"/>
    <w:rsid w:val="00BB7D66"/>
    <w:rsid w:val="00BD16BC"/>
    <w:rsid w:val="00BD495D"/>
    <w:rsid w:val="00BD71D3"/>
    <w:rsid w:val="00BE368F"/>
    <w:rsid w:val="00BF0F9D"/>
    <w:rsid w:val="00BF210B"/>
    <w:rsid w:val="00BF4821"/>
    <w:rsid w:val="00BF5447"/>
    <w:rsid w:val="00C02BA9"/>
    <w:rsid w:val="00C02C0E"/>
    <w:rsid w:val="00C03276"/>
    <w:rsid w:val="00C032F7"/>
    <w:rsid w:val="00C07C8A"/>
    <w:rsid w:val="00C11022"/>
    <w:rsid w:val="00C14362"/>
    <w:rsid w:val="00C46F17"/>
    <w:rsid w:val="00C50D2D"/>
    <w:rsid w:val="00C6652F"/>
    <w:rsid w:val="00C71C86"/>
    <w:rsid w:val="00C72448"/>
    <w:rsid w:val="00C72A8E"/>
    <w:rsid w:val="00C73254"/>
    <w:rsid w:val="00C74B81"/>
    <w:rsid w:val="00C83F29"/>
    <w:rsid w:val="00C94555"/>
    <w:rsid w:val="00C95986"/>
    <w:rsid w:val="00C97659"/>
    <w:rsid w:val="00CA4AFF"/>
    <w:rsid w:val="00CA7386"/>
    <w:rsid w:val="00CB5941"/>
    <w:rsid w:val="00CB6068"/>
    <w:rsid w:val="00CC042B"/>
    <w:rsid w:val="00CC0AC1"/>
    <w:rsid w:val="00CD3DDC"/>
    <w:rsid w:val="00CD4E2F"/>
    <w:rsid w:val="00CE1268"/>
    <w:rsid w:val="00CE76E5"/>
    <w:rsid w:val="00CF411A"/>
    <w:rsid w:val="00CF56B0"/>
    <w:rsid w:val="00D03F67"/>
    <w:rsid w:val="00D16011"/>
    <w:rsid w:val="00D160A7"/>
    <w:rsid w:val="00D23CA9"/>
    <w:rsid w:val="00D24423"/>
    <w:rsid w:val="00D3283F"/>
    <w:rsid w:val="00D35B27"/>
    <w:rsid w:val="00D3605B"/>
    <w:rsid w:val="00D37D22"/>
    <w:rsid w:val="00D40B37"/>
    <w:rsid w:val="00D55FCD"/>
    <w:rsid w:val="00D65645"/>
    <w:rsid w:val="00D7536C"/>
    <w:rsid w:val="00D9726A"/>
    <w:rsid w:val="00DA7D3D"/>
    <w:rsid w:val="00DB4755"/>
    <w:rsid w:val="00DB4CF2"/>
    <w:rsid w:val="00DC3900"/>
    <w:rsid w:val="00DD186B"/>
    <w:rsid w:val="00DD4E64"/>
    <w:rsid w:val="00DD532D"/>
    <w:rsid w:val="00DF663C"/>
    <w:rsid w:val="00DF7E20"/>
    <w:rsid w:val="00E16D1D"/>
    <w:rsid w:val="00E17170"/>
    <w:rsid w:val="00E25947"/>
    <w:rsid w:val="00E34809"/>
    <w:rsid w:val="00E35B64"/>
    <w:rsid w:val="00E55182"/>
    <w:rsid w:val="00E60076"/>
    <w:rsid w:val="00E62C04"/>
    <w:rsid w:val="00E70F33"/>
    <w:rsid w:val="00E71591"/>
    <w:rsid w:val="00E755A2"/>
    <w:rsid w:val="00E845F4"/>
    <w:rsid w:val="00E84EAF"/>
    <w:rsid w:val="00E85F62"/>
    <w:rsid w:val="00E95CFD"/>
    <w:rsid w:val="00EA298F"/>
    <w:rsid w:val="00ED10A7"/>
    <w:rsid w:val="00EF789E"/>
    <w:rsid w:val="00F23C30"/>
    <w:rsid w:val="00F24982"/>
    <w:rsid w:val="00F376B8"/>
    <w:rsid w:val="00F432F3"/>
    <w:rsid w:val="00F50F8C"/>
    <w:rsid w:val="00F54A91"/>
    <w:rsid w:val="00F55E19"/>
    <w:rsid w:val="00F760A7"/>
    <w:rsid w:val="00F92E28"/>
    <w:rsid w:val="00F9430D"/>
    <w:rsid w:val="00FA21CA"/>
    <w:rsid w:val="00FC4C9E"/>
    <w:rsid w:val="00FE0ACB"/>
    <w:rsid w:val="00FE77D5"/>
    <w:rsid w:val="00FF2142"/>
    <w:rsid w:val="026F69C4"/>
    <w:rsid w:val="06F27016"/>
    <w:rsid w:val="08DA022E"/>
    <w:rsid w:val="09893F74"/>
    <w:rsid w:val="0A2B4E50"/>
    <w:rsid w:val="0AAE7E45"/>
    <w:rsid w:val="0B5C17C5"/>
    <w:rsid w:val="0BE56BCD"/>
    <w:rsid w:val="0CF50F8B"/>
    <w:rsid w:val="0E0826A8"/>
    <w:rsid w:val="0ED80B81"/>
    <w:rsid w:val="0EE50D02"/>
    <w:rsid w:val="0F4235E1"/>
    <w:rsid w:val="0F4B5D87"/>
    <w:rsid w:val="0F8F7F16"/>
    <w:rsid w:val="106E5581"/>
    <w:rsid w:val="11A3639F"/>
    <w:rsid w:val="12C95F07"/>
    <w:rsid w:val="13953246"/>
    <w:rsid w:val="15246CDD"/>
    <w:rsid w:val="163D2142"/>
    <w:rsid w:val="175828AA"/>
    <w:rsid w:val="17A61413"/>
    <w:rsid w:val="18BF0FBC"/>
    <w:rsid w:val="18DD6F6C"/>
    <w:rsid w:val="19D72AE7"/>
    <w:rsid w:val="1A66728B"/>
    <w:rsid w:val="1CFA6CE5"/>
    <w:rsid w:val="1EB17441"/>
    <w:rsid w:val="20855438"/>
    <w:rsid w:val="215C4898"/>
    <w:rsid w:val="21AD6982"/>
    <w:rsid w:val="22DE3982"/>
    <w:rsid w:val="251F61B2"/>
    <w:rsid w:val="25B9491F"/>
    <w:rsid w:val="25EC4844"/>
    <w:rsid w:val="278849A1"/>
    <w:rsid w:val="2C054EC1"/>
    <w:rsid w:val="2C5022CF"/>
    <w:rsid w:val="2CDA5438"/>
    <w:rsid w:val="2D1B69B7"/>
    <w:rsid w:val="2F704FA5"/>
    <w:rsid w:val="2F9E6C1C"/>
    <w:rsid w:val="305A151A"/>
    <w:rsid w:val="30641207"/>
    <w:rsid w:val="3158464A"/>
    <w:rsid w:val="316475F1"/>
    <w:rsid w:val="338D2032"/>
    <w:rsid w:val="342940A8"/>
    <w:rsid w:val="34780DA7"/>
    <w:rsid w:val="3629403A"/>
    <w:rsid w:val="370B2D4D"/>
    <w:rsid w:val="37272F2B"/>
    <w:rsid w:val="381B5BF8"/>
    <w:rsid w:val="385C618F"/>
    <w:rsid w:val="38E62699"/>
    <w:rsid w:val="3980358F"/>
    <w:rsid w:val="39A411CF"/>
    <w:rsid w:val="39FF3A2B"/>
    <w:rsid w:val="3AF752E2"/>
    <w:rsid w:val="3B1A725C"/>
    <w:rsid w:val="3C9A5453"/>
    <w:rsid w:val="3EA322BB"/>
    <w:rsid w:val="3EA8745F"/>
    <w:rsid w:val="425F1C91"/>
    <w:rsid w:val="42912565"/>
    <w:rsid w:val="482A70F8"/>
    <w:rsid w:val="48AC0292"/>
    <w:rsid w:val="4927042C"/>
    <w:rsid w:val="4AA453AA"/>
    <w:rsid w:val="4BFC3BEF"/>
    <w:rsid w:val="504358CD"/>
    <w:rsid w:val="54E82BE2"/>
    <w:rsid w:val="567949B0"/>
    <w:rsid w:val="56D67A69"/>
    <w:rsid w:val="58913648"/>
    <w:rsid w:val="58FC2602"/>
    <w:rsid w:val="5B6470F2"/>
    <w:rsid w:val="5C443E8D"/>
    <w:rsid w:val="5C53AA31"/>
    <w:rsid w:val="5F0E59FF"/>
    <w:rsid w:val="610E0B2F"/>
    <w:rsid w:val="621C2059"/>
    <w:rsid w:val="63C42FC2"/>
    <w:rsid w:val="65483054"/>
    <w:rsid w:val="68961AFA"/>
    <w:rsid w:val="6A397199"/>
    <w:rsid w:val="6BDD5792"/>
    <w:rsid w:val="6D5420C5"/>
    <w:rsid w:val="6E4A5D08"/>
    <w:rsid w:val="6E7D6FC6"/>
    <w:rsid w:val="6EE9601F"/>
    <w:rsid w:val="717F14C8"/>
    <w:rsid w:val="718A77A7"/>
    <w:rsid w:val="72276E08"/>
    <w:rsid w:val="73B42767"/>
    <w:rsid w:val="761E7512"/>
    <w:rsid w:val="7730590E"/>
    <w:rsid w:val="79166858"/>
    <w:rsid w:val="797612D3"/>
    <w:rsid w:val="79D5428B"/>
    <w:rsid w:val="7B115046"/>
    <w:rsid w:val="7FD4138E"/>
    <w:rsid w:val="E7EB5E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3"/>
    <w:basedOn w:val="4"/>
    <w:next w:val="1"/>
    <w:unhideWhenUsed/>
    <w:qFormat/>
    <w:uiPriority w:val="0"/>
    <w:pPr>
      <w:spacing w:before="260" w:after="260" w:line="240" w:lineRule="auto"/>
      <w:outlineLvl w:val="2"/>
    </w:pPr>
    <w:rPr>
      <w:rFonts w:ascii="宋体" w:hAnsi="宋体" w:eastAsia="宋体" w:cs="Times New Roman"/>
      <w:bCs w:val="0"/>
      <w:szCs w:val="32"/>
    </w:rPr>
  </w:style>
  <w:style w:type="paragraph" w:styleId="4">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21"/>
    <w:qFormat/>
    <w:uiPriority w:val="0"/>
    <w:pPr>
      <w:ind w:firstLine="420"/>
    </w:pPr>
    <w:rPr>
      <w:rFonts w:ascii="Times New Roman" w:hAnsi="Times New Roman"/>
      <w:szCs w:val="20"/>
    </w:rPr>
  </w:style>
  <w:style w:type="paragraph" w:styleId="6">
    <w:name w:val="annotation text"/>
    <w:basedOn w:val="1"/>
    <w:link w:val="24"/>
    <w:qFormat/>
    <w:uiPriority w:val="99"/>
    <w:pPr>
      <w:jc w:val="left"/>
    </w:pPr>
    <w:rPr>
      <w:rFonts w:ascii="Times New Roman" w:hAnsi="Times New Roman"/>
      <w:szCs w:val="20"/>
    </w:rPr>
  </w:style>
  <w:style w:type="paragraph" w:styleId="7">
    <w:name w:val="Body Text"/>
    <w:basedOn w:val="1"/>
    <w:next w:val="1"/>
    <w:link w:val="32"/>
    <w:qFormat/>
    <w:uiPriority w:val="0"/>
    <w:pPr>
      <w:spacing w:line="360" w:lineRule="auto"/>
    </w:pPr>
    <w:rPr>
      <w:rFonts w:ascii="Times New Roman" w:hAnsi="Times New Roman"/>
      <w:b/>
      <w:bCs/>
      <w:sz w:val="24"/>
      <w:szCs w:val="24"/>
    </w:rPr>
  </w:style>
  <w:style w:type="paragraph" w:styleId="8">
    <w:name w:val="Body Text Indent"/>
    <w:basedOn w:val="1"/>
    <w:link w:val="22"/>
    <w:qFormat/>
    <w:uiPriority w:val="0"/>
    <w:pPr>
      <w:spacing w:after="120"/>
      <w:ind w:left="420" w:leftChars="200"/>
    </w:pPr>
  </w:style>
  <w:style w:type="paragraph" w:styleId="9">
    <w:name w:val="Balloon Text"/>
    <w:basedOn w:val="1"/>
    <w:link w:val="25"/>
    <w:qFormat/>
    <w:uiPriority w:val="0"/>
    <w:rPr>
      <w:sz w:val="18"/>
      <w:szCs w:val="18"/>
    </w:rPr>
  </w:style>
  <w:style w:type="paragraph" w:styleId="10">
    <w:name w:val="footer"/>
    <w:basedOn w:val="1"/>
    <w:link w:val="28"/>
    <w:qFormat/>
    <w:uiPriority w:val="99"/>
    <w:pPr>
      <w:tabs>
        <w:tab w:val="center" w:pos="4153"/>
        <w:tab w:val="right" w:pos="8306"/>
      </w:tabs>
      <w:snapToGrid w:val="0"/>
      <w:jc w:val="left"/>
    </w:pPr>
    <w:rPr>
      <w:sz w:val="18"/>
      <w:szCs w:val="18"/>
    </w:rPr>
  </w:style>
  <w:style w:type="paragraph" w:styleId="11">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3"/>
    <w:qFormat/>
    <w:uiPriority w:val="0"/>
    <w:pPr>
      <w:jc w:val="left"/>
      <w:outlineLvl w:val="1"/>
    </w:pPr>
    <w:rPr>
      <w:rFonts w:eastAsia="楷体_GB2312" w:asciiTheme="minorHAnsi" w:hAnsiTheme="minorHAnsi" w:cstheme="minorBidi"/>
      <w:b/>
      <w:bCs/>
      <w:kern w:val="28"/>
      <w:szCs w:val="32"/>
    </w:rPr>
  </w:style>
  <w:style w:type="paragraph" w:styleId="13">
    <w:name w:val="Normal (Web)"/>
    <w:basedOn w:val="1"/>
    <w:qFormat/>
    <w:uiPriority w:val="99"/>
    <w:rPr>
      <w:rFonts w:ascii="Times New Roman" w:hAnsi="Times New Roman"/>
      <w:sz w:val="24"/>
      <w:szCs w:val="24"/>
    </w:rPr>
  </w:style>
  <w:style w:type="paragraph" w:styleId="14">
    <w:name w:val="Title"/>
    <w:basedOn w:val="1"/>
    <w:next w:val="1"/>
    <w:link w:val="31"/>
    <w:qFormat/>
    <w:uiPriority w:val="0"/>
    <w:pPr>
      <w:ind w:firstLine="0" w:firstLineChars="0"/>
      <w:jc w:val="center"/>
    </w:pPr>
    <w:rPr>
      <w:rFonts w:eastAsia="黑体" w:asciiTheme="majorHAnsi" w:hAnsiTheme="majorHAnsi" w:cstheme="majorBidi"/>
      <w:bCs/>
      <w:sz w:val="44"/>
      <w:szCs w:val="32"/>
    </w:rPr>
  </w:style>
  <w:style w:type="paragraph" w:styleId="15">
    <w:name w:val="annotation subject"/>
    <w:basedOn w:val="6"/>
    <w:next w:val="6"/>
    <w:link w:val="26"/>
    <w:qFormat/>
    <w:uiPriority w:val="0"/>
    <w:rPr>
      <w:rFonts w:ascii="Calibri" w:hAnsi="Calibri"/>
      <w:b/>
      <w:bCs/>
      <w:szCs w:val="22"/>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99"/>
    <w:rPr>
      <w:color w:val="0000FF"/>
      <w:u w:val="single"/>
    </w:rPr>
  </w:style>
  <w:style w:type="character" w:styleId="20">
    <w:name w:val="annotation reference"/>
    <w:basedOn w:val="18"/>
    <w:qFormat/>
    <w:uiPriority w:val="0"/>
    <w:rPr>
      <w:sz w:val="21"/>
      <w:szCs w:val="21"/>
    </w:rPr>
  </w:style>
  <w:style w:type="character" w:customStyle="1" w:styleId="21">
    <w:name w:val="正文缩进 字符"/>
    <w:basedOn w:val="18"/>
    <w:link w:val="5"/>
    <w:qFormat/>
    <w:uiPriority w:val="0"/>
    <w:rPr>
      <w:rFonts w:ascii="Times New Roman" w:hAnsi="Times New Roman" w:eastAsia="宋体" w:cs="Times New Roman"/>
      <w:kern w:val="2"/>
      <w:sz w:val="21"/>
    </w:rPr>
  </w:style>
  <w:style w:type="character" w:customStyle="1" w:styleId="22">
    <w:name w:val="正文文本缩进 字符"/>
    <w:basedOn w:val="18"/>
    <w:link w:val="8"/>
    <w:qFormat/>
    <w:uiPriority w:val="0"/>
    <w:rPr>
      <w:rFonts w:ascii="Calibri" w:hAnsi="Calibri" w:eastAsia="宋体" w:cs="Times New Roman"/>
      <w:kern w:val="2"/>
      <w:sz w:val="21"/>
      <w:szCs w:val="22"/>
    </w:rPr>
  </w:style>
  <w:style w:type="character" w:customStyle="1" w:styleId="23">
    <w:name w:val="标题 1 字符"/>
    <w:basedOn w:val="18"/>
    <w:link w:val="2"/>
    <w:qFormat/>
    <w:uiPriority w:val="0"/>
    <w:rPr>
      <w:rFonts w:ascii="Calibri" w:hAnsi="Calibri" w:eastAsia="宋体" w:cs="Times New Roman"/>
      <w:b/>
      <w:bCs/>
      <w:kern w:val="44"/>
      <w:sz w:val="44"/>
      <w:szCs w:val="44"/>
    </w:rPr>
  </w:style>
  <w:style w:type="character" w:customStyle="1" w:styleId="24">
    <w:name w:val="批注文字 字符"/>
    <w:basedOn w:val="18"/>
    <w:link w:val="6"/>
    <w:qFormat/>
    <w:uiPriority w:val="99"/>
    <w:rPr>
      <w:rFonts w:ascii="Times New Roman" w:hAnsi="Times New Roman" w:eastAsia="宋体" w:cs="Times New Roman"/>
      <w:kern w:val="2"/>
      <w:sz w:val="21"/>
    </w:rPr>
  </w:style>
  <w:style w:type="character" w:customStyle="1" w:styleId="25">
    <w:name w:val="批注框文本 字符"/>
    <w:basedOn w:val="18"/>
    <w:link w:val="9"/>
    <w:qFormat/>
    <w:uiPriority w:val="0"/>
    <w:rPr>
      <w:rFonts w:ascii="Calibri" w:hAnsi="Calibri" w:eastAsia="宋体" w:cs="Times New Roman"/>
      <w:kern w:val="2"/>
      <w:sz w:val="18"/>
      <w:szCs w:val="18"/>
    </w:rPr>
  </w:style>
  <w:style w:type="character" w:customStyle="1" w:styleId="26">
    <w:name w:val="批注主题 字符"/>
    <w:basedOn w:val="24"/>
    <w:link w:val="15"/>
    <w:qFormat/>
    <w:uiPriority w:val="0"/>
    <w:rPr>
      <w:rFonts w:ascii="Calibri" w:hAnsi="Calibri" w:eastAsia="宋体" w:cs="Times New Roman"/>
      <w:b/>
      <w:bCs/>
      <w:kern w:val="2"/>
      <w:sz w:val="21"/>
      <w:szCs w:val="22"/>
    </w:rPr>
  </w:style>
  <w:style w:type="character" w:customStyle="1" w:styleId="27">
    <w:name w:val="页眉 字符"/>
    <w:basedOn w:val="18"/>
    <w:link w:val="11"/>
    <w:qFormat/>
    <w:uiPriority w:val="0"/>
    <w:rPr>
      <w:rFonts w:ascii="Calibri" w:hAnsi="Calibri" w:eastAsia="宋体" w:cs="Times New Roman"/>
      <w:kern w:val="2"/>
      <w:sz w:val="18"/>
      <w:szCs w:val="18"/>
    </w:rPr>
  </w:style>
  <w:style w:type="character" w:customStyle="1" w:styleId="28">
    <w:name w:val="页脚 字符"/>
    <w:basedOn w:val="18"/>
    <w:link w:val="10"/>
    <w:qFormat/>
    <w:uiPriority w:val="99"/>
    <w:rPr>
      <w:rFonts w:ascii="Calibri" w:hAnsi="Calibri" w:eastAsia="宋体" w:cs="Times New Roman"/>
      <w:kern w:val="2"/>
      <w:sz w:val="18"/>
      <w:szCs w:val="18"/>
    </w:rPr>
  </w:style>
  <w:style w:type="character" w:customStyle="1" w:styleId="29">
    <w:name w:val="列表段落 字符"/>
    <w:link w:val="30"/>
    <w:qFormat/>
    <w:locked/>
    <w:uiPriority w:val="0"/>
  </w:style>
  <w:style w:type="paragraph" w:styleId="30">
    <w:name w:val="List Paragraph"/>
    <w:basedOn w:val="1"/>
    <w:link w:val="29"/>
    <w:qFormat/>
    <w:uiPriority w:val="34"/>
    <w:pPr>
      <w:ind w:firstLine="420"/>
    </w:pPr>
    <w:rPr>
      <w:rFonts w:asciiTheme="minorHAnsi" w:hAnsiTheme="minorHAnsi" w:eastAsiaTheme="minorEastAsia" w:cstheme="minorBidi"/>
      <w:kern w:val="0"/>
      <w:sz w:val="20"/>
      <w:szCs w:val="20"/>
    </w:rPr>
  </w:style>
  <w:style w:type="character" w:customStyle="1" w:styleId="31">
    <w:name w:val="标题 字符"/>
    <w:basedOn w:val="18"/>
    <w:link w:val="14"/>
    <w:qFormat/>
    <w:uiPriority w:val="0"/>
    <w:rPr>
      <w:rFonts w:eastAsia="黑体" w:asciiTheme="majorHAnsi" w:hAnsiTheme="majorHAnsi" w:cstheme="majorBidi"/>
      <w:bCs/>
      <w:kern w:val="2"/>
      <w:sz w:val="44"/>
      <w:szCs w:val="32"/>
    </w:rPr>
  </w:style>
  <w:style w:type="character" w:customStyle="1" w:styleId="32">
    <w:name w:val="正文文本 字符"/>
    <w:basedOn w:val="18"/>
    <w:link w:val="7"/>
    <w:qFormat/>
    <w:uiPriority w:val="0"/>
    <w:rPr>
      <w:rFonts w:eastAsia="仿宋_GB2312"/>
      <w:b/>
      <w:bCs/>
      <w:kern w:val="2"/>
      <w:sz w:val="24"/>
      <w:szCs w:val="24"/>
    </w:rPr>
  </w:style>
  <w:style w:type="character" w:customStyle="1" w:styleId="33">
    <w:name w:val="副标题 字符"/>
    <w:basedOn w:val="18"/>
    <w:link w:val="12"/>
    <w:qFormat/>
    <w:uiPriority w:val="0"/>
    <w:rPr>
      <w:rFonts w:eastAsia="楷体_GB2312" w:asciiTheme="minorHAnsi" w:hAnsiTheme="minorHAnsi" w:cstheme="minorBidi"/>
      <w:b/>
      <w:bCs/>
      <w:kern w:val="28"/>
      <w:sz w:val="32"/>
      <w:szCs w:val="32"/>
    </w:rPr>
  </w:style>
  <w:style w:type="paragraph" w:customStyle="1" w:styleId="34">
    <w:name w:val="列表段落1"/>
    <w:basedOn w:val="1"/>
    <w:qFormat/>
    <w:uiPriority w:val="34"/>
    <w:pPr>
      <w:ind w:firstLine="420" w:firstLineChars="200"/>
    </w:pPr>
    <w:rPr>
      <w:rFonts w:ascii="Calibri" w:hAnsi="Calibri"/>
      <w:szCs w:val="22"/>
    </w:rPr>
  </w:style>
  <w:style w:type="paragraph" w:customStyle="1" w:styleId="35">
    <w:name w:val="表格文字"/>
    <w:basedOn w:val="1"/>
    <w:qFormat/>
    <w:uiPriority w:val="0"/>
    <w:pPr>
      <w:autoSpaceDE w:val="0"/>
      <w:autoSpaceDN w:val="0"/>
      <w:adjustRightInd w:val="0"/>
      <w:spacing w:before="100" w:beforeAutospacing="1" w:after="100" w:afterAutospacing="1" w:line="360" w:lineRule="auto"/>
      <w:jc w:val="center"/>
      <w:textAlignment w:val="baseline"/>
    </w:pPr>
    <w:rPr>
      <w:color w:val="00000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862</Words>
  <Characters>980</Characters>
  <Lines>22</Lines>
  <Paragraphs>6</Paragraphs>
  <TotalTime>5</TotalTime>
  <ScaleCrop>false</ScaleCrop>
  <LinksUpToDate>false</LinksUpToDate>
  <CharactersWithSpaces>982</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2024-10-16T19:46:00Z</dcterms:created>
  <dc:creator>Administrator</dc:creator>
  <cp:lastModifiedBy>林巧明</cp:lastModifiedBy>
  <cp:lastPrinted>2019-05-28T00:39:00Z</cp:lastPrinted>
  <dcterms:modified xsi:type="dcterms:W3CDTF">2025-12-04T17:39:50Z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841C564837084B15A03F3D2563907001_13</vt:lpwstr>
  </property>
  <property fmtid="{D5CDD505-2E9C-101B-9397-08002B2CF9AE}" pid="4" name="KSOTemplateDocerSaveRecord">
    <vt:lpwstr>eyJoZGlkIjoiNWMyMTcwNTU1NTVkNTkyNzliOGVlZTI5NDZkNGFmZGIiLCJ1c2VySWQiOiIyOTU4MjEzMDIifQ==</vt:lpwstr>
  </property>
</Properties>
</file>