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1"/>
        <w:spacing w:before="454" w:after="454"/>
        <w:ind w:right="454"/>
        <w:jc w:val="both"/>
        <w:outlineLvl w:val="0"/>
        <w:rPr>
          <w:b/>
          <w:bCs/>
          <w:sz w:val="40"/>
          <w:szCs w:val="40"/>
        </w:rPr>
      </w:pPr>
      <w:bookmarkStart w:id="0" w:name="_Hlk71456902"/>
      <w:r>
        <w:rPr>
          <w:rFonts w:hint="eastAsia"/>
          <w:b/>
          <w:bCs/>
          <w:sz w:val="40"/>
          <w:szCs w:val="40"/>
        </w:rPr>
        <w:t xml:space="preserve"> </w:t>
      </w:r>
    </w:p>
    <w:p w14:paraId="62C29EFE">
      <w:pPr>
        <w:pStyle w:val="21"/>
        <w:ind w:right="454"/>
        <w:jc w:val="center"/>
        <w:outlineLvl w:val="0"/>
        <w:rPr>
          <w:rFonts w:hint="default"/>
          <w:b/>
          <w:bCs/>
          <w:sz w:val="40"/>
          <w:szCs w:val="40"/>
          <w:u w:val="single"/>
          <w:lang w:val="en-US" w:eastAsia="zh-CN"/>
        </w:rPr>
      </w:pPr>
      <w:r>
        <w:rPr>
          <w:rFonts w:hint="eastAsia"/>
          <w:b/>
          <w:bCs/>
          <w:sz w:val="40"/>
          <w:szCs w:val="40"/>
        </w:rPr>
        <w:t>深圳市龙岗区耳鼻咽喉医院</w:t>
      </w:r>
      <w:r>
        <w:rPr>
          <w:rFonts w:hint="eastAsia"/>
          <w:b/>
          <w:bCs/>
          <w:sz w:val="40"/>
          <w:szCs w:val="40"/>
          <w:u w:val="single"/>
          <w:lang w:val="en-US" w:eastAsia="zh-CN"/>
        </w:rPr>
        <w:t>市场化购电</w:t>
      </w:r>
    </w:p>
    <w:p w14:paraId="1AC5BADA">
      <w:pPr>
        <w:pStyle w:val="21"/>
        <w:ind w:right="454"/>
        <w:jc w:val="center"/>
        <w:outlineLvl w:val="0"/>
        <w:rPr>
          <w:b/>
          <w:bCs/>
          <w:sz w:val="40"/>
          <w:szCs w:val="40"/>
          <w:u w:val="single"/>
        </w:rPr>
      </w:pPr>
      <w:r>
        <w:rPr>
          <w:rFonts w:hint="eastAsia"/>
          <w:b/>
          <w:bCs/>
          <w:sz w:val="40"/>
          <w:szCs w:val="40"/>
          <w:u w:val="single"/>
          <w:lang w:val="en-US" w:eastAsia="zh-CN"/>
        </w:rPr>
        <w:t>（含绿证或绿电）</w:t>
      </w:r>
      <w:r>
        <w:rPr>
          <w:rFonts w:hint="eastAsia"/>
          <w:b/>
          <w:bCs/>
          <w:sz w:val="40"/>
          <w:szCs w:val="40"/>
          <w:lang w:val="en-US" w:eastAsia="zh-CN"/>
        </w:rPr>
        <w:t>采购</w:t>
      </w:r>
      <w:r>
        <w:rPr>
          <w:rFonts w:hint="eastAsia"/>
          <w:b/>
          <w:bCs/>
          <w:sz w:val="40"/>
          <w:szCs w:val="40"/>
        </w:rPr>
        <w:t>项目</w:t>
      </w:r>
    </w:p>
    <w:p w14:paraId="00DA3CFD">
      <w:pPr>
        <w:pStyle w:val="21"/>
        <w:ind w:right="454"/>
        <w:jc w:val="center"/>
        <w:outlineLvl w:val="0"/>
        <w:rPr>
          <w:b/>
          <w:bCs/>
          <w:sz w:val="40"/>
          <w:szCs w:val="40"/>
          <w:u w:val="single"/>
        </w:rPr>
      </w:pPr>
    </w:p>
    <w:p w14:paraId="79904049">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14:paraId="6665D3AB">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eastAsia"/>
                <w:sz w:val="30"/>
                <w:szCs w:val="30"/>
                <w:lang w:val="en-US" w:eastAsia="zh-CN"/>
              </w:rPr>
              <w:t>ENT202512-001</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eastAsia" w:eastAsia="宋体"/>
                <w:sz w:val="30"/>
                <w:szCs w:val="30"/>
                <w:u w:val="single"/>
                <w:lang w:val="en-US" w:eastAsia="zh-CN"/>
              </w:rPr>
              <w:t>市场化购电（含绿证或绿电）</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8"/>
        <w:ind w:firstLine="422"/>
        <w:rPr>
          <w:rFonts w:hint="eastAsia" w:ascii="宋体" w:hAnsi="宋体" w:eastAsia="宋体" w:cs="宋体"/>
          <w:b/>
          <w:sz w:val="21"/>
          <w:szCs w:val="21"/>
        </w:rPr>
      </w:pPr>
    </w:p>
    <w:p w14:paraId="4DDEB75B">
      <w:pPr>
        <w:pStyle w:val="2"/>
        <w:rPr>
          <w:rFonts w:hint="eastAsia" w:ascii="宋体" w:hAnsi="宋体" w:eastAsia="宋体" w:cs="宋体"/>
          <w:b/>
          <w:sz w:val="21"/>
          <w:szCs w:val="21"/>
        </w:rPr>
      </w:pPr>
    </w:p>
    <w:p w14:paraId="728D3549">
      <w:pPr>
        <w:pStyle w:val="22"/>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2"/>
        <w:rPr>
          <w:rFonts w:hint="eastAsia" w:ascii="宋体" w:hAnsi="宋体" w:eastAsia="宋体" w:cs="宋体"/>
          <w:sz w:val="21"/>
          <w:szCs w:val="21"/>
        </w:rPr>
      </w:pPr>
    </w:p>
    <w:p w14:paraId="0A5AB0FE">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3"/>
        <w:rPr>
          <w:rFonts w:ascii="Calibri" w:hAnsi="Calibri" w:eastAsia="宋体"/>
          <w:b/>
          <w:bCs/>
          <w:kern w:val="2"/>
          <w:sz w:val="32"/>
          <w:szCs w:val="40"/>
        </w:rPr>
      </w:pPr>
    </w:p>
    <w:p w14:paraId="6664EAB2">
      <w:pPr>
        <w:pStyle w:val="21"/>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406EB345">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A1、A2、……An 分别为各项评审因素所占的权重(A1＋A2＋……＋An＝1)。 </w:t>
            </w:r>
          </w:p>
          <w:p w14:paraId="1C39C5F8">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评标过程中，去掉报价中的最高报价和最低报价。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此方法适用于货物类、服务类、工程类项目。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eastAsia" w:ascii="宋体" w:hAnsi="宋体" w:eastAsia="宋体" w:cs="宋体"/>
                <w:b/>
              </w:rPr>
            </w:pPr>
            <w:r>
              <w:rPr>
                <w:rFonts w:hint="eastAsia" w:ascii="宋体" w:hAnsi="宋体" w:eastAsia="宋体" w:cs="宋体"/>
                <w:b/>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5596" w:type="dxa"/>
            <w:tcBorders>
              <w:top w:val="single" w:color="auto" w:sz="4" w:space="0"/>
              <w:left w:val="single" w:color="auto" w:sz="4" w:space="0"/>
              <w:bottom w:val="single" w:color="auto" w:sz="4" w:space="0"/>
              <w:right w:val="single" w:color="auto" w:sz="4" w:space="0"/>
            </w:tcBorders>
            <w:vAlign w:val="center"/>
          </w:tcPr>
          <w:p w14:paraId="1E04A924">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50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15</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rPr>
            </w:pPr>
            <w:r>
              <w:rPr>
                <w:rFonts w:hint="eastAsia" w:ascii="宋体" w:hAnsi="宋体" w:eastAsia="宋体" w:cs="宋体"/>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281935B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（一）评分内容：</w:t>
            </w:r>
          </w:p>
          <w:p w14:paraId="102D17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根据投标人的直购电力交易（售电行业）总体代理服务方案，包括但不限于以下内容：</w:t>
            </w:r>
          </w:p>
          <w:p w14:paraId="7768834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1.完整的管理制度；</w:t>
            </w:r>
          </w:p>
          <w:p w14:paraId="18571D5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2.直购电力交易目标及进度节点；</w:t>
            </w:r>
          </w:p>
          <w:p w14:paraId="6E45AD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3.完整的岗位职责及标准；</w:t>
            </w:r>
          </w:p>
          <w:p w14:paraId="04F4598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4.有对本项目针对性设计工作方案；</w:t>
            </w:r>
          </w:p>
          <w:p w14:paraId="04D773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5.增值服务。</w:t>
            </w:r>
          </w:p>
          <w:p w14:paraId="439A74D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（二）评分依据：</w:t>
            </w:r>
          </w:p>
          <w:p w14:paraId="3261A4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1.提供上述一项内容的得1分，最高5分，其他不得分。</w:t>
            </w:r>
          </w:p>
          <w:p w14:paraId="55B32C2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2.在此基础上，专家根据服务方案内容进行评分：</w:t>
            </w:r>
          </w:p>
          <w:p w14:paraId="31CE45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（1）方案整体科学合理、针对性强、可操作性强，评审为优的加5分；</w:t>
            </w:r>
          </w:p>
          <w:p w14:paraId="171CB85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（2）方案较合理、有一定针对性、一定可操作性，评审为良的加3分；</w:t>
            </w:r>
          </w:p>
          <w:p w14:paraId="7B1FCC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（3）方案较一般、针对性一般、可操作性一般，评审为中的加1分；</w:t>
            </w:r>
          </w:p>
          <w:p w14:paraId="06BF408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（4）方案较差、针对性、无可操作性，评审为差的不加分。</w:t>
            </w:r>
          </w:p>
          <w:p w14:paraId="156498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未提供证明材料或提供的不符合或专家无法凭所提供材料判断是否得分的情况，一律作不得分处理。</w:t>
            </w:r>
          </w:p>
        </w:tc>
      </w:tr>
      <w:tr w14:paraId="10D1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tcBorders>
              <w:left w:val="single" w:color="auto" w:sz="4" w:space="0"/>
              <w:right w:val="single" w:color="auto" w:sz="4" w:space="0"/>
            </w:tcBorders>
            <w:vAlign w:val="center"/>
          </w:tcPr>
          <w:p w14:paraId="78BF6753">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21C3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4ADFEDC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团队成员情况</w:t>
            </w:r>
          </w:p>
        </w:tc>
        <w:tc>
          <w:tcPr>
            <w:tcW w:w="1008" w:type="dxa"/>
            <w:tcBorders>
              <w:top w:val="single" w:color="auto" w:sz="4" w:space="0"/>
              <w:left w:val="single" w:color="auto" w:sz="4" w:space="0"/>
              <w:bottom w:val="single" w:color="auto" w:sz="4" w:space="0"/>
              <w:right w:val="single" w:color="auto" w:sz="4" w:space="0"/>
            </w:tcBorders>
            <w:vAlign w:val="center"/>
          </w:tcPr>
          <w:p w14:paraId="1E4D82EE">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5</w:t>
            </w:r>
          </w:p>
        </w:tc>
        <w:tc>
          <w:tcPr>
            <w:tcW w:w="5596" w:type="dxa"/>
            <w:tcBorders>
              <w:top w:val="single" w:color="auto" w:sz="4" w:space="0"/>
              <w:left w:val="single" w:color="auto" w:sz="4" w:space="0"/>
              <w:bottom w:val="single" w:color="auto" w:sz="4" w:space="0"/>
              <w:right w:val="single" w:color="auto" w:sz="4" w:space="0"/>
            </w:tcBorders>
            <w:vAlign w:val="center"/>
          </w:tcPr>
          <w:p w14:paraId="57BEC8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3DD7524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1.针对本项目拟安排的负责人（1人，需为企业正式聘任员工）具有以下要求(本项最高得2分)：</w:t>
            </w:r>
          </w:p>
          <w:p w14:paraId="460C8D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（1）具有电力交易经验（提供有效的电力交易员证书证明），得1分；</w:t>
            </w:r>
          </w:p>
          <w:p w14:paraId="55105C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（2）具有电气工程本科学历且本科毕业5年或以上（以毕业时间起算）得1分。</w:t>
            </w:r>
          </w:p>
          <w:p w14:paraId="448AAD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2.针对本项目拟安排的其他团队人员具有以下要求(本项最高得3分)：</w:t>
            </w:r>
          </w:p>
          <w:p w14:paraId="2A4182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（1）每有1人具有电力交易经验（提供有效的电力交易员证书证明），得1分。</w:t>
            </w:r>
          </w:p>
          <w:p w14:paraId="4BBC06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（二）评分标准：</w:t>
            </w:r>
          </w:p>
          <w:p w14:paraId="26C60C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提供人员有效的相关证书或证书网络查询的有效截图；2.提供社保部门出具的投标人为其缴交的近三个月任意一个月社保缴交证明材料，如社保材料因社保部门原因暂时无法取得，则可以往前顺延一个月，如投标人成立时间不足一个月的，提供成立时间不足一个月的证明文件。如相关人员为退休返聘人员，提供相关证明文件。</w:t>
            </w:r>
          </w:p>
          <w:p w14:paraId="414899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关于学位或学历证书】提供学历或学位证书复印件，还需提供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3EC1B0B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4.以上证明材料提供复印件。未提供或不满足要求的，不得分。</w:t>
            </w:r>
          </w:p>
        </w:tc>
      </w:tr>
      <w:tr w14:paraId="54F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tcBorders>
              <w:left w:val="single" w:color="auto" w:sz="4" w:space="0"/>
              <w:right w:val="single" w:color="auto" w:sz="4" w:space="0"/>
            </w:tcBorders>
            <w:vAlign w:val="center"/>
          </w:tcPr>
          <w:p w14:paraId="0B652783">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EDA88AD">
            <w:pPr>
              <w:widowControl w:val="0"/>
              <w:spacing w:line="280" w:lineRule="exact"/>
              <w:jc w:val="center"/>
              <w:rPr>
                <w:rFonts w:hint="eastAsia" w:ascii="宋体" w:hAnsi="宋体" w:eastAsia="宋体" w:cs="宋体"/>
              </w:rPr>
            </w:pPr>
          </w:p>
        </w:tc>
        <w:tc>
          <w:tcPr>
            <w:tcW w:w="1430" w:type="dxa"/>
            <w:tcBorders>
              <w:top w:val="single" w:color="auto" w:sz="4" w:space="0"/>
              <w:left w:val="single" w:color="auto" w:sz="4" w:space="0"/>
              <w:bottom w:val="single" w:color="auto" w:sz="4" w:space="0"/>
              <w:right w:val="single" w:color="auto" w:sz="4" w:space="0"/>
            </w:tcBorders>
            <w:vAlign w:val="center"/>
          </w:tcPr>
          <w:p w14:paraId="6AD5ADD9">
            <w:pPr>
              <w:widowControl w:val="0"/>
              <w:jc w:val="center"/>
              <w:rPr>
                <w:rFonts w:hint="eastAsia" w:ascii="宋体" w:hAnsi="宋体" w:eastAsia="宋体" w:cs="宋体"/>
                <w:kern w:val="2"/>
              </w:rPr>
            </w:pPr>
          </w:p>
        </w:tc>
        <w:tc>
          <w:tcPr>
            <w:tcW w:w="1008" w:type="dxa"/>
            <w:tcBorders>
              <w:top w:val="single" w:color="auto" w:sz="4" w:space="0"/>
              <w:left w:val="single" w:color="auto" w:sz="4" w:space="0"/>
              <w:bottom w:val="single" w:color="auto" w:sz="4" w:space="0"/>
              <w:right w:val="single" w:color="auto" w:sz="4" w:space="0"/>
            </w:tcBorders>
            <w:vAlign w:val="center"/>
          </w:tcPr>
          <w:p w14:paraId="45490620">
            <w:pPr>
              <w:widowControl w:val="0"/>
              <w:jc w:val="center"/>
              <w:rPr>
                <w:rFonts w:hint="eastAsia" w:ascii="宋体" w:hAnsi="宋体" w:eastAsia="宋体" w:cs="宋体"/>
              </w:rPr>
            </w:pPr>
          </w:p>
        </w:tc>
        <w:tc>
          <w:tcPr>
            <w:tcW w:w="5596" w:type="dxa"/>
            <w:tcBorders>
              <w:top w:val="single" w:color="auto" w:sz="4" w:space="0"/>
              <w:left w:val="single" w:color="auto" w:sz="4" w:space="0"/>
              <w:bottom w:val="single" w:color="auto" w:sz="4" w:space="0"/>
              <w:right w:val="single" w:color="auto" w:sz="4" w:space="0"/>
            </w:tcBorders>
            <w:vAlign w:val="center"/>
          </w:tcPr>
          <w:p w14:paraId="75DB9B69">
            <w:pPr>
              <w:widowControl w:val="0"/>
              <w:ind w:firstLine="480" w:firstLineChars="200"/>
              <w:jc w:val="both"/>
              <w:rPr>
                <w:rFonts w:hint="eastAsia" w:ascii="宋体" w:hAnsi="宋体" w:eastAsia="宋体" w:cs="宋体"/>
              </w:rPr>
            </w:pP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4" w:type="dxa"/>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6A3764D4">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30</w:t>
            </w:r>
            <w:bookmarkStart w:id="24" w:name="_GoBack"/>
            <w:bookmarkEnd w:id="24"/>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14" w:type="dxa"/>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A6DE475">
            <w:pPr>
              <w:widowControl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22B412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rPr>
            </w:pPr>
            <w:r>
              <w:rPr>
                <w:rFonts w:hint="eastAsia" w:ascii="宋体" w:hAnsi="宋体" w:eastAsia="宋体" w:cs="宋体"/>
                <w:sz w:val="24"/>
                <w:szCs w:val="24"/>
                <w:highlight w:val="none"/>
              </w:rPr>
              <w:t>同类项目业绩</w:t>
            </w:r>
          </w:p>
        </w:tc>
        <w:tc>
          <w:tcPr>
            <w:tcW w:w="1008" w:type="dxa"/>
            <w:tcBorders>
              <w:top w:val="single" w:color="auto" w:sz="4" w:space="0"/>
              <w:left w:val="single" w:color="auto" w:sz="4" w:space="0"/>
              <w:bottom w:val="single" w:color="auto" w:sz="4" w:space="0"/>
              <w:right w:val="single" w:color="auto" w:sz="4" w:space="0"/>
            </w:tcBorders>
            <w:vAlign w:val="center"/>
          </w:tcPr>
          <w:p w14:paraId="403855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rightChars="0"/>
              <w:jc w:val="center"/>
              <w:textAlignment w:val="auto"/>
              <w:rPr>
                <w:rFonts w:hint="eastAsia" w:ascii="宋体" w:hAnsi="宋体" w:eastAsia="宋体" w:cs="宋体"/>
              </w:rPr>
            </w:pPr>
            <w:r>
              <w:rPr>
                <w:rFonts w:hint="eastAsia" w:ascii="宋体" w:hAnsi="宋体" w:eastAsia="宋体" w:cs="宋体"/>
                <w:sz w:val="24"/>
                <w:highlight w:val="none"/>
                <w:lang w:val="en-US" w:eastAsia="zh-CN"/>
              </w:rPr>
              <w:t>20</w:t>
            </w:r>
          </w:p>
        </w:tc>
        <w:tc>
          <w:tcPr>
            <w:tcW w:w="5596" w:type="dxa"/>
            <w:tcBorders>
              <w:top w:val="single" w:color="auto" w:sz="4" w:space="0"/>
              <w:left w:val="single" w:color="auto" w:sz="4" w:space="0"/>
              <w:bottom w:val="single" w:color="auto" w:sz="4" w:space="0"/>
              <w:right w:val="single" w:color="auto" w:sz="4" w:space="0"/>
            </w:tcBorders>
            <w:vAlign w:val="top"/>
          </w:tcPr>
          <w:p w14:paraId="4B37F2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根据供应商2024年1月1日至本项目投标截止日（以合同生效时间为准）的电力交易代理服务同类项目业绩，按以下标准评分：</w:t>
            </w:r>
          </w:p>
          <w:p w14:paraId="72158B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1.同类项目业绩数量2-</w:t>
            </w: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eastAsia="zh-CN"/>
              </w:rPr>
              <w:t>家的，得5分；</w:t>
            </w:r>
          </w:p>
          <w:p w14:paraId="12348A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2.同类项目业绩数量</w:t>
            </w:r>
            <w:r>
              <w:rPr>
                <w:rFonts w:hint="eastAsia" w:ascii="宋体" w:hAnsi="宋体" w:eastAsia="宋体" w:cs="宋体"/>
                <w:b w:val="0"/>
                <w:bCs w:val="0"/>
                <w:color w:val="000000"/>
                <w:sz w:val="24"/>
                <w:szCs w:val="24"/>
                <w:highlight w:val="none"/>
                <w:lang w:val="en-US" w:eastAsia="zh-CN"/>
              </w:rPr>
              <w:t>6-11</w:t>
            </w:r>
            <w:r>
              <w:rPr>
                <w:rFonts w:hint="eastAsia" w:ascii="宋体" w:hAnsi="宋体" w:eastAsia="宋体" w:cs="宋体"/>
                <w:b w:val="0"/>
                <w:bCs w:val="0"/>
                <w:color w:val="000000"/>
                <w:sz w:val="24"/>
                <w:szCs w:val="24"/>
                <w:highlight w:val="none"/>
                <w:lang w:eastAsia="zh-CN"/>
              </w:rPr>
              <w:t>家的，得10分；</w:t>
            </w:r>
          </w:p>
          <w:p w14:paraId="03C707D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lang w:val="en-US"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eastAsia="zh-CN"/>
              </w:rPr>
              <w:t>同类项目业绩数量</w:t>
            </w:r>
            <w:r>
              <w:rPr>
                <w:rFonts w:hint="eastAsia" w:ascii="宋体" w:hAnsi="宋体" w:eastAsia="宋体" w:cs="宋体"/>
                <w:b w:val="0"/>
                <w:bCs w:val="0"/>
                <w:color w:val="000000"/>
                <w:sz w:val="24"/>
                <w:szCs w:val="24"/>
                <w:highlight w:val="none"/>
                <w:lang w:val="en-US" w:eastAsia="zh-CN"/>
              </w:rPr>
              <w:t>12-23</w:t>
            </w:r>
            <w:r>
              <w:rPr>
                <w:rFonts w:hint="eastAsia" w:ascii="宋体" w:hAnsi="宋体" w:eastAsia="宋体" w:cs="宋体"/>
                <w:b w:val="0"/>
                <w:bCs w:val="0"/>
                <w:color w:val="000000"/>
                <w:sz w:val="24"/>
                <w:szCs w:val="24"/>
                <w:highlight w:val="none"/>
                <w:lang w:eastAsia="zh-CN"/>
              </w:rPr>
              <w:t>家，</w:t>
            </w:r>
            <w:r>
              <w:rPr>
                <w:rFonts w:hint="eastAsia" w:ascii="宋体" w:hAnsi="宋体" w:eastAsia="宋体" w:cs="宋体"/>
                <w:b w:val="0"/>
                <w:bCs w:val="0"/>
                <w:color w:val="000000"/>
                <w:sz w:val="24"/>
                <w:szCs w:val="24"/>
                <w:highlight w:val="none"/>
                <w:lang w:val="en-US" w:eastAsia="zh-CN"/>
              </w:rPr>
              <w:t>得15分</w:t>
            </w:r>
          </w:p>
          <w:p w14:paraId="02B2D4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3.同类项目业绩数量24家及以上的，得</w:t>
            </w:r>
            <w:r>
              <w:rPr>
                <w:rFonts w:hint="eastAsia" w:ascii="宋体" w:hAnsi="宋体" w:eastAsia="宋体" w:cs="宋体"/>
                <w:b w:val="0"/>
                <w:bCs w:val="0"/>
                <w:color w:val="000000"/>
                <w:sz w:val="24"/>
                <w:szCs w:val="24"/>
                <w:highlight w:val="none"/>
                <w:lang w:val="en-US" w:eastAsia="zh-CN"/>
              </w:rPr>
              <w:t>20</w:t>
            </w:r>
            <w:r>
              <w:rPr>
                <w:rFonts w:hint="eastAsia" w:ascii="宋体" w:hAnsi="宋体" w:eastAsia="宋体" w:cs="宋体"/>
                <w:b w:val="0"/>
                <w:bCs w:val="0"/>
                <w:color w:val="000000"/>
                <w:sz w:val="24"/>
                <w:szCs w:val="24"/>
                <w:highlight w:val="none"/>
                <w:lang w:eastAsia="zh-CN"/>
              </w:rPr>
              <w:t>分。</w:t>
            </w:r>
          </w:p>
          <w:p w14:paraId="0C0E55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（二）评分标准：</w:t>
            </w:r>
          </w:p>
          <w:p w14:paraId="49BB96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1.提供合同关键页（关键信息包括但不仅限于合同的项目名称、服务内容、合同服务期限、甲乙双方签字盖章页）且提供的材料各项信息不得有任何遮挡；</w:t>
            </w:r>
          </w:p>
          <w:p w14:paraId="69E778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2.通过合同关键信息无法判断是否得分的，还需提供能证明得分的其它证明资料，如项目报告或合同甲方出具的证明文件；</w:t>
            </w:r>
          </w:p>
          <w:p w14:paraId="2F00F1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3.提供以上证明文件复印件或扫描件，如涉及网站截图或照片等证明材料,需提供清晰图片,均要求加盖供应商公章,原件备查。未按要求提供有效证明材料或提供不清晰导致评委无法识别的不计得分。</w:t>
            </w:r>
          </w:p>
          <w:p w14:paraId="3F6A59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b w:val="0"/>
                <w:bCs w:val="0"/>
                <w:color w:val="000000"/>
                <w:sz w:val="24"/>
                <w:szCs w:val="24"/>
                <w:highlight w:val="none"/>
                <w:lang w:eastAsia="zh-CN"/>
              </w:rPr>
              <w:t>4.含本数，同一个业主单位业绩不重复计分且长期续签合同只计算一个业绩。</w:t>
            </w:r>
          </w:p>
        </w:tc>
      </w:tr>
      <w:tr w14:paraId="4CE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014" w:type="dxa"/>
            <w:tcBorders>
              <w:left w:val="single" w:color="auto" w:sz="4" w:space="0"/>
              <w:right w:val="single" w:color="auto" w:sz="4" w:space="0"/>
            </w:tcBorders>
            <w:vAlign w:val="center"/>
          </w:tcPr>
          <w:p w14:paraId="6CEE7132">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58DAD2">
            <w:pPr>
              <w:widowControl w:val="0"/>
              <w:spacing w:line="280" w:lineRule="exact"/>
              <w:jc w:val="center"/>
              <w:rPr>
                <w:rFonts w:hint="eastAsia" w:ascii="宋体" w:hAnsi="宋体" w:eastAsia="宋体" w:cs="宋体"/>
                <w:lang w:eastAsia="zh-CN"/>
              </w:rPr>
            </w:pPr>
            <w:r>
              <w:rPr>
                <w:rFonts w:hint="eastAsia" w:ascii="宋体" w:hAnsi="宋体" w:eastAsia="宋体" w:cs="宋体"/>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34719934">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jc w:val="center"/>
              <w:rPr>
                <w:rFonts w:hint="eastAsia" w:ascii="宋体" w:hAnsi="宋体" w:eastAsia="宋体" w:cs="宋体"/>
              </w:rPr>
            </w:pPr>
            <w:r>
              <w:rPr>
                <w:rFonts w:hint="eastAsia" w:ascii="宋体" w:hAnsi="宋体" w:eastAsia="宋体" w:cs="宋体"/>
                <w:sz w:val="24"/>
                <w:szCs w:val="24"/>
                <w:highlight w:val="none"/>
              </w:rPr>
              <w:t>信用等级认证</w:t>
            </w:r>
          </w:p>
        </w:tc>
        <w:tc>
          <w:tcPr>
            <w:tcW w:w="1008" w:type="dxa"/>
            <w:tcBorders>
              <w:top w:val="single" w:color="auto" w:sz="4" w:space="0"/>
              <w:left w:val="single" w:color="auto" w:sz="4" w:space="0"/>
              <w:bottom w:val="single" w:color="auto" w:sz="4" w:space="0"/>
              <w:right w:val="single" w:color="auto" w:sz="4" w:space="0"/>
            </w:tcBorders>
            <w:vAlign w:val="center"/>
          </w:tcPr>
          <w:p w14:paraId="0A33ACA1">
            <w:pPr>
              <w:pStyle w:val="68"/>
              <w:keepNext w:val="0"/>
              <w:keepLines w:val="0"/>
              <w:suppressLineNumbers w:val="0"/>
              <w:spacing w:before="65" w:beforeAutospacing="0" w:after="0" w:afterAutospacing="0" w:line="186" w:lineRule="auto"/>
              <w:ind w:left="0" w:leftChars="0" w:right="0" w:rightChars="0"/>
              <w:jc w:val="center"/>
              <w:rPr>
                <w:rFonts w:hint="eastAsia" w:ascii="宋体" w:hAnsi="宋体" w:eastAsia="宋体" w:cs="宋体"/>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top"/>
          </w:tcPr>
          <w:p w14:paraId="442F37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（一）评审内容：</w:t>
            </w:r>
          </w:p>
          <w:p w14:paraId="1013C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根据投标人提供的广东电力市场2025年信用评价结果进行评审,信用评价等级为AAA级及以上的，得</w:t>
            </w:r>
            <w:r>
              <w:rPr>
                <w:rFonts w:hint="eastAsia" w:ascii="宋体" w:hAnsi="宋体" w:eastAsia="宋体"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lang w:eastAsia="zh-CN"/>
              </w:rPr>
              <w:t>分；信用评价等级为AA级的，得6分；信用评价等级为A级的；得</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分。</w:t>
            </w:r>
            <w:r>
              <w:rPr>
                <w:rFonts w:hint="eastAsia" w:ascii="宋体" w:hAnsi="宋体" w:eastAsia="宋体" w:cs="宋体"/>
                <w:b w:val="0"/>
                <w:bCs w:val="0"/>
                <w:color w:val="000000"/>
                <w:sz w:val="24"/>
                <w:szCs w:val="24"/>
                <w:highlight w:val="none"/>
                <w:lang w:val="en-US" w:eastAsia="zh-CN"/>
              </w:rPr>
              <w:t>其余不得分，</w:t>
            </w:r>
            <w:r>
              <w:rPr>
                <w:rFonts w:hint="eastAsia" w:ascii="宋体" w:hAnsi="宋体" w:eastAsia="宋体" w:cs="宋体"/>
                <w:b w:val="0"/>
                <w:bCs w:val="0"/>
                <w:color w:val="000000"/>
                <w:sz w:val="24"/>
                <w:szCs w:val="24"/>
                <w:highlight w:val="none"/>
                <w:lang w:eastAsia="zh-CN"/>
              </w:rPr>
              <w:t>本项最高得</w:t>
            </w:r>
            <w:r>
              <w:rPr>
                <w:rFonts w:hint="eastAsia" w:ascii="宋体" w:hAnsi="宋体" w:eastAsia="宋体"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lang w:eastAsia="zh-CN"/>
              </w:rPr>
              <w:t>分。</w:t>
            </w:r>
          </w:p>
          <w:p w14:paraId="09A06E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（二）评分标准：</w:t>
            </w:r>
          </w:p>
          <w:p w14:paraId="78BB6F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b w:val="0"/>
                <w:bCs w:val="0"/>
                <w:color w:val="000000"/>
                <w:sz w:val="24"/>
                <w:szCs w:val="24"/>
                <w:highlight w:val="none"/>
                <w:lang w:eastAsia="zh-CN"/>
              </w:rPr>
              <w:t>以2025年广东省电力市场信用评价结果截图作为证明资料；投标人因未在广东省电力交易中心注册备案或2024年04月（含）之后在广东省电力交易中心注册备案且连续交易不满十二个月的亦视为其信用评价等级为AAA级及以上，投标人需提供承诺函加盖投标人公章作为证明材料，格式自拟。其他或不提供不得分。</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4" w:type="dxa"/>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1430" w:type="dxa"/>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64F4FC8E">
            <w:pPr>
              <w:widowControl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widowControl w:val="0"/>
              <w:ind w:firstLine="480" w:firstLineChars="200"/>
              <w:jc w:val="both"/>
              <w:rPr>
                <w:rFonts w:hint="eastAsia" w:ascii="宋体" w:hAnsi="宋体" w:eastAsia="宋体" w:cs="宋体"/>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1067516E">
      <w:pPr>
        <w:rPr>
          <w:rFonts w:hint="default" w:ascii="仿宋" w:hAnsi="仿宋" w:eastAsia="仿宋" w:cs="仿宋"/>
          <w:b/>
          <w:bCs/>
          <w:color w:val="FF0000"/>
          <w:sz w:val="24"/>
          <w:szCs w:val="24"/>
          <w:highlight w:val="yellow"/>
        </w:rPr>
      </w:pPr>
      <w:bookmarkStart w:id="1" w:name="bt投标人须知"/>
      <w:bookmarkEnd w:id="1"/>
      <w:bookmarkStart w:id="2" w:name="bt开标一览表"/>
      <w:bookmarkEnd w:id="2"/>
      <w:bookmarkStart w:id="3" w:name="bt合同格式"/>
      <w:bookmarkEnd w:id="3"/>
      <w:bookmarkStart w:id="4" w:name="bt投标人情况介绍"/>
      <w:bookmarkEnd w:id="4"/>
      <w:bookmarkStart w:id="5" w:name="bt技术标投标文件格式"/>
      <w:bookmarkEnd w:id="5"/>
      <w:bookmarkStart w:id="6" w:name="bt投标函"/>
      <w:bookmarkEnd w:id="6"/>
      <w:bookmarkStart w:id="7" w:name="bt合同条款"/>
      <w:bookmarkEnd w:id="7"/>
      <w:bookmarkStart w:id="8" w:name="合同格式"/>
      <w:bookmarkEnd w:id="8"/>
      <w:bookmarkStart w:id="9" w:name="bt本工程承诺书"/>
      <w:bookmarkEnd w:id="9"/>
      <w:bookmarkStart w:id="10" w:name="bt合同条款及格式"/>
      <w:bookmarkEnd w:id="10"/>
      <w:bookmarkStart w:id="11" w:name="bt项目管理班子配备情况"/>
      <w:bookmarkEnd w:id="11"/>
      <w:bookmarkStart w:id="12" w:name="bt投标文件签署授权委托书"/>
      <w:bookmarkEnd w:id="12"/>
      <w:bookmarkStart w:id="13" w:name="bt其他资料由投标人自定"/>
      <w:bookmarkEnd w:id="13"/>
      <w:bookmarkStart w:id="14" w:name="bt其他资料2"/>
      <w:bookmarkEnd w:id="14"/>
      <w:bookmarkStart w:id="15" w:name="bt商务标投标文件格式"/>
      <w:bookmarkEnd w:id="15"/>
      <w:bookmarkStart w:id="16" w:name="bt投标报价汇总表"/>
      <w:bookmarkEnd w:id="16"/>
      <w:bookmarkStart w:id="17" w:name="bt说明"/>
      <w:bookmarkEnd w:id="17"/>
      <w:bookmarkStart w:id="18" w:name="_Toc76544499"/>
      <w:bookmarkStart w:id="19" w:name="_Toc432592813"/>
      <w:bookmarkStart w:id="20" w:name="_Toc265483798"/>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0"/>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5"/>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5"/>
        <w:tblW w:w="5264"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1465"/>
        <w:gridCol w:w="2025"/>
        <w:gridCol w:w="564"/>
        <w:gridCol w:w="561"/>
        <w:gridCol w:w="1820"/>
        <w:gridCol w:w="2576"/>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58"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754"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1043"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290"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288"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937" w:type="pct"/>
            <w:shd w:val="clear" w:color="auto" w:fill="auto"/>
            <w:tcMar>
              <w:top w:w="15" w:type="dxa"/>
              <w:left w:w="15" w:type="dxa"/>
              <w:bottom w:w="15" w:type="dxa"/>
              <w:right w:w="15" w:type="dxa"/>
            </w:tcMar>
            <w:vAlign w:val="center"/>
          </w:tcPr>
          <w:p w14:paraId="4B22A15F">
            <w:pPr>
              <w:widowControl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固定价格上限</w:t>
            </w:r>
          </w:p>
        </w:tc>
        <w:tc>
          <w:tcPr>
            <w:tcW w:w="1326"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58"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754"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ENT202512-001</w:t>
            </w:r>
          </w:p>
        </w:tc>
        <w:tc>
          <w:tcPr>
            <w:tcW w:w="1043" w:type="pct"/>
            <w:tcMar>
              <w:top w:w="15" w:type="dxa"/>
              <w:left w:w="15" w:type="dxa"/>
              <w:bottom w:w="15" w:type="dxa"/>
              <w:right w:w="15" w:type="dxa"/>
            </w:tcMar>
            <w:vAlign w:val="center"/>
          </w:tcPr>
          <w:p w14:paraId="38B93C72">
            <w:pPr>
              <w:widowControl w:val="0"/>
              <w:adjustRightInd w:val="0"/>
              <w:snapToGrid w:val="0"/>
              <w:jc w:val="center"/>
              <w:rPr>
                <w:rFonts w:hint="default" w:eastAsia="宋体"/>
                <w:lang w:val="en-US" w:eastAsia="zh-CN"/>
              </w:rPr>
            </w:pPr>
            <w:r>
              <w:rPr>
                <w:rFonts w:hint="default" w:eastAsia="宋体"/>
                <w:lang w:val="en-US" w:eastAsia="zh-CN"/>
              </w:rPr>
              <w:t>市场化购电（含绿证或绿电）</w:t>
            </w:r>
          </w:p>
        </w:tc>
        <w:tc>
          <w:tcPr>
            <w:tcW w:w="290"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288" w:type="pct"/>
            <w:tcMar>
              <w:top w:w="15" w:type="dxa"/>
              <w:left w:w="15" w:type="dxa"/>
              <w:bottom w:w="15" w:type="dxa"/>
              <w:right w:w="15" w:type="dxa"/>
            </w:tcMar>
            <w:vAlign w:val="center"/>
          </w:tcPr>
          <w:p w14:paraId="155E66EA">
            <w:pPr>
              <w:widowControl w:val="0"/>
              <w:adjustRightInd w:val="0"/>
              <w:snapToGrid w:val="0"/>
              <w:jc w:val="center"/>
              <w:rPr>
                <w:rFonts w:hint="eastAsia" w:eastAsia="宋体"/>
                <w:lang w:eastAsia="zh-CN"/>
              </w:rPr>
            </w:pPr>
            <w:r>
              <w:rPr>
                <w:rFonts w:hint="eastAsia" w:eastAsia="宋体"/>
                <w:lang w:val="en-US" w:eastAsia="zh-CN"/>
              </w:rPr>
              <w:t>项</w:t>
            </w:r>
          </w:p>
        </w:tc>
        <w:tc>
          <w:tcPr>
            <w:tcW w:w="937" w:type="pct"/>
            <w:shd w:val="clear" w:color="auto" w:fill="auto"/>
            <w:tcMar>
              <w:top w:w="15" w:type="dxa"/>
              <w:left w:w="15" w:type="dxa"/>
              <w:bottom w:w="15" w:type="dxa"/>
              <w:right w:w="15" w:type="dxa"/>
            </w:tcMar>
            <w:vAlign w:val="center"/>
          </w:tcPr>
          <w:p w14:paraId="3B57CC61">
            <w:pPr>
              <w:widowControl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0.4元/千瓦时</w:t>
            </w:r>
          </w:p>
        </w:tc>
        <w:tc>
          <w:tcPr>
            <w:tcW w:w="1326" w:type="pct"/>
            <w:tcMar>
              <w:top w:w="15" w:type="dxa"/>
              <w:left w:w="15" w:type="dxa"/>
              <w:bottom w:w="15" w:type="dxa"/>
              <w:right w:w="15" w:type="dxa"/>
            </w:tcMar>
            <w:vAlign w:val="center"/>
          </w:tcPr>
          <w:p w14:paraId="3BA326B6">
            <w:pPr>
              <w:widowControl w:val="0"/>
              <w:adjustRightInd w:val="0"/>
              <w:snapToGrid w:val="0"/>
              <w:jc w:val="center"/>
              <w:rPr>
                <w:rFonts w:hint="default" w:ascii="宋体" w:hAnsi="宋体" w:eastAsia="宋体" w:cs="宋体"/>
                <w:lang w:val="en-US" w:eastAsia="zh-CN"/>
              </w:rPr>
            </w:pPr>
            <w:r>
              <w:rPr>
                <w:rFonts w:hint="eastAsia" w:ascii="Times New Roman" w:hAnsi="Times New Roman" w:eastAsia="宋体" w:cs="Times New Roman"/>
                <w:lang w:val="en-US" w:eastAsia="zh-CN"/>
              </w:rPr>
              <w:t>服务期限为自合同签订之日起一年。采购人可根据项目履约情况续签合同，最多可续签两次。</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4EDA00B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6DFC7F2F">
      <w:pPr>
        <w:spacing w:line="560" w:lineRule="exact"/>
        <w:ind w:firstLine="482"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
          <w:bCs w:val="0"/>
          <w:color w:val="FF0000"/>
          <w:kern w:val="0"/>
          <w:sz w:val="24"/>
          <w:szCs w:val="24"/>
          <w:lang w:val="en-US" w:eastAsia="zh-CN" w:bidi="ar-SA"/>
        </w:rPr>
        <w:t>8、</w:t>
      </w:r>
      <w:r>
        <w:rPr>
          <w:rFonts w:hint="eastAsia" w:asciiTheme="minorEastAsia" w:hAnsiTheme="minorEastAsia" w:eastAsiaTheme="minorEastAsia" w:cstheme="minorEastAsia"/>
          <w:b/>
          <w:bCs w:val="0"/>
          <w:color w:val="FF0000"/>
          <w:kern w:val="0"/>
          <w:sz w:val="24"/>
          <w:szCs w:val="24"/>
          <w:lang w:val="en-US" w:eastAsia="zh-CN" w:bidi="ar-SA"/>
        </w:rPr>
        <w:t>是否有特殊资格条件要求：是</w:t>
      </w:r>
      <w:r>
        <w:rPr>
          <w:rFonts w:hint="eastAsia" w:asciiTheme="minorEastAsia" w:hAnsiTheme="minorEastAsia" w:eastAsiaTheme="minorEastAsia" w:cstheme="minorEastAsia"/>
          <w:b/>
          <w:bCs w:val="0"/>
          <w:color w:val="FF0000"/>
          <w:kern w:val="0"/>
          <w:sz w:val="24"/>
          <w:szCs w:val="24"/>
          <w:u w:val="none"/>
          <w:lang w:val="en-US" w:eastAsia="zh-CN" w:bidi="ar-SA"/>
        </w:rPr>
        <w:t>。具有广东电力市场售电资格</w:t>
      </w:r>
      <w:r>
        <w:rPr>
          <w:rFonts w:hint="eastAsia" w:asciiTheme="minorEastAsia" w:hAnsiTheme="minorEastAsia" w:eastAsiaTheme="minorEastAsia" w:cstheme="minorEastAsia"/>
          <w:b w:val="0"/>
          <w:bCs/>
          <w:color w:val="FF0000"/>
          <w:kern w:val="0"/>
          <w:sz w:val="24"/>
          <w:szCs w:val="24"/>
          <w:u w:val="none"/>
          <w:lang w:val="en-US" w:eastAsia="zh-CN" w:bidi="ar-SA"/>
        </w:rPr>
        <w:t>（</w:t>
      </w:r>
      <w:r>
        <w:rPr>
          <w:rFonts w:hint="eastAsia" w:asciiTheme="minorEastAsia" w:hAnsiTheme="minorEastAsia" w:cstheme="minorEastAsia"/>
          <w:b w:val="0"/>
          <w:bCs/>
          <w:color w:val="FF0000"/>
          <w:kern w:val="0"/>
          <w:sz w:val="24"/>
          <w:szCs w:val="24"/>
          <w:u w:val="none"/>
          <w:lang w:val="en-US" w:eastAsia="zh-CN" w:bidi="ar-SA"/>
        </w:rPr>
        <w:t>提供</w:t>
      </w:r>
      <w:r>
        <w:rPr>
          <w:rFonts w:hint="eastAsia" w:asciiTheme="minorEastAsia" w:hAnsiTheme="minorEastAsia" w:eastAsiaTheme="minorEastAsia" w:cstheme="minorEastAsia"/>
          <w:b w:val="0"/>
          <w:bCs/>
          <w:color w:val="FF0000"/>
          <w:kern w:val="0"/>
          <w:sz w:val="24"/>
          <w:szCs w:val="24"/>
          <w:u w:val="none"/>
          <w:lang w:val="en-US" w:eastAsia="zh-CN" w:bidi="ar-SA"/>
        </w:rPr>
        <w:t>广东电力交易中心有限责任公司公布的售电公司目录企业名单</w:t>
      </w:r>
      <w:r>
        <w:rPr>
          <w:rFonts w:hint="eastAsia" w:asciiTheme="minorEastAsia" w:hAnsiTheme="minorEastAsia" w:eastAsiaTheme="minorEastAsia" w:cstheme="minorEastAsia"/>
          <w:b/>
          <w:bCs w:val="0"/>
          <w:color w:val="FF0000"/>
          <w:kern w:val="0"/>
          <w:sz w:val="24"/>
          <w:szCs w:val="24"/>
          <w:u w:val="none"/>
          <w:lang w:val="en-US" w:eastAsia="zh-CN" w:bidi="ar-SA"/>
        </w:rPr>
        <w:t>文件</w:t>
      </w:r>
      <w:r>
        <w:rPr>
          <w:rFonts w:hint="eastAsia" w:asciiTheme="minorEastAsia" w:hAnsiTheme="minorEastAsia" w:cstheme="minorEastAsia"/>
          <w:b w:val="0"/>
          <w:bCs/>
          <w:color w:val="FF0000"/>
          <w:kern w:val="0"/>
          <w:sz w:val="24"/>
          <w:szCs w:val="24"/>
          <w:u w:val="none"/>
          <w:lang w:val="en-US" w:eastAsia="zh-CN" w:bidi="ar-SA"/>
        </w:rPr>
        <w:t>及企业名称</w:t>
      </w:r>
      <w:r>
        <w:rPr>
          <w:rFonts w:hint="eastAsia" w:asciiTheme="minorEastAsia" w:hAnsiTheme="minorEastAsia" w:cstheme="minorEastAsia"/>
          <w:b/>
          <w:bCs w:val="0"/>
          <w:color w:val="FF0000"/>
          <w:kern w:val="0"/>
          <w:sz w:val="24"/>
          <w:szCs w:val="24"/>
          <w:u w:val="none"/>
          <w:lang w:val="en-US" w:eastAsia="zh-CN" w:bidi="ar-SA"/>
        </w:rPr>
        <w:t>截图</w:t>
      </w:r>
      <w:r>
        <w:rPr>
          <w:rFonts w:hint="eastAsia" w:asciiTheme="minorEastAsia" w:hAnsiTheme="minorEastAsia" w:eastAsiaTheme="minorEastAsia" w:cstheme="minorEastAsia"/>
          <w:b w:val="0"/>
          <w:bCs/>
          <w:color w:val="FF0000"/>
          <w:kern w:val="0"/>
          <w:sz w:val="24"/>
          <w:szCs w:val="24"/>
          <w:u w:val="none"/>
          <w:lang w:val="en-US" w:eastAsia="zh-CN" w:bidi="ar-SA"/>
        </w:rPr>
        <w:t>）</w:t>
      </w:r>
      <w:r>
        <w:rPr>
          <w:rFonts w:hint="eastAsia" w:asciiTheme="minorEastAsia" w:hAnsiTheme="minorEastAsia" w:cstheme="minorEastAsia"/>
          <w:b w:val="0"/>
          <w:bCs/>
          <w:color w:val="FF0000"/>
          <w:kern w:val="0"/>
          <w:sz w:val="24"/>
          <w:szCs w:val="24"/>
          <w:u w:val="none"/>
          <w:lang w:val="en-US" w:eastAsia="zh-CN" w:bidi="ar-SA"/>
        </w:rPr>
        <w:t>。</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1、投标人应在2025年12月7日17:00前在深圳市龙岗区耳鼻咽喉医院招采平台（zc.szenthn.com:9093）进行线上报名（凡第一次登录的供应商均需先完成供应商注册，经审核通过后再投标）。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2、投标文件递交截止时间：供应商需在2025年12月10日17:00前将投标文件电子版上传到深圳市龙岗区耳鼻咽喉医院招采平台。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5"/>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4ABF407E">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2CE6A0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145F4CEF">
      <w:pPr>
        <w:pStyle w:val="45"/>
        <w:spacing w:line="560" w:lineRule="exact"/>
        <w:ind w:firstLine="480" w:firstLineChars="0"/>
        <w:rPr>
          <w:rFonts w:hint="eastAsia" w:ascii="宋体" w:hAnsi="宋体" w:cs="宋体"/>
          <w:bCs/>
          <w:sz w:val="24"/>
          <w:shd w:val="clear" w:color="auto" w:fill="FFFFFF"/>
        </w:rPr>
      </w:pPr>
      <w:r>
        <w:rPr>
          <w:rFonts w:hint="eastAsia" w:asciiTheme="minorEastAsia" w:hAnsiTheme="minorEastAsia" w:eastAsiaTheme="minorEastAsia"/>
          <w:b/>
          <w:sz w:val="24"/>
          <w:szCs w:val="32"/>
        </w:rPr>
        <w:t>一、基本情况</w:t>
      </w:r>
    </w:p>
    <w:tbl>
      <w:tblPr>
        <w:tblStyle w:val="25"/>
        <w:tblW w:w="5264"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1465"/>
        <w:gridCol w:w="2025"/>
        <w:gridCol w:w="564"/>
        <w:gridCol w:w="561"/>
        <w:gridCol w:w="1820"/>
        <w:gridCol w:w="2576"/>
      </w:tblGrid>
      <w:tr w14:paraId="2D32F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58" w:type="pct"/>
            <w:tcBorders>
              <w:tl2br w:val="nil"/>
              <w:tr2bl w:val="nil"/>
            </w:tcBorders>
            <w:tcMar>
              <w:top w:w="15" w:type="dxa"/>
              <w:left w:w="15" w:type="dxa"/>
              <w:bottom w:w="15" w:type="dxa"/>
              <w:right w:w="15" w:type="dxa"/>
            </w:tcMar>
            <w:vAlign w:val="center"/>
          </w:tcPr>
          <w:p w14:paraId="24B21F48">
            <w:pPr>
              <w:adjustRightInd w:val="0"/>
              <w:snapToGrid w:val="0"/>
              <w:jc w:val="center"/>
              <w:rPr>
                <w:rFonts w:hint="eastAsia" w:ascii="宋体" w:hAnsi="宋体" w:eastAsia="宋体" w:cs="宋体"/>
              </w:rPr>
            </w:pPr>
            <w:r>
              <w:rPr>
                <w:rFonts w:hint="eastAsia" w:ascii="宋体" w:hAnsi="宋体" w:eastAsia="宋体" w:cs="宋体"/>
              </w:rPr>
              <w:t>序号</w:t>
            </w:r>
          </w:p>
        </w:tc>
        <w:tc>
          <w:tcPr>
            <w:tcW w:w="754" w:type="pct"/>
            <w:tcBorders>
              <w:tl2br w:val="nil"/>
              <w:tr2bl w:val="nil"/>
            </w:tcBorders>
            <w:tcMar>
              <w:top w:w="15" w:type="dxa"/>
              <w:left w:w="15" w:type="dxa"/>
              <w:bottom w:w="15" w:type="dxa"/>
              <w:right w:w="15" w:type="dxa"/>
            </w:tcMar>
            <w:vAlign w:val="center"/>
          </w:tcPr>
          <w:p w14:paraId="5A7EDBAF">
            <w:pPr>
              <w:adjustRightInd w:val="0"/>
              <w:snapToGrid w:val="0"/>
              <w:jc w:val="center"/>
              <w:rPr>
                <w:rFonts w:hint="eastAsia" w:ascii="宋体" w:hAnsi="宋体" w:cs="宋体"/>
              </w:rPr>
            </w:pPr>
            <w:r>
              <w:rPr>
                <w:rFonts w:hint="eastAsia" w:ascii="宋体" w:hAnsi="宋体" w:eastAsia="宋体" w:cs="宋体"/>
              </w:rPr>
              <w:t>项目编号</w:t>
            </w:r>
          </w:p>
        </w:tc>
        <w:tc>
          <w:tcPr>
            <w:tcW w:w="1043" w:type="pct"/>
            <w:tcMar>
              <w:top w:w="15" w:type="dxa"/>
              <w:left w:w="15" w:type="dxa"/>
              <w:bottom w:w="15" w:type="dxa"/>
              <w:right w:w="15" w:type="dxa"/>
            </w:tcMar>
            <w:vAlign w:val="center"/>
          </w:tcPr>
          <w:p w14:paraId="453EDA54">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290" w:type="pct"/>
            <w:tcMar>
              <w:top w:w="15" w:type="dxa"/>
              <w:left w:w="15" w:type="dxa"/>
              <w:bottom w:w="15" w:type="dxa"/>
              <w:right w:w="15" w:type="dxa"/>
            </w:tcMar>
            <w:vAlign w:val="center"/>
          </w:tcPr>
          <w:p w14:paraId="45FEC295">
            <w:pPr>
              <w:adjustRightInd w:val="0"/>
              <w:snapToGrid w:val="0"/>
              <w:jc w:val="center"/>
              <w:rPr>
                <w:rFonts w:hint="eastAsia" w:ascii="宋体" w:hAnsi="宋体" w:eastAsia="宋体" w:cs="宋体"/>
              </w:rPr>
            </w:pPr>
            <w:r>
              <w:rPr>
                <w:rFonts w:hint="eastAsia" w:ascii="宋体" w:hAnsi="宋体" w:eastAsia="宋体" w:cs="宋体"/>
              </w:rPr>
              <w:t>数量</w:t>
            </w:r>
          </w:p>
        </w:tc>
        <w:tc>
          <w:tcPr>
            <w:tcW w:w="288" w:type="pct"/>
            <w:tcMar>
              <w:top w:w="15" w:type="dxa"/>
              <w:left w:w="15" w:type="dxa"/>
              <w:bottom w:w="15" w:type="dxa"/>
              <w:right w:w="15" w:type="dxa"/>
            </w:tcMar>
            <w:vAlign w:val="center"/>
          </w:tcPr>
          <w:p w14:paraId="76A52EBB">
            <w:pPr>
              <w:adjustRightInd w:val="0"/>
              <w:snapToGrid w:val="0"/>
              <w:jc w:val="center"/>
              <w:rPr>
                <w:rFonts w:hint="eastAsia" w:ascii="宋体" w:hAnsi="宋体" w:eastAsia="宋体" w:cs="宋体"/>
              </w:rPr>
            </w:pPr>
            <w:r>
              <w:rPr>
                <w:rFonts w:hint="eastAsia" w:ascii="宋体" w:hAnsi="宋体" w:cs="宋体"/>
                <w:lang w:bidi="ar"/>
              </w:rPr>
              <w:t>单位</w:t>
            </w:r>
          </w:p>
        </w:tc>
        <w:tc>
          <w:tcPr>
            <w:tcW w:w="937" w:type="pct"/>
            <w:shd w:val="clear" w:color="auto" w:fill="auto"/>
            <w:tcMar>
              <w:top w:w="15" w:type="dxa"/>
              <w:left w:w="15" w:type="dxa"/>
              <w:bottom w:w="15" w:type="dxa"/>
              <w:right w:w="15" w:type="dxa"/>
            </w:tcMar>
            <w:vAlign w:val="center"/>
          </w:tcPr>
          <w:p w14:paraId="7FBA55CA">
            <w:pPr>
              <w:widowControl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固定价格上限</w:t>
            </w:r>
          </w:p>
        </w:tc>
        <w:tc>
          <w:tcPr>
            <w:tcW w:w="1326" w:type="pct"/>
            <w:tcMar>
              <w:top w:w="15" w:type="dxa"/>
              <w:left w:w="15" w:type="dxa"/>
              <w:bottom w:w="15" w:type="dxa"/>
              <w:right w:w="15" w:type="dxa"/>
            </w:tcMar>
            <w:vAlign w:val="center"/>
          </w:tcPr>
          <w:p w14:paraId="28BC713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备注</w:t>
            </w:r>
          </w:p>
        </w:tc>
      </w:tr>
      <w:tr w14:paraId="4395D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58" w:type="pct"/>
            <w:tcBorders>
              <w:tl2br w:val="nil"/>
              <w:tr2bl w:val="nil"/>
            </w:tcBorders>
            <w:tcMar>
              <w:top w:w="15" w:type="dxa"/>
              <w:left w:w="15" w:type="dxa"/>
              <w:bottom w:w="15" w:type="dxa"/>
              <w:right w:w="15" w:type="dxa"/>
            </w:tcMar>
            <w:vAlign w:val="center"/>
          </w:tcPr>
          <w:p w14:paraId="41C6545C">
            <w:pPr>
              <w:widowControl w:val="0"/>
              <w:adjustRightInd w:val="0"/>
              <w:snapToGrid w:val="0"/>
              <w:jc w:val="center"/>
              <w:rPr>
                <w:rFonts w:eastAsia="宋体"/>
              </w:rPr>
            </w:pPr>
            <w:r>
              <w:rPr>
                <w:rFonts w:hint="eastAsia" w:eastAsia="宋体"/>
              </w:rPr>
              <w:t>1</w:t>
            </w:r>
          </w:p>
        </w:tc>
        <w:tc>
          <w:tcPr>
            <w:tcW w:w="754" w:type="pct"/>
            <w:tcBorders>
              <w:tl2br w:val="nil"/>
              <w:tr2bl w:val="nil"/>
            </w:tcBorders>
            <w:tcMar>
              <w:top w:w="15" w:type="dxa"/>
              <w:left w:w="15" w:type="dxa"/>
              <w:bottom w:w="15" w:type="dxa"/>
              <w:right w:w="15" w:type="dxa"/>
            </w:tcMar>
            <w:vAlign w:val="center"/>
          </w:tcPr>
          <w:p w14:paraId="620D811B">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ENT202512-001</w:t>
            </w:r>
          </w:p>
        </w:tc>
        <w:tc>
          <w:tcPr>
            <w:tcW w:w="1043" w:type="pct"/>
            <w:tcMar>
              <w:top w:w="15" w:type="dxa"/>
              <w:left w:w="15" w:type="dxa"/>
              <w:bottom w:w="15" w:type="dxa"/>
              <w:right w:w="15" w:type="dxa"/>
            </w:tcMar>
            <w:vAlign w:val="center"/>
          </w:tcPr>
          <w:p w14:paraId="5AD8DFA3">
            <w:pPr>
              <w:widowControl w:val="0"/>
              <w:adjustRightInd w:val="0"/>
              <w:snapToGrid w:val="0"/>
              <w:jc w:val="center"/>
              <w:rPr>
                <w:rFonts w:hint="default" w:eastAsia="宋体"/>
                <w:lang w:val="en-US" w:eastAsia="zh-CN"/>
              </w:rPr>
            </w:pPr>
            <w:r>
              <w:rPr>
                <w:rFonts w:hint="default" w:eastAsia="宋体"/>
                <w:lang w:val="en-US" w:eastAsia="zh-CN"/>
              </w:rPr>
              <w:t>市场化购电（含绿证或绿电）</w:t>
            </w:r>
          </w:p>
        </w:tc>
        <w:tc>
          <w:tcPr>
            <w:tcW w:w="290" w:type="pct"/>
            <w:tcMar>
              <w:top w:w="15" w:type="dxa"/>
              <w:left w:w="15" w:type="dxa"/>
              <w:bottom w:w="15" w:type="dxa"/>
              <w:right w:w="15" w:type="dxa"/>
            </w:tcMar>
            <w:vAlign w:val="center"/>
          </w:tcPr>
          <w:p w14:paraId="39BCB6D1">
            <w:pPr>
              <w:widowControl w:val="0"/>
              <w:adjustRightInd w:val="0"/>
              <w:snapToGrid w:val="0"/>
              <w:jc w:val="center"/>
              <w:rPr>
                <w:rFonts w:eastAsia="宋体"/>
              </w:rPr>
            </w:pPr>
            <w:r>
              <w:rPr>
                <w:rFonts w:hint="eastAsia" w:eastAsia="宋体"/>
              </w:rPr>
              <w:t>1</w:t>
            </w:r>
          </w:p>
        </w:tc>
        <w:tc>
          <w:tcPr>
            <w:tcW w:w="288" w:type="pct"/>
            <w:tcMar>
              <w:top w:w="15" w:type="dxa"/>
              <w:left w:w="15" w:type="dxa"/>
              <w:bottom w:w="15" w:type="dxa"/>
              <w:right w:w="15" w:type="dxa"/>
            </w:tcMar>
            <w:vAlign w:val="center"/>
          </w:tcPr>
          <w:p w14:paraId="018B4FA7">
            <w:pPr>
              <w:widowControl w:val="0"/>
              <w:adjustRightInd w:val="0"/>
              <w:snapToGrid w:val="0"/>
              <w:jc w:val="center"/>
              <w:rPr>
                <w:rFonts w:hint="eastAsia" w:eastAsia="宋体"/>
                <w:lang w:eastAsia="zh-CN"/>
              </w:rPr>
            </w:pPr>
            <w:r>
              <w:rPr>
                <w:rFonts w:hint="eastAsia" w:eastAsia="宋体"/>
                <w:lang w:val="en-US" w:eastAsia="zh-CN"/>
              </w:rPr>
              <w:t>项</w:t>
            </w:r>
          </w:p>
        </w:tc>
        <w:tc>
          <w:tcPr>
            <w:tcW w:w="937" w:type="pct"/>
            <w:shd w:val="clear" w:color="auto" w:fill="auto"/>
            <w:tcMar>
              <w:top w:w="15" w:type="dxa"/>
              <w:left w:w="15" w:type="dxa"/>
              <w:bottom w:w="15" w:type="dxa"/>
              <w:right w:w="15" w:type="dxa"/>
            </w:tcMar>
            <w:vAlign w:val="center"/>
          </w:tcPr>
          <w:p w14:paraId="7759E0CE">
            <w:pPr>
              <w:widowControl w:val="0"/>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0.4元/千瓦时</w:t>
            </w:r>
          </w:p>
        </w:tc>
        <w:tc>
          <w:tcPr>
            <w:tcW w:w="1326" w:type="pct"/>
            <w:tcMar>
              <w:top w:w="15" w:type="dxa"/>
              <w:left w:w="15" w:type="dxa"/>
              <w:bottom w:w="15" w:type="dxa"/>
              <w:right w:w="15" w:type="dxa"/>
            </w:tcMar>
            <w:vAlign w:val="center"/>
          </w:tcPr>
          <w:p w14:paraId="4C5A468F">
            <w:pPr>
              <w:widowControl w:val="0"/>
              <w:adjustRightInd w:val="0"/>
              <w:snapToGrid w:val="0"/>
              <w:jc w:val="both"/>
              <w:rPr>
                <w:rFonts w:hint="default" w:ascii="宋体" w:hAnsi="宋体" w:eastAsia="宋体" w:cs="宋体"/>
                <w:lang w:val="en-US" w:eastAsia="zh-CN"/>
              </w:rPr>
            </w:pPr>
            <w:r>
              <w:rPr>
                <w:rFonts w:hint="eastAsia" w:ascii="Times New Roman" w:hAnsi="Times New Roman" w:eastAsia="宋体" w:cs="Times New Roman"/>
                <w:lang w:val="en-US" w:eastAsia="zh-CN"/>
              </w:rPr>
              <w:t>服务期限为2026年1月1日至2026年12月31日止。采购人可根据项目履约情况续签合同，最多可续签两次。</w:t>
            </w:r>
          </w:p>
        </w:tc>
      </w:tr>
    </w:tbl>
    <w:p w14:paraId="12214FE3">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bCs w:val="0"/>
          <w:sz w:val="24"/>
          <w:szCs w:val="32"/>
          <w:lang w:val="en-US" w:eastAsia="zh-CN"/>
        </w:rPr>
        <w:t>二、技术要求</w:t>
      </w:r>
    </w:p>
    <w:p w14:paraId="471513DD">
      <w:pPr>
        <w:pStyle w:val="45"/>
        <w:spacing w:line="360" w:lineRule="auto"/>
        <w:ind w:firstLine="480" w:firstLineChars="0"/>
        <w:rPr>
          <w:rFonts w:hint="default"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★（一）服务要求</w:t>
      </w:r>
    </w:p>
    <w:p w14:paraId="14BBCCAE">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1.投标人是广东省电力交易中心公布的具备代理购电服务资质的售电企业（提供证明文件）。</w:t>
      </w:r>
    </w:p>
    <w:p w14:paraId="4FF0D82D">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2.服务符合《广东省能源局 国家能源局南方监管局关于2026年电力市场交易有关事项的通知》（粤能电力〔2025〕306号）文件要求。</w:t>
      </w:r>
    </w:p>
    <w:p w14:paraId="169CA183">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3.投标人向采购人提供售电信息咨询服务，协助采购人全面熟悉售电交易流程及规则。</w:t>
      </w:r>
    </w:p>
    <w:p w14:paraId="1832E834">
      <w:pPr>
        <w:pStyle w:val="45"/>
        <w:spacing w:line="360" w:lineRule="auto"/>
        <w:ind w:firstLine="480" w:firstLineChars="0"/>
        <w:rPr>
          <w:rFonts w:hint="default" w:cs="Times New Roman" w:asciiTheme="minorEastAsia" w:hAnsiTheme="minorEastAsia" w:eastAsiaTheme="minorEastAsia"/>
          <w:b w:val="0"/>
          <w:bCs/>
          <w:sz w:val="24"/>
          <w:szCs w:val="32"/>
          <w:lang w:val="en-US" w:eastAsia="zh-CN"/>
        </w:rPr>
      </w:pPr>
      <w:r>
        <w:rPr>
          <w:rFonts w:hint="default" w:cs="Times New Roman" w:asciiTheme="minorEastAsia" w:hAnsiTheme="minorEastAsia" w:eastAsiaTheme="minorEastAsia"/>
          <w:b w:val="0"/>
          <w:bCs/>
          <w:sz w:val="24"/>
          <w:szCs w:val="32"/>
          <w:lang w:val="en-US" w:eastAsia="zh-CN"/>
        </w:rPr>
        <w:t>4.</w:t>
      </w:r>
      <w:r>
        <w:rPr>
          <w:rFonts w:hint="eastAsia" w:cs="Times New Roman" w:asciiTheme="minorEastAsia" w:hAnsiTheme="minorEastAsia" w:eastAsiaTheme="minorEastAsia"/>
          <w:b w:val="0"/>
          <w:bCs/>
          <w:sz w:val="24"/>
          <w:szCs w:val="32"/>
          <w:lang w:val="en-US" w:eastAsia="zh-CN"/>
        </w:rPr>
        <w:t>投标人</w:t>
      </w:r>
      <w:r>
        <w:rPr>
          <w:rFonts w:hint="default" w:cs="Times New Roman" w:asciiTheme="minorEastAsia" w:hAnsiTheme="minorEastAsia" w:eastAsiaTheme="minorEastAsia"/>
          <w:b w:val="0"/>
          <w:bCs/>
          <w:sz w:val="24"/>
          <w:szCs w:val="32"/>
          <w:lang w:val="en-US" w:eastAsia="zh-CN"/>
        </w:rPr>
        <w:t>承诺所提供的电力100%提供等量省外的绿证证明或绿电证明，满足上级部门要求</w:t>
      </w:r>
      <w:r>
        <w:rPr>
          <w:rFonts w:hint="eastAsia" w:cs="Times New Roman" w:asciiTheme="minorEastAsia" w:hAnsiTheme="minorEastAsia" w:eastAsiaTheme="minorEastAsia"/>
          <w:b w:val="0"/>
          <w:bCs/>
          <w:sz w:val="24"/>
          <w:szCs w:val="32"/>
          <w:lang w:val="en-US" w:eastAsia="zh-CN"/>
        </w:rPr>
        <w:t>（提供承诺函，格式自拟）</w:t>
      </w:r>
      <w:r>
        <w:rPr>
          <w:rFonts w:hint="default" w:cs="Times New Roman" w:asciiTheme="minorEastAsia" w:hAnsiTheme="minorEastAsia" w:eastAsiaTheme="minorEastAsia"/>
          <w:b w:val="0"/>
          <w:bCs/>
          <w:sz w:val="24"/>
          <w:szCs w:val="32"/>
          <w:lang w:val="en-US" w:eastAsia="zh-CN"/>
        </w:rPr>
        <w:t>。</w:t>
      </w:r>
    </w:p>
    <w:p w14:paraId="17305B1A">
      <w:pPr>
        <w:numPr>
          <w:ilvl w:val="0"/>
          <w:numId w:val="0"/>
        </w:numPr>
        <w:ind w:firstLine="482" w:firstLineChars="200"/>
        <w:jc w:val="both"/>
        <w:outlineLvl w:val="0"/>
        <w:rPr>
          <w:rFonts w:hint="eastAsia" w:ascii="宋体" w:hAnsi="宋体" w:eastAsia="宋体" w:cs="宋体"/>
          <w:b/>
          <w:bCs w:val="0"/>
          <w:kern w:val="0"/>
          <w:sz w:val="24"/>
          <w:szCs w:val="24"/>
          <w:highlight w:val="none"/>
          <w:lang w:val="en-US" w:eastAsia="zh-CN" w:bidi="ar-SA"/>
        </w:rPr>
      </w:pPr>
      <w:r>
        <w:rPr>
          <w:rFonts w:hint="eastAsia" w:ascii="宋体" w:hAnsi="宋体" w:eastAsia="宋体" w:cs="宋体"/>
          <w:b/>
          <w:bCs w:val="0"/>
          <w:kern w:val="0"/>
          <w:sz w:val="24"/>
          <w:szCs w:val="24"/>
          <w:lang w:val="en-US" w:eastAsia="zh-CN" w:bidi="ar-SA"/>
        </w:rPr>
        <w:t>三、</w:t>
      </w:r>
      <w:r>
        <w:rPr>
          <w:rFonts w:hint="eastAsia" w:ascii="宋体" w:hAnsi="宋体" w:eastAsia="宋体" w:cs="宋体"/>
          <w:b/>
          <w:bCs w:val="0"/>
          <w:kern w:val="0"/>
          <w:sz w:val="24"/>
          <w:szCs w:val="24"/>
          <w:highlight w:val="none"/>
          <w:lang w:val="en-US" w:eastAsia="zh-CN" w:bidi="ar-SA"/>
        </w:rPr>
        <w:t>商务要求</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550"/>
        <w:gridCol w:w="7219"/>
      </w:tblGrid>
      <w:tr w14:paraId="6E44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1" w:type="pct"/>
            <w:vAlign w:val="center"/>
          </w:tcPr>
          <w:p w14:paraId="0E13C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序号</w:t>
            </w:r>
          </w:p>
        </w:tc>
        <w:tc>
          <w:tcPr>
            <w:tcW w:w="825" w:type="pct"/>
            <w:vAlign w:val="center"/>
          </w:tcPr>
          <w:p w14:paraId="3A478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目录</w:t>
            </w:r>
          </w:p>
        </w:tc>
        <w:tc>
          <w:tcPr>
            <w:tcW w:w="3843" w:type="pct"/>
            <w:vAlign w:val="center"/>
          </w:tcPr>
          <w:p w14:paraId="13EBA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商务条款要求</w:t>
            </w:r>
          </w:p>
        </w:tc>
      </w:tr>
      <w:tr w14:paraId="33D9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1" w:type="pct"/>
            <w:vAlign w:val="center"/>
          </w:tcPr>
          <w:p w14:paraId="6B4FF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825" w:type="pct"/>
            <w:vAlign w:val="center"/>
          </w:tcPr>
          <w:p w14:paraId="1F984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服务期限</w:t>
            </w:r>
          </w:p>
        </w:tc>
        <w:tc>
          <w:tcPr>
            <w:tcW w:w="3843" w:type="pct"/>
            <w:vAlign w:val="center"/>
          </w:tcPr>
          <w:p w14:paraId="4FD10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kern w:val="2"/>
                <w:lang w:val="en-US" w:eastAsia="zh-CN"/>
              </w:rPr>
              <w:t>服务期限为2026年1月1日至2026年12月31日。采购人可根据项目履约情况续签合同，最多可续签两次。</w:t>
            </w:r>
          </w:p>
        </w:tc>
      </w:tr>
      <w:tr w14:paraId="0E6C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31" w:type="pct"/>
            <w:vAlign w:val="center"/>
          </w:tcPr>
          <w:p w14:paraId="6A2C4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825" w:type="pct"/>
            <w:vAlign w:val="center"/>
          </w:tcPr>
          <w:p w14:paraId="2D136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服务地点</w:t>
            </w:r>
          </w:p>
        </w:tc>
        <w:tc>
          <w:tcPr>
            <w:tcW w:w="3843" w:type="pct"/>
            <w:vAlign w:val="center"/>
          </w:tcPr>
          <w:p w14:paraId="2AEE4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深圳市龙岗区耳鼻咽喉医院。</w:t>
            </w:r>
          </w:p>
        </w:tc>
      </w:tr>
      <w:tr w14:paraId="07DA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31" w:type="pct"/>
            <w:vAlign w:val="center"/>
          </w:tcPr>
          <w:p w14:paraId="7AE82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825" w:type="pct"/>
            <w:vAlign w:val="center"/>
          </w:tcPr>
          <w:p w14:paraId="1BD23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cs="Times New Roman" w:asciiTheme="minorEastAsia" w:hAnsiTheme="minorEastAsia" w:eastAsiaTheme="minorEastAsia"/>
                <w:b w:val="0"/>
                <w:bCs/>
                <w:kern w:val="2"/>
                <w:sz w:val="24"/>
                <w:szCs w:val="32"/>
                <w:lang w:val="en-US" w:eastAsia="zh-CN"/>
              </w:rPr>
              <w:t>★</w:t>
            </w:r>
            <w:r>
              <w:rPr>
                <w:rFonts w:hint="eastAsia" w:ascii="宋体" w:hAnsi="宋体" w:eastAsia="宋体" w:cs="宋体"/>
                <w:color w:val="000000"/>
                <w:kern w:val="0"/>
                <w:sz w:val="24"/>
                <w:szCs w:val="24"/>
                <w:highlight w:val="none"/>
                <w:lang w:val="en-US" w:eastAsia="zh-CN"/>
              </w:rPr>
              <w:t>付款方式</w:t>
            </w:r>
          </w:p>
        </w:tc>
        <w:tc>
          <w:tcPr>
            <w:tcW w:w="3843" w:type="pct"/>
            <w:vAlign w:val="center"/>
          </w:tcPr>
          <w:p w14:paraId="20BB03C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按照广东电力交易中心规定执行。</w:t>
            </w:r>
          </w:p>
        </w:tc>
      </w:tr>
      <w:tr w14:paraId="5BFD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31" w:type="pct"/>
            <w:vAlign w:val="center"/>
          </w:tcPr>
          <w:p w14:paraId="39236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p>
        </w:tc>
        <w:tc>
          <w:tcPr>
            <w:tcW w:w="825" w:type="pct"/>
            <w:vAlign w:val="center"/>
          </w:tcPr>
          <w:p w14:paraId="790C8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cs="Times New Roman" w:asciiTheme="minorEastAsia" w:hAnsiTheme="minorEastAsia" w:eastAsiaTheme="minorEastAsia"/>
                <w:b w:val="0"/>
                <w:bCs/>
                <w:kern w:val="2"/>
                <w:sz w:val="24"/>
                <w:szCs w:val="32"/>
                <w:lang w:val="en-US" w:eastAsia="zh-CN"/>
              </w:rPr>
              <w:t>★</w:t>
            </w:r>
            <w:r>
              <w:rPr>
                <w:rFonts w:hint="eastAsia" w:ascii="宋体" w:hAnsi="宋体" w:eastAsia="宋体" w:cs="宋体"/>
                <w:color w:val="000000"/>
                <w:kern w:val="0"/>
                <w:sz w:val="24"/>
                <w:szCs w:val="24"/>
                <w:highlight w:val="none"/>
                <w:lang w:val="en-US" w:eastAsia="zh-CN"/>
              </w:rPr>
              <w:t>关于验收</w:t>
            </w:r>
          </w:p>
        </w:tc>
        <w:tc>
          <w:tcPr>
            <w:tcW w:w="3843" w:type="pct"/>
            <w:vAlign w:val="center"/>
          </w:tcPr>
          <w:p w14:paraId="4F41E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电不涉及质量、品质问题，供电局供电，正常使用。</w:t>
            </w:r>
          </w:p>
        </w:tc>
      </w:tr>
      <w:tr w14:paraId="6F9D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31" w:type="pct"/>
            <w:vAlign w:val="center"/>
          </w:tcPr>
          <w:p w14:paraId="1E187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c>
          <w:tcPr>
            <w:tcW w:w="825" w:type="pct"/>
            <w:vAlign w:val="center"/>
          </w:tcPr>
          <w:p w14:paraId="4C5DD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★投标报价</w:t>
            </w:r>
          </w:p>
          <w:p w14:paraId="16DEE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p>
        </w:tc>
        <w:tc>
          <w:tcPr>
            <w:tcW w:w="3843" w:type="pct"/>
            <w:vAlign w:val="center"/>
          </w:tcPr>
          <w:p w14:paraId="34FCD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代理购电模式：按照广东电力市场的零售交易模式进行，以“固定价格+市场联动价格+浮动电费”的模式签订电量零售合同。其中，固定价格部分占比90%、市场联动部分占比10%，浮动电费0元/千瓦时。固定价格部分由投标单位自主报价，市场联动价格部分选择月度中长期交易综合价。</w:t>
            </w:r>
          </w:p>
          <w:p w14:paraId="24139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2.代理购电上限价：固定价格上限为0.4元/千瓦时，超出固定价格上限为无效报价。</w:t>
            </w:r>
          </w:p>
          <w:p w14:paraId="75F72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3.交易电量确定方式：采购人按每月实际用电量进行结算，中标人测算并申报交易电量，偏差电量考核产生的费用全部由中标人承担。</w:t>
            </w:r>
          </w:p>
          <w:p w14:paraId="52EB0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kern w:val="2"/>
                <w:highlight w:val="none"/>
                <w:lang w:val="en-US" w:eastAsia="zh-CN"/>
              </w:rPr>
            </w:pPr>
            <w:r>
              <w:rPr>
                <w:rFonts w:hint="eastAsia" w:ascii="宋体" w:hAnsi="宋体" w:eastAsia="宋体" w:cs="宋体"/>
                <w:color w:val="000000"/>
                <w:kern w:val="0"/>
                <w:sz w:val="24"/>
                <w:szCs w:val="24"/>
                <w:highlight w:val="none"/>
                <w:lang w:val="en-US" w:eastAsia="zh-CN"/>
              </w:rPr>
              <w:t>4.投标报价保留小数点后三位数，超过小数点后三位的，按四舍五入自动修正。</w:t>
            </w:r>
          </w:p>
        </w:tc>
      </w:tr>
      <w:tr w14:paraId="591F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Align w:val="center"/>
          </w:tcPr>
          <w:p w14:paraId="3BCA5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825" w:type="pct"/>
            <w:vAlign w:val="center"/>
          </w:tcPr>
          <w:p w14:paraId="6FF73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★违约责任</w:t>
            </w:r>
          </w:p>
        </w:tc>
        <w:tc>
          <w:tcPr>
            <w:tcW w:w="3843" w:type="pct"/>
          </w:tcPr>
          <w:p w14:paraId="16F4F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1.在代理购电履行期限届满前，任一方明确表示或以自己行为表明不履行代理购电义务的，另一方可在履行期限届满前解除代理购电并要求其承担相应的违约责任。</w:t>
            </w:r>
          </w:p>
          <w:p w14:paraId="2B941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2.因国家法律、法规发生变化或政府有关部门、监管机构出台最新政策规定而导致原代理购电合同无法继续履行或不可抗力导致无法继续履行，应在不可抗力发生之日起 48 小时内书面通知另一方，并提供有关部门的证明材料。</w:t>
            </w:r>
          </w:p>
          <w:p w14:paraId="6B82A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3.如发生提交虚假信息、停产、退市等行为，影响企业履行合同义务的情形，违约方给守约方造成的一切直接及间接损失，由违约方承担违约赔偿责任。</w:t>
            </w:r>
          </w:p>
        </w:tc>
      </w:tr>
    </w:tbl>
    <w:p w14:paraId="3FD29AE4">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bCs w:val="0"/>
          <w:sz w:val="24"/>
          <w:szCs w:val="32"/>
          <w:lang w:val="en-US" w:eastAsia="zh-CN"/>
        </w:rPr>
        <w:t>四、其他重要条款</w:t>
      </w:r>
    </w:p>
    <w:p w14:paraId="0FA0487B">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CA2BB2A">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2、投标人应充分了解项目的位置、情况、道路及任何其它足以影响投标报价的情况，任何因忽视或误解项目情况而导致的索赔或服务期限延长申请将不获批准。</w:t>
      </w:r>
    </w:p>
    <w:p w14:paraId="014E6E9E">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8B2F0F4">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36FAEA5">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5、除政府采购合同继续履行将损害国家利益和社会公共利益外，双方当事人不得擅自变更、中止或者终止合同。</w:t>
      </w:r>
    </w:p>
    <w:p w14:paraId="04CDAF59">
      <w:pPr>
        <w:pStyle w:val="45"/>
        <w:spacing w:line="360" w:lineRule="auto"/>
        <w:ind w:firstLine="480" w:firstLineChars="0"/>
        <w:rPr>
          <w:rFonts w:hint="eastAsia" w:cs="Times New Roman" w:asciiTheme="minorEastAsia" w:hAnsiTheme="minorEastAsia" w:eastAsiaTheme="minorEastAsia"/>
          <w:b w:val="0"/>
          <w:bCs/>
          <w:sz w:val="24"/>
          <w:szCs w:val="32"/>
          <w:lang w:val="en-US" w:eastAsia="zh-CN"/>
        </w:rPr>
      </w:pPr>
      <w:r>
        <w:rPr>
          <w:rFonts w:hint="eastAsia" w:cs="Times New Roman" w:asciiTheme="minorEastAsia" w:hAnsiTheme="minorEastAsia" w:eastAsiaTheme="minorEastAsia"/>
          <w:b w:val="0"/>
          <w:bCs/>
          <w:sz w:val="24"/>
          <w:szCs w:val="32"/>
          <w:lang w:val="en-US" w:eastAsia="zh-CN"/>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7B3223B7">
      <w:pPr>
        <w:spacing w:line="360" w:lineRule="auto"/>
        <w:ind w:firstLine="482" w:firstLineChars="200"/>
        <w:jc w:val="both"/>
        <w:rPr>
          <w:rFonts w:hint="eastAsia" w:ascii="宋体" w:hAnsi="宋体" w:eastAsia="宋体" w:cs="Courier New"/>
          <w:b/>
          <w:kern w:val="2"/>
        </w:rPr>
      </w:pP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5"/>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1901837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九、其他响应评分的内容及佐证材料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3"/>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3"/>
        <w:rPr>
          <w:rFonts w:hint="eastAsia" w:asciiTheme="minorEastAsia" w:hAnsiTheme="minorEastAsia" w:cstheme="minorEastAsia"/>
          <w:b/>
          <w:bCs/>
          <w:sz w:val="21"/>
          <w:szCs w:val="21"/>
        </w:rPr>
      </w:pPr>
    </w:p>
    <w:p w14:paraId="3AD3F984">
      <w:pPr>
        <w:pStyle w:val="33"/>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6"/>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5"/>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5"/>
        <w:tabs>
          <w:tab w:val="left" w:pos="426"/>
        </w:tabs>
        <w:ind w:firstLine="630" w:firstLineChars="300"/>
      </w:pPr>
    </w:p>
    <w:p w14:paraId="12C4B109">
      <w:pPr>
        <w:pStyle w:val="15"/>
        <w:tabs>
          <w:tab w:val="left" w:pos="426"/>
        </w:tabs>
        <w:ind w:firstLine="630" w:firstLineChars="300"/>
      </w:pPr>
    </w:p>
    <w:p w14:paraId="7722A2B5">
      <w:pPr>
        <w:pStyle w:val="15"/>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3665B2EC">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color w:val="FF0000"/>
        </w:rPr>
        <w:t>（按照招标文件相应内容，请标明各部分内容的页码。）</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3"/>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E25A863">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2"/>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2"/>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3"/>
        <w:tabs>
          <w:tab w:val="left" w:pos="426"/>
        </w:tabs>
        <w:rPr>
          <w:rFonts w:hint="eastAsia" w:ascii="仿宋" w:hAnsi="仿宋" w:eastAsia="仿宋" w:cs="仿宋"/>
        </w:rPr>
      </w:pPr>
    </w:p>
    <w:p w14:paraId="17913333">
      <w:pPr>
        <w:pStyle w:val="33"/>
        <w:tabs>
          <w:tab w:val="left" w:pos="426"/>
        </w:tabs>
        <w:rPr>
          <w:rFonts w:hint="eastAsia" w:ascii="仿宋" w:hAnsi="仿宋" w:eastAsia="仿宋" w:cs="仿宋"/>
        </w:rPr>
      </w:pPr>
    </w:p>
    <w:p w14:paraId="3010E2AC">
      <w:pPr>
        <w:pStyle w:val="33"/>
        <w:tabs>
          <w:tab w:val="left" w:pos="426"/>
        </w:tabs>
        <w:rPr>
          <w:rFonts w:hint="eastAsia" w:ascii="仿宋" w:hAnsi="仿宋" w:eastAsia="仿宋" w:cs="仿宋"/>
        </w:rPr>
      </w:pPr>
    </w:p>
    <w:p w14:paraId="596D8063">
      <w:pPr>
        <w:pStyle w:val="33"/>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日期：2025年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2B33CC8A">
      <w:pPr>
        <w:spacing w:line="420" w:lineRule="exact"/>
        <w:jc w:val="both"/>
        <w:rPr>
          <w:rFonts w:hint="eastAsia" w:asciiTheme="minorEastAsia" w:hAnsiTheme="minorEastAsia" w:cstheme="minorEastAsia"/>
          <w:b/>
        </w:rPr>
      </w:pPr>
    </w:p>
    <w:p w14:paraId="67C79402">
      <w:pPr>
        <w:pStyle w:val="5"/>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8"/>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68"/>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8"/>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8"/>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8"/>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68"/>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68"/>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68"/>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68"/>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68"/>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68"/>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68"/>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68"/>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68"/>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68"/>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68"/>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68"/>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68"/>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68"/>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68"/>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68"/>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68"/>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68"/>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4"/>
        <w:rPr>
          <w:rFonts w:hint="eastAsia" w:ascii="宋体" w:hAnsi="宋体" w:eastAsia="宋体" w:cs="宋体"/>
          <w:sz w:val="21"/>
          <w:szCs w:val="21"/>
        </w:rPr>
      </w:pPr>
    </w:p>
    <w:p w14:paraId="70EB91C7"/>
    <w:p w14:paraId="1C5CF753">
      <w:pPr>
        <w:pStyle w:val="5"/>
        <w:jc w:val="center"/>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1E634412"/>
    <w:p w14:paraId="209A08FF">
      <w:pPr>
        <w:pStyle w:val="15"/>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5"/>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5"/>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8"/>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8"/>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8"/>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8"/>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8"/>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宋体" w:hAnsi="宋体" w:eastAsiaTheme="minorEastAsia"/>
          <w:bCs/>
          <w:szCs w:val="21"/>
          <w:lang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764CDB67">
      <w:pPr>
        <w:shd w:val="clear" w:color="auto" w:fill="FFFFFF"/>
        <w:tabs>
          <w:tab w:val="left" w:pos="426"/>
        </w:tabs>
        <w:adjustRightInd w:val="0"/>
        <w:snapToGrid w:val="0"/>
        <w:spacing w:line="460" w:lineRule="atLeast"/>
        <w:rPr>
          <w:rFonts w:hint="default" w:ascii="宋体" w:hAnsi="宋体" w:eastAsiaTheme="minorEastAsia"/>
          <w:bCs/>
          <w:szCs w:val="21"/>
          <w:lang w:val="en-US" w:eastAsia="zh-CN"/>
        </w:rPr>
      </w:pPr>
      <w:r>
        <w:rPr>
          <w:rFonts w:hint="eastAsia" w:ascii="宋体" w:hAnsi="宋体"/>
          <w:bCs/>
          <w:szCs w:val="21"/>
          <w:lang w:val="en-US" w:eastAsia="zh-CN"/>
        </w:rPr>
        <w:t>2.具有广东电力市场售电资格（提供广东电力交易中心有限责任公司公布的售电公司目录企业名单文件及企业名称截图）。</w:t>
      </w: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6"/>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4176CBC9">
      <w:pPr>
        <w:keepNext/>
        <w:keepLines/>
        <w:spacing w:line="420" w:lineRule="exact"/>
        <w:rPr>
          <w:rFonts w:hint="eastAsia" w:asciiTheme="minorEastAsia" w:hAnsiTheme="minorEastAsia" w:cstheme="minorEastAsia"/>
          <w:sz w:val="21"/>
          <w:szCs w:val="21"/>
        </w:rPr>
      </w:pPr>
    </w:p>
    <w:p w14:paraId="264ED6EA">
      <w:pPr>
        <w:numPr>
          <w:ilvl w:val="255"/>
          <w:numId w:val="0"/>
        </w:numPr>
        <w:rPr>
          <w:rFonts w:hint="eastAsia" w:asciiTheme="minorEastAsia" w:hAnsiTheme="minorEastAsia" w:cstheme="minorEastAsia"/>
          <w:b/>
          <w:bCs/>
        </w:rPr>
      </w:pPr>
    </w:p>
    <w:p w14:paraId="0DEBC642">
      <w:pPr>
        <w:numPr>
          <w:ilvl w:val="255"/>
          <w:numId w:val="0"/>
        </w:numPr>
        <w:rPr>
          <w:rFonts w:hint="eastAsia" w:asciiTheme="minorEastAsia" w:hAnsiTheme="minorEastAsia" w:cstheme="minorEastAsia"/>
          <w:b/>
          <w:bCs/>
        </w:rPr>
      </w:pPr>
    </w:p>
    <w:p w14:paraId="2C63DF1E">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3"/>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42BA2191">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32"/>
          <w:szCs w:val="32"/>
          <w:highlight w:val="none"/>
          <w:lang w:val="en-US" w:eastAsia="zh-CN"/>
        </w:rPr>
        <w:t>报价明细表</w:t>
      </w:r>
    </w:p>
    <w:tbl>
      <w:tblPr>
        <w:tblStyle w:val="25"/>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2060"/>
        <w:gridCol w:w="1874"/>
        <w:gridCol w:w="482"/>
        <w:gridCol w:w="482"/>
        <w:gridCol w:w="1120"/>
        <w:gridCol w:w="1598"/>
        <w:gridCol w:w="958"/>
      </w:tblGrid>
      <w:tr w14:paraId="31E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1A30DB1E">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137" w:type="pct"/>
            <w:vAlign w:val="center"/>
          </w:tcPr>
          <w:p w14:paraId="41735826">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项目编号</w:t>
            </w:r>
          </w:p>
        </w:tc>
        <w:tc>
          <w:tcPr>
            <w:tcW w:w="1034" w:type="pct"/>
            <w:vAlign w:val="center"/>
          </w:tcPr>
          <w:p w14:paraId="7420D755">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项目名称</w:t>
            </w:r>
          </w:p>
        </w:tc>
        <w:tc>
          <w:tcPr>
            <w:tcW w:w="266" w:type="pct"/>
            <w:vAlign w:val="center"/>
          </w:tcPr>
          <w:p w14:paraId="101D4D22">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266" w:type="pct"/>
            <w:vAlign w:val="center"/>
          </w:tcPr>
          <w:p w14:paraId="4EB089F4">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w:t>
            </w:r>
          </w:p>
        </w:tc>
        <w:tc>
          <w:tcPr>
            <w:tcW w:w="618" w:type="pct"/>
            <w:vAlign w:val="center"/>
          </w:tcPr>
          <w:p w14:paraId="4F6C4EBC">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固定价格上限</w:t>
            </w:r>
          </w:p>
        </w:tc>
        <w:tc>
          <w:tcPr>
            <w:tcW w:w="882" w:type="pct"/>
            <w:vAlign w:val="center"/>
          </w:tcPr>
          <w:p w14:paraId="0C580F99">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投标报价</w:t>
            </w:r>
          </w:p>
        </w:tc>
        <w:tc>
          <w:tcPr>
            <w:tcW w:w="528" w:type="pct"/>
            <w:vAlign w:val="center"/>
          </w:tcPr>
          <w:p w14:paraId="0410927A">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备注</w:t>
            </w:r>
          </w:p>
        </w:tc>
      </w:tr>
      <w:tr w14:paraId="37F7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66" w:type="pct"/>
            <w:vAlign w:val="center"/>
          </w:tcPr>
          <w:p w14:paraId="46E28EB3">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37" w:type="pct"/>
            <w:vAlign w:val="center"/>
          </w:tcPr>
          <w:p w14:paraId="6768D968">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color w:val="auto"/>
                <w:sz w:val="24"/>
                <w:szCs w:val="24"/>
                <w:highlight w:val="none"/>
                <w:lang w:val="en-US" w:eastAsia="zh-CN"/>
              </w:rPr>
              <w:t>ENT202512-001</w:t>
            </w:r>
          </w:p>
        </w:tc>
        <w:tc>
          <w:tcPr>
            <w:tcW w:w="1034" w:type="pct"/>
            <w:vAlign w:val="center"/>
          </w:tcPr>
          <w:p w14:paraId="09DC877F">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市场化购电（含绿证或绿电）</w:t>
            </w:r>
            <w:r>
              <w:rPr>
                <w:rFonts w:hint="eastAsia" w:ascii="宋体" w:hAnsi="宋体" w:eastAsia="宋体" w:cs="宋体"/>
                <w:bCs/>
                <w:sz w:val="24"/>
                <w:szCs w:val="24"/>
                <w:highlight w:val="none"/>
              </w:rPr>
              <w:t>服务</w:t>
            </w:r>
          </w:p>
        </w:tc>
        <w:tc>
          <w:tcPr>
            <w:tcW w:w="266" w:type="pct"/>
            <w:vAlign w:val="center"/>
          </w:tcPr>
          <w:p w14:paraId="331F3F8A">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1</w:t>
            </w:r>
          </w:p>
        </w:tc>
        <w:tc>
          <w:tcPr>
            <w:tcW w:w="266" w:type="pct"/>
            <w:vAlign w:val="center"/>
          </w:tcPr>
          <w:p w14:paraId="37BF5C46">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项</w:t>
            </w:r>
          </w:p>
        </w:tc>
        <w:tc>
          <w:tcPr>
            <w:tcW w:w="618" w:type="pct"/>
            <w:vAlign w:val="center"/>
          </w:tcPr>
          <w:p w14:paraId="3F1DB958">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r>
              <w:rPr>
                <w:rFonts w:hint="eastAsia" w:ascii="宋体" w:hAnsi="宋体" w:eastAsia="宋体" w:cs="宋体"/>
                <w:bCs/>
                <w:color w:val="FF0000"/>
                <w:sz w:val="24"/>
                <w:szCs w:val="24"/>
                <w:highlight w:val="none"/>
                <w:lang w:val="en-US" w:eastAsia="zh-CN"/>
              </w:rPr>
              <w:t>0.4</w:t>
            </w:r>
            <w:r>
              <w:rPr>
                <w:rFonts w:hint="eastAsia" w:ascii="宋体" w:hAnsi="宋体" w:eastAsia="宋体" w:cs="宋体"/>
                <w:bCs/>
                <w:sz w:val="24"/>
                <w:szCs w:val="24"/>
                <w:highlight w:val="none"/>
                <w:lang w:val="en-US" w:eastAsia="zh-CN"/>
              </w:rPr>
              <w:t>元/千瓦时</w:t>
            </w:r>
          </w:p>
        </w:tc>
        <w:tc>
          <w:tcPr>
            <w:tcW w:w="882" w:type="pct"/>
            <w:vAlign w:val="center"/>
          </w:tcPr>
          <w:p w14:paraId="140ED879">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p>
        </w:tc>
        <w:tc>
          <w:tcPr>
            <w:tcW w:w="528" w:type="pct"/>
            <w:vAlign w:val="center"/>
          </w:tcPr>
          <w:p w14:paraId="5E564F80">
            <w:pPr>
              <w:keepNext w:val="0"/>
              <w:keepLines w:val="0"/>
              <w:suppressLineNumbers w:val="0"/>
              <w:spacing w:before="0" w:beforeAutospacing="0" w:after="0" w:afterAutospacing="0"/>
              <w:ind w:left="0" w:right="0"/>
              <w:jc w:val="center"/>
              <w:rPr>
                <w:rFonts w:hint="eastAsia" w:ascii="宋体" w:hAnsi="宋体" w:eastAsia="宋体" w:cs="宋体"/>
                <w:bCs/>
                <w:sz w:val="24"/>
                <w:szCs w:val="24"/>
                <w:highlight w:val="none"/>
                <w:lang w:val="en-US" w:eastAsia="zh-CN"/>
              </w:rPr>
            </w:pPr>
          </w:p>
        </w:tc>
      </w:tr>
    </w:tbl>
    <w:p w14:paraId="43C1BEA9">
      <w:pPr>
        <w:pStyle w:val="15"/>
        <w:spacing w:line="360" w:lineRule="auto"/>
        <w:ind w:firstLine="420" w:firstLineChars="200"/>
        <w:rPr>
          <w:rFonts w:hint="eastAsia" w:ascii="仿宋" w:hAnsi="仿宋" w:eastAsia="仿宋" w:cs="仿宋"/>
          <w:szCs w:val="21"/>
          <w:highlight w:val="none"/>
        </w:rPr>
      </w:pPr>
    </w:p>
    <w:p w14:paraId="263D63F4">
      <w:pPr>
        <w:pStyle w:val="2"/>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p w14:paraId="116D9B96">
      <w:pPr>
        <w:pStyle w:val="2"/>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代理购电模式：按照广东电力市场的零售交易模式进行，以“固定价格+市场联动价格+浮动电费”的模式签订电量零售合同。其中，固定价格部分占比90%、市场联动部分占比10%，浮动电费0元/千瓦时。固定价格部分由投标单位自主报价，市场联动价格部分选择月度中长期交易综合价。</w:t>
      </w:r>
    </w:p>
    <w:p w14:paraId="047BEA6D">
      <w:pPr>
        <w:pStyle w:val="2"/>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2.代理购电上限价：固定价格上限为</w:t>
      </w:r>
      <w:r>
        <w:rPr>
          <w:rFonts w:hint="eastAsia" w:ascii="宋体" w:hAnsi="宋体" w:eastAsia="宋体" w:cs="宋体"/>
          <w:b/>
          <w:bCs/>
          <w:color w:val="FF0000"/>
          <w:sz w:val="24"/>
          <w:szCs w:val="24"/>
          <w:highlight w:val="none"/>
          <w:lang w:val="en-US" w:eastAsia="zh-CN"/>
        </w:rPr>
        <w:t>0.4</w:t>
      </w:r>
      <w:r>
        <w:rPr>
          <w:rFonts w:hint="eastAsia" w:ascii="宋体" w:hAnsi="宋体" w:eastAsia="宋体" w:cs="宋体"/>
          <w:b/>
          <w:bCs/>
          <w:color w:val="auto"/>
          <w:sz w:val="24"/>
          <w:szCs w:val="24"/>
          <w:highlight w:val="none"/>
          <w:lang w:val="en-US" w:eastAsia="zh-CN"/>
        </w:rPr>
        <w:t>元/千瓦时，超出固定价格上限为无效报价。</w:t>
      </w:r>
    </w:p>
    <w:p w14:paraId="6018A0FC">
      <w:pPr>
        <w:pStyle w:val="2"/>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3.交易电量确定方式：采购人按每月实际用电量进行结算，中标人测算并申报交易电量，偏差电量考核产生的费用全部由中标人承担。</w:t>
      </w:r>
    </w:p>
    <w:p w14:paraId="0455B3EF">
      <w:pPr>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4.投标报价保留小数点后三位数，超过小数点后三位的，按四舍五入自动修正。</w:t>
      </w:r>
    </w:p>
    <w:p w14:paraId="4A4B76F8">
      <w:pPr>
        <w:ind w:firstLine="482" w:firstLineChars="200"/>
        <w:rPr>
          <w:rFonts w:hint="eastAsia" w:ascii="宋体" w:hAnsi="宋体" w:eastAsia="宋体" w:cs="宋体"/>
          <w:b/>
          <w:bCs/>
          <w:color w:val="auto"/>
          <w:kern w:val="2"/>
          <w:sz w:val="24"/>
          <w:szCs w:val="24"/>
          <w:highlight w:val="none"/>
          <w:lang w:val="en-US" w:eastAsia="zh-CN" w:bidi="ar-SA"/>
        </w:rPr>
      </w:pPr>
    </w:p>
    <w:p w14:paraId="047A487F">
      <w:pPr>
        <w:ind w:firstLine="482" w:firstLineChars="200"/>
        <w:rPr>
          <w:rFonts w:hint="eastAsia" w:ascii="宋体" w:hAnsi="宋体" w:eastAsia="宋体" w:cs="宋体"/>
          <w:b/>
          <w:bCs/>
          <w:color w:val="auto"/>
          <w:kern w:val="2"/>
          <w:sz w:val="24"/>
          <w:szCs w:val="24"/>
          <w:highlight w:val="none"/>
          <w:lang w:val="en-US" w:eastAsia="zh-CN" w:bidi="ar-SA"/>
        </w:rPr>
      </w:pPr>
    </w:p>
    <w:p w14:paraId="5463DBC2">
      <w:pPr>
        <w:ind w:firstLine="482" w:firstLineChars="200"/>
        <w:rPr>
          <w:rFonts w:hint="eastAsia" w:ascii="宋体" w:hAnsi="宋体" w:eastAsia="宋体" w:cs="宋体"/>
          <w:b/>
          <w:bCs/>
          <w:color w:val="auto"/>
          <w:kern w:val="2"/>
          <w:sz w:val="24"/>
          <w:szCs w:val="24"/>
          <w:highlight w:val="none"/>
          <w:lang w:val="en-US" w:eastAsia="zh-CN" w:bidi="ar-SA"/>
        </w:rPr>
      </w:pPr>
    </w:p>
    <w:p w14:paraId="06D6CAC0">
      <w:pPr>
        <w:wordWrap/>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法定代表人（项目负责人）或授权代表（签字）：                 </w:t>
      </w:r>
    </w:p>
    <w:p w14:paraId="790074E3">
      <w:pPr>
        <w:wordWrap/>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投标人名称（盖章）：                 </w:t>
      </w:r>
    </w:p>
    <w:p w14:paraId="7FA1653A">
      <w:pPr>
        <w:spacing w:line="360" w:lineRule="auto"/>
        <w:ind w:firstLine="482" w:firstLineChars="200"/>
        <w:jc w:val="left"/>
        <w:rPr>
          <w:rFonts w:hint="eastAsia" w:ascii="仿宋" w:hAnsi="仿宋" w:eastAsia="仿宋" w:cs="仿宋"/>
          <w:b/>
          <w:bCs/>
          <w:sz w:val="28"/>
          <w:szCs w:val="28"/>
          <w:highlight w:val="none"/>
          <w:lang w:val="en-US" w:eastAsia="zh-CN"/>
        </w:rPr>
      </w:pPr>
      <w:r>
        <w:rPr>
          <w:rFonts w:hint="eastAsia" w:ascii="宋体" w:hAnsi="宋体" w:eastAsia="宋体" w:cs="宋体"/>
          <w:b/>
          <w:bCs/>
          <w:sz w:val="24"/>
          <w:szCs w:val="24"/>
          <w:highlight w:val="none"/>
          <w:lang w:val="en-US" w:eastAsia="zh-CN"/>
        </w:rPr>
        <w:t xml:space="preserve">日期：年 月 日               </w:t>
      </w:r>
      <w:r>
        <w:rPr>
          <w:rFonts w:hint="eastAsia" w:ascii="仿宋" w:hAnsi="仿宋" w:eastAsia="仿宋" w:cs="仿宋"/>
          <w:b/>
          <w:bCs/>
          <w:sz w:val="28"/>
          <w:szCs w:val="28"/>
          <w:highlight w:val="none"/>
          <w:lang w:val="en-US" w:eastAsia="zh-CN"/>
        </w:rPr>
        <w:br w:type="page"/>
      </w:r>
    </w:p>
    <w:p w14:paraId="509422FC">
      <w:pPr>
        <w:pStyle w:val="2"/>
        <w:rPr>
          <w:rFonts w:hint="eastAsia"/>
        </w:rPr>
      </w:pPr>
    </w:p>
    <w:p w14:paraId="53582290">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4582CB85">
      <w:pPr>
        <w:rPr>
          <w:rFonts w:hint="eastAsia" w:asciiTheme="minorEastAsia" w:hAnsiTheme="minorEastAsia" w:eastAsiaTheme="minorEastAsia" w:cstheme="minorEastAsia"/>
          <w:b/>
          <w:bCs/>
          <w:lang w:eastAsia="zh-CN"/>
        </w:rPr>
      </w:pPr>
      <w:r>
        <w:rPr>
          <w:rFonts w:hint="eastAsia" w:asciiTheme="minorEastAsia" w:hAnsiTheme="minorEastAsia" w:cstheme="minorEastAsia"/>
          <w:b/>
          <w:bCs/>
        </w:rPr>
        <w:t>八、实质性条款</w:t>
      </w:r>
      <w:r>
        <w:rPr>
          <w:rFonts w:hint="eastAsia" w:asciiTheme="minorEastAsia" w:hAnsiTheme="minorEastAsia" w:cstheme="minorEastAsia"/>
          <w:b/>
          <w:bCs/>
          <w:lang w:val="en-US" w:eastAsia="zh-CN"/>
        </w:rPr>
        <w:t>响应</w:t>
      </w:r>
    </w:p>
    <w:tbl>
      <w:tblPr>
        <w:tblStyle w:val="25"/>
        <w:tblW w:w="5173" w:type="pct"/>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788"/>
        <w:gridCol w:w="5454"/>
        <w:gridCol w:w="856"/>
        <w:gridCol w:w="882"/>
        <w:gridCol w:w="856"/>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88" w:type="pct"/>
            <w:vAlign w:val="center"/>
          </w:tcPr>
          <w:p w14:paraId="781B8DA9">
            <w:pPr>
              <w:adjustRightInd w:val="0"/>
              <w:snapToGrid w:val="0"/>
              <w:jc w:val="center"/>
              <w:rPr>
                <w:rFonts w:hint="eastAsia" w:ascii="宋体" w:hAnsi="宋体"/>
                <w:b/>
                <w:bCs/>
                <w:szCs w:val="21"/>
              </w:rPr>
            </w:pPr>
            <w:bookmarkStart w:id="23" w:name="_Hlk72092651"/>
            <w:r>
              <w:rPr>
                <w:rFonts w:hint="eastAsia" w:ascii="宋体" w:hAnsi="宋体" w:eastAsia="宋体"/>
                <w:b/>
                <w:bCs/>
                <w:szCs w:val="21"/>
              </w:rPr>
              <w:t>序号</w:t>
            </w:r>
          </w:p>
        </w:tc>
        <w:tc>
          <w:tcPr>
            <w:tcW w:w="420" w:type="pct"/>
            <w:vAlign w:val="center"/>
          </w:tcPr>
          <w:p w14:paraId="5E14659D">
            <w:pPr>
              <w:adjustRightInd w:val="0"/>
              <w:snapToGrid w:val="0"/>
              <w:jc w:val="center"/>
              <w:rPr>
                <w:rFonts w:hint="eastAsia" w:ascii="宋体" w:hAnsi="宋体" w:eastAsia="宋体"/>
                <w:b/>
                <w:bCs/>
                <w:szCs w:val="21"/>
              </w:rPr>
            </w:pPr>
            <w:r>
              <w:rPr>
                <w:rFonts w:hint="eastAsia" w:ascii="宋体" w:hAnsi="宋体" w:eastAsia="宋体"/>
                <w:b/>
                <w:bCs/>
                <w:szCs w:val="21"/>
              </w:rPr>
              <w:t>要求</w:t>
            </w:r>
          </w:p>
        </w:tc>
        <w:tc>
          <w:tcPr>
            <w:tcW w:w="2907" w:type="pct"/>
            <w:vAlign w:val="center"/>
          </w:tcPr>
          <w:p w14:paraId="2EFDE49B">
            <w:pPr>
              <w:adjustRightInd w:val="0"/>
              <w:snapToGrid w:val="0"/>
              <w:jc w:val="center"/>
              <w:rPr>
                <w:rFonts w:hint="eastAsia" w:ascii="宋体" w:hAnsi="宋体"/>
                <w:b/>
                <w:bCs/>
                <w:szCs w:val="21"/>
              </w:rPr>
            </w:pPr>
            <w:r>
              <w:rPr>
                <w:rFonts w:hint="eastAsia" w:ascii="宋体" w:hAnsi="宋体" w:eastAsia="宋体"/>
                <w:b/>
                <w:bCs/>
                <w:szCs w:val="21"/>
              </w:rPr>
              <w:t>实质性条款具体内容</w:t>
            </w:r>
          </w:p>
        </w:tc>
        <w:tc>
          <w:tcPr>
            <w:tcW w:w="456" w:type="pct"/>
            <w:vAlign w:val="center"/>
          </w:tcPr>
          <w:p w14:paraId="4A93A7AE">
            <w:pPr>
              <w:adjustRightInd w:val="0"/>
              <w:snapToGrid w:val="0"/>
              <w:jc w:val="center"/>
              <w:rPr>
                <w:rFonts w:hint="default" w:ascii="宋体" w:hAnsi="宋体" w:eastAsia="宋体"/>
                <w:b/>
                <w:bCs/>
                <w:szCs w:val="21"/>
                <w:lang w:val="en-US" w:eastAsia="zh-CN"/>
              </w:rPr>
            </w:pPr>
            <w:r>
              <w:rPr>
                <w:rFonts w:hint="eastAsia" w:eastAsia="宋体"/>
                <w:b/>
                <w:bCs/>
                <w:lang w:val="en-US" w:eastAsia="zh-CN"/>
              </w:rPr>
              <w:t>响应情况</w:t>
            </w:r>
          </w:p>
        </w:tc>
        <w:tc>
          <w:tcPr>
            <w:tcW w:w="470" w:type="pct"/>
            <w:vAlign w:val="center"/>
          </w:tcPr>
          <w:p w14:paraId="7B160AB6">
            <w:pPr>
              <w:adjustRightInd w:val="0"/>
              <w:snapToGrid w:val="0"/>
              <w:jc w:val="center"/>
              <w:rPr>
                <w:rFonts w:hint="eastAsia" w:ascii="宋体" w:hAnsi="宋体"/>
                <w:b/>
                <w:bCs/>
                <w:szCs w:val="21"/>
              </w:rPr>
            </w:pPr>
            <w:r>
              <w:rPr>
                <w:rFonts w:hint="eastAsia" w:eastAsia="宋体"/>
                <w:b/>
                <w:bCs/>
              </w:rPr>
              <w:t>偏离情况</w:t>
            </w:r>
          </w:p>
        </w:tc>
        <w:tc>
          <w:tcPr>
            <w:tcW w:w="456" w:type="pct"/>
            <w:vAlign w:val="center"/>
          </w:tcPr>
          <w:p w14:paraId="75EAB8BE">
            <w:pPr>
              <w:adjustRightInd w:val="0"/>
              <w:snapToGrid w:val="0"/>
              <w:jc w:val="center"/>
              <w:rPr>
                <w:rFonts w:hint="eastAsia" w:ascii="宋体" w:hAnsi="宋体"/>
                <w:b/>
                <w:bCs/>
                <w:szCs w:val="21"/>
              </w:rPr>
            </w:pPr>
            <w:r>
              <w:rPr>
                <w:rFonts w:hint="eastAsia" w:eastAsia="宋体"/>
                <w:b/>
                <w:bCs/>
              </w:rPr>
              <w:t>说明</w:t>
            </w:r>
          </w:p>
        </w:tc>
      </w:tr>
      <w:bookmarkEnd w:id="23"/>
      <w:tr w14:paraId="3491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restart"/>
            <w:vAlign w:val="center"/>
          </w:tcPr>
          <w:p w14:paraId="1BBBD46E">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1</w:t>
            </w:r>
          </w:p>
        </w:tc>
        <w:tc>
          <w:tcPr>
            <w:tcW w:w="420" w:type="pct"/>
            <w:vMerge w:val="restart"/>
            <w:vAlign w:val="center"/>
          </w:tcPr>
          <w:p w14:paraId="0CDBDDAA">
            <w:pPr>
              <w:jc w:val="center"/>
              <w:textAlignment w:val="center"/>
              <w:rPr>
                <w:rFonts w:hint="default" w:ascii="宋体" w:hAnsi="宋体" w:eastAsia="宋体"/>
                <w:lang w:val="en-US" w:eastAsia="zh-CN"/>
              </w:rPr>
            </w:pPr>
            <w:r>
              <w:rPr>
                <w:rFonts w:hint="eastAsia" w:ascii="宋体" w:hAnsi="宋体" w:eastAsia="宋体"/>
                <w:lang w:val="en-US" w:eastAsia="zh-CN"/>
              </w:rPr>
              <w:t>服务要求</w:t>
            </w:r>
          </w:p>
        </w:tc>
        <w:tc>
          <w:tcPr>
            <w:tcW w:w="2907" w:type="pct"/>
            <w:vAlign w:val="top"/>
          </w:tcPr>
          <w:p w14:paraId="2B70A962">
            <w:pPr>
              <w:keepNext w:val="0"/>
              <w:keepLines w:val="0"/>
              <w:suppressLineNumbers w:val="0"/>
              <w:spacing w:before="0" w:beforeAutospacing="0" w:after="0" w:afterAutospacing="0" w:line="240" w:lineRule="auto"/>
              <w:ind w:left="0" w:right="0"/>
              <w:rPr>
                <w:rFonts w:hint="eastAsia" w:ascii="宋体" w:hAnsi="宋体" w:eastAsia="宋体" w:cs="宋体"/>
                <w:color w:val="000000"/>
                <w:lang w:eastAsia="zh-CN"/>
              </w:rPr>
            </w:pPr>
            <w:r>
              <w:rPr>
                <w:rFonts w:hint="eastAsia" w:ascii="宋体" w:hAnsi="宋体" w:eastAsia="宋体" w:cs="宋体"/>
                <w:kern w:val="0"/>
                <w:sz w:val="24"/>
                <w:szCs w:val="24"/>
                <w:highlight w:val="none"/>
              </w:rPr>
              <w:t>1.委托具备相应资质的售电企业在广东电力交易中心平台进行电力市场交易代理购电服务。</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提供证明文件</w:t>
            </w:r>
            <w:r>
              <w:rPr>
                <w:rFonts w:hint="eastAsia" w:ascii="宋体" w:hAnsi="宋体" w:eastAsia="宋体" w:cs="宋体"/>
                <w:b/>
                <w:bCs/>
                <w:color w:val="FF0000"/>
                <w:kern w:val="0"/>
                <w:sz w:val="24"/>
                <w:szCs w:val="24"/>
                <w:highlight w:val="none"/>
                <w:lang w:eastAsia="zh-CN"/>
              </w:rPr>
              <w:t>）</w:t>
            </w:r>
          </w:p>
        </w:tc>
        <w:tc>
          <w:tcPr>
            <w:tcW w:w="456" w:type="pct"/>
            <w:vAlign w:val="center"/>
          </w:tcPr>
          <w:p w14:paraId="7E5783C3">
            <w:pPr>
              <w:adjustRightInd w:val="0"/>
              <w:snapToGrid w:val="0"/>
              <w:spacing w:line="360" w:lineRule="auto"/>
              <w:jc w:val="left"/>
              <w:rPr>
                <w:rFonts w:hint="eastAsia" w:ascii="宋体" w:hAnsi="宋体"/>
                <w:szCs w:val="21"/>
              </w:rPr>
            </w:pPr>
          </w:p>
        </w:tc>
        <w:tc>
          <w:tcPr>
            <w:tcW w:w="470" w:type="pct"/>
            <w:vAlign w:val="center"/>
          </w:tcPr>
          <w:p w14:paraId="68B64F1F">
            <w:pPr>
              <w:adjustRightInd w:val="0"/>
              <w:snapToGrid w:val="0"/>
              <w:spacing w:line="360" w:lineRule="auto"/>
              <w:jc w:val="left"/>
              <w:rPr>
                <w:rFonts w:hint="eastAsia" w:ascii="宋体" w:hAnsi="宋体"/>
                <w:szCs w:val="21"/>
              </w:rPr>
            </w:pPr>
          </w:p>
        </w:tc>
        <w:tc>
          <w:tcPr>
            <w:tcW w:w="456" w:type="pct"/>
            <w:vAlign w:val="center"/>
          </w:tcPr>
          <w:p w14:paraId="5260737A">
            <w:pPr>
              <w:adjustRightInd w:val="0"/>
              <w:snapToGrid w:val="0"/>
              <w:spacing w:line="360" w:lineRule="auto"/>
              <w:jc w:val="left"/>
              <w:rPr>
                <w:rFonts w:hint="eastAsia" w:ascii="宋体" w:hAnsi="宋体"/>
                <w:szCs w:val="21"/>
              </w:rPr>
            </w:pPr>
          </w:p>
        </w:tc>
      </w:tr>
      <w:tr w14:paraId="13AE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01FA4CDA">
            <w:pPr>
              <w:adjustRightInd w:val="0"/>
              <w:snapToGrid w:val="0"/>
              <w:spacing w:line="360" w:lineRule="auto"/>
              <w:jc w:val="center"/>
              <w:rPr>
                <w:rFonts w:hint="eastAsia" w:ascii="宋体" w:hAnsi="宋体" w:eastAsia="宋体"/>
                <w:lang w:val="en-US" w:eastAsia="zh-CN"/>
              </w:rPr>
            </w:pPr>
          </w:p>
        </w:tc>
        <w:tc>
          <w:tcPr>
            <w:tcW w:w="420" w:type="pct"/>
            <w:vMerge w:val="continue"/>
            <w:vAlign w:val="center"/>
          </w:tcPr>
          <w:p w14:paraId="79FEE60A">
            <w:pPr>
              <w:jc w:val="center"/>
              <w:textAlignment w:val="center"/>
              <w:rPr>
                <w:rFonts w:hint="eastAsia" w:ascii="宋体" w:hAnsi="宋体" w:eastAsia="宋体"/>
                <w:lang w:val="en-US" w:eastAsia="zh-CN"/>
              </w:rPr>
            </w:pPr>
          </w:p>
        </w:tc>
        <w:tc>
          <w:tcPr>
            <w:tcW w:w="2907" w:type="pct"/>
            <w:vAlign w:val="top"/>
          </w:tcPr>
          <w:p w14:paraId="4A78491E">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2.服务符合《广东省能源局 国家能源局南方监管局关于202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年电力市场交易有关事项的通知》（粤能电力〔202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306</w:t>
            </w:r>
            <w:r>
              <w:rPr>
                <w:rFonts w:hint="eastAsia" w:ascii="宋体" w:hAnsi="宋体" w:eastAsia="宋体" w:cs="宋体"/>
                <w:kern w:val="0"/>
                <w:sz w:val="24"/>
                <w:szCs w:val="24"/>
                <w:highlight w:val="none"/>
              </w:rPr>
              <w:t>号）文件要求。</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提供承诺函，格式自拟</w:t>
            </w:r>
            <w:r>
              <w:rPr>
                <w:rFonts w:hint="eastAsia" w:ascii="宋体" w:hAnsi="宋体" w:eastAsia="宋体" w:cs="宋体"/>
                <w:b/>
                <w:bCs/>
                <w:color w:val="FF0000"/>
                <w:kern w:val="0"/>
                <w:sz w:val="24"/>
                <w:szCs w:val="24"/>
                <w:highlight w:val="none"/>
                <w:lang w:eastAsia="zh-CN"/>
              </w:rPr>
              <w:t>）</w:t>
            </w:r>
          </w:p>
        </w:tc>
        <w:tc>
          <w:tcPr>
            <w:tcW w:w="456" w:type="pct"/>
            <w:vAlign w:val="center"/>
          </w:tcPr>
          <w:p w14:paraId="4FB6B833">
            <w:pPr>
              <w:adjustRightInd w:val="0"/>
              <w:snapToGrid w:val="0"/>
              <w:spacing w:line="360" w:lineRule="auto"/>
              <w:jc w:val="left"/>
              <w:rPr>
                <w:rFonts w:hint="eastAsia" w:ascii="宋体" w:hAnsi="宋体"/>
                <w:szCs w:val="21"/>
              </w:rPr>
            </w:pPr>
          </w:p>
        </w:tc>
        <w:tc>
          <w:tcPr>
            <w:tcW w:w="470" w:type="pct"/>
            <w:vAlign w:val="center"/>
          </w:tcPr>
          <w:p w14:paraId="2763A788">
            <w:pPr>
              <w:adjustRightInd w:val="0"/>
              <w:snapToGrid w:val="0"/>
              <w:spacing w:line="360" w:lineRule="auto"/>
              <w:jc w:val="left"/>
              <w:rPr>
                <w:rFonts w:hint="eastAsia" w:ascii="宋体" w:hAnsi="宋体"/>
                <w:szCs w:val="21"/>
              </w:rPr>
            </w:pPr>
          </w:p>
        </w:tc>
        <w:tc>
          <w:tcPr>
            <w:tcW w:w="456" w:type="pct"/>
            <w:vAlign w:val="center"/>
          </w:tcPr>
          <w:p w14:paraId="29D67295">
            <w:pPr>
              <w:adjustRightInd w:val="0"/>
              <w:snapToGrid w:val="0"/>
              <w:spacing w:line="360" w:lineRule="auto"/>
              <w:jc w:val="left"/>
              <w:rPr>
                <w:rFonts w:hint="eastAsia" w:ascii="宋体" w:hAnsi="宋体"/>
                <w:szCs w:val="21"/>
              </w:rPr>
            </w:pPr>
          </w:p>
        </w:tc>
      </w:tr>
      <w:tr w14:paraId="1171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055C79A9">
            <w:pPr>
              <w:adjustRightInd w:val="0"/>
              <w:snapToGrid w:val="0"/>
              <w:spacing w:line="360" w:lineRule="auto"/>
              <w:jc w:val="center"/>
              <w:rPr>
                <w:rFonts w:hint="eastAsia" w:ascii="宋体" w:hAnsi="宋体" w:eastAsia="宋体"/>
                <w:lang w:val="en-US" w:eastAsia="zh-CN"/>
              </w:rPr>
            </w:pPr>
          </w:p>
        </w:tc>
        <w:tc>
          <w:tcPr>
            <w:tcW w:w="420" w:type="pct"/>
            <w:vMerge w:val="continue"/>
            <w:vAlign w:val="center"/>
          </w:tcPr>
          <w:p w14:paraId="7261C5EE">
            <w:pPr>
              <w:jc w:val="center"/>
              <w:textAlignment w:val="center"/>
              <w:rPr>
                <w:rFonts w:hint="eastAsia" w:ascii="宋体" w:hAnsi="宋体" w:eastAsia="宋体"/>
                <w:lang w:val="en-US" w:eastAsia="zh-CN"/>
              </w:rPr>
            </w:pPr>
          </w:p>
        </w:tc>
        <w:tc>
          <w:tcPr>
            <w:tcW w:w="2907" w:type="pct"/>
            <w:vAlign w:val="top"/>
          </w:tcPr>
          <w:p w14:paraId="2470A2F9">
            <w:pPr>
              <w:pStyle w:val="2"/>
              <w:keepNext w:val="0"/>
              <w:keepLines w:val="0"/>
              <w:suppressLineNumbers w:val="0"/>
              <w:spacing w:before="0" w:beforeAutospacing="0" w:after="0" w:afterAutospacing="0" w:line="240" w:lineRule="auto"/>
              <w:ind w:left="0" w:leftChars="0" w:right="0" w:rightChars="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人向采购人提供售电信息咨询服务，协助采购人全面熟悉售电交易流程及规则。</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提供承诺函，格式自拟</w:t>
            </w:r>
            <w:r>
              <w:rPr>
                <w:rFonts w:hint="eastAsia" w:ascii="宋体" w:hAnsi="宋体" w:eastAsia="宋体" w:cs="宋体"/>
                <w:b/>
                <w:bCs/>
                <w:color w:val="FF0000"/>
                <w:kern w:val="0"/>
                <w:sz w:val="24"/>
                <w:szCs w:val="24"/>
                <w:highlight w:val="none"/>
                <w:lang w:eastAsia="zh-CN"/>
              </w:rPr>
              <w:t>）</w:t>
            </w:r>
          </w:p>
        </w:tc>
        <w:tc>
          <w:tcPr>
            <w:tcW w:w="456" w:type="pct"/>
            <w:vAlign w:val="center"/>
          </w:tcPr>
          <w:p w14:paraId="70E564BD">
            <w:pPr>
              <w:adjustRightInd w:val="0"/>
              <w:snapToGrid w:val="0"/>
              <w:spacing w:line="360" w:lineRule="auto"/>
              <w:jc w:val="left"/>
              <w:rPr>
                <w:rFonts w:hint="eastAsia" w:ascii="宋体" w:hAnsi="宋体"/>
                <w:szCs w:val="21"/>
              </w:rPr>
            </w:pPr>
          </w:p>
        </w:tc>
        <w:tc>
          <w:tcPr>
            <w:tcW w:w="470" w:type="pct"/>
            <w:vAlign w:val="center"/>
          </w:tcPr>
          <w:p w14:paraId="79B8ED9D">
            <w:pPr>
              <w:adjustRightInd w:val="0"/>
              <w:snapToGrid w:val="0"/>
              <w:spacing w:line="360" w:lineRule="auto"/>
              <w:jc w:val="left"/>
              <w:rPr>
                <w:rFonts w:hint="eastAsia" w:ascii="宋体" w:hAnsi="宋体"/>
                <w:szCs w:val="21"/>
              </w:rPr>
            </w:pPr>
          </w:p>
        </w:tc>
        <w:tc>
          <w:tcPr>
            <w:tcW w:w="456" w:type="pct"/>
            <w:vAlign w:val="center"/>
          </w:tcPr>
          <w:p w14:paraId="6EA24C6E">
            <w:pPr>
              <w:adjustRightInd w:val="0"/>
              <w:snapToGrid w:val="0"/>
              <w:spacing w:line="360" w:lineRule="auto"/>
              <w:jc w:val="left"/>
              <w:rPr>
                <w:rFonts w:hint="eastAsia" w:ascii="宋体" w:hAnsi="宋体"/>
                <w:szCs w:val="21"/>
              </w:rPr>
            </w:pPr>
          </w:p>
        </w:tc>
      </w:tr>
      <w:tr w14:paraId="0AD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616A8080">
            <w:pPr>
              <w:adjustRightInd w:val="0"/>
              <w:snapToGrid w:val="0"/>
              <w:spacing w:line="360" w:lineRule="auto"/>
              <w:jc w:val="center"/>
              <w:rPr>
                <w:rFonts w:hint="eastAsia" w:ascii="宋体" w:hAnsi="宋体" w:eastAsia="宋体"/>
                <w:lang w:val="en-US" w:eastAsia="zh-CN"/>
              </w:rPr>
            </w:pPr>
          </w:p>
        </w:tc>
        <w:tc>
          <w:tcPr>
            <w:tcW w:w="420" w:type="pct"/>
            <w:vMerge w:val="continue"/>
            <w:vAlign w:val="center"/>
          </w:tcPr>
          <w:p w14:paraId="5946E8A4">
            <w:pPr>
              <w:jc w:val="center"/>
              <w:textAlignment w:val="center"/>
              <w:rPr>
                <w:rFonts w:hint="eastAsia" w:ascii="宋体" w:hAnsi="宋体" w:eastAsia="宋体"/>
                <w:lang w:val="en-US" w:eastAsia="zh-CN"/>
              </w:rPr>
            </w:pPr>
          </w:p>
        </w:tc>
        <w:tc>
          <w:tcPr>
            <w:tcW w:w="2907" w:type="pct"/>
            <w:vAlign w:val="top"/>
          </w:tcPr>
          <w:p w14:paraId="43B2E406">
            <w:pPr>
              <w:pStyle w:val="2"/>
              <w:keepNext w:val="0"/>
              <w:keepLines w:val="0"/>
              <w:suppressLineNumbers w:val="0"/>
              <w:spacing w:before="0" w:beforeAutospacing="0" w:after="0" w:afterAutospacing="0" w:line="240" w:lineRule="auto"/>
              <w:ind w:left="0" w:leftChars="0" w:right="0" w:right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4.投标</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lang w:val="en-US" w:eastAsia="zh-CN"/>
              </w:rPr>
              <w:t>承诺所提供的电力100%提供等量省外的绿证证明或绿电证明，满足上级部门要求。</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提供承诺函，格式自拟</w:t>
            </w:r>
            <w:r>
              <w:rPr>
                <w:rFonts w:hint="eastAsia" w:ascii="宋体" w:hAnsi="宋体" w:eastAsia="宋体" w:cs="宋体"/>
                <w:b/>
                <w:bCs/>
                <w:color w:val="FF0000"/>
                <w:kern w:val="0"/>
                <w:sz w:val="24"/>
                <w:szCs w:val="24"/>
                <w:highlight w:val="none"/>
                <w:lang w:eastAsia="zh-CN"/>
              </w:rPr>
              <w:t>）</w:t>
            </w:r>
          </w:p>
        </w:tc>
        <w:tc>
          <w:tcPr>
            <w:tcW w:w="456" w:type="pct"/>
            <w:vAlign w:val="center"/>
          </w:tcPr>
          <w:p w14:paraId="08D512D4">
            <w:pPr>
              <w:adjustRightInd w:val="0"/>
              <w:snapToGrid w:val="0"/>
              <w:spacing w:line="360" w:lineRule="auto"/>
              <w:jc w:val="left"/>
              <w:rPr>
                <w:rFonts w:hint="eastAsia" w:ascii="宋体" w:hAnsi="宋体"/>
                <w:szCs w:val="21"/>
              </w:rPr>
            </w:pPr>
          </w:p>
        </w:tc>
        <w:tc>
          <w:tcPr>
            <w:tcW w:w="470" w:type="pct"/>
            <w:vAlign w:val="center"/>
          </w:tcPr>
          <w:p w14:paraId="70156687">
            <w:pPr>
              <w:adjustRightInd w:val="0"/>
              <w:snapToGrid w:val="0"/>
              <w:spacing w:line="360" w:lineRule="auto"/>
              <w:jc w:val="left"/>
              <w:rPr>
                <w:rFonts w:hint="eastAsia" w:ascii="宋体" w:hAnsi="宋体"/>
                <w:szCs w:val="21"/>
              </w:rPr>
            </w:pPr>
          </w:p>
        </w:tc>
        <w:tc>
          <w:tcPr>
            <w:tcW w:w="456" w:type="pct"/>
            <w:vAlign w:val="center"/>
          </w:tcPr>
          <w:p w14:paraId="3D8101F8">
            <w:pPr>
              <w:adjustRightInd w:val="0"/>
              <w:snapToGrid w:val="0"/>
              <w:spacing w:line="360" w:lineRule="auto"/>
              <w:jc w:val="left"/>
              <w:rPr>
                <w:rFonts w:hint="eastAsia" w:ascii="宋体" w:hAnsi="宋体"/>
                <w:szCs w:val="21"/>
              </w:rPr>
            </w:pPr>
          </w:p>
        </w:tc>
      </w:tr>
      <w:tr w14:paraId="21A1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141F8429">
            <w:pPr>
              <w:adjustRightInd w:val="0"/>
              <w:snapToGrid w:val="0"/>
              <w:spacing w:line="240" w:lineRule="auto"/>
              <w:jc w:val="both"/>
              <w:rPr>
                <w:rFonts w:hint="default" w:ascii="宋体" w:hAnsi="宋体" w:eastAsia="宋体"/>
                <w:color w:val="auto"/>
                <w:lang w:val="en-US" w:eastAsia="zh-CN"/>
              </w:rPr>
            </w:pPr>
            <w:r>
              <w:rPr>
                <w:rFonts w:hint="eastAsia" w:ascii="宋体" w:hAnsi="宋体" w:eastAsia="宋体"/>
                <w:color w:val="auto"/>
                <w:lang w:val="en-US" w:eastAsia="zh-CN"/>
              </w:rPr>
              <w:t>2</w:t>
            </w:r>
          </w:p>
        </w:tc>
        <w:tc>
          <w:tcPr>
            <w:tcW w:w="420" w:type="pct"/>
            <w:vAlign w:val="center"/>
          </w:tcPr>
          <w:p w14:paraId="6545A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lang w:val="en-US" w:eastAsia="zh-CN"/>
              </w:rPr>
            </w:pPr>
            <w:r>
              <w:rPr>
                <w:rFonts w:hint="eastAsia" w:ascii="宋体" w:hAnsi="宋体" w:eastAsia="宋体" w:cs="宋体"/>
                <w:color w:val="000000"/>
                <w:kern w:val="0"/>
                <w:sz w:val="24"/>
                <w:szCs w:val="24"/>
                <w:highlight w:val="none"/>
                <w:lang w:val="en-US" w:eastAsia="zh-CN"/>
              </w:rPr>
              <w:t>付款方式</w:t>
            </w:r>
          </w:p>
        </w:tc>
        <w:tc>
          <w:tcPr>
            <w:tcW w:w="2907" w:type="pct"/>
            <w:vAlign w:val="center"/>
          </w:tcPr>
          <w:p w14:paraId="04D582F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按照广东电力交易中心规定执行。</w:t>
            </w:r>
          </w:p>
        </w:tc>
        <w:tc>
          <w:tcPr>
            <w:tcW w:w="456" w:type="pct"/>
            <w:vAlign w:val="center"/>
          </w:tcPr>
          <w:p w14:paraId="5FCA3C61">
            <w:pPr>
              <w:adjustRightInd w:val="0"/>
              <w:snapToGrid w:val="0"/>
              <w:spacing w:line="360" w:lineRule="auto"/>
              <w:jc w:val="left"/>
              <w:rPr>
                <w:rFonts w:hint="eastAsia" w:ascii="宋体" w:hAnsi="宋体"/>
                <w:szCs w:val="21"/>
              </w:rPr>
            </w:pPr>
          </w:p>
        </w:tc>
        <w:tc>
          <w:tcPr>
            <w:tcW w:w="470" w:type="pct"/>
            <w:vAlign w:val="center"/>
          </w:tcPr>
          <w:p w14:paraId="6D1A1FBA">
            <w:pPr>
              <w:adjustRightInd w:val="0"/>
              <w:snapToGrid w:val="0"/>
              <w:spacing w:line="360" w:lineRule="auto"/>
              <w:jc w:val="left"/>
              <w:rPr>
                <w:rFonts w:hint="eastAsia" w:ascii="宋体" w:hAnsi="宋体"/>
                <w:szCs w:val="21"/>
              </w:rPr>
            </w:pPr>
          </w:p>
        </w:tc>
        <w:tc>
          <w:tcPr>
            <w:tcW w:w="456" w:type="pct"/>
            <w:vAlign w:val="center"/>
          </w:tcPr>
          <w:p w14:paraId="3D41FF52">
            <w:pPr>
              <w:adjustRightInd w:val="0"/>
              <w:snapToGrid w:val="0"/>
              <w:spacing w:line="360" w:lineRule="auto"/>
              <w:jc w:val="left"/>
              <w:rPr>
                <w:rFonts w:hint="eastAsia" w:ascii="宋体" w:hAnsi="宋体"/>
                <w:szCs w:val="21"/>
              </w:rPr>
            </w:pPr>
          </w:p>
        </w:tc>
      </w:tr>
      <w:tr w14:paraId="754A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201E46C2">
            <w:pPr>
              <w:adjustRightInd w:val="0"/>
              <w:snapToGrid w:val="0"/>
              <w:spacing w:line="240" w:lineRule="auto"/>
              <w:jc w:val="both"/>
              <w:rPr>
                <w:rFonts w:hint="default" w:ascii="宋体" w:hAnsi="宋体" w:eastAsia="宋体"/>
                <w:color w:val="auto"/>
                <w:lang w:val="en-US" w:eastAsia="zh-CN"/>
              </w:rPr>
            </w:pPr>
            <w:r>
              <w:rPr>
                <w:rFonts w:hint="eastAsia" w:ascii="宋体" w:hAnsi="宋体" w:eastAsia="宋体"/>
                <w:color w:val="auto"/>
                <w:lang w:val="en-US" w:eastAsia="zh-CN"/>
              </w:rPr>
              <w:t>3</w:t>
            </w:r>
          </w:p>
        </w:tc>
        <w:tc>
          <w:tcPr>
            <w:tcW w:w="420" w:type="pct"/>
            <w:vAlign w:val="center"/>
          </w:tcPr>
          <w:p w14:paraId="27E33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lang w:val="en-US" w:eastAsia="zh-CN"/>
              </w:rPr>
            </w:pPr>
            <w:r>
              <w:rPr>
                <w:rFonts w:hint="eastAsia" w:ascii="宋体" w:hAnsi="宋体" w:eastAsia="宋体" w:cs="宋体"/>
                <w:color w:val="000000"/>
                <w:kern w:val="0"/>
                <w:sz w:val="24"/>
                <w:szCs w:val="24"/>
                <w:highlight w:val="none"/>
                <w:lang w:val="en-US" w:eastAsia="zh-CN"/>
              </w:rPr>
              <w:t>验收</w:t>
            </w:r>
          </w:p>
        </w:tc>
        <w:tc>
          <w:tcPr>
            <w:tcW w:w="2907" w:type="pct"/>
            <w:vAlign w:val="center"/>
          </w:tcPr>
          <w:p w14:paraId="29EEB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电不涉及质量、品质问题，供电局供电，正常使用。</w:t>
            </w:r>
          </w:p>
        </w:tc>
        <w:tc>
          <w:tcPr>
            <w:tcW w:w="456" w:type="pct"/>
            <w:vAlign w:val="center"/>
          </w:tcPr>
          <w:p w14:paraId="71C67CED">
            <w:pPr>
              <w:adjustRightInd w:val="0"/>
              <w:snapToGrid w:val="0"/>
              <w:spacing w:line="360" w:lineRule="auto"/>
              <w:jc w:val="left"/>
              <w:rPr>
                <w:rFonts w:hint="eastAsia" w:ascii="宋体" w:hAnsi="宋体"/>
                <w:szCs w:val="21"/>
              </w:rPr>
            </w:pPr>
          </w:p>
        </w:tc>
        <w:tc>
          <w:tcPr>
            <w:tcW w:w="470" w:type="pct"/>
            <w:vAlign w:val="center"/>
          </w:tcPr>
          <w:p w14:paraId="2BEB116D">
            <w:pPr>
              <w:adjustRightInd w:val="0"/>
              <w:snapToGrid w:val="0"/>
              <w:spacing w:line="360" w:lineRule="auto"/>
              <w:jc w:val="left"/>
              <w:rPr>
                <w:rFonts w:hint="eastAsia" w:ascii="宋体" w:hAnsi="宋体"/>
                <w:szCs w:val="21"/>
              </w:rPr>
            </w:pPr>
          </w:p>
        </w:tc>
        <w:tc>
          <w:tcPr>
            <w:tcW w:w="456" w:type="pct"/>
            <w:vAlign w:val="center"/>
          </w:tcPr>
          <w:p w14:paraId="55D7E3E3">
            <w:pPr>
              <w:adjustRightInd w:val="0"/>
              <w:snapToGrid w:val="0"/>
              <w:spacing w:line="360" w:lineRule="auto"/>
              <w:jc w:val="left"/>
              <w:rPr>
                <w:rFonts w:hint="eastAsia" w:ascii="宋体" w:hAnsi="宋体"/>
                <w:szCs w:val="21"/>
              </w:rPr>
            </w:pPr>
          </w:p>
        </w:tc>
      </w:tr>
      <w:tr w14:paraId="0F21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2DBB5062">
            <w:pPr>
              <w:adjustRightInd w:val="0"/>
              <w:snapToGrid w:val="0"/>
              <w:spacing w:line="360" w:lineRule="auto"/>
              <w:jc w:val="center"/>
              <w:rPr>
                <w:rFonts w:hint="default" w:ascii="宋体" w:hAnsi="宋体" w:eastAsia="宋体"/>
                <w:lang w:val="en-US" w:eastAsia="zh-CN"/>
              </w:rPr>
            </w:pPr>
            <w:r>
              <w:rPr>
                <w:rFonts w:hint="eastAsia" w:ascii="宋体" w:hAnsi="宋体" w:eastAsia="宋体"/>
                <w:lang w:val="en-US" w:eastAsia="zh-CN"/>
              </w:rPr>
              <w:t>4</w:t>
            </w:r>
          </w:p>
        </w:tc>
        <w:tc>
          <w:tcPr>
            <w:tcW w:w="420" w:type="pct"/>
            <w:vAlign w:val="center"/>
          </w:tcPr>
          <w:p w14:paraId="3B298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投标报价</w:t>
            </w:r>
          </w:p>
          <w:p w14:paraId="48BBC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lang w:val="en-US" w:eastAsia="zh-CN"/>
              </w:rPr>
            </w:pPr>
          </w:p>
        </w:tc>
        <w:tc>
          <w:tcPr>
            <w:tcW w:w="2907" w:type="pct"/>
            <w:vAlign w:val="center"/>
          </w:tcPr>
          <w:p w14:paraId="44254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代理购电模式：按照广东电力市场的零售交易模式进行，以“固定价格+市场联动价格+浮动电费”的模式签订电量零售合同。其中，固定价格部分占比90%、市场联动部分占比10%，浮动电费0元/千瓦时。固定价格部分由投标单位自主报价，市场联动价格部分选择月度中长期交易综合价。</w:t>
            </w:r>
          </w:p>
          <w:p w14:paraId="7197C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2.代理购电上限价：固定价格上限为0.4元/千瓦时，超出固定价格上限为无效报价。</w:t>
            </w:r>
          </w:p>
          <w:p w14:paraId="266CA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3.交易电量确定方式：采购人按每月实际用电量进行结算，中标人测算并申报交易电量，偏差电量考核产生的费用全部由中标人承担。</w:t>
            </w:r>
          </w:p>
          <w:p w14:paraId="62DA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4.投标报价保留小数点后三位数，超过小数点后三位的，按四舍五入自动修正。</w:t>
            </w:r>
          </w:p>
        </w:tc>
        <w:tc>
          <w:tcPr>
            <w:tcW w:w="456" w:type="pct"/>
            <w:vAlign w:val="center"/>
          </w:tcPr>
          <w:p w14:paraId="763C0A00">
            <w:pPr>
              <w:adjustRightInd w:val="0"/>
              <w:snapToGrid w:val="0"/>
              <w:spacing w:line="360" w:lineRule="auto"/>
              <w:jc w:val="center"/>
              <w:rPr>
                <w:rFonts w:hint="eastAsia" w:ascii="宋体" w:hAnsi="宋体"/>
                <w:szCs w:val="21"/>
              </w:rPr>
            </w:pPr>
          </w:p>
        </w:tc>
        <w:tc>
          <w:tcPr>
            <w:tcW w:w="470" w:type="pct"/>
            <w:vAlign w:val="center"/>
          </w:tcPr>
          <w:p w14:paraId="6744D0B6">
            <w:pPr>
              <w:adjustRightInd w:val="0"/>
              <w:snapToGrid w:val="0"/>
              <w:spacing w:line="360" w:lineRule="auto"/>
              <w:jc w:val="center"/>
              <w:rPr>
                <w:rFonts w:hint="eastAsia" w:ascii="宋体" w:hAnsi="宋体"/>
                <w:szCs w:val="21"/>
              </w:rPr>
            </w:pPr>
          </w:p>
        </w:tc>
        <w:tc>
          <w:tcPr>
            <w:tcW w:w="456" w:type="pct"/>
            <w:vAlign w:val="center"/>
          </w:tcPr>
          <w:p w14:paraId="3B148037">
            <w:pPr>
              <w:adjustRightInd w:val="0"/>
              <w:snapToGrid w:val="0"/>
              <w:spacing w:line="360" w:lineRule="auto"/>
              <w:jc w:val="center"/>
              <w:rPr>
                <w:rFonts w:hint="eastAsia" w:ascii="宋体" w:hAnsi="宋体"/>
                <w:szCs w:val="21"/>
              </w:rPr>
            </w:pPr>
          </w:p>
        </w:tc>
      </w:tr>
      <w:tr w14:paraId="140A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71894868">
            <w:pPr>
              <w:adjustRightInd w:val="0"/>
              <w:snapToGrid w:val="0"/>
              <w:spacing w:line="360" w:lineRule="auto"/>
              <w:jc w:val="center"/>
              <w:rPr>
                <w:rFonts w:hint="default" w:ascii="宋体" w:hAnsi="宋体" w:eastAsia="宋体"/>
                <w:lang w:val="en-US" w:eastAsia="zh-CN"/>
              </w:rPr>
            </w:pPr>
            <w:r>
              <w:rPr>
                <w:rFonts w:hint="eastAsia" w:ascii="宋体" w:hAnsi="宋体" w:eastAsia="宋体"/>
                <w:lang w:val="en-US" w:eastAsia="zh-CN"/>
              </w:rPr>
              <w:t>5</w:t>
            </w:r>
          </w:p>
        </w:tc>
        <w:tc>
          <w:tcPr>
            <w:tcW w:w="420" w:type="pct"/>
            <w:vAlign w:val="center"/>
          </w:tcPr>
          <w:p w14:paraId="5176D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lang w:val="en-US" w:eastAsia="zh-CN"/>
              </w:rPr>
            </w:pPr>
            <w:r>
              <w:rPr>
                <w:rFonts w:hint="eastAsia" w:ascii="宋体" w:hAnsi="宋体" w:eastAsia="宋体" w:cs="宋体"/>
                <w:color w:val="000000"/>
                <w:kern w:val="0"/>
                <w:sz w:val="24"/>
                <w:szCs w:val="24"/>
                <w:highlight w:val="none"/>
                <w:lang w:val="en-US" w:eastAsia="zh-CN"/>
              </w:rPr>
              <w:t>违约责任</w:t>
            </w:r>
          </w:p>
        </w:tc>
        <w:tc>
          <w:tcPr>
            <w:tcW w:w="2907" w:type="pct"/>
            <w:vAlign w:val="top"/>
          </w:tcPr>
          <w:p w14:paraId="5D37F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1.在代理购电履行期限届满前，任一方明确表示或以自己行为表明不履行代理购电义务的，另一方可在履行期限届满前解除代理购电并要求其承担相应的违约责任。</w:t>
            </w:r>
          </w:p>
          <w:p w14:paraId="4108A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2.因国家法律、法规发生变化或政府有关部门、监管机构出台最新政策规定而导致原代理购电合同无法继续履行或不可抗力导致无法继续履行，应在不可抗力发生之日起 48 小时内书面通知另一方，并提供有关部门的证明材料。</w:t>
            </w:r>
          </w:p>
          <w:p w14:paraId="025ED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3.如发生提交虚假信息、停产、退市等行为，影响企业履行合同义务的情形，违约方给守约方造成的一切直接及间接损失，由违约方承担违约赔偿责任。</w:t>
            </w:r>
          </w:p>
        </w:tc>
        <w:tc>
          <w:tcPr>
            <w:tcW w:w="456" w:type="pct"/>
            <w:vAlign w:val="center"/>
          </w:tcPr>
          <w:p w14:paraId="6000A5F8">
            <w:pPr>
              <w:adjustRightInd w:val="0"/>
              <w:snapToGrid w:val="0"/>
              <w:spacing w:line="360" w:lineRule="auto"/>
              <w:jc w:val="center"/>
              <w:rPr>
                <w:rFonts w:hint="eastAsia" w:ascii="宋体" w:hAnsi="宋体"/>
                <w:szCs w:val="21"/>
              </w:rPr>
            </w:pPr>
          </w:p>
        </w:tc>
        <w:tc>
          <w:tcPr>
            <w:tcW w:w="470" w:type="pct"/>
            <w:vAlign w:val="center"/>
          </w:tcPr>
          <w:p w14:paraId="28C3F62A">
            <w:pPr>
              <w:adjustRightInd w:val="0"/>
              <w:snapToGrid w:val="0"/>
              <w:spacing w:line="360" w:lineRule="auto"/>
              <w:jc w:val="center"/>
              <w:rPr>
                <w:rFonts w:hint="eastAsia" w:ascii="宋体" w:hAnsi="宋体"/>
                <w:szCs w:val="21"/>
              </w:rPr>
            </w:pPr>
          </w:p>
        </w:tc>
        <w:tc>
          <w:tcPr>
            <w:tcW w:w="456" w:type="pct"/>
            <w:vAlign w:val="center"/>
          </w:tcPr>
          <w:p w14:paraId="4350A46A">
            <w:pPr>
              <w:adjustRightInd w:val="0"/>
              <w:snapToGrid w:val="0"/>
              <w:spacing w:line="360" w:lineRule="auto"/>
              <w:jc w:val="center"/>
              <w:rPr>
                <w:rFonts w:hint="eastAsia" w:ascii="宋体" w:hAnsi="宋体"/>
                <w:szCs w:val="21"/>
              </w:rPr>
            </w:pPr>
          </w:p>
        </w:tc>
      </w:tr>
    </w:tbl>
    <w:p w14:paraId="26CA854B">
      <w:pPr>
        <w:ind w:firstLine="482" w:firstLineChars="200"/>
        <w:rPr>
          <w:b/>
          <w:szCs w:val="22"/>
        </w:rPr>
      </w:pPr>
      <w:r>
        <w:rPr>
          <w:rFonts w:hint="eastAsia" w:eastAsia="宋体"/>
          <w:b/>
          <w:szCs w:val="22"/>
        </w:rPr>
        <w:t>注：1.上表所列各项均为</w:t>
      </w:r>
      <w:r>
        <w:rPr>
          <w:rFonts w:hint="eastAsia" w:eastAsia="宋体"/>
          <w:b/>
          <w:color w:val="FF0000"/>
          <w:szCs w:val="22"/>
        </w:rPr>
        <w:t>不可负偏离</w:t>
      </w:r>
      <w:r>
        <w:rPr>
          <w:rFonts w:hint="eastAsia" w:eastAsia="宋体"/>
          <w:b/>
          <w:szCs w:val="22"/>
        </w:rPr>
        <w:t>条款。</w:t>
      </w:r>
    </w:p>
    <w:p w14:paraId="573D62EB">
      <w:pPr>
        <w:ind w:firstLine="482" w:firstLineChars="200"/>
        <w:rPr>
          <w:b/>
          <w:szCs w:val="22"/>
        </w:rPr>
      </w:pPr>
      <w:r>
        <w:rPr>
          <w:rFonts w:hint="eastAsia" w:eastAsia="宋体"/>
          <w:b/>
          <w:szCs w:val="22"/>
        </w:rPr>
        <w:t>2.“投标</w:t>
      </w:r>
      <w:r>
        <w:rPr>
          <w:rFonts w:hint="eastAsia"/>
          <w:b/>
          <w:szCs w:val="22"/>
        </w:rPr>
        <w:t>响应</w:t>
      </w:r>
      <w:r>
        <w:rPr>
          <w:rFonts w:hint="eastAsia" w:eastAsia="宋体"/>
          <w:b/>
          <w:szCs w:val="22"/>
        </w:rPr>
        <w:t>”一栏应当详细填写投标人自身</w:t>
      </w:r>
      <w:r>
        <w:rPr>
          <w:rFonts w:hint="eastAsia"/>
          <w:b/>
          <w:szCs w:val="22"/>
        </w:rPr>
        <w:t>响应</w:t>
      </w:r>
      <w:r>
        <w:rPr>
          <w:rFonts w:hint="eastAsia" w:eastAsia="宋体"/>
          <w:b/>
          <w:szCs w:val="22"/>
        </w:rPr>
        <w:t>情况，而不能不合理照搬照抄招实质性条款具体内容。</w:t>
      </w:r>
    </w:p>
    <w:p w14:paraId="2F79FB1D">
      <w:pPr>
        <w:ind w:firstLine="482" w:firstLineChars="200"/>
        <w:rPr>
          <w:b/>
          <w:szCs w:val="22"/>
        </w:rPr>
      </w:pPr>
      <w:r>
        <w:rPr>
          <w:rFonts w:hint="eastAsia" w:eastAsia="宋体"/>
          <w:b/>
          <w:szCs w:val="22"/>
        </w:rPr>
        <w:t>3</w:t>
      </w:r>
      <w:r>
        <w:rPr>
          <w:rFonts w:eastAsia="宋体"/>
          <w:b/>
          <w:szCs w:val="22"/>
        </w:rPr>
        <w:t>.</w:t>
      </w:r>
      <w:r>
        <w:rPr>
          <w:rFonts w:hint="eastAsia" w:eastAsia="宋体"/>
          <w:b/>
          <w:szCs w:val="22"/>
        </w:rPr>
        <w:t>“偏离情况”一栏应填写“正偏离”、“负偏离”或“无偏离”，</w:t>
      </w:r>
      <w:r>
        <w:rPr>
          <w:rFonts w:hint="eastAsia" w:eastAsia="宋体"/>
          <w:b/>
        </w:rPr>
        <w:t>“正偏离”表示“投标</w:t>
      </w:r>
      <w:r>
        <w:rPr>
          <w:rFonts w:hint="eastAsia"/>
          <w:b/>
        </w:rPr>
        <w:t>响应</w:t>
      </w:r>
      <w:r>
        <w:rPr>
          <w:rFonts w:hint="eastAsia" w:eastAsia="宋体"/>
          <w:b/>
        </w:rPr>
        <w:t>优于实质性条款具体内容要求”，“负偏离”表示“投标</w:t>
      </w:r>
      <w:r>
        <w:rPr>
          <w:rFonts w:hint="eastAsia"/>
          <w:b/>
        </w:rPr>
        <w:t>响应</w:t>
      </w:r>
      <w:r>
        <w:rPr>
          <w:rFonts w:hint="eastAsia" w:eastAsia="宋体"/>
          <w:b/>
        </w:rPr>
        <w:t>不满足实质性条款具体内容要求”，“无偏离”表示“投标</w:t>
      </w:r>
      <w:r>
        <w:rPr>
          <w:rFonts w:hint="eastAsia"/>
          <w:b/>
        </w:rPr>
        <w:t>响应</w:t>
      </w:r>
      <w:r>
        <w:rPr>
          <w:rFonts w:hint="eastAsia" w:eastAsia="宋体"/>
          <w:b/>
        </w:rPr>
        <w:t>与实质性条款具体内容要求一致”。</w:t>
      </w:r>
    </w:p>
    <w:p w14:paraId="3EF86A88">
      <w:pPr>
        <w:ind w:firstLine="482" w:firstLineChars="200"/>
        <w:rPr>
          <w:b/>
        </w:rPr>
      </w:pPr>
      <w:r>
        <w:rPr>
          <w:rFonts w:eastAsia="宋体"/>
          <w:b/>
        </w:rPr>
        <w:t>4.</w:t>
      </w:r>
      <w:r>
        <w:rPr>
          <w:rFonts w:hint="eastAsia" w:eastAsia="宋体"/>
          <w:b/>
        </w:rPr>
        <w:t>评审委员会有权对投标</w:t>
      </w:r>
      <w:r>
        <w:rPr>
          <w:rFonts w:hint="eastAsia"/>
          <w:b/>
        </w:rPr>
        <w:t>响应</w:t>
      </w:r>
      <w:r>
        <w:rPr>
          <w:rFonts w:hint="eastAsia" w:eastAsia="宋体"/>
          <w:b/>
        </w:rPr>
        <w:t>情况作出判断（作出评审结论）。</w:t>
      </w:r>
    </w:p>
    <w:p w14:paraId="23A9383D">
      <w:pPr>
        <w:ind w:firstLine="482" w:firstLineChars="200"/>
        <w:rPr>
          <w:b/>
          <w:szCs w:val="22"/>
        </w:rPr>
      </w:pPr>
      <w:r>
        <w:rPr>
          <w:rFonts w:eastAsia="宋体"/>
          <w:b/>
          <w:szCs w:val="22"/>
        </w:rPr>
        <w:t>5</w:t>
      </w:r>
      <w:r>
        <w:rPr>
          <w:rFonts w:hint="eastAsia" w:eastAsia="宋体"/>
          <w:b/>
          <w:szCs w:val="22"/>
        </w:rPr>
        <w:t>.实质性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情况”与投标</w:t>
      </w:r>
      <w:r>
        <w:rPr>
          <w:rFonts w:hint="eastAsia"/>
          <w:b/>
          <w:szCs w:val="22"/>
        </w:rPr>
        <w:t>文件</w:t>
      </w:r>
      <w:r>
        <w:rPr>
          <w:rFonts w:hint="eastAsia" w:eastAsia="宋体"/>
          <w:b/>
          <w:szCs w:val="22"/>
        </w:rPr>
        <w:t>其他内容冲突的，以实质性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情况”为准。</w:t>
      </w:r>
    </w:p>
    <w:p w14:paraId="72867120">
      <w:pPr>
        <w:ind w:firstLine="482" w:firstLineChars="200"/>
        <w:rPr>
          <w:b/>
          <w:szCs w:val="22"/>
        </w:rPr>
      </w:pPr>
      <w:r>
        <w:rPr>
          <w:rFonts w:hint="eastAsia" w:eastAsia="宋体"/>
          <w:b/>
          <w:szCs w:val="22"/>
        </w:rPr>
        <w:t>6.要求提供证明资料，</w:t>
      </w:r>
      <w:r>
        <w:rPr>
          <w:rFonts w:hint="eastAsia" w:eastAsia="宋体"/>
          <w:b/>
          <w:color w:val="FF0000"/>
          <w:szCs w:val="22"/>
        </w:rPr>
        <w:t>在“说明”一栏中列明证明资料的位置</w:t>
      </w:r>
      <w:r>
        <w:rPr>
          <w:rFonts w:hint="eastAsia" w:eastAsia="宋体"/>
          <w:b/>
          <w:color w:val="FF0000"/>
          <w:szCs w:val="22"/>
          <w:lang w:eastAsia="zh-CN"/>
        </w:rPr>
        <w:t>，</w:t>
      </w:r>
      <w:r>
        <w:rPr>
          <w:rFonts w:hint="eastAsia" w:eastAsia="宋体"/>
          <w:b/>
          <w:szCs w:val="22"/>
        </w:rPr>
        <w:t>以便评审；未要求提供证明材料的，投标人可以不提供。</w:t>
      </w:r>
    </w:p>
    <w:p w14:paraId="3B1567F8">
      <w:pPr>
        <w:rPr>
          <w:rFonts w:hint="eastAsia" w:asciiTheme="minorEastAsia" w:hAnsiTheme="minorEastAsia" w:cstheme="minorEastAsia"/>
          <w:b/>
          <w:bCs/>
        </w:rPr>
      </w:pPr>
      <w:r>
        <w:rPr>
          <w:rFonts w:hint="eastAsia" w:asciiTheme="minorEastAsia" w:hAnsiTheme="minorEastAsia" w:cstheme="minorEastAsia"/>
          <w:b/>
          <w:bCs/>
        </w:rPr>
        <w:br w:type="page"/>
      </w:r>
    </w:p>
    <w:p w14:paraId="5256F40B">
      <w:pPr>
        <w:jc w:val="both"/>
        <w:rPr>
          <w:rFonts w:hint="eastAsia" w:asciiTheme="minorEastAsia" w:hAnsiTheme="minorEastAsia" w:cstheme="minorEastAsia"/>
          <w:b/>
          <w:bCs/>
        </w:rPr>
        <w:sectPr>
          <w:pgSz w:w="11906" w:h="16838"/>
          <w:pgMar w:top="2098" w:right="1474" w:bottom="1984" w:left="1587" w:header="720" w:footer="1134" w:gutter="0"/>
          <w:pgNumType w:fmt="numberInDash"/>
          <w:cols w:space="720" w:num="1"/>
        </w:sectPr>
      </w:pPr>
    </w:p>
    <w:p w14:paraId="68DDE819">
      <w:pPr>
        <w:jc w:val="both"/>
        <w:rPr>
          <w:rFonts w:hint="eastAsia" w:ascii="宋体" w:hAnsi="宋体" w:eastAsia="宋体" w:cs="宋体"/>
          <w:b/>
          <w:bCs/>
          <w:sz w:val="32"/>
          <w:szCs w:val="32"/>
        </w:rPr>
      </w:pPr>
      <w:r>
        <w:rPr>
          <w:rFonts w:hint="eastAsia" w:asciiTheme="minorEastAsia" w:hAnsiTheme="minorEastAsia" w:cstheme="minorEastAsia"/>
          <w:b/>
          <w:bCs/>
          <w:lang w:val="en-US" w:eastAsia="zh-CN"/>
        </w:rPr>
        <w:t>九</w:t>
      </w:r>
      <w:r>
        <w:rPr>
          <w:rFonts w:hint="eastAsia" w:asciiTheme="minorEastAsia" w:hAnsiTheme="minorEastAsia" w:cstheme="minorEastAsia"/>
          <w:b/>
          <w:bCs/>
        </w:rPr>
        <w:t>、</w:t>
      </w:r>
      <w:r>
        <w:rPr>
          <w:rFonts w:hint="eastAsia" w:asciiTheme="minorEastAsia" w:hAnsiTheme="minorEastAsia" w:cstheme="minorEastAsia"/>
          <w:b/>
          <w:bCs/>
          <w:kern w:val="2"/>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AAE304B"/>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7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7FF3DAA"/>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868A9"/>
    <w:rsid w:val="42AB7105"/>
    <w:rsid w:val="42BA6C89"/>
    <w:rsid w:val="42C86795"/>
    <w:rsid w:val="42E874D3"/>
    <w:rsid w:val="43145CBC"/>
    <w:rsid w:val="43183596"/>
    <w:rsid w:val="432664FB"/>
    <w:rsid w:val="43285D3E"/>
    <w:rsid w:val="4333084C"/>
    <w:rsid w:val="43361CB5"/>
    <w:rsid w:val="43367252"/>
    <w:rsid w:val="43656974"/>
    <w:rsid w:val="43690D26"/>
    <w:rsid w:val="43816D87"/>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475971"/>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1F2506"/>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13209"/>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5">
    <w:name w:val="heading 2"/>
    <w:basedOn w:val="6"/>
    <w:next w:val="7"/>
    <w:link w:val="34"/>
    <w:qFormat/>
    <w:uiPriority w:val="0"/>
    <w:pPr>
      <w:adjustRightInd w:val="0"/>
      <w:jc w:val="center"/>
      <w:textAlignment w:val="baseline"/>
      <w:outlineLvl w:val="1"/>
    </w:pPr>
    <w:rPr>
      <w:szCs w:val="20"/>
    </w:rPr>
  </w:style>
  <w:style w:type="paragraph" w:styleId="6">
    <w:name w:val="heading 3"/>
    <w:basedOn w:val="7"/>
    <w:next w:val="1"/>
    <w:link w:val="49"/>
    <w:qFormat/>
    <w:uiPriority w:val="9"/>
    <w:pPr>
      <w:spacing w:before="260" w:after="260"/>
      <w:outlineLvl w:val="2"/>
    </w:pPr>
    <w:rPr>
      <w:rFonts w:ascii="宋体" w:hAnsi="宋体" w:eastAsia="宋体"/>
      <w:szCs w:val="32"/>
    </w:rPr>
  </w:style>
  <w:style w:type="paragraph" w:styleId="7">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heme="minorHAnsi" w:hAnsiTheme="minorHAnsi" w:cstheme="minorBidi"/>
      <w:szCs w:val="22"/>
    </w:rPr>
  </w:style>
  <w:style w:type="paragraph" w:styleId="3">
    <w:name w:val="Body Text 2"/>
    <w:basedOn w:val="1"/>
    <w:qFormat/>
    <w:uiPriority w:val="0"/>
    <w:pPr>
      <w:spacing w:line="360" w:lineRule="auto"/>
    </w:pPr>
  </w:style>
  <w:style w:type="paragraph" w:styleId="8">
    <w:name w:val="Normal Indent"/>
    <w:basedOn w:val="1"/>
    <w:qFormat/>
    <w:uiPriority w:val="0"/>
    <w:pPr>
      <w:ind w:firstLine="420" w:firstLineChars="200"/>
    </w:p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2"/>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next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1">
    <w:name w:val="Normal (Web)"/>
    <w:basedOn w:val="1"/>
    <w:link w:val="36"/>
    <w:qFormat/>
    <w:uiPriority w:val="99"/>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10"/>
    <w:next w:val="10"/>
    <w:link w:val="43"/>
    <w:qFormat/>
    <w:uiPriority w:val="0"/>
    <w:rPr>
      <w:b/>
      <w:bCs/>
    </w:rPr>
  </w:style>
  <w:style w:type="paragraph" w:styleId="24">
    <w:name w:val="Body Text First Indent 2"/>
    <w:basedOn w:val="13"/>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3">
    <w:name w:val="表格文字"/>
    <w:basedOn w:val="1"/>
    <w:qFormat/>
    <w:uiPriority w:val="99"/>
    <w:pPr>
      <w:spacing w:before="25" w:after="25"/>
    </w:pPr>
    <w:rPr>
      <w:spacing w:val="10"/>
    </w:rPr>
  </w:style>
  <w:style w:type="character" w:customStyle="1" w:styleId="34">
    <w:name w:val="标题 2 字符"/>
    <w:link w:val="5"/>
    <w:qFormat/>
    <w:uiPriority w:val="0"/>
    <w:rPr>
      <w:rFonts w:ascii="宋体" w:hAnsi="宋体" w:eastAsia="宋体"/>
      <w:b/>
      <w:bCs/>
      <w:sz w:val="24"/>
      <w:lang w:val="en-US" w:eastAsia="zh-CN" w:bidi="ar-SA"/>
    </w:rPr>
  </w:style>
  <w:style w:type="character" w:customStyle="1" w:styleId="35">
    <w:name w:val="标题 1 字符"/>
    <w:link w:val="4"/>
    <w:qFormat/>
    <w:uiPriority w:val="9"/>
    <w:rPr>
      <w:rFonts w:ascii="宋体" w:hAnsi="宋体" w:eastAsia="黑体"/>
      <w:b/>
      <w:bCs/>
      <w:kern w:val="44"/>
      <w:sz w:val="28"/>
      <w:szCs w:val="44"/>
      <w:lang w:val="en-US" w:eastAsia="zh-CN" w:bidi="ar-SA"/>
    </w:rPr>
  </w:style>
  <w:style w:type="character" w:customStyle="1" w:styleId="36">
    <w:name w:val="普通(网站) 字符"/>
    <w:link w:val="21"/>
    <w:qFormat/>
    <w:uiPriority w:val="0"/>
    <w:rPr>
      <w:kern w:val="2"/>
      <w:sz w:val="24"/>
      <w:szCs w:val="24"/>
    </w:rPr>
  </w:style>
  <w:style w:type="character" w:customStyle="1" w:styleId="37">
    <w:name w:val="标题 4 字符"/>
    <w:link w:val="7"/>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字符"/>
    <w:basedOn w:val="27"/>
    <w:link w:val="16"/>
    <w:qFormat/>
    <w:uiPriority w:val="0"/>
    <w:rPr>
      <w:sz w:val="18"/>
      <w:szCs w:val="18"/>
    </w:rPr>
  </w:style>
  <w:style w:type="character" w:customStyle="1" w:styleId="40">
    <w:name w:val="页眉 字符"/>
    <w:basedOn w:val="27"/>
    <w:link w:val="19"/>
    <w:qFormat/>
    <w:uiPriority w:val="0"/>
    <w:rPr>
      <w:sz w:val="18"/>
      <w:szCs w:val="18"/>
    </w:rPr>
  </w:style>
  <w:style w:type="character" w:customStyle="1" w:styleId="41">
    <w:name w:val="页脚 字符"/>
    <w:basedOn w:val="27"/>
    <w:link w:val="17"/>
    <w:qFormat/>
    <w:uiPriority w:val="0"/>
    <w:rPr>
      <w:sz w:val="18"/>
      <w:szCs w:val="18"/>
    </w:rPr>
  </w:style>
  <w:style w:type="character" w:customStyle="1" w:styleId="42">
    <w:name w:val="批注文字 字符"/>
    <w:basedOn w:val="27"/>
    <w:link w:val="10"/>
    <w:qFormat/>
    <w:uiPriority w:val="0"/>
    <w:rPr>
      <w:sz w:val="24"/>
      <w:szCs w:val="24"/>
    </w:rPr>
  </w:style>
  <w:style w:type="character" w:customStyle="1" w:styleId="43">
    <w:name w:val="批注主题 字符"/>
    <w:basedOn w:val="42"/>
    <w:link w:val="23"/>
    <w:qFormat/>
    <w:uiPriority w:val="0"/>
    <w:rPr>
      <w:b/>
      <w:bCs/>
      <w:sz w:val="24"/>
      <w:szCs w:val="24"/>
    </w:rPr>
  </w:style>
  <w:style w:type="character" w:customStyle="1" w:styleId="44">
    <w:name w:val="纯文本 字符1"/>
    <w:basedOn w:val="27"/>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字符"/>
    <w:link w:val="6"/>
    <w:qFormat/>
    <w:uiPriority w:val="0"/>
    <w:rPr>
      <w:rFonts w:ascii="宋体" w:hAnsi="宋体" w:eastAsia="宋体"/>
      <w:b/>
      <w:kern w:val="2"/>
      <w:sz w:val="28"/>
    </w:rPr>
  </w:style>
  <w:style w:type="paragraph" w:customStyle="1" w:styleId="50">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9"/>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6">
    <w:name w:val="￥正文"/>
    <w:basedOn w:val="1"/>
    <w:qFormat/>
    <w:uiPriority w:val="0"/>
    <w:pPr>
      <w:tabs>
        <w:tab w:val="left" w:pos="426"/>
      </w:tabs>
      <w:ind w:firstLine="200" w:firstLineChars="200"/>
    </w:pPr>
    <w:rPr>
      <w:rFonts w:ascii="Calibri" w:hAnsi="Calibri"/>
      <w:kern w:val="2"/>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5"/>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5620</Words>
  <Characters>5935</Characters>
  <Lines>103</Lines>
  <Paragraphs>29</Paragraphs>
  <TotalTime>158</TotalTime>
  <ScaleCrop>false</ScaleCrop>
  <LinksUpToDate>false</LinksUpToDate>
  <CharactersWithSpaces>5998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2024-07-04T03:35:00Z</cp:lastPrinted>
  <dcterms:modified xsi:type="dcterms:W3CDTF">2025-12-01T06:20:40Z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