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jc w:val="left"/>
        <w:textAlignment w:val="auto"/>
        <w:outlineLvl w:val="0"/>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附件 3</w:t>
      </w:r>
      <w:bookmarkStart w:id="3" w:name="_GoBack"/>
      <w:bookmarkEnd w:id="3"/>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jc w:val="center"/>
        <w:textAlignment w:val="auto"/>
        <w:outlineLvl w:val="0"/>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综合评分表</w:t>
      </w:r>
    </w:p>
    <w:p>
      <w:pPr>
        <w:pStyle w:val="2"/>
        <w:rPr>
          <w:rFonts w:hint="eastAsia"/>
          <w:lang w:val="en-US" w:eastAsia="zh-CN"/>
        </w:rPr>
      </w:pP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569"/>
        <w:gridCol w:w="519"/>
        <w:gridCol w:w="7513"/>
        <w:gridCol w:w="534"/>
        <w:gridCol w:w="534"/>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序号</w:t>
            </w: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评分内容</w:t>
            </w:r>
          </w:p>
        </w:tc>
        <w:tc>
          <w:tcPr>
            <w:tcW w:w="243"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分值</w:t>
            </w:r>
          </w:p>
        </w:tc>
        <w:tc>
          <w:tcPr>
            <w:tcW w:w="3517"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评分标准</w:t>
            </w:r>
          </w:p>
        </w:tc>
        <w:tc>
          <w:tcPr>
            <w:tcW w:w="250"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lang w:val="en-US" w:eastAsia="zh-CN"/>
              </w:rPr>
            </w:pPr>
            <w:bookmarkStart w:id="0" w:name="OLE_LINK1"/>
            <w:r>
              <w:rPr>
                <w:rFonts w:hint="eastAsia" w:ascii="宋体" w:hAnsi="宋体" w:eastAsia="宋体" w:cs="宋体"/>
                <w:b/>
                <w:sz w:val="22"/>
                <w:szCs w:val="22"/>
                <w:highlight w:val="none"/>
                <w:lang w:val="en-US" w:eastAsia="zh-CN"/>
              </w:rPr>
              <w:t>单位A</w:t>
            </w:r>
            <w:bookmarkEnd w:id="0"/>
          </w:p>
        </w:tc>
        <w:tc>
          <w:tcPr>
            <w:tcW w:w="250"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单位B</w:t>
            </w: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单位C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价格评分（</w:t>
            </w:r>
            <w:r>
              <w:rPr>
                <w:rFonts w:hint="eastAsia" w:ascii="宋体" w:hAnsi="宋体" w:eastAsia="宋体" w:cs="宋体"/>
                <w:b/>
                <w:sz w:val="22"/>
                <w:szCs w:val="22"/>
                <w:highlight w:val="none"/>
                <w:lang w:val="en-US" w:eastAsia="zh-CN"/>
              </w:rPr>
              <w:t>20</w:t>
            </w:r>
            <w:r>
              <w:rPr>
                <w:rFonts w:hint="eastAsia" w:ascii="宋体" w:hAnsi="宋体" w:eastAsia="宋体" w:cs="宋体"/>
                <w:b/>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w:t>
            </w:r>
          </w:p>
        </w:tc>
        <w:tc>
          <w:tcPr>
            <w:tcW w:w="243" w:type="pct"/>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3517" w:type="pct"/>
            <w:noWrap w:val="0"/>
            <w:vAlign w:val="center"/>
          </w:tcPr>
          <w:p>
            <w:pPr>
              <w:keepNext w:val="0"/>
              <w:keepLines w:val="0"/>
              <w:pageBreakBefore w:val="0"/>
              <w:widowControl w:val="0"/>
              <w:kinsoku/>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价格分计算方法：满足招标文件要求且投标价格最低的投标报价为评标基准价，其价格分为满分。其他投标人的价格分统一按照下列公式计算：投标报价得分=评标基准价</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sz w:val="21"/>
                <w:szCs w:val="21"/>
                <w:highlight w:val="none"/>
              </w:rPr>
              <w:t>投标报价×</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w:t>
            </w:r>
          </w:p>
        </w:tc>
        <w:tc>
          <w:tcPr>
            <w:tcW w:w="250" w:type="pct"/>
            <w:noWrap w:val="0"/>
            <w:vAlign w:val="center"/>
          </w:tcPr>
          <w:p>
            <w:pPr>
              <w:keepNext w:val="0"/>
              <w:keepLines w:val="0"/>
              <w:pageBreakBefore w:val="0"/>
              <w:widowControl w:val="0"/>
              <w:kinsoku/>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rPr>
            </w:pPr>
          </w:p>
        </w:tc>
        <w:tc>
          <w:tcPr>
            <w:tcW w:w="250" w:type="pct"/>
            <w:noWrap w:val="0"/>
            <w:vAlign w:val="center"/>
          </w:tcPr>
          <w:p>
            <w:pPr>
              <w:keepNext w:val="0"/>
              <w:keepLines w:val="0"/>
              <w:pageBreakBefore w:val="0"/>
              <w:widowControl w:val="0"/>
              <w:kinsoku/>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rPr>
            </w:pP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noWrap w:val="0"/>
            <w:vAlign w:val="center"/>
          </w:tcPr>
          <w:p>
            <w:pPr>
              <w:keepNext w:val="0"/>
              <w:keepLines w:val="0"/>
              <w:pageBreakBefore w:val="0"/>
              <w:widowControl w:val="0"/>
              <w:kinsoku/>
              <w:overflowPunct/>
              <w:topLinePunct w:val="0"/>
              <w:autoSpaceDE/>
              <w:autoSpaceDN/>
              <w:bidi w:val="0"/>
              <w:adjustRightInd/>
              <w:snapToGrid/>
              <w:spacing w:line="280" w:lineRule="exact"/>
              <w:jc w:val="center"/>
              <w:textAlignment w:val="auto"/>
              <w:rPr>
                <w:rFonts w:hint="eastAsia" w:ascii="宋体" w:hAnsi="宋体" w:eastAsia="宋体" w:cs="宋体"/>
                <w:b/>
                <w:sz w:val="22"/>
                <w:szCs w:val="22"/>
                <w:highlight w:val="none"/>
              </w:rPr>
            </w:pPr>
            <w:r>
              <w:rPr>
                <w:rFonts w:hint="eastAsia" w:ascii="宋体" w:hAnsi="宋体" w:eastAsia="宋体" w:cs="宋体"/>
                <w:b/>
                <w:sz w:val="22"/>
                <w:szCs w:val="22"/>
                <w:highlight w:val="none"/>
              </w:rPr>
              <w:t>技术评分（</w:t>
            </w:r>
            <w:r>
              <w:rPr>
                <w:rFonts w:hint="eastAsia" w:ascii="宋体" w:hAnsi="宋体" w:eastAsia="宋体" w:cs="宋体"/>
                <w:b/>
                <w:sz w:val="22"/>
                <w:szCs w:val="22"/>
                <w:highlight w:val="none"/>
                <w:lang w:val="en-US" w:eastAsia="zh-CN"/>
              </w:rPr>
              <w:t>22</w:t>
            </w:r>
            <w:r>
              <w:rPr>
                <w:rFonts w:hint="eastAsia" w:ascii="宋体" w:hAnsi="宋体" w:eastAsia="宋体" w:cs="宋体"/>
                <w:b/>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67" w:type="pc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服务方案及质量</w:t>
            </w:r>
          </w:p>
        </w:tc>
        <w:tc>
          <w:tcPr>
            <w:tcW w:w="243" w:type="pc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12分</w:t>
            </w:r>
          </w:p>
        </w:tc>
        <w:tc>
          <w:tcPr>
            <w:tcW w:w="3517" w:type="pct"/>
            <w:noWrap w:val="0"/>
            <w:vAlign w:val="center"/>
          </w:tcPr>
          <w:p>
            <w:pPr>
              <w:keepNext w:val="0"/>
              <w:keepLines w:val="0"/>
              <w:pageBreakBefore w:val="0"/>
              <w:widowControl w:val="0"/>
              <w:kinsoku/>
              <w:overflowPunct/>
              <w:topLinePunct w:val="0"/>
              <w:autoSpaceDE/>
              <w:autoSpaceDN/>
              <w:bidi w:val="0"/>
              <w:adjustRightInd/>
              <w:snapToGrid/>
              <w:spacing w:line="280" w:lineRule="exact"/>
              <w:ind w:left="1100" w:hanging="1054" w:hangingChars="500"/>
              <w:jc w:val="both"/>
              <w:textAlignment w:val="auto"/>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一</w:t>
            </w:r>
            <w:r>
              <w:rPr>
                <w:rFonts w:hint="eastAsia" w:ascii="宋体" w:hAnsi="宋体" w:eastAsia="宋体" w:cs="宋体"/>
                <w:b/>
                <w:bCs/>
                <w:lang w:eastAsia="zh-CN"/>
              </w:rPr>
              <w:t>）</w:t>
            </w:r>
            <w:r>
              <w:rPr>
                <w:rFonts w:hint="eastAsia" w:ascii="宋体" w:hAnsi="宋体" w:eastAsia="宋体" w:cs="宋体"/>
                <w:b/>
                <w:bCs/>
              </w:rPr>
              <w:t>评</w:t>
            </w:r>
            <w:r>
              <w:rPr>
                <w:rFonts w:hint="eastAsia" w:ascii="宋体" w:hAnsi="宋体" w:eastAsia="宋体" w:cs="宋体"/>
                <w:b/>
                <w:bCs/>
                <w:lang w:val="en-US" w:eastAsia="zh-CN"/>
              </w:rPr>
              <w:t>分</w:t>
            </w:r>
            <w:r>
              <w:rPr>
                <w:rFonts w:hint="eastAsia" w:ascii="宋体" w:hAnsi="宋体" w:eastAsia="宋体" w:cs="宋体"/>
                <w:b/>
                <w:bCs/>
              </w:rPr>
              <w:t>内容</w:t>
            </w:r>
            <w:r>
              <w:rPr>
                <w:rFonts w:hint="eastAsia" w:ascii="宋体" w:hAnsi="宋体" w:eastAsia="宋体" w:cs="宋体"/>
                <w:b/>
                <w:bCs/>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lang w:eastAsia="zh-CN"/>
              </w:rPr>
            </w:pPr>
            <w:r>
              <w:rPr>
                <w:rFonts w:hint="eastAsia" w:ascii="宋体" w:hAnsi="宋体" w:eastAsia="宋体" w:cs="宋体"/>
                <w:lang w:eastAsia="zh-CN"/>
              </w:rPr>
              <w:t>1.对项目背景理解；</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lang w:eastAsia="zh-CN"/>
              </w:rPr>
            </w:pPr>
            <w:r>
              <w:rPr>
                <w:rFonts w:hint="eastAsia" w:ascii="宋体" w:hAnsi="宋体" w:eastAsia="宋体" w:cs="宋体"/>
                <w:lang w:eastAsia="zh-CN"/>
              </w:rPr>
              <w:t>2.对项目工作意义认识；</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lang w:eastAsia="zh-CN"/>
              </w:rPr>
            </w:pPr>
            <w:r>
              <w:rPr>
                <w:rFonts w:hint="eastAsia" w:ascii="宋体" w:hAnsi="宋体" w:eastAsia="宋体" w:cs="宋体"/>
                <w:lang w:eastAsia="zh-CN"/>
              </w:rPr>
              <w:t>3.对本项目提出工作方法。</w:t>
            </w:r>
          </w:p>
          <w:p>
            <w:pPr>
              <w:keepNext w:val="0"/>
              <w:keepLines w:val="0"/>
              <w:pageBreakBefore w:val="0"/>
              <w:widowControl w:val="0"/>
              <w:kinsoku/>
              <w:overflowPunct/>
              <w:topLinePunct w:val="0"/>
              <w:autoSpaceDE/>
              <w:autoSpaceDN/>
              <w:bidi w:val="0"/>
              <w:adjustRightInd/>
              <w:snapToGrid/>
              <w:spacing w:line="280" w:lineRule="exact"/>
              <w:ind w:left="1320" w:hanging="1264" w:hangingChars="600"/>
              <w:jc w:val="both"/>
              <w:textAlignment w:val="auto"/>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二</w:t>
            </w:r>
            <w:r>
              <w:rPr>
                <w:rFonts w:hint="eastAsia" w:ascii="宋体" w:hAnsi="宋体" w:eastAsia="宋体" w:cs="宋体"/>
                <w:b/>
                <w:bCs/>
                <w:lang w:eastAsia="zh-CN"/>
              </w:rPr>
              <w:t>）</w:t>
            </w:r>
            <w:r>
              <w:rPr>
                <w:rFonts w:hint="eastAsia" w:ascii="宋体" w:hAnsi="宋体" w:eastAsia="宋体" w:cs="宋体"/>
                <w:b/>
                <w:bCs/>
              </w:rPr>
              <w:t>评分标准：</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lang w:val="en-US" w:eastAsia="zh-CN"/>
              </w:rPr>
            </w:pPr>
            <w:r>
              <w:rPr>
                <w:rFonts w:hint="eastAsia" w:ascii="宋体" w:hAnsi="宋体" w:eastAsia="宋体" w:cs="宋体"/>
              </w:rPr>
              <w:t>内容包含以</w:t>
            </w:r>
            <w:r>
              <w:rPr>
                <w:rFonts w:hint="eastAsia" w:ascii="宋体" w:hAnsi="宋体" w:eastAsia="宋体" w:cs="宋体"/>
                <w:lang w:val="en-US" w:eastAsia="zh-CN"/>
              </w:rPr>
              <w:t>上三项要求</w:t>
            </w:r>
            <w:r>
              <w:rPr>
                <w:rFonts w:hint="eastAsia" w:ascii="宋体" w:hAnsi="宋体" w:eastAsia="宋体" w:cs="宋体"/>
              </w:rPr>
              <w:t>的，得</w:t>
            </w:r>
            <w:r>
              <w:rPr>
                <w:rFonts w:hint="eastAsia" w:ascii="宋体" w:hAnsi="宋体" w:eastAsia="宋体" w:cs="宋体"/>
                <w:lang w:val="en-US" w:eastAsia="zh-CN"/>
              </w:rPr>
              <w:t>6</w:t>
            </w:r>
            <w:r>
              <w:rPr>
                <w:rFonts w:hint="eastAsia" w:ascii="宋体" w:hAnsi="宋体" w:eastAsia="宋体" w:cs="宋体"/>
              </w:rPr>
              <w:t>分，每缺少一</w:t>
            </w:r>
            <w:r>
              <w:rPr>
                <w:rFonts w:hint="eastAsia" w:ascii="宋体" w:hAnsi="宋体" w:eastAsia="宋体" w:cs="宋体"/>
                <w:lang w:val="en-US" w:eastAsia="zh-CN"/>
              </w:rPr>
              <w:t>项内容扣2分；在此基础上对投标人响应情况进行分档评分，最高累计得12分：</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1.优评分标准：方案整体实操性高，结合实际情况，得6分。</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2.良评分标准：方案整体实操性较高，贴近实际，得4分。</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3.中评分标准：方案有一定的实操性但偏离实际要求，得2分。</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4.差评分标准：方案实操性低，偏离实际要求，得0分。</w:t>
            </w:r>
          </w:p>
        </w:tc>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p>
        </w:tc>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p>
        </w:tc>
        <w:tc>
          <w:tcPr>
            <w:tcW w:w="26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项目分析及建议</w:t>
            </w:r>
          </w:p>
        </w:tc>
        <w:tc>
          <w:tcPr>
            <w:tcW w:w="243" w:type="pct"/>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3517" w:type="pct"/>
            <w:noWrap w:val="0"/>
            <w:vAlign w:val="center"/>
          </w:tcPr>
          <w:p>
            <w:pPr>
              <w:keepNext w:val="0"/>
              <w:keepLines w:val="0"/>
              <w:pageBreakBefore w:val="0"/>
              <w:widowControl w:val="0"/>
              <w:numPr>
                <w:ilvl w:val="0"/>
                <w:numId w:val="1"/>
              </w:numPr>
              <w:kinsoku/>
              <w:overflowPunct/>
              <w:topLinePunct w:val="0"/>
              <w:autoSpaceDE/>
              <w:autoSpaceDN/>
              <w:bidi w:val="0"/>
              <w:adjustRightInd/>
              <w:snapToGrid/>
              <w:spacing w:line="280" w:lineRule="exact"/>
              <w:ind w:left="1100" w:hanging="1054" w:hangingChars="500"/>
              <w:jc w:val="both"/>
              <w:textAlignment w:val="auto"/>
              <w:rPr>
                <w:rFonts w:hint="eastAsia" w:ascii="宋体" w:hAnsi="宋体" w:eastAsia="宋体" w:cs="宋体"/>
                <w:b/>
                <w:bCs/>
                <w:lang w:eastAsia="zh-CN"/>
              </w:rPr>
            </w:pPr>
            <w:r>
              <w:rPr>
                <w:rFonts w:hint="eastAsia" w:ascii="宋体" w:hAnsi="宋体" w:eastAsia="宋体" w:cs="宋体"/>
                <w:b/>
                <w:bCs/>
              </w:rPr>
              <w:t>评</w:t>
            </w:r>
            <w:r>
              <w:rPr>
                <w:rFonts w:hint="eastAsia" w:ascii="宋体" w:hAnsi="宋体" w:eastAsia="宋体" w:cs="宋体"/>
                <w:b/>
                <w:bCs/>
                <w:lang w:val="en-US" w:eastAsia="zh-CN"/>
              </w:rPr>
              <w:t>分</w:t>
            </w:r>
            <w:r>
              <w:rPr>
                <w:rFonts w:hint="eastAsia" w:ascii="宋体" w:hAnsi="宋体" w:eastAsia="宋体" w:cs="宋体"/>
                <w:b/>
                <w:bCs/>
              </w:rPr>
              <w:t>内容</w:t>
            </w:r>
            <w:r>
              <w:rPr>
                <w:rFonts w:hint="eastAsia" w:ascii="宋体" w:hAnsi="宋体" w:eastAsia="宋体" w:cs="宋体"/>
                <w:b/>
                <w:bCs/>
                <w:lang w:eastAsia="zh-CN"/>
              </w:rPr>
              <w:t>：</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eastAsia="zh-CN"/>
              </w:rPr>
            </w:pPr>
            <w:r>
              <w:rPr>
                <w:rFonts w:hint="eastAsia" w:ascii="宋体" w:hAnsi="宋体" w:eastAsia="宋体" w:cs="宋体"/>
                <w:lang w:eastAsia="zh-CN"/>
              </w:rPr>
              <w:t>1.对重点问题的把握与分析；</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eastAsia="zh-CN"/>
              </w:rPr>
            </w:pPr>
            <w:r>
              <w:rPr>
                <w:rFonts w:hint="eastAsia" w:ascii="宋体" w:hAnsi="宋体" w:eastAsia="宋体" w:cs="宋体"/>
                <w:lang w:eastAsia="zh-CN"/>
              </w:rPr>
              <w:t>2.对难点问题的把握与分析；</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eastAsia="zh-CN"/>
              </w:rPr>
            </w:pPr>
            <w:r>
              <w:rPr>
                <w:rFonts w:hint="eastAsia" w:ascii="宋体" w:hAnsi="宋体" w:eastAsia="宋体" w:cs="宋体"/>
                <w:lang w:eastAsia="zh-CN"/>
              </w:rPr>
              <w:t>3.解决思路和方法。</w:t>
            </w:r>
          </w:p>
          <w:p>
            <w:pPr>
              <w:keepNext w:val="0"/>
              <w:keepLines w:val="0"/>
              <w:pageBreakBefore w:val="0"/>
              <w:widowControl w:val="0"/>
              <w:kinsoku/>
              <w:overflowPunct/>
              <w:topLinePunct w:val="0"/>
              <w:autoSpaceDE/>
              <w:autoSpaceDN/>
              <w:bidi w:val="0"/>
              <w:adjustRightInd/>
              <w:snapToGrid/>
              <w:spacing w:line="280" w:lineRule="exact"/>
              <w:ind w:left="1320" w:hanging="1264" w:hangingChars="600"/>
              <w:jc w:val="both"/>
              <w:textAlignment w:val="auto"/>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二</w:t>
            </w:r>
            <w:r>
              <w:rPr>
                <w:rFonts w:hint="eastAsia" w:ascii="宋体" w:hAnsi="宋体" w:eastAsia="宋体" w:cs="宋体"/>
                <w:b/>
                <w:bCs/>
                <w:lang w:eastAsia="zh-CN"/>
              </w:rPr>
              <w:t>）</w:t>
            </w:r>
            <w:r>
              <w:rPr>
                <w:rFonts w:hint="eastAsia" w:ascii="宋体" w:hAnsi="宋体" w:eastAsia="宋体" w:cs="宋体"/>
                <w:b/>
                <w:bCs/>
              </w:rPr>
              <w:t>评分标准：</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lang w:val="en-US" w:eastAsia="zh-CN"/>
              </w:rPr>
            </w:pPr>
            <w:r>
              <w:rPr>
                <w:rFonts w:hint="eastAsia" w:ascii="宋体" w:hAnsi="宋体" w:eastAsia="宋体" w:cs="宋体"/>
                <w:sz w:val="21"/>
                <w:szCs w:val="21"/>
                <w:highlight w:val="none"/>
              </w:rPr>
              <w:t>内容包含以上三项要求的，得6分，</w:t>
            </w:r>
            <w:r>
              <w:rPr>
                <w:rFonts w:hint="eastAsia" w:ascii="宋体" w:hAnsi="宋体" w:eastAsia="宋体" w:cs="宋体"/>
              </w:rPr>
              <w:t>每缺少一</w:t>
            </w:r>
            <w:r>
              <w:rPr>
                <w:rFonts w:hint="eastAsia" w:ascii="宋体" w:hAnsi="宋体" w:eastAsia="宋体" w:cs="宋体"/>
                <w:lang w:val="en-US" w:eastAsia="zh-CN"/>
              </w:rPr>
              <w:t>项内容扣2分；在此基础上对投标人响应情况进行分档评分，最高累计得10分：</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1.优评分标准：分析准确到位，建议合理可行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得4分。</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2.良评分标准：分析准确较为到位，建议较为合理且具有一定可行性得3分。</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中评分标准：分析有缺漏但基本到位，建议可行性低得2分。</w:t>
            </w:r>
          </w:p>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4.差评分标准：分析有严重缺漏，建议无可行性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得0分</w:t>
            </w:r>
            <w:r>
              <w:rPr>
                <w:rFonts w:hint="eastAsia" w:ascii="宋体" w:hAnsi="宋体" w:eastAsia="宋体" w:cs="宋体"/>
                <w:sz w:val="21"/>
                <w:szCs w:val="21"/>
                <w:highlight w:val="none"/>
              </w:rPr>
              <w:t>。</w:t>
            </w:r>
          </w:p>
        </w:tc>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p>
        </w:tc>
        <w:tc>
          <w:tcPr>
            <w:tcW w:w="25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p>
        </w:tc>
        <w:tc>
          <w:tcPr>
            <w:tcW w:w="26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firstLine="0" w:firstLineChars="0"/>
              <w:jc w:val="both"/>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服务人员</w:t>
            </w:r>
            <w:r>
              <w:rPr>
                <w:rFonts w:hint="eastAsia" w:ascii="宋体" w:hAnsi="宋体" w:eastAsia="宋体" w:cs="宋体"/>
                <w:b/>
                <w:sz w:val="22"/>
                <w:szCs w:val="22"/>
                <w:highlight w:val="none"/>
              </w:rPr>
              <w:t>（</w:t>
            </w:r>
            <w:r>
              <w:rPr>
                <w:rFonts w:hint="eastAsia" w:ascii="宋体" w:hAnsi="宋体" w:eastAsia="宋体" w:cs="宋体"/>
                <w:b/>
                <w:sz w:val="22"/>
                <w:szCs w:val="22"/>
                <w:highlight w:val="none"/>
                <w:lang w:val="en-US" w:eastAsia="zh-CN"/>
              </w:rPr>
              <w:t>17</w:t>
            </w:r>
            <w:r>
              <w:rPr>
                <w:rFonts w:hint="eastAsia" w:ascii="宋体" w:hAnsi="宋体" w:eastAsia="宋体" w:cs="宋体"/>
                <w:b/>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拟安排的项目负责人情况</w:t>
            </w:r>
          </w:p>
        </w:tc>
        <w:tc>
          <w:tcPr>
            <w:tcW w:w="243"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7分</w:t>
            </w:r>
          </w:p>
        </w:tc>
        <w:tc>
          <w:tcPr>
            <w:tcW w:w="351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一</w:t>
            </w:r>
            <w:r>
              <w:rPr>
                <w:rFonts w:hint="eastAsia" w:ascii="宋体" w:hAnsi="宋体" w:eastAsia="宋体" w:cs="宋体"/>
                <w:b/>
                <w:bCs/>
                <w:lang w:eastAsia="zh-CN"/>
              </w:rPr>
              <w:t>）</w:t>
            </w:r>
            <w:r>
              <w:rPr>
                <w:rFonts w:hint="eastAsia" w:ascii="宋体" w:hAnsi="宋体" w:eastAsia="宋体" w:cs="宋体"/>
                <w:b/>
                <w:bCs/>
              </w:rPr>
              <w:t>评分内容：</w:t>
            </w:r>
          </w:p>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lang w:eastAsia="zh-CN"/>
              </w:rPr>
            </w:pPr>
            <w:r>
              <w:rPr>
                <w:rFonts w:hint="eastAsia" w:ascii="宋体" w:hAnsi="宋体" w:eastAsia="宋体" w:cs="宋体"/>
                <w:lang w:eastAsia="zh-CN"/>
              </w:rPr>
              <w:t>项目负责人须为投标人自有员工，否则该项不予计分。在此基础上：</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具备本科及以上学历并取得相应学位，得3分；</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eastAsia="zh-CN"/>
              </w:rPr>
            </w:pPr>
            <w:r>
              <w:rPr>
                <w:rFonts w:hint="eastAsia" w:ascii="宋体" w:hAnsi="宋体" w:eastAsia="宋体" w:cs="宋体"/>
                <w:lang w:eastAsia="zh-CN"/>
              </w:rPr>
              <w:t>2.具有房屋租赁类项目经验，每提供1项得2分，最高得4分。</w:t>
            </w:r>
          </w:p>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二</w:t>
            </w:r>
            <w:r>
              <w:rPr>
                <w:rFonts w:hint="eastAsia" w:ascii="宋体" w:hAnsi="宋体" w:eastAsia="宋体" w:cs="宋体"/>
                <w:b/>
                <w:bCs/>
                <w:lang w:eastAsia="zh-CN"/>
              </w:rPr>
              <w:t>）</w:t>
            </w:r>
            <w:r>
              <w:rPr>
                <w:rFonts w:hint="eastAsia" w:ascii="宋体" w:hAnsi="宋体" w:eastAsia="宋体" w:cs="宋体"/>
                <w:b/>
                <w:bCs/>
              </w:rPr>
              <w:t>评分依据：</w:t>
            </w:r>
          </w:p>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rPr>
            </w:pPr>
            <w:r>
              <w:rPr>
                <w:rFonts w:hint="eastAsia" w:ascii="宋体" w:hAnsi="宋体" w:eastAsia="宋体" w:cs="宋体"/>
              </w:rPr>
              <w:t>1.要求提供通过投标人缴纳的近一个月的社保证明作本单位员工的证明依据。</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rPr>
              <w:t>2.提供学历证书、学位证书扫描件及学信网学籍查询证明；如海外留学（含港澳台），应当提供教育部留学服务中心出具的国外学历学位认证证书以及教育部留学服务中心官网查询截图。若证明文件为其它语言，必须附中文译文，以中文译文为</w:t>
            </w:r>
            <w:r>
              <w:rPr>
                <w:rFonts w:hint="eastAsia" w:ascii="宋体" w:hAnsi="宋体" w:eastAsia="宋体" w:cs="宋体"/>
                <w:lang w:val="en-US" w:eastAsia="zh-CN"/>
              </w:rPr>
              <w:t>准</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3.项目负责人经验，要求提供项目合同关键信息作为得分依据，通过合同关键信息无法判断是否得分的，还须同时提供合同采购人出具的证明文件。</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4.以上资料均要求提供扫描件（或官方网站截图），原件备查。评分中出现无证明</w:t>
            </w:r>
            <w:bookmarkStart w:id="1" w:name="OLE_LINK2"/>
            <w:r>
              <w:rPr>
                <w:rFonts w:hint="eastAsia" w:ascii="宋体" w:hAnsi="宋体" w:eastAsia="宋体" w:cs="宋体"/>
                <w:lang w:val="en-US" w:eastAsia="zh-CN"/>
              </w:rPr>
              <w:t>资料或专家无法凭所提供资料判断是否得分的情况，一律作不得分处理。</w:t>
            </w:r>
            <w:bookmarkEnd w:id="1"/>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6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拟安排的后台支持人员</w:t>
            </w:r>
          </w:p>
        </w:tc>
        <w:tc>
          <w:tcPr>
            <w:tcW w:w="243"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351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b/>
                <w:bCs/>
              </w:rPr>
            </w:pPr>
            <w:r>
              <w:rPr>
                <w:rFonts w:hint="eastAsia" w:ascii="宋体" w:hAnsi="宋体" w:eastAsia="宋体" w:cs="宋体"/>
                <w:b/>
                <w:bCs/>
                <w:lang w:eastAsia="zh-CN"/>
              </w:rPr>
              <w:t>（</w:t>
            </w:r>
            <w:r>
              <w:rPr>
                <w:rFonts w:hint="eastAsia" w:ascii="宋体" w:hAnsi="宋体" w:eastAsia="宋体" w:cs="宋体"/>
                <w:b/>
                <w:bCs/>
                <w:lang w:val="en-US" w:eastAsia="zh-CN"/>
              </w:rPr>
              <w:t>一</w:t>
            </w:r>
            <w:r>
              <w:rPr>
                <w:rFonts w:hint="eastAsia" w:ascii="宋体" w:hAnsi="宋体" w:eastAsia="宋体" w:cs="宋体"/>
                <w:b/>
                <w:bCs/>
                <w:lang w:eastAsia="zh-CN"/>
              </w:rPr>
              <w:t>）</w:t>
            </w:r>
            <w:r>
              <w:rPr>
                <w:rFonts w:hint="eastAsia" w:ascii="宋体" w:hAnsi="宋体" w:eastAsia="宋体" w:cs="宋体"/>
                <w:b/>
                <w:bCs/>
              </w:rPr>
              <w:t>评分内容：</w:t>
            </w:r>
          </w:p>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rPr>
            </w:pPr>
            <w:r>
              <w:rPr>
                <w:rFonts w:hint="eastAsia" w:ascii="宋体" w:hAnsi="宋体" w:eastAsia="宋体" w:cs="宋体"/>
              </w:rPr>
              <w:t>团队成员不少于4人，且均力投标单位自有员工，否则本项不得分，在此基础上：</w:t>
            </w:r>
          </w:p>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rPr>
            </w:pPr>
            <w:r>
              <w:rPr>
                <w:rFonts w:hint="eastAsia" w:ascii="宋体" w:hAnsi="宋体" w:eastAsia="宋体" w:cs="宋体"/>
              </w:rPr>
              <w:t>具备本科及以上学历并取得相应学位的，每1人得2.5分；最高得10分。</w:t>
            </w:r>
          </w:p>
          <w:p>
            <w:pPr>
              <w:keepNext w:val="0"/>
              <w:keepLines w:val="0"/>
              <w:pageBreakBefore w:val="0"/>
              <w:widowControl w:val="0"/>
              <w:numPr>
                <w:ilvl w:val="0"/>
                <w:numId w:val="1"/>
              </w:numPr>
              <w:kinsoku/>
              <w:overflowPunct/>
              <w:topLinePunct w:val="0"/>
              <w:autoSpaceDE/>
              <w:autoSpaceDN/>
              <w:bidi w:val="0"/>
              <w:adjustRightInd/>
              <w:snapToGrid/>
              <w:spacing w:line="280" w:lineRule="exact"/>
              <w:ind w:left="1054" w:leftChars="0" w:hanging="1054" w:hangingChars="500"/>
              <w:jc w:val="both"/>
              <w:textAlignment w:val="auto"/>
              <w:rPr>
                <w:rFonts w:hint="eastAsia" w:ascii="宋体" w:hAnsi="宋体" w:eastAsia="宋体" w:cs="宋体"/>
                <w:b/>
                <w:bCs/>
              </w:rPr>
            </w:pPr>
            <w:r>
              <w:rPr>
                <w:rFonts w:hint="eastAsia" w:ascii="宋体" w:hAnsi="宋体" w:eastAsia="宋体" w:cs="宋体"/>
                <w:b/>
                <w:bCs/>
              </w:rPr>
              <w:t>评分依据：</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ind w:leftChars="0"/>
              <w:textAlignment w:val="auto"/>
              <w:rPr>
                <w:rFonts w:hint="eastAsia" w:ascii="宋体" w:hAnsi="宋体" w:eastAsia="宋体" w:cs="宋体"/>
                <w:lang w:val="en-US" w:eastAsia="zh-CN"/>
              </w:rPr>
            </w:pPr>
            <w:r>
              <w:rPr>
                <w:rFonts w:hint="eastAsia" w:ascii="宋体" w:hAnsi="宋体" w:eastAsia="宋体" w:cs="宋体"/>
                <w:lang w:val="en-US" w:eastAsia="zh-CN"/>
              </w:rPr>
              <w:t>1.要求提供通过投标人缴纳的近一个月的社保证明作为本单位员工的证明依据。</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ind w:leftChars="0"/>
              <w:textAlignment w:val="auto"/>
              <w:rPr>
                <w:rFonts w:hint="eastAsia" w:ascii="宋体" w:hAnsi="宋体" w:eastAsia="宋体" w:cs="宋体"/>
                <w:lang w:val="en-US" w:eastAsia="zh-CN"/>
              </w:rPr>
            </w:pPr>
            <w:r>
              <w:rPr>
                <w:rFonts w:hint="eastAsia" w:ascii="宋体" w:hAnsi="宋体" w:eastAsia="宋体" w:cs="宋体"/>
                <w:lang w:val="en-US" w:eastAsia="zh-CN"/>
              </w:rPr>
              <w:t>2.提供学历证书、学位证书扫描件及学信网查询记录截图（如较早颁发的学历证书，学信网无法查询的，可提供毕业院校或教育或人社部门等颁发机构或监管机构等出具的证明）；如海外留学（含港澳台），学历或学位无法通过学信网站查询的，应当提供教育部留学服务中心出具的国外学历学位认证证书以及教育部留学服务中心官网查询截 图。若证明文件为其它语言，必须附中文译文，以中文译文为准。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ind w:leftChars="0"/>
              <w:textAlignment w:val="auto"/>
              <w:rPr>
                <w:rFonts w:hint="eastAsia" w:ascii="宋体" w:hAnsi="宋体" w:eastAsia="宋体" w:cs="宋体"/>
                <w:lang w:val="en-US" w:eastAsia="zh-CN"/>
              </w:rPr>
            </w:pPr>
            <w:r>
              <w:rPr>
                <w:rFonts w:hint="eastAsia" w:ascii="宋体" w:hAnsi="宋体" w:eastAsia="宋体" w:cs="宋体"/>
                <w:lang w:val="en-US" w:eastAsia="zh-CN"/>
              </w:rPr>
              <w:t>3.以上資料均要求提供担推件（或官方网站截图），原件备查。评分中出现无证明资料或专家无法凭所提供资料判断是否得分的情况，一律作不得分处理。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ind w:leftChars="-500"/>
              <w:textAlignment w:val="auto"/>
              <w:rPr>
                <w:rFonts w:hint="eastAsia" w:ascii="宋体" w:hAnsi="宋体" w:eastAsia="宋体" w:cs="宋体"/>
              </w:rPr>
            </w:pPr>
            <w:r>
              <w:rPr>
                <w:rFonts w:hint="eastAsia" w:ascii="宋体" w:hAnsi="宋体" w:eastAsia="宋体" w:cs="宋体"/>
              </w:rPr>
              <w:t>要求提供</w:t>
            </w: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rPr>
            </w:pP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rPr>
            </w:pPr>
          </w:p>
        </w:tc>
        <w:tc>
          <w:tcPr>
            <w:tcW w:w="26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综合实力（36分）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投标单位项目业绩情况</w:t>
            </w:r>
          </w:p>
        </w:tc>
        <w:tc>
          <w:tcPr>
            <w:tcW w:w="243"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3517" w:type="pct"/>
            <w:noWrap w:val="0"/>
            <w:vAlign w:val="center"/>
          </w:tcPr>
          <w:p>
            <w:pPr>
              <w:keepNext w:val="0"/>
              <w:keepLines w:val="0"/>
              <w:pageBreakBefore w:val="0"/>
              <w:widowControl w:val="0"/>
              <w:numPr>
                <w:ilvl w:val="0"/>
                <w:numId w:val="2"/>
              </w:numPr>
              <w:kinsoku/>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评分内容</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val="en-US" w:eastAsia="zh-CN"/>
              </w:rPr>
            </w:pPr>
            <w:r>
              <w:rPr>
                <w:rFonts w:hint="eastAsia" w:ascii="宋体" w:hAnsi="宋体" w:eastAsia="宋体" w:cs="宋体"/>
                <w:lang w:val="en-US" w:eastAsia="zh-CN"/>
              </w:rPr>
              <w:t>投标人</w:t>
            </w:r>
            <w:bookmarkStart w:id="2" w:name="OLE_LINK3"/>
            <w:r>
              <w:rPr>
                <w:rFonts w:hint="eastAsia" w:ascii="宋体" w:hAnsi="宋体" w:eastAsia="宋体" w:cs="宋体"/>
                <w:lang w:val="en-US" w:eastAsia="zh-CN"/>
              </w:rPr>
              <w:t>自招标公告发布之日起近</w:t>
            </w:r>
            <w:bookmarkEnd w:id="2"/>
            <w:r>
              <w:rPr>
                <w:rFonts w:hint="eastAsia" w:ascii="宋体" w:hAnsi="宋体" w:eastAsia="宋体" w:cs="宋体"/>
                <w:lang w:val="en-US" w:eastAsia="zh-CN"/>
              </w:rPr>
              <w:t>五年内为区级及以上政府部门提供过房屋租赁相关服务项目业绩情况：</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val="en-US" w:eastAsia="zh-CN"/>
              </w:rPr>
            </w:pPr>
            <w:r>
              <w:rPr>
                <w:rFonts w:hint="eastAsia" w:ascii="宋体" w:hAnsi="宋体" w:eastAsia="宋体" w:cs="宋体"/>
                <w:lang w:val="en-US" w:eastAsia="zh-CN"/>
              </w:rPr>
              <w:t>每提供1个案例得5分，此项最高得30分，未提供佐证材不得分。</w:t>
            </w:r>
          </w:p>
          <w:p>
            <w:pPr>
              <w:pStyle w:val="2"/>
              <w:keepNext w:val="0"/>
              <w:keepLines w:val="0"/>
              <w:pageBreakBefore w:val="0"/>
              <w:widowControl w:val="0"/>
              <w:numPr>
                <w:ilvl w:val="0"/>
                <w:numId w:val="2"/>
              </w:numPr>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b/>
                <w:bCs/>
                <w:lang w:val="en-US" w:eastAsia="zh-CN"/>
              </w:rPr>
            </w:pPr>
            <w:r>
              <w:rPr>
                <w:rFonts w:hint="eastAsia" w:ascii="宋体" w:hAnsi="宋体" w:eastAsia="宋体" w:cs="宋体"/>
                <w:b/>
                <w:bCs/>
                <w:lang w:val="en-US" w:eastAsia="zh-CN"/>
              </w:rPr>
              <w:t>评分标准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要求同时提供合同关键信息复印件（通辻合同关鍵信息无法判断是否得分的，也可以提供能证明得分的其它证明资料，如合同甲方出具的证明文件等，要求提供复印件并加盖投标人公章，原件中标备查）作为得分依据。</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2.以上资料均要求提供扫描件（或官方网站截图），原件备查。评分中出现无证明资料或专家无法凭所提供资料判断是否得分的情况，一律作不得分处理。</w:t>
            </w: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6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投标人资格情况</w:t>
            </w:r>
          </w:p>
        </w:tc>
        <w:tc>
          <w:tcPr>
            <w:tcW w:w="243"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517" w:type="pct"/>
            <w:noWrap w:val="0"/>
            <w:vAlign w:val="center"/>
          </w:tcPr>
          <w:p>
            <w:pPr>
              <w:keepNext w:val="0"/>
              <w:keepLines w:val="0"/>
              <w:pageBreakBefore w:val="0"/>
              <w:widowControl w:val="0"/>
              <w:numPr>
                <w:ilvl w:val="0"/>
                <w:numId w:val="3"/>
              </w:numPr>
              <w:kinsoku/>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评分内容</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val="en-US" w:eastAsia="zh-CN"/>
              </w:rPr>
            </w:pPr>
            <w:r>
              <w:rPr>
                <w:rFonts w:hint="eastAsia" w:ascii="宋体" w:hAnsi="宋体" w:eastAsia="宋体" w:cs="宋体"/>
                <w:lang w:val="en-US" w:eastAsia="zh-CN"/>
              </w:rPr>
              <w:t>1.投标人自招标公告发布之日起近成立时间需超过五年，否则不予计分。在此基础上：成立时间每增加3年，加1分，最高不超过4分。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val="en-US" w:eastAsia="zh-CN"/>
              </w:rPr>
            </w:pPr>
            <w:r>
              <w:rPr>
                <w:rFonts w:hint="eastAsia" w:ascii="宋体" w:hAnsi="宋体" w:eastAsia="宋体" w:cs="宋体"/>
                <w:lang w:val="en-US" w:eastAsia="zh-CN"/>
              </w:rPr>
              <w:t>2.具有行业影响力的网站、媒体（公众号）或报刊杂志的，得2分。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（二）评分标准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val="en-US" w:eastAsia="zh-CN"/>
              </w:rPr>
            </w:pPr>
            <w:r>
              <w:rPr>
                <w:rFonts w:hint="eastAsia" w:ascii="宋体" w:hAnsi="宋体" w:eastAsia="宋体" w:cs="宋体"/>
                <w:lang w:val="en-US" w:eastAsia="zh-CN"/>
              </w:rPr>
              <w:t>1.投标人成立时间以投标人营业执照或其他能够证明投标人成立时间的证明文件为准。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val="en-US" w:eastAsia="zh-CN"/>
              </w:rPr>
            </w:pPr>
            <w:r>
              <w:rPr>
                <w:rFonts w:hint="eastAsia" w:ascii="宋体" w:hAnsi="宋体" w:eastAsia="宋体" w:cs="宋体"/>
                <w:lang w:val="en-US" w:eastAsia="zh-CN"/>
              </w:rPr>
              <w:t>2.网站、媒体（公众号）或报刊杂志需提供相应照片或截图并加盖公章为准，若无提供不予得分。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val="en-US" w:eastAsia="zh-CN"/>
              </w:rPr>
            </w:pPr>
            <w:r>
              <w:rPr>
                <w:rFonts w:hint="eastAsia" w:ascii="宋体" w:hAnsi="宋体" w:eastAsia="宋体" w:cs="宋体"/>
                <w:lang w:val="en-US" w:eastAsia="zh-CN"/>
              </w:rPr>
              <w:t>3.以上资料均要求提供扫描件（或官方网站截图），原件备查。评分中出现无法证明资料或专家无法凭所提供的资料判断是否得分情况，一律作不得分处理。</w:t>
            </w:r>
          </w:p>
          <w:p>
            <w:pPr>
              <w:pStyle w:val="2"/>
              <w:keepNext w:val="0"/>
              <w:keepLines w:val="0"/>
              <w:pageBreakBefore w:val="0"/>
              <w:widowControl w:val="0"/>
              <w:numPr>
                <w:ilvl w:val="0"/>
                <w:numId w:val="0"/>
              </w:numPr>
              <w:kinsoku/>
              <w:overflowPunct/>
              <w:topLinePunct w:val="0"/>
              <w:autoSpaceDE/>
              <w:autoSpaceDN/>
              <w:bidi w:val="0"/>
              <w:adjustRightInd/>
              <w:snapToGrid/>
              <w:spacing w:line="280" w:lineRule="exact"/>
              <w:textAlignment w:val="auto"/>
              <w:rPr>
                <w:rFonts w:hint="eastAsia" w:ascii="宋体" w:hAnsi="宋体" w:eastAsia="宋体" w:cs="宋体"/>
                <w:lang w:val="en-US" w:eastAsia="zh-CN"/>
              </w:rPr>
            </w:pP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6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7"/>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诚信情况（5分）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4"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67"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市财政局诚信管理情况</w:t>
            </w:r>
          </w:p>
        </w:tc>
        <w:tc>
          <w:tcPr>
            <w:tcW w:w="243" w:type="pct"/>
            <w:noWrap w:val="0"/>
            <w:vAlign w:val="center"/>
          </w:tcPr>
          <w:p>
            <w:pPr>
              <w:keepNext w:val="0"/>
              <w:keepLines w:val="0"/>
              <w:pageBreakBefore w:val="0"/>
              <w:widowControl w:val="0"/>
              <w:kinsoku/>
              <w:overflowPunct/>
              <w:topLinePunct w:val="0"/>
              <w:autoSpaceDE/>
              <w:autoSpaceDN/>
              <w:bidi w:val="0"/>
              <w:adjustRightInd/>
              <w:snapToGrid/>
              <w:spacing w:before="156" w:beforeLines="50" w:line="28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51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left"/>
              <w:textAlignment w:val="auto"/>
              <w:rPr>
                <w:rFonts w:hint="eastAsia" w:ascii="宋体" w:hAnsi="宋体" w:eastAsia="宋体" w:cs="宋体"/>
                <w:lang w:val="en-US" w:eastAsia="zh-CN"/>
              </w:rPr>
            </w:pPr>
            <w:r>
              <w:rPr>
                <w:rFonts w:hint="eastAsia" w:ascii="宋体" w:hAnsi="宋体" w:eastAsia="宋体" w:cs="宋体"/>
                <w:lang w:val="en-US" w:eastAsia="zh-CN"/>
              </w:rPr>
              <w:t>根据《深圳市财政局政府采购供应商信用信息管理办法》（深财规[2023]3号）的要求，投标人不存在管理办法列明的一般行政处罚信息、一般违法失信记录信息的，得5分，否则不予得分。</w:t>
            </w: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p>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b/>
                <w:bCs/>
                <w:lang w:val="en-US" w:eastAsia="zh-CN"/>
              </w:rPr>
              <w:t>注：</w:t>
            </w:r>
            <w:r>
              <w:rPr>
                <w:rFonts w:hint="eastAsia" w:ascii="宋体" w:hAnsi="宋体" w:eastAsia="宋体" w:cs="宋体"/>
                <w:lang w:val="en-US" w:eastAsia="zh-CN"/>
              </w:rPr>
              <w:t>投标人无需提供任何证明材料，由本项目招标单位评标时通过中国政府采购网、深圳市政府采购监管网进行查询。</w:t>
            </w: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6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32" w:type="pct"/>
            <w:gridSpan w:val="4"/>
            <w:noWrap w:val="0"/>
            <w:vAlign w:val="center"/>
          </w:tcPr>
          <w:p>
            <w:pPr>
              <w:pStyle w:val="2"/>
              <w:keepNext w:val="0"/>
              <w:keepLines w:val="0"/>
              <w:pageBreakBefore w:val="0"/>
              <w:widowControl w:val="0"/>
              <w:kinsoku/>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总分</w:t>
            </w: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50"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c>
          <w:tcPr>
            <w:tcW w:w="267" w:type="pct"/>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line="280" w:lineRule="exact"/>
              <w:ind w:left="0" w:leftChars="0" w:firstLine="0" w:firstLineChars="0"/>
              <w:jc w:val="both"/>
              <w:textAlignment w:val="auto"/>
              <w:rPr>
                <w:rFonts w:hint="eastAsia" w:ascii="宋体" w:hAnsi="宋体" w:eastAsia="宋体" w:cs="宋体"/>
                <w:sz w:val="21"/>
                <w:szCs w:val="21"/>
                <w:highlight w:val="none"/>
                <w:lang w:val="en-US" w:eastAsia="zh-CN"/>
              </w:rPr>
            </w:pPr>
          </w:p>
        </w:tc>
      </w:tr>
    </w:tbl>
    <w:p/>
    <w:sectPr>
      <w:pgSz w:w="11906" w:h="16838"/>
      <w:pgMar w:top="720" w:right="720" w:bottom="720" w:left="72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B327C"/>
    <w:multiLevelType w:val="singleLevel"/>
    <w:tmpl w:val="984B327C"/>
    <w:lvl w:ilvl="0" w:tentative="0">
      <w:start w:val="1"/>
      <w:numFmt w:val="chineseCounting"/>
      <w:suff w:val="nothing"/>
      <w:lvlText w:val="（%1）"/>
      <w:lvlJc w:val="left"/>
      <w:rPr>
        <w:rFonts w:hint="eastAsia"/>
      </w:rPr>
    </w:lvl>
  </w:abstractNum>
  <w:abstractNum w:abstractNumId="1">
    <w:nsid w:val="2ADF5247"/>
    <w:multiLevelType w:val="singleLevel"/>
    <w:tmpl w:val="2ADF5247"/>
    <w:lvl w:ilvl="0" w:tentative="0">
      <w:start w:val="1"/>
      <w:numFmt w:val="chineseCounting"/>
      <w:suff w:val="nothing"/>
      <w:lvlText w:val="（%1）"/>
      <w:lvlJc w:val="left"/>
      <w:rPr>
        <w:rFonts w:hint="eastAsia"/>
      </w:rPr>
    </w:lvl>
  </w:abstractNum>
  <w:abstractNum w:abstractNumId="2">
    <w:nsid w:val="705355A4"/>
    <w:multiLevelType w:val="singleLevel"/>
    <w:tmpl w:val="705355A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1A64C4"/>
    <w:rsid w:val="005D2854"/>
    <w:rsid w:val="01161381"/>
    <w:rsid w:val="012670EA"/>
    <w:rsid w:val="01A050EF"/>
    <w:rsid w:val="024E73C1"/>
    <w:rsid w:val="02CD1F13"/>
    <w:rsid w:val="03E125EC"/>
    <w:rsid w:val="04DF1A8A"/>
    <w:rsid w:val="0548762F"/>
    <w:rsid w:val="055A7363"/>
    <w:rsid w:val="05790131"/>
    <w:rsid w:val="058663AA"/>
    <w:rsid w:val="064C314F"/>
    <w:rsid w:val="066466EB"/>
    <w:rsid w:val="06AA2A0B"/>
    <w:rsid w:val="06CE0008"/>
    <w:rsid w:val="077D6BC9"/>
    <w:rsid w:val="08365E65"/>
    <w:rsid w:val="089B2544"/>
    <w:rsid w:val="0911242E"/>
    <w:rsid w:val="09772BD9"/>
    <w:rsid w:val="09A45050"/>
    <w:rsid w:val="0A1026E6"/>
    <w:rsid w:val="0A530F50"/>
    <w:rsid w:val="0ADB2CF4"/>
    <w:rsid w:val="0AF53DB5"/>
    <w:rsid w:val="0B753148"/>
    <w:rsid w:val="0C525237"/>
    <w:rsid w:val="0CD67C16"/>
    <w:rsid w:val="0D044784"/>
    <w:rsid w:val="0D71793F"/>
    <w:rsid w:val="0EB421D9"/>
    <w:rsid w:val="0F136F00"/>
    <w:rsid w:val="0FD61CDB"/>
    <w:rsid w:val="1065378B"/>
    <w:rsid w:val="106D0892"/>
    <w:rsid w:val="10A36062"/>
    <w:rsid w:val="10B95885"/>
    <w:rsid w:val="10E87F18"/>
    <w:rsid w:val="11553800"/>
    <w:rsid w:val="116A6B7F"/>
    <w:rsid w:val="145C4FD4"/>
    <w:rsid w:val="156A53A0"/>
    <w:rsid w:val="157601E9"/>
    <w:rsid w:val="15D476DF"/>
    <w:rsid w:val="16225C7A"/>
    <w:rsid w:val="165F0C7D"/>
    <w:rsid w:val="17285513"/>
    <w:rsid w:val="17367C2F"/>
    <w:rsid w:val="17C52D61"/>
    <w:rsid w:val="181411F4"/>
    <w:rsid w:val="18934C0E"/>
    <w:rsid w:val="18E92A80"/>
    <w:rsid w:val="194A5C14"/>
    <w:rsid w:val="198F1879"/>
    <w:rsid w:val="1ADF413A"/>
    <w:rsid w:val="1AFD0A64"/>
    <w:rsid w:val="1BC27540"/>
    <w:rsid w:val="1BE269BB"/>
    <w:rsid w:val="1C5D7A0C"/>
    <w:rsid w:val="1C9859CE"/>
    <w:rsid w:val="1CB6536F"/>
    <w:rsid w:val="1CC528B8"/>
    <w:rsid w:val="1CFA34AD"/>
    <w:rsid w:val="1D3D339A"/>
    <w:rsid w:val="1D70551D"/>
    <w:rsid w:val="1D864D41"/>
    <w:rsid w:val="1D994A74"/>
    <w:rsid w:val="1DC55869"/>
    <w:rsid w:val="1DE101C9"/>
    <w:rsid w:val="1E4A0464"/>
    <w:rsid w:val="1F3E1D77"/>
    <w:rsid w:val="1FC97167"/>
    <w:rsid w:val="20DA787E"/>
    <w:rsid w:val="212E7BC9"/>
    <w:rsid w:val="21CB71C6"/>
    <w:rsid w:val="21D775DD"/>
    <w:rsid w:val="22C000FD"/>
    <w:rsid w:val="22CF0F38"/>
    <w:rsid w:val="2318468D"/>
    <w:rsid w:val="249E6E14"/>
    <w:rsid w:val="24A51F50"/>
    <w:rsid w:val="24CF6FCD"/>
    <w:rsid w:val="259F2E44"/>
    <w:rsid w:val="25CD79B1"/>
    <w:rsid w:val="26753BA5"/>
    <w:rsid w:val="26D27249"/>
    <w:rsid w:val="270D0281"/>
    <w:rsid w:val="27182EAE"/>
    <w:rsid w:val="2753038A"/>
    <w:rsid w:val="27BD5803"/>
    <w:rsid w:val="28C36E49"/>
    <w:rsid w:val="298F1421"/>
    <w:rsid w:val="29F179E6"/>
    <w:rsid w:val="2B4324C3"/>
    <w:rsid w:val="2B836D64"/>
    <w:rsid w:val="2C950AFD"/>
    <w:rsid w:val="2D99286E"/>
    <w:rsid w:val="2DD83397"/>
    <w:rsid w:val="2E020414"/>
    <w:rsid w:val="2E9C2616"/>
    <w:rsid w:val="2EA66FF1"/>
    <w:rsid w:val="2F633134"/>
    <w:rsid w:val="2F927575"/>
    <w:rsid w:val="300E30A0"/>
    <w:rsid w:val="30AC28B9"/>
    <w:rsid w:val="31CF685F"/>
    <w:rsid w:val="31F2079F"/>
    <w:rsid w:val="322E5C7B"/>
    <w:rsid w:val="325B00F2"/>
    <w:rsid w:val="32890278"/>
    <w:rsid w:val="3355548A"/>
    <w:rsid w:val="33A1422B"/>
    <w:rsid w:val="33EC7B9C"/>
    <w:rsid w:val="34AB35B3"/>
    <w:rsid w:val="352015DD"/>
    <w:rsid w:val="355D06F3"/>
    <w:rsid w:val="35643762"/>
    <w:rsid w:val="35A63D7A"/>
    <w:rsid w:val="36146F36"/>
    <w:rsid w:val="36C50230"/>
    <w:rsid w:val="37AA52C6"/>
    <w:rsid w:val="37EA43F2"/>
    <w:rsid w:val="37F13B48"/>
    <w:rsid w:val="380B347F"/>
    <w:rsid w:val="38C70290"/>
    <w:rsid w:val="3A1B0664"/>
    <w:rsid w:val="3A8F5F3B"/>
    <w:rsid w:val="3AC54CA3"/>
    <w:rsid w:val="3AE71032"/>
    <w:rsid w:val="3B2A2D58"/>
    <w:rsid w:val="3B6F4C0F"/>
    <w:rsid w:val="3BC46D08"/>
    <w:rsid w:val="3BF5780A"/>
    <w:rsid w:val="3C504A40"/>
    <w:rsid w:val="3C97266F"/>
    <w:rsid w:val="3CBB635D"/>
    <w:rsid w:val="3D3103CE"/>
    <w:rsid w:val="3D4E0F7F"/>
    <w:rsid w:val="3D6D517E"/>
    <w:rsid w:val="3E6B5B61"/>
    <w:rsid w:val="3E7F33BB"/>
    <w:rsid w:val="3F520ACF"/>
    <w:rsid w:val="3FD80FD4"/>
    <w:rsid w:val="3FFA0F4B"/>
    <w:rsid w:val="402C1320"/>
    <w:rsid w:val="40C81FC2"/>
    <w:rsid w:val="40F435B6"/>
    <w:rsid w:val="41140732"/>
    <w:rsid w:val="41596145"/>
    <w:rsid w:val="418D4040"/>
    <w:rsid w:val="41FF6CEC"/>
    <w:rsid w:val="438B690F"/>
    <w:rsid w:val="4487121B"/>
    <w:rsid w:val="45861BB8"/>
    <w:rsid w:val="45991206"/>
    <w:rsid w:val="45FD1795"/>
    <w:rsid w:val="46875502"/>
    <w:rsid w:val="46A936CA"/>
    <w:rsid w:val="46F54B62"/>
    <w:rsid w:val="47947ED7"/>
    <w:rsid w:val="479C4FDD"/>
    <w:rsid w:val="47C02A7A"/>
    <w:rsid w:val="47DA640E"/>
    <w:rsid w:val="47F40975"/>
    <w:rsid w:val="4832149E"/>
    <w:rsid w:val="48334D4A"/>
    <w:rsid w:val="488E0DCA"/>
    <w:rsid w:val="48DD765B"/>
    <w:rsid w:val="48F52BF7"/>
    <w:rsid w:val="4A1947CF"/>
    <w:rsid w:val="4A396B13"/>
    <w:rsid w:val="4C5639AD"/>
    <w:rsid w:val="4C87625C"/>
    <w:rsid w:val="4CC11085"/>
    <w:rsid w:val="4E094A4F"/>
    <w:rsid w:val="4EC922F3"/>
    <w:rsid w:val="4F283F34"/>
    <w:rsid w:val="503C65DF"/>
    <w:rsid w:val="512C2F2E"/>
    <w:rsid w:val="51FB0341"/>
    <w:rsid w:val="539B25ED"/>
    <w:rsid w:val="539B439B"/>
    <w:rsid w:val="53A414A2"/>
    <w:rsid w:val="53BD103E"/>
    <w:rsid w:val="53C90F08"/>
    <w:rsid w:val="53D55AFF"/>
    <w:rsid w:val="54493DF7"/>
    <w:rsid w:val="5483555B"/>
    <w:rsid w:val="5486504B"/>
    <w:rsid w:val="549A28A4"/>
    <w:rsid w:val="54BE6593"/>
    <w:rsid w:val="55F3226C"/>
    <w:rsid w:val="55F36710"/>
    <w:rsid w:val="566D0271"/>
    <w:rsid w:val="579B2BBB"/>
    <w:rsid w:val="580C5867"/>
    <w:rsid w:val="58313520"/>
    <w:rsid w:val="58B55EFF"/>
    <w:rsid w:val="5980475F"/>
    <w:rsid w:val="5B0D2022"/>
    <w:rsid w:val="5B751975"/>
    <w:rsid w:val="5B94004E"/>
    <w:rsid w:val="5C2A6C04"/>
    <w:rsid w:val="5C7B2FBB"/>
    <w:rsid w:val="5CD1707F"/>
    <w:rsid w:val="5CEC5C67"/>
    <w:rsid w:val="5D017965"/>
    <w:rsid w:val="5D2673CB"/>
    <w:rsid w:val="5E033269"/>
    <w:rsid w:val="5E0A56D0"/>
    <w:rsid w:val="5E345B18"/>
    <w:rsid w:val="5EA762EA"/>
    <w:rsid w:val="5EDB4FC8"/>
    <w:rsid w:val="5FF7504F"/>
    <w:rsid w:val="600B28A8"/>
    <w:rsid w:val="60675D31"/>
    <w:rsid w:val="60B42F40"/>
    <w:rsid w:val="60EA0710"/>
    <w:rsid w:val="610D2911"/>
    <w:rsid w:val="611A0FF5"/>
    <w:rsid w:val="615C33BC"/>
    <w:rsid w:val="63152B80"/>
    <w:rsid w:val="64030466"/>
    <w:rsid w:val="64D23995"/>
    <w:rsid w:val="64F56E40"/>
    <w:rsid w:val="65085608"/>
    <w:rsid w:val="65FE0EE5"/>
    <w:rsid w:val="660758C0"/>
    <w:rsid w:val="663F32AC"/>
    <w:rsid w:val="670125DB"/>
    <w:rsid w:val="67D30150"/>
    <w:rsid w:val="685F7C35"/>
    <w:rsid w:val="6861575B"/>
    <w:rsid w:val="686D2352"/>
    <w:rsid w:val="69320EA6"/>
    <w:rsid w:val="698D691A"/>
    <w:rsid w:val="6A3550F2"/>
    <w:rsid w:val="6AB84AD3"/>
    <w:rsid w:val="6ACB7804"/>
    <w:rsid w:val="6B1E7934"/>
    <w:rsid w:val="6B52582F"/>
    <w:rsid w:val="6B680904"/>
    <w:rsid w:val="6BF33F2A"/>
    <w:rsid w:val="6C90660F"/>
    <w:rsid w:val="6CC87B57"/>
    <w:rsid w:val="6D170ADE"/>
    <w:rsid w:val="6DC20A4A"/>
    <w:rsid w:val="6DE07122"/>
    <w:rsid w:val="6DEE5CE3"/>
    <w:rsid w:val="6ECE341F"/>
    <w:rsid w:val="6F2E3EBD"/>
    <w:rsid w:val="7075590D"/>
    <w:rsid w:val="716D5171"/>
    <w:rsid w:val="71FFAD65"/>
    <w:rsid w:val="724A54B2"/>
    <w:rsid w:val="728E539F"/>
    <w:rsid w:val="72FC67AC"/>
    <w:rsid w:val="73117D7E"/>
    <w:rsid w:val="739F35DC"/>
    <w:rsid w:val="74024296"/>
    <w:rsid w:val="74416441"/>
    <w:rsid w:val="74844CAB"/>
    <w:rsid w:val="74AC7D5E"/>
    <w:rsid w:val="74B67236"/>
    <w:rsid w:val="750B163A"/>
    <w:rsid w:val="75104791"/>
    <w:rsid w:val="75385A96"/>
    <w:rsid w:val="75874327"/>
    <w:rsid w:val="758F1B5A"/>
    <w:rsid w:val="75C85CF3"/>
    <w:rsid w:val="764D731F"/>
    <w:rsid w:val="77073AEC"/>
    <w:rsid w:val="773FD4F9"/>
    <w:rsid w:val="78047EB1"/>
    <w:rsid w:val="78972AD3"/>
    <w:rsid w:val="7A17211E"/>
    <w:rsid w:val="7A523156"/>
    <w:rsid w:val="7A7A445B"/>
    <w:rsid w:val="7B407452"/>
    <w:rsid w:val="7B562E02"/>
    <w:rsid w:val="7BA8465D"/>
    <w:rsid w:val="7BAB0D70"/>
    <w:rsid w:val="7BFFC15E"/>
    <w:rsid w:val="7CB2612E"/>
    <w:rsid w:val="7CC876FF"/>
    <w:rsid w:val="7CFB5D27"/>
    <w:rsid w:val="7DB369FF"/>
    <w:rsid w:val="7DDFA056"/>
    <w:rsid w:val="7E301A00"/>
    <w:rsid w:val="7E841CD2"/>
    <w:rsid w:val="7F0013D2"/>
    <w:rsid w:val="7F192494"/>
    <w:rsid w:val="7F6F6558"/>
    <w:rsid w:val="7F8D69DE"/>
    <w:rsid w:val="7FDDCE74"/>
    <w:rsid w:val="7FEF0CE9"/>
    <w:rsid w:val="AFEE051B"/>
    <w:rsid w:val="D7ECBEA6"/>
    <w:rsid w:val="DFDF80A1"/>
    <w:rsid w:val="EFAB12A2"/>
    <w:rsid w:val="F6EA028B"/>
    <w:rsid w:val="F70B1793"/>
    <w:rsid w:val="FEC33E25"/>
    <w:rsid w:val="FF6FB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1725</Words>
  <Characters>1783</Characters>
  <Lines>0</Lines>
  <Paragraphs>0</Paragraphs>
  <TotalTime>31</TotalTime>
  <ScaleCrop>false</ScaleCrop>
  <LinksUpToDate>false</LinksUpToDate>
  <CharactersWithSpaces>1783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赵晶</cp:lastModifiedBy>
  <cp:lastPrinted>2025-11-27T17:28:47Z</cp:lastPrinted>
  <dcterms:modified xsi:type="dcterms:W3CDTF">2025-11-27T17:28:50Z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KSOTemplateDocerSaveRecord">
    <vt:lpwstr>eyJoZGlkIjoiNjc5YmU0NWNmMzFiODVhYTRhOGQwYmYwZDcyYmZkMjMiLCJ1c2VySWQiOiI0NTk0MzMwNTgifQ==</vt:lpwstr>
  </property>
  <property fmtid="{D5CDD505-2E9C-101B-9397-08002B2CF9AE}" pid="4" name="ICV">
    <vt:lpwstr>103CFBC20F7B4407B394BACC9516F1AA</vt:lpwstr>
  </property>
</Properties>
</file>