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FEF3C">
      <w:pPr>
        <w:widowControl w:val="0"/>
        <w:autoSpaceDE w:val="0"/>
        <w:autoSpaceDN w:val="0"/>
        <w:adjustRightInd w:val="0"/>
        <w:snapToGrid w:val="0"/>
        <w:ind w:firstLine="0" w:firstLineChars="0"/>
        <w:jc w:val="center"/>
        <w:outlineLvl w:val="1"/>
        <w:rPr>
          <w:rFonts w:hint="eastAsia" w:ascii="宋体" w:hAnsi="宋体" w:eastAsia="宋体"/>
          <w:b/>
          <w:sz w:val="32"/>
          <w:lang w:val="en-US" w:eastAsia="zh-CN"/>
        </w:rPr>
      </w:pPr>
      <w:bookmarkStart w:id="0" w:name="_Toc21318"/>
      <w:bookmarkStart w:id="1" w:name="_Toc406669470"/>
      <w:bookmarkStart w:id="2" w:name="_Toc403513619"/>
      <w:r>
        <w:rPr>
          <w:rFonts w:hint="eastAsia" w:ascii="宋体" w:hAnsi="宋体"/>
          <w:b/>
          <w:sz w:val="32"/>
        </w:rPr>
        <w:t>项目需求</w:t>
      </w:r>
      <w:bookmarkEnd w:id="0"/>
      <w:r>
        <w:rPr>
          <w:rFonts w:hint="eastAsia" w:ascii="宋体" w:hAnsi="宋体"/>
          <w:b/>
          <w:sz w:val="32"/>
          <w:lang w:val="en-US" w:eastAsia="zh-CN"/>
        </w:rPr>
        <w:t>书</w:t>
      </w:r>
    </w:p>
    <w:bookmarkEnd w:id="1"/>
    <w:bookmarkEnd w:id="2"/>
    <w:p w14:paraId="21A5806E">
      <w:pPr>
        <w:widowControl w:val="0"/>
        <w:autoSpaceDE w:val="0"/>
        <w:autoSpaceDN w:val="0"/>
        <w:adjustRightInd w:val="0"/>
        <w:snapToGrid w:val="0"/>
        <w:ind w:left="0" w:leftChars="0" w:firstLine="0" w:firstLineChars="0"/>
        <w:outlineLvl w:val="2"/>
        <w:rPr>
          <w:rFonts w:hint="default" w:ascii="宋体" w:hAnsi="宋体" w:eastAsia="宋体" w:cs="宋体"/>
          <w:b/>
          <w:bCs/>
          <w:sz w:val="28"/>
          <w:szCs w:val="28"/>
          <w:lang w:val="en-US" w:eastAsia="zh-CN"/>
        </w:rPr>
      </w:pPr>
      <w:bookmarkStart w:id="3" w:name="_Toc49247163"/>
      <w:bookmarkStart w:id="4" w:name="_Toc144974855"/>
      <w:bookmarkStart w:id="5" w:name="_Toc152042575"/>
      <w:bookmarkStart w:id="6" w:name="_Toc152045786"/>
      <w:r>
        <w:rPr>
          <w:rFonts w:hint="eastAsia" w:ascii="宋体" w:hAnsi="宋体" w:cs="宋体"/>
          <w:b/>
          <w:bCs/>
          <w:sz w:val="28"/>
          <w:szCs w:val="28"/>
          <w:lang w:val="en-US" w:eastAsia="zh-CN"/>
        </w:rPr>
        <w:t>一</w:t>
      </w:r>
      <w:r>
        <w:rPr>
          <w:rFonts w:hint="eastAsia" w:ascii="宋体" w:hAnsi="宋体" w:cs="宋体"/>
          <w:b/>
          <w:bCs/>
          <w:sz w:val="28"/>
          <w:szCs w:val="28"/>
          <w:lang w:eastAsia="zh-CN"/>
        </w:rPr>
        <w:t>、</w:t>
      </w:r>
      <w:bookmarkEnd w:id="3"/>
      <w:r>
        <w:rPr>
          <w:rFonts w:hint="eastAsia" w:ascii="宋体" w:hAnsi="宋体" w:cs="宋体"/>
          <w:b/>
          <w:bCs/>
          <w:sz w:val="28"/>
          <w:szCs w:val="28"/>
          <w:lang w:val="en-US" w:eastAsia="zh-CN"/>
        </w:rPr>
        <w:t>项目概况</w:t>
      </w:r>
    </w:p>
    <w:p w14:paraId="653CB069">
      <w:pPr>
        <w:ind w:firstLine="482"/>
        <w:jc w:val="left"/>
        <w:outlineLvl w:val="3"/>
        <w:rPr>
          <w:rFonts w:hint="eastAsia" w:ascii="宋体" w:hAnsi="宋体" w:eastAsia="宋体" w:cs="宋体"/>
          <w:b/>
          <w:sz w:val="24"/>
          <w:lang w:val="en-US" w:eastAsia="zh-CN"/>
        </w:rPr>
      </w:pPr>
      <w:bookmarkStart w:id="7" w:name="_Toc49247164"/>
      <w:bookmarkStart w:id="8" w:name="_Toc407023750"/>
      <w:r>
        <w:rPr>
          <w:rFonts w:hint="eastAsia" w:ascii="宋体" w:hAnsi="宋体" w:cs="宋体"/>
          <w:b/>
          <w:sz w:val="24"/>
          <w:lang w:val="en-US" w:eastAsia="zh-CN"/>
        </w:rPr>
        <w:t>1</w:t>
      </w:r>
      <w:r>
        <w:rPr>
          <w:rFonts w:ascii="宋体" w:hAnsi="宋体" w:cs="宋体"/>
          <w:b/>
          <w:sz w:val="24"/>
        </w:rPr>
        <w:t>、</w:t>
      </w:r>
      <w:r>
        <w:rPr>
          <w:rFonts w:hint="eastAsia" w:ascii="宋体" w:hAnsi="宋体" w:cs="宋体"/>
          <w:b/>
          <w:sz w:val="24"/>
        </w:rPr>
        <w:t>项目</w:t>
      </w:r>
      <w:r>
        <w:rPr>
          <w:rFonts w:hint="eastAsia" w:ascii="宋体" w:hAnsi="宋体" w:cs="宋体"/>
          <w:b/>
          <w:sz w:val="24"/>
          <w:lang w:val="en-US" w:eastAsia="zh-CN"/>
        </w:rPr>
        <w:t>背景</w:t>
      </w:r>
    </w:p>
    <w:p w14:paraId="64488BAD">
      <w:pPr>
        <w:ind w:firstLine="420"/>
        <w:rPr>
          <w:rFonts w:hint="eastAsia" w:ascii="宋体" w:hAnsi="宋体" w:cs="宋体"/>
          <w:szCs w:val="21"/>
        </w:rPr>
      </w:pPr>
      <w:r>
        <w:rPr>
          <w:rFonts w:hint="eastAsia" w:ascii="宋体" w:hAnsi="宋体" w:cs="宋体"/>
          <w:szCs w:val="21"/>
        </w:rPr>
        <w:t>根据《深圳市龙岗区创建人工智能全域全时应用示范区的行动方案(2024年-2025年)》规划, 要构建高效算力供给体系，在供给侧加强龙岗区在线算力供给保障能力，推动人工智能产业化。我司已建</w:t>
      </w:r>
      <w:r>
        <w:rPr>
          <w:rFonts w:hint="eastAsia" w:ascii="宋体" w:hAnsi="宋体" w:cs="宋体"/>
          <w:szCs w:val="21"/>
          <w:lang w:val="en-US" w:eastAsia="zh-CN"/>
        </w:rPr>
        <w:t>成了高性能</w:t>
      </w:r>
      <w:r>
        <w:rPr>
          <w:rFonts w:hint="eastAsia" w:ascii="宋体" w:hAnsi="宋体" w:cs="宋体"/>
          <w:szCs w:val="21"/>
        </w:rPr>
        <w:t>智能算力集群，可以满足各类型人工智能企业在不同发展阶段的算力需求，完善龙岗区算力供给体系，加速龙岗打造人工智能全域全时应用示范区。现智算集群</w:t>
      </w:r>
      <w:r>
        <w:rPr>
          <w:rFonts w:hint="eastAsia" w:ascii="宋体" w:hAnsi="宋体" w:cs="宋体"/>
          <w:szCs w:val="21"/>
          <w:lang w:val="en-US" w:eastAsia="zh-CN"/>
        </w:rPr>
        <w:t>即将验收，</w:t>
      </w:r>
      <w:r>
        <w:rPr>
          <w:rFonts w:hint="eastAsia" w:ascii="宋体" w:hAnsi="宋体" w:cs="宋体"/>
          <w:szCs w:val="21"/>
        </w:rPr>
        <w:t>投入运营，为保障集群保持良好的运行状态，拟对深圳（东部）人工智能产业公共服务平台</w:t>
      </w:r>
      <w:r>
        <w:rPr>
          <w:rFonts w:hint="eastAsia" w:ascii="宋体" w:hAnsi="宋体" w:cs="宋体"/>
          <w:szCs w:val="21"/>
          <w:lang w:eastAsia="zh-CN"/>
        </w:rPr>
        <w:t>（</w:t>
      </w:r>
      <w:r>
        <w:rPr>
          <w:rFonts w:hint="eastAsia" w:ascii="宋体" w:hAnsi="宋体" w:cs="宋体"/>
          <w:szCs w:val="21"/>
          <w:lang w:val="en-US" w:eastAsia="zh-CN"/>
        </w:rPr>
        <w:t>二期</w:t>
      </w:r>
      <w:r>
        <w:rPr>
          <w:rFonts w:hint="eastAsia" w:ascii="宋体" w:hAnsi="宋体" w:cs="宋体"/>
          <w:szCs w:val="21"/>
          <w:lang w:eastAsia="zh-CN"/>
        </w:rPr>
        <w:t>）</w:t>
      </w:r>
      <w:r>
        <w:rPr>
          <w:rFonts w:hint="eastAsia" w:ascii="宋体" w:hAnsi="宋体" w:cs="宋体"/>
          <w:szCs w:val="21"/>
        </w:rPr>
        <w:t>的运维服务进行公开</w:t>
      </w:r>
      <w:r>
        <w:rPr>
          <w:rFonts w:hint="eastAsia" w:ascii="宋体" w:hAnsi="宋体" w:cs="宋体"/>
          <w:szCs w:val="21"/>
          <w:lang w:val="en-US" w:eastAsia="zh-CN"/>
        </w:rPr>
        <w:t>询价</w:t>
      </w:r>
      <w:r>
        <w:rPr>
          <w:rFonts w:hint="eastAsia" w:ascii="宋体" w:hAnsi="宋体" w:cs="宋体"/>
          <w:szCs w:val="21"/>
        </w:rPr>
        <w:t>。</w:t>
      </w:r>
    </w:p>
    <w:p w14:paraId="4E235C64">
      <w:pPr>
        <w:ind w:firstLine="482"/>
        <w:jc w:val="left"/>
        <w:outlineLvl w:val="3"/>
        <w:rPr>
          <w:rFonts w:hint="eastAsia" w:ascii="宋体" w:hAnsi="宋体" w:cs="宋体"/>
          <w:b/>
          <w:sz w:val="24"/>
        </w:rPr>
      </w:pPr>
      <w:r>
        <w:rPr>
          <w:rFonts w:hint="eastAsia" w:ascii="宋体" w:hAnsi="宋体" w:cs="宋体"/>
          <w:b/>
          <w:sz w:val="24"/>
          <w:lang w:val="en-US" w:eastAsia="zh-CN"/>
        </w:rPr>
        <w:t>2、</w:t>
      </w:r>
      <w:r>
        <w:rPr>
          <w:rFonts w:hint="eastAsia" w:ascii="宋体" w:hAnsi="宋体" w:cs="宋体"/>
          <w:b/>
          <w:sz w:val="24"/>
        </w:rPr>
        <w:t>合同履行期限</w:t>
      </w:r>
    </w:p>
    <w:p w14:paraId="3D9C3B6D">
      <w:pPr>
        <w:ind w:firstLine="420"/>
        <w:jc w:val="left"/>
        <w:rPr>
          <w:rFonts w:hint="eastAsia" w:ascii="宋体" w:hAnsi="宋体" w:cs="宋体"/>
          <w:szCs w:val="21"/>
        </w:rPr>
      </w:pPr>
      <w:r>
        <w:rPr>
          <w:rFonts w:hint="eastAsia" w:ascii="宋体" w:hAnsi="宋体" w:cs="宋体"/>
          <w:szCs w:val="21"/>
        </w:rPr>
        <w:t>12个月。本项目属于长期服务项目。采购人可视中标人履约服务情况，决定是否续签。合同一年一签，最多续签两次,合同履行期限最长不得超过36个月。</w:t>
      </w:r>
    </w:p>
    <w:p w14:paraId="2DA088EF">
      <w:pPr>
        <w:ind w:firstLine="482"/>
        <w:jc w:val="left"/>
        <w:outlineLvl w:val="3"/>
        <w:rPr>
          <w:rFonts w:hint="eastAsia" w:ascii="宋体" w:hAnsi="宋体" w:cs="宋体"/>
          <w:b/>
          <w:sz w:val="24"/>
          <w:szCs w:val="21"/>
        </w:rPr>
      </w:pPr>
      <w:r>
        <w:rPr>
          <w:rFonts w:hint="eastAsia" w:ascii="宋体" w:hAnsi="宋体" w:cs="宋体"/>
          <w:b/>
          <w:sz w:val="24"/>
          <w:szCs w:val="21"/>
          <w:lang w:val="en-US" w:eastAsia="zh-CN"/>
        </w:rPr>
        <w:t>3、</w:t>
      </w:r>
      <w:r>
        <w:rPr>
          <w:rFonts w:hint="eastAsia" w:ascii="宋体" w:hAnsi="宋体" w:cs="宋体"/>
          <w:b/>
          <w:sz w:val="24"/>
          <w:szCs w:val="21"/>
        </w:rPr>
        <w:t>服务地点</w:t>
      </w:r>
    </w:p>
    <w:p w14:paraId="02B2057B">
      <w:pPr>
        <w:pStyle w:val="20"/>
        <w:ind w:left="0" w:leftChars="0"/>
      </w:pPr>
      <w:r>
        <w:rPr>
          <w:rFonts w:hint="eastAsia"/>
        </w:rPr>
        <w:t>贵州省贵安新区</w:t>
      </w:r>
      <w:r>
        <w:rPr>
          <w:rFonts w:hint="eastAsia"/>
          <w:lang w:val="en-US" w:eastAsia="zh-CN"/>
        </w:rPr>
        <w:t>内询价人</w:t>
      </w:r>
      <w:r>
        <w:rPr>
          <w:rFonts w:hint="eastAsia"/>
        </w:rPr>
        <w:t>指定</w:t>
      </w:r>
      <w:r>
        <w:rPr>
          <w:rFonts w:hint="eastAsia"/>
          <w:lang w:val="en-US" w:eastAsia="zh-CN"/>
        </w:rPr>
        <w:t>的数据中心以及询价人</w:t>
      </w:r>
      <w:r>
        <w:rPr>
          <w:rFonts w:hint="eastAsia"/>
        </w:rPr>
        <w:t>指定</w:t>
      </w:r>
      <w:r>
        <w:rPr>
          <w:rFonts w:hint="eastAsia"/>
          <w:lang w:val="en-US" w:eastAsia="zh-CN"/>
        </w:rPr>
        <w:t>的算力最终用户办公场地</w:t>
      </w:r>
      <w:r>
        <w:rPr>
          <w:rFonts w:hint="eastAsia"/>
        </w:rPr>
        <w:t>。</w:t>
      </w:r>
    </w:p>
    <w:p w14:paraId="0288EC32">
      <w:pPr>
        <w:ind w:firstLine="482"/>
        <w:jc w:val="left"/>
        <w:outlineLvl w:val="3"/>
        <w:rPr>
          <w:rFonts w:hint="eastAsia" w:ascii="宋体" w:hAnsi="宋体" w:cs="宋体"/>
          <w:b/>
          <w:sz w:val="24"/>
          <w:szCs w:val="21"/>
          <w:lang w:val="en-US" w:eastAsia="zh-CN"/>
        </w:rPr>
      </w:pPr>
      <w:r>
        <w:rPr>
          <w:rFonts w:hint="eastAsia" w:ascii="宋体" w:hAnsi="宋体" w:cs="宋体"/>
          <w:b/>
          <w:sz w:val="24"/>
          <w:szCs w:val="21"/>
          <w:lang w:val="en-US" w:eastAsia="zh-CN"/>
        </w:rPr>
        <w:t>4、报价方式</w:t>
      </w:r>
    </w:p>
    <w:p w14:paraId="59D9E998">
      <w:pPr>
        <w:ind w:firstLine="420"/>
        <w:jc w:val="left"/>
        <w:rPr>
          <w:rFonts w:hint="default" w:eastAsia="宋体"/>
          <w:lang w:val="en-US" w:eastAsia="zh-CN"/>
        </w:rPr>
      </w:pPr>
      <w:r>
        <w:rPr>
          <w:rFonts w:hint="eastAsia"/>
        </w:rPr>
        <w:t>本项目采取固定总价合同报价，同时也要求</w:t>
      </w:r>
      <w:r>
        <w:rPr>
          <w:rFonts w:hint="eastAsia"/>
          <w:lang w:val="en-US" w:eastAsia="zh-CN"/>
        </w:rPr>
        <w:t>报价</w:t>
      </w:r>
      <w:r>
        <w:rPr>
          <w:rFonts w:hint="eastAsia"/>
        </w:rPr>
        <w:t>人提供分项报价。</w:t>
      </w:r>
      <w:r>
        <w:rPr>
          <w:rFonts w:hint="eastAsia"/>
          <w:lang w:val="en-US" w:eastAsia="zh-CN"/>
        </w:rPr>
        <w:t>服务类单项报价按年报价，配套硬件采购单项为一次性采购费用。报价表格式详见《询价函回执》。</w:t>
      </w:r>
    </w:p>
    <w:p w14:paraId="3A3BD4AF">
      <w:pPr>
        <w:widowControl w:val="0"/>
        <w:autoSpaceDE w:val="0"/>
        <w:autoSpaceDN w:val="0"/>
        <w:adjustRightInd w:val="0"/>
        <w:snapToGrid w:val="0"/>
        <w:ind w:left="0" w:leftChars="0" w:firstLine="0" w:firstLineChars="0"/>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二、</w:t>
      </w:r>
      <w:bookmarkEnd w:id="7"/>
      <w:bookmarkEnd w:id="8"/>
      <w:bookmarkStart w:id="9" w:name="_Toc3008"/>
      <w:r>
        <w:rPr>
          <w:rFonts w:hint="eastAsia" w:ascii="宋体" w:hAnsi="宋体" w:cs="宋体"/>
          <w:b/>
          <w:bCs/>
          <w:sz w:val="28"/>
          <w:szCs w:val="28"/>
          <w:lang w:val="en-US" w:eastAsia="zh-CN"/>
        </w:rPr>
        <w:t>项目服务内容</w:t>
      </w:r>
    </w:p>
    <w:p w14:paraId="245B1D42">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本次</w:t>
      </w:r>
      <w:r>
        <w:rPr>
          <w:rFonts w:hint="eastAsia" w:ascii="宋体" w:hAnsi="宋体" w:cs="宋体"/>
          <w:szCs w:val="21"/>
          <w:lang w:val="en-US" w:eastAsia="zh-CN"/>
        </w:rPr>
        <w:t>询价</w:t>
      </w:r>
      <w:r>
        <w:rPr>
          <w:rFonts w:hint="eastAsia" w:ascii="宋体" w:hAnsi="宋体" w:cs="宋体"/>
          <w:szCs w:val="21"/>
        </w:rPr>
        <w:t>内容为智算集群的运维服务。主要服务内容如下：</w:t>
      </w:r>
    </w:p>
    <w:p w14:paraId="79871E87">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1、智算集群日常运维保障服务</w:t>
      </w:r>
    </w:p>
    <w:p w14:paraId="567E4517">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提供人工智能计算集群设备（含GPU服务器、通算服务器、存储服务器、网络设备、信息安全设备）和软件平台日常驻场运维保障服务，包括智算集群日常故障处理与排查、软硬件设施更换及更新、设备和系统的安全检查及漏洞整改、算力租赁客户的</w:t>
      </w:r>
      <w:r>
        <w:rPr>
          <w:rFonts w:hint="eastAsia" w:ascii="宋体" w:hAnsi="宋体" w:cs="宋体"/>
          <w:szCs w:val="21"/>
          <w:lang w:val="en-US" w:eastAsia="zh-CN"/>
        </w:rPr>
        <w:t>驻场</w:t>
      </w:r>
      <w:r>
        <w:rPr>
          <w:rFonts w:hint="eastAsia" w:ascii="宋体" w:hAnsi="宋体" w:cs="宋体"/>
          <w:szCs w:val="21"/>
        </w:rPr>
        <w:t>技术支持等服务。</w:t>
      </w:r>
    </w:p>
    <w:p w14:paraId="72B0516F">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2、专线服务</w:t>
      </w:r>
    </w:p>
    <w:p w14:paraId="5B9A2D45">
      <w:pPr>
        <w:widowControl w:val="0"/>
        <w:autoSpaceDE w:val="0"/>
        <w:autoSpaceDN w:val="0"/>
        <w:adjustRightInd w:val="0"/>
        <w:snapToGrid w:val="0"/>
        <w:ind w:firstLine="422"/>
        <w:rPr>
          <w:rFonts w:hint="eastAsia" w:ascii="宋体" w:hAnsi="宋体" w:cs="宋体"/>
          <w:szCs w:val="21"/>
        </w:rPr>
      </w:pPr>
      <w:r>
        <w:rPr>
          <w:rFonts w:hint="eastAsia" w:ascii="宋体" w:hAnsi="宋体" w:cs="宋体"/>
          <w:szCs w:val="21"/>
        </w:rPr>
        <w:t>提供贵安新区内两个</w:t>
      </w:r>
      <w:r>
        <w:rPr>
          <w:rFonts w:hint="eastAsia" w:ascii="宋体" w:hAnsi="宋体" w:cs="宋体"/>
          <w:szCs w:val="21"/>
          <w:lang w:val="en-US" w:eastAsia="zh-CN"/>
        </w:rPr>
        <w:t>点位</w:t>
      </w:r>
      <w:r>
        <w:rPr>
          <w:rFonts w:hint="eastAsia" w:ascii="宋体" w:hAnsi="宋体" w:cs="宋体"/>
          <w:szCs w:val="21"/>
        </w:rPr>
        <w:t>之间</w:t>
      </w:r>
      <w:r>
        <w:rPr>
          <w:rFonts w:hint="eastAsia" w:ascii="宋体" w:hAnsi="宋体" w:cs="宋体"/>
          <w:szCs w:val="21"/>
          <w:lang w:val="en-US" w:eastAsia="zh-CN"/>
        </w:rPr>
        <w:t>2</w:t>
      </w:r>
      <w:r>
        <w:rPr>
          <w:rFonts w:hint="eastAsia" w:ascii="宋体" w:hAnsi="宋体" w:cs="宋体"/>
          <w:szCs w:val="21"/>
        </w:rPr>
        <w:t>00G的专线服务（物理双路由，专线具体起止端信息由甲方指定）。</w:t>
      </w:r>
    </w:p>
    <w:p w14:paraId="5D4489F9">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3、备品备件--关键设备备件采购</w:t>
      </w:r>
    </w:p>
    <w:p w14:paraId="20D230D3">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val="en-US" w:eastAsia="zh-CN"/>
        </w:rPr>
        <w:t>（1）GPU服务器硬盘采购</w:t>
      </w:r>
      <w:r>
        <w:rPr>
          <w:rFonts w:hint="eastAsia" w:ascii="宋体" w:hAnsi="宋体" w:cs="宋体"/>
          <w:szCs w:val="21"/>
          <w:lang w:eastAsia="zh-CN"/>
        </w:rPr>
        <w:t>：</w:t>
      </w:r>
      <w:r>
        <w:rPr>
          <w:rFonts w:hint="eastAsia" w:ascii="宋体" w:hAnsi="宋体" w:cs="宋体"/>
          <w:szCs w:val="21"/>
          <w:lang w:val="en-US" w:eastAsia="zh-CN"/>
        </w:rPr>
        <w:t>采购适配采购人智算集群GPU服务器的SSD硬盘768块</w:t>
      </w:r>
      <w:r>
        <w:rPr>
          <w:rFonts w:hint="eastAsia" w:ascii="宋体" w:hAnsi="宋体" w:cs="宋体"/>
          <w:szCs w:val="21"/>
          <w:lang w:eastAsia="zh-CN"/>
        </w:rPr>
        <w:t>（</w:t>
      </w:r>
      <w:r>
        <w:rPr>
          <w:rFonts w:hint="eastAsia" w:ascii="宋体" w:hAnsi="宋体" w:cs="宋体"/>
          <w:szCs w:val="21"/>
          <w:lang w:val="en-US" w:eastAsia="zh-CN"/>
        </w:rPr>
        <w:t>具体技术要求详见后文服务要求</w:t>
      </w:r>
      <w:r>
        <w:rPr>
          <w:rFonts w:hint="eastAsia" w:ascii="宋体" w:hAnsi="宋体" w:cs="宋体"/>
          <w:szCs w:val="21"/>
          <w:lang w:eastAsia="zh-CN"/>
        </w:rPr>
        <w:t>）</w:t>
      </w:r>
      <w:r>
        <w:rPr>
          <w:rFonts w:hint="eastAsia" w:ascii="宋体" w:hAnsi="宋体" w:cs="宋体"/>
          <w:szCs w:val="21"/>
        </w:rPr>
        <w:t>。</w:t>
      </w:r>
    </w:p>
    <w:p w14:paraId="625A9497">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val="en-US" w:eastAsia="zh-CN"/>
        </w:rPr>
        <w:t>（2）GPU服务器采购</w:t>
      </w:r>
      <w:r>
        <w:rPr>
          <w:rFonts w:hint="eastAsia" w:ascii="宋体" w:hAnsi="宋体" w:cs="宋体"/>
          <w:szCs w:val="21"/>
          <w:lang w:eastAsia="zh-CN"/>
        </w:rPr>
        <w:t>：</w:t>
      </w:r>
      <w:r>
        <w:rPr>
          <w:rFonts w:hint="eastAsia" w:ascii="宋体" w:hAnsi="宋体" w:cs="宋体"/>
          <w:szCs w:val="21"/>
          <w:lang w:val="en-US" w:eastAsia="zh-CN"/>
        </w:rPr>
        <w:t>采购1台备用GPU服务器（服务器配置要求详见后文项目服务要求）</w:t>
      </w:r>
      <w:r>
        <w:rPr>
          <w:rFonts w:hint="eastAsia" w:ascii="宋体" w:hAnsi="宋体" w:cs="宋体"/>
          <w:szCs w:val="21"/>
        </w:rPr>
        <w:t>。</w:t>
      </w:r>
    </w:p>
    <w:p w14:paraId="07AD2B06">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4、备品备件--配套设备备件支持服务</w:t>
      </w:r>
    </w:p>
    <w:p w14:paraId="452D7492">
      <w:pPr>
        <w:widowControl w:val="0"/>
        <w:autoSpaceDE w:val="0"/>
        <w:autoSpaceDN w:val="0"/>
        <w:adjustRightInd w:val="0"/>
        <w:snapToGrid w:val="0"/>
        <w:ind w:firstLine="420"/>
        <w:rPr>
          <w:rFonts w:hint="default" w:ascii="宋体" w:hAnsi="宋体" w:cs="宋体"/>
          <w:szCs w:val="21"/>
          <w:lang w:val="en-US" w:eastAsia="zh-CN"/>
        </w:rPr>
      </w:pPr>
      <w:r>
        <w:rPr>
          <w:rFonts w:hint="eastAsia" w:ascii="宋体" w:hAnsi="宋体" w:cs="宋体"/>
          <w:szCs w:val="21"/>
        </w:rPr>
        <w:t>为满足智算集群使用客户对服务的响应要求，要求投标人对智算集群除GPU服务器以外的硬件部分提供备品备件支持服务，确保服务期间具有</w:t>
      </w:r>
      <w:r>
        <w:rPr>
          <w:rFonts w:hint="eastAsia" w:ascii="宋体" w:hAnsi="宋体" w:cs="宋体"/>
          <w:szCs w:val="21"/>
          <w:lang w:val="en-US" w:eastAsia="zh-CN"/>
        </w:rPr>
        <w:t>足够的</w:t>
      </w:r>
      <w:r>
        <w:rPr>
          <w:rFonts w:hint="eastAsia" w:ascii="宋体" w:hAnsi="宋体" w:cs="宋体"/>
          <w:szCs w:val="21"/>
        </w:rPr>
        <w:t>备品备件可随时满足集群维修更换需求（具体备件比例由供应商在该范围内承诺），为智算集群的正常运转和使用提供备件保障服务。</w:t>
      </w:r>
      <w:r>
        <w:rPr>
          <w:rFonts w:hint="eastAsia" w:ascii="宋体" w:hAnsi="宋体" w:cs="宋体"/>
          <w:szCs w:val="21"/>
          <w:lang w:val="en-US" w:eastAsia="zh-CN"/>
        </w:rPr>
        <w:t>存储介质需提供介质保留服务，即损坏的硬盘不予退还厂家，但需要补充新的硬盘替换。</w:t>
      </w:r>
    </w:p>
    <w:p w14:paraId="5E25DD84">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5、运维软硬件清单</w:t>
      </w:r>
    </w:p>
    <w:p w14:paraId="6DAFE8FE">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智算集群主要运维对象包括GPU智能算力服务器、网络设备、存储服务器、通用计算服务器、信息安全设备、集群所需软件系统。详细设备和软件清单详见下表《人工智能计算集群硬件设备和软件清单》。</w:t>
      </w:r>
    </w:p>
    <w:p w14:paraId="108A4286">
      <w:pPr>
        <w:ind w:firstLine="422"/>
        <w:jc w:val="center"/>
        <w:rPr>
          <w:rFonts w:hint="eastAsia" w:ascii="宋体" w:hAnsi="宋体" w:cs="宋体"/>
          <w:b/>
          <w:bCs/>
          <w:szCs w:val="21"/>
        </w:rPr>
      </w:pPr>
      <w:r>
        <w:rPr>
          <w:rFonts w:hint="eastAsia" w:ascii="宋体" w:hAnsi="宋体" w:cs="宋体"/>
          <w:b/>
          <w:bCs/>
          <w:szCs w:val="21"/>
        </w:rPr>
        <w:t>人工智能计算集群硬件软硬件清单</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5401"/>
        <w:gridCol w:w="779"/>
        <w:gridCol w:w="779"/>
        <w:gridCol w:w="780"/>
      </w:tblGrid>
      <w:tr w14:paraId="7999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jc w:val="center"/>
        </w:trPr>
        <w:tc>
          <w:tcPr>
            <w:tcW w:w="457" w:type="pct"/>
            <w:vAlign w:val="center"/>
          </w:tcPr>
          <w:p w14:paraId="1332CF2E">
            <w:pPr>
              <w:spacing w:line="240" w:lineRule="auto"/>
              <w:ind w:firstLine="0" w:firstLineChars="0"/>
              <w:jc w:val="center"/>
              <w:rPr>
                <w:rFonts w:hint="eastAsia" w:ascii="宋体" w:hAnsi="宋体" w:cs="宋体"/>
                <w:b/>
                <w:bCs/>
                <w:color w:val="000000"/>
                <w:sz w:val="18"/>
                <w:szCs w:val="18"/>
              </w:rPr>
            </w:pPr>
            <w:r>
              <w:rPr>
                <w:rFonts w:hint="eastAsia" w:ascii="宋体" w:hAnsi="宋体" w:cs="宋体"/>
                <w:b/>
                <w:sz w:val="18"/>
                <w:szCs w:val="18"/>
              </w:rPr>
              <w:t>序号</w:t>
            </w:r>
          </w:p>
        </w:tc>
        <w:tc>
          <w:tcPr>
            <w:tcW w:w="3168" w:type="pct"/>
            <w:vAlign w:val="center"/>
          </w:tcPr>
          <w:p w14:paraId="1DD2A221">
            <w:pPr>
              <w:spacing w:line="240" w:lineRule="auto"/>
              <w:ind w:firstLine="0" w:firstLineChars="0"/>
              <w:jc w:val="both"/>
              <w:rPr>
                <w:rFonts w:hint="eastAsia" w:ascii="宋体" w:hAnsi="宋体" w:cs="宋体"/>
                <w:b/>
                <w:bCs/>
                <w:color w:val="000000"/>
                <w:sz w:val="18"/>
                <w:szCs w:val="18"/>
              </w:rPr>
            </w:pPr>
            <w:r>
              <w:rPr>
                <w:rFonts w:hint="eastAsia" w:ascii="宋体" w:hAnsi="宋体" w:cs="宋体"/>
                <w:b/>
                <w:sz w:val="18"/>
                <w:szCs w:val="18"/>
              </w:rPr>
              <w:t>名称</w:t>
            </w:r>
          </w:p>
        </w:tc>
        <w:tc>
          <w:tcPr>
            <w:tcW w:w="457" w:type="pct"/>
            <w:vAlign w:val="center"/>
          </w:tcPr>
          <w:p w14:paraId="3565E842">
            <w:pPr>
              <w:spacing w:line="240" w:lineRule="auto"/>
              <w:ind w:firstLine="0" w:firstLineChars="0"/>
              <w:jc w:val="center"/>
              <w:rPr>
                <w:rFonts w:hint="eastAsia" w:ascii="宋体" w:hAnsi="宋体" w:cs="宋体"/>
                <w:b/>
                <w:bCs/>
                <w:color w:val="000000"/>
                <w:sz w:val="18"/>
                <w:szCs w:val="18"/>
              </w:rPr>
            </w:pPr>
            <w:r>
              <w:rPr>
                <w:rFonts w:hint="eastAsia" w:ascii="宋体" w:hAnsi="宋体" w:cs="宋体"/>
                <w:b/>
                <w:sz w:val="18"/>
                <w:szCs w:val="18"/>
              </w:rPr>
              <w:t>数量</w:t>
            </w:r>
          </w:p>
        </w:tc>
        <w:tc>
          <w:tcPr>
            <w:tcW w:w="457" w:type="pct"/>
            <w:vAlign w:val="center"/>
          </w:tcPr>
          <w:p w14:paraId="19D21CDA">
            <w:pPr>
              <w:spacing w:line="240" w:lineRule="auto"/>
              <w:ind w:firstLine="0" w:firstLineChars="0"/>
              <w:jc w:val="center"/>
              <w:rPr>
                <w:rFonts w:hint="eastAsia" w:ascii="宋体" w:hAnsi="宋体" w:cs="宋体"/>
                <w:b/>
                <w:bCs/>
                <w:color w:val="000000"/>
                <w:sz w:val="18"/>
                <w:szCs w:val="18"/>
              </w:rPr>
            </w:pPr>
            <w:r>
              <w:rPr>
                <w:rFonts w:hint="eastAsia" w:ascii="宋体" w:hAnsi="宋体" w:cs="宋体"/>
                <w:b/>
                <w:sz w:val="18"/>
                <w:szCs w:val="18"/>
              </w:rPr>
              <w:t>单位</w:t>
            </w:r>
          </w:p>
        </w:tc>
        <w:tc>
          <w:tcPr>
            <w:tcW w:w="457" w:type="pct"/>
            <w:vAlign w:val="center"/>
          </w:tcPr>
          <w:p w14:paraId="1B019154">
            <w:pPr>
              <w:spacing w:line="240" w:lineRule="auto"/>
              <w:ind w:firstLine="0" w:firstLineChars="0"/>
              <w:jc w:val="center"/>
              <w:rPr>
                <w:rFonts w:hint="eastAsia" w:ascii="宋体" w:hAnsi="宋体" w:cs="宋体"/>
                <w:b/>
                <w:sz w:val="18"/>
                <w:szCs w:val="18"/>
              </w:rPr>
            </w:pPr>
            <w:r>
              <w:rPr>
                <w:rFonts w:hint="eastAsia" w:ascii="宋体" w:hAnsi="宋体" w:cs="宋体"/>
                <w:b/>
                <w:sz w:val="18"/>
                <w:szCs w:val="18"/>
              </w:rPr>
              <w:t>备注</w:t>
            </w:r>
          </w:p>
        </w:tc>
      </w:tr>
      <w:tr w14:paraId="6918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53676D65">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一</w:t>
            </w:r>
          </w:p>
        </w:tc>
        <w:tc>
          <w:tcPr>
            <w:tcW w:w="3168" w:type="pct"/>
            <w:vAlign w:val="center"/>
          </w:tcPr>
          <w:p w14:paraId="764CE649">
            <w:pPr>
              <w:spacing w:line="240" w:lineRule="auto"/>
              <w:ind w:firstLine="0" w:firstLineChars="0"/>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关键设备和软件</w:t>
            </w:r>
          </w:p>
        </w:tc>
        <w:tc>
          <w:tcPr>
            <w:tcW w:w="457" w:type="pct"/>
            <w:vAlign w:val="center"/>
          </w:tcPr>
          <w:p w14:paraId="4BE956A2">
            <w:pPr>
              <w:spacing w:line="240" w:lineRule="auto"/>
              <w:ind w:firstLine="0" w:firstLineChars="0"/>
              <w:jc w:val="center"/>
              <w:rPr>
                <w:rFonts w:hint="eastAsia" w:ascii="宋体" w:hAnsi="宋体" w:cs="宋体"/>
                <w:b/>
                <w:bCs/>
                <w:color w:val="000000"/>
                <w:sz w:val="18"/>
                <w:szCs w:val="18"/>
              </w:rPr>
            </w:pPr>
          </w:p>
        </w:tc>
        <w:tc>
          <w:tcPr>
            <w:tcW w:w="457" w:type="pct"/>
            <w:vAlign w:val="center"/>
          </w:tcPr>
          <w:p w14:paraId="361710AF">
            <w:pPr>
              <w:spacing w:line="240" w:lineRule="auto"/>
              <w:ind w:firstLine="0" w:firstLineChars="0"/>
              <w:jc w:val="center"/>
              <w:rPr>
                <w:rFonts w:hint="eastAsia" w:ascii="宋体" w:hAnsi="宋体" w:cs="宋体"/>
                <w:b/>
                <w:bCs/>
                <w:color w:val="000000"/>
                <w:sz w:val="18"/>
                <w:szCs w:val="18"/>
              </w:rPr>
            </w:pPr>
          </w:p>
        </w:tc>
        <w:tc>
          <w:tcPr>
            <w:tcW w:w="457" w:type="pct"/>
            <w:vAlign w:val="center"/>
          </w:tcPr>
          <w:p w14:paraId="4962C7E0">
            <w:pPr>
              <w:spacing w:line="240" w:lineRule="auto"/>
              <w:ind w:firstLine="0" w:firstLineChars="0"/>
              <w:jc w:val="center"/>
              <w:rPr>
                <w:rFonts w:hint="eastAsia" w:ascii="宋体" w:hAnsi="宋体" w:cs="宋体"/>
                <w:b/>
                <w:bCs/>
                <w:color w:val="000000"/>
                <w:sz w:val="18"/>
                <w:szCs w:val="18"/>
              </w:rPr>
            </w:pPr>
          </w:p>
        </w:tc>
      </w:tr>
      <w:tr w14:paraId="6D92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57" w:type="pct"/>
            <w:vAlign w:val="center"/>
          </w:tcPr>
          <w:p w14:paraId="78B44213">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1</w:t>
            </w:r>
          </w:p>
        </w:tc>
        <w:tc>
          <w:tcPr>
            <w:tcW w:w="3168" w:type="pct"/>
            <w:vAlign w:val="center"/>
          </w:tcPr>
          <w:p w14:paraId="74343066">
            <w:pPr>
              <w:spacing w:line="240" w:lineRule="auto"/>
              <w:ind w:firstLine="0" w:firstLineChars="0"/>
              <w:jc w:val="left"/>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GPU服务器</w:t>
            </w:r>
          </w:p>
        </w:tc>
        <w:tc>
          <w:tcPr>
            <w:tcW w:w="457" w:type="pct"/>
            <w:vAlign w:val="center"/>
          </w:tcPr>
          <w:p w14:paraId="1C4D9C09">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128</w:t>
            </w:r>
          </w:p>
        </w:tc>
        <w:tc>
          <w:tcPr>
            <w:tcW w:w="457" w:type="pct"/>
            <w:vAlign w:val="center"/>
          </w:tcPr>
          <w:p w14:paraId="61260471">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台</w:t>
            </w:r>
          </w:p>
        </w:tc>
        <w:tc>
          <w:tcPr>
            <w:tcW w:w="457" w:type="pct"/>
            <w:vAlign w:val="center"/>
          </w:tcPr>
          <w:p w14:paraId="23A94BE2">
            <w:pPr>
              <w:spacing w:line="240" w:lineRule="auto"/>
              <w:ind w:firstLine="0" w:firstLineChars="0"/>
              <w:jc w:val="center"/>
              <w:rPr>
                <w:rFonts w:hint="eastAsia" w:ascii="宋体" w:hAnsi="宋体" w:cs="宋体"/>
                <w:b/>
                <w:bCs/>
                <w:color w:val="000000"/>
                <w:sz w:val="18"/>
                <w:szCs w:val="18"/>
              </w:rPr>
            </w:pPr>
          </w:p>
        </w:tc>
      </w:tr>
      <w:tr w14:paraId="55A1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2E82343B">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3168" w:type="pct"/>
            <w:vAlign w:val="center"/>
          </w:tcPr>
          <w:p w14:paraId="2E12082F">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IB交换机</w:t>
            </w:r>
          </w:p>
        </w:tc>
        <w:tc>
          <w:tcPr>
            <w:tcW w:w="457" w:type="pct"/>
            <w:vAlign w:val="center"/>
          </w:tcPr>
          <w:p w14:paraId="2F8DA290">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457" w:type="pct"/>
            <w:vAlign w:val="center"/>
          </w:tcPr>
          <w:p w14:paraId="3EF31ABC">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3FDD0009">
            <w:pPr>
              <w:spacing w:line="240" w:lineRule="auto"/>
              <w:ind w:firstLine="0" w:firstLineChars="0"/>
              <w:jc w:val="center"/>
              <w:rPr>
                <w:rFonts w:hint="eastAsia" w:ascii="宋体" w:hAnsi="宋体" w:cs="宋体"/>
                <w:color w:val="000000"/>
                <w:sz w:val="18"/>
                <w:szCs w:val="18"/>
              </w:rPr>
            </w:pPr>
          </w:p>
        </w:tc>
      </w:tr>
      <w:tr w14:paraId="1DC0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560D67C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168" w:type="pct"/>
            <w:vAlign w:val="center"/>
          </w:tcPr>
          <w:p w14:paraId="0E08EA8B">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800G光模块（多模）</w:t>
            </w:r>
          </w:p>
        </w:tc>
        <w:tc>
          <w:tcPr>
            <w:tcW w:w="457" w:type="pct"/>
            <w:vAlign w:val="center"/>
          </w:tcPr>
          <w:p w14:paraId="45C876B2">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1664</w:t>
            </w:r>
          </w:p>
        </w:tc>
        <w:tc>
          <w:tcPr>
            <w:tcW w:w="457" w:type="pct"/>
            <w:vAlign w:val="center"/>
          </w:tcPr>
          <w:p w14:paraId="5E07603C">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块</w:t>
            </w:r>
          </w:p>
        </w:tc>
        <w:tc>
          <w:tcPr>
            <w:tcW w:w="457" w:type="pct"/>
            <w:vAlign w:val="center"/>
          </w:tcPr>
          <w:p w14:paraId="58BDD428">
            <w:pPr>
              <w:spacing w:line="240" w:lineRule="auto"/>
              <w:ind w:firstLine="0" w:firstLineChars="0"/>
              <w:jc w:val="center"/>
              <w:rPr>
                <w:rFonts w:hint="eastAsia" w:ascii="宋体" w:hAnsi="宋体" w:cs="宋体"/>
                <w:color w:val="000000"/>
                <w:sz w:val="18"/>
                <w:szCs w:val="18"/>
              </w:rPr>
            </w:pPr>
          </w:p>
        </w:tc>
      </w:tr>
      <w:tr w14:paraId="336E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21FFC3D9">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3168" w:type="pct"/>
            <w:vAlign w:val="center"/>
          </w:tcPr>
          <w:p w14:paraId="18280EAB">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400G光模块（多模）</w:t>
            </w:r>
          </w:p>
        </w:tc>
        <w:tc>
          <w:tcPr>
            <w:tcW w:w="457" w:type="pct"/>
            <w:vAlign w:val="center"/>
          </w:tcPr>
          <w:p w14:paraId="448CCE9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1024</w:t>
            </w:r>
          </w:p>
        </w:tc>
        <w:tc>
          <w:tcPr>
            <w:tcW w:w="457" w:type="pct"/>
            <w:vAlign w:val="center"/>
          </w:tcPr>
          <w:p w14:paraId="76ACFC96">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块</w:t>
            </w:r>
          </w:p>
        </w:tc>
        <w:tc>
          <w:tcPr>
            <w:tcW w:w="457" w:type="pct"/>
            <w:vAlign w:val="center"/>
          </w:tcPr>
          <w:p w14:paraId="4F85038E">
            <w:pPr>
              <w:spacing w:line="240" w:lineRule="auto"/>
              <w:ind w:firstLine="0" w:firstLineChars="0"/>
              <w:jc w:val="center"/>
              <w:rPr>
                <w:rFonts w:hint="eastAsia" w:ascii="宋体" w:hAnsi="宋体" w:cs="宋体"/>
                <w:color w:val="000000"/>
                <w:sz w:val="18"/>
                <w:szCs w:val="18"/>
              </w:rPr>
            </w:pPr>
          </w:p>
        </w:tc>
      </w:tr>
      <w:tr w14:paraId="4957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06C73D2F">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3168" w:type="pct"/>
            <w:vAlign w:val="center"/>
          </w:tcPr>
          <w:p w14:paraId="416F9614">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MPO线缆</w:t>
            </w:r>
          </w:p>
        </w:tc>
        <w:tc>
          <w:tcPr>
            <w:tcW w:w="457" w:type="pct"/>
            <w:vAlign w:val="center"/>
          </w:tcPr>
          <w:p w14:paraId="0BE38154">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2560</w:t>
            </w:r>
          </w:p>
        </w:tc>
        <w:tc>
          <w:tcPr>
            <w:tcW w:w="457" w:type="pct"/>
            <w:vAlign w:val="center"/>
          </w:tcPr>
          <w:p w14:paraId="1FDA4878">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条</w:t>
            </w:r>
          </w:p>
        </w:tc>
        <w:tc>
          <w:tcPr>
            <w:tcW w:w="457" w:type="pct"/>
            <w:vAlign w:val="center"/>
          </w:tcPr>
          <w:p w14:paraId="728567FF">
            <w:pPr>
              <w:spacing w:line="240" w:lineRule="auto"/>
              <w:ind w:firstLine="0" w:firstLineChars="0"/>
              <w:jc w:val="center"/>
              <w:rPr>
                <w:rFonts w:hint="eastAsia" w:ascii="宋体" w:hAnsi="宋体" w:cs="宋体"/>
                <w:color w:val="000000"/>
                <w:sz w:val="18"/>
                <w:szCs w:val="18"/>
              </w:rPr>
            </w:pPr>
          </w:p>
        </w:tc>
      </w:tr>
      <w:tr w14:paraId="1CD0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D72C003">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3168" w:type="pct"/>
            <w:vAlign w:val="center"/>
          </w:tcPr>
          <w:p w14:paraId="0D4FD341">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400G一分二AOC（IB）</w:t>
            </w:r>
          </w:p>
        </w:tc>
        <w:tc>
          <w:tcPr>
            <w:tcW w:w="457" w:type="pct"/>
            <w:vAlign w:val="center"/>
          </w:tcPr>
          <w:p w14:paraId="6EED1D20">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140</w:t>
            </w:r>
          </w:p>
        </w:tc>
        <w:tc>
          <w:tcPr>
            <w:tcW w:w="457" w:type="pct"/>
            <w:vAlign w:val="center"/>
          </w:tcPr>
          <w:p w14:paraId="31DF1E07">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条</w:t>
            </w:r>
          </w:p>
        </w:tc>
        <w:tc>
          <w:tcPr>
            <w:tcW w:w="457" w:type="pct"/>
            <w:vAlign w:val="center"/>
          </w:tcPr>
          <w:p w14:paraId="41AB0D9C">
            <w:pPr>
              <w:spacing w:line="240" w:lineRule="auto"/>
              <w:ind w:firstLine="0" w:firstLineChars="0"/>
              <w:jc w:val="center"/>
              <w:rPr>
                <w:rFonts w:hint="eastAsia" w:ascii="宋体" w:hAnsi="宋体" w:cs="宋体"/>
                <w:color w:val="000000"/>
                <w:sz w:val="18"/>
                <w:szCs w:val="18"/>
              </w:rPr>
            </w:pPr>
          </w:p>
        </w:tc>
      </w:tr>
      <w:tr w14:paraId="0B82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7890632">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3168" w:type="pct"/>
            <w:vAlign w:val="center"/>
          </w:tcPr>
          <w:p w14:paraId="0C7DA485">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IB网络管理平台</w:t>
            </w:r>
          </w:p>
        </w:tc>
        <w:tc>
          <w:tcPr>
            <w:tcW w:w="457" w:type="pct"/>
            <w:vAlign w:val="center"/>
          </w:tcPr>
          <w:p w14:paraId="3753876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57" w:type="pct"/>
            <w:vAlign w:val="center"/>
          </w:tcPr>
          <w:p w14:paraId="2DF22FAC">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57" w:type="pct"/>
            <w:vAlign w:val="center"/>
          </w:tcPr>
          <w:p w14:paraId="511945AF">
            <w:pPr>
              <w:spacing w:line="240" w:lineRule="auto"/>
              <w:ind w:firstLine="0" w:firstLineChars="0"/>
              <w:jc w:val="center"/>
              <w:rPr>
                <w:rFonts w:hint="eastAsia" w:ascii="宋体" w:hAnsi="宋体" w:cs="宋体"/>
                <w:color w:val="000000"/>
                <w:sz w:val="18"/>
                <w:szCs w:val="18"/>
              </w:rPr>
            </w:pPr>
          </w:p>
        </w:tc>
      </w:tr>
      <w:tr w14:paraId="7708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47F9640">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b/>
                <w:bCs/>
                <w:color w:val="000000"/>
                <w:kern w:val="0"/>
                <w:sz w:val="18"/>
                <w:szCs w:val="18"/>
                <w:lang w:bidi="ar"/>
              </w:rPr>
              <w:t>二</w:t>
            </w:r>
          </w:p>
        </w:tc>
        <w:tc>
          <w:tcPr>
            <w:tcW w:w="3168" w:type="pct"/>
            <w:vAlign w:val="center"/>
          </w:tcPr>
          <w:p w14:paraId="19617634">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b/>
                <w:bCs/>
                <w:color w:val="000000"/>
                <w:kern w:val="0"/>
                <w:sz w:val="18"/>
                <w:szCs w:val="18"/>
                <w:lang w:bidi="ar"/>
              </w:rPr>
              <w:t>其他设备和软件</w:t>
            </w:r>
          </w:p>
        </w:tc>
        <w:tc>
          <w:tcPr>
            <w:tcW w:w="457" w:type="pct"/>
          </w:tcPr>
          <w:p w14:paraId="681B3186">
            <w:pPr>
              <w:spacing w:line="240" w:lineRule="auto"/>
              <w:ind w:firstLine="0" w:firstLineChars="0"/>
              <w:jc w:val="center"/>
              <w:rPr>
                <w:rFonts w:hint="eastAsia" w:ascii="宋体" w:hAnsi="宋体" w:cs="宋体"/>
                <w:color w:val="000000"/>
                <w:sz w:val="18"/>
                <w:szCs w:val="18"/>
              </w:rPr>
            </w:pPr>
          </w:p>
        </w:tc>
        <w:tc>
          <w:tcPr>
            <w:tcW w:w="457" w:type="pct"/>
            <w:vAlign w:val="center"/>
          </w:tcPr>
          <w:p w14:paraId="778B9F12">
            <w:pPr>
              <w:spacing w:line="240" w:lineRule="auto"/>
              <w:ind w:firstLine="0" w:firstLineChars="0"/>
              <w:jc w:val="center"/>
              <w:rPr>
                <w:rFonts w:hint="eastAsia" w:ascii="宋体" w:hAnsi="宋体" w:cs="宋体"/>
                <w:color w:val="000000"/>
                <w:sz w:val="18"/>
                <w:szCs w:val="18"/>
              </w:rPr>
            </w:pPr>
          </w:p>
        </w:tc>
        <w:tc>
          <w:tcPr>
            <w:tcW w:w="457" w:type="pct"/>
            <w:vAlign w:val="center"/>
          </w:tcPr>
          <w:p w14:paraId="1B42E168">
            <w:pPr>
              <w:spacing w:line="240" w:lineRule="auto"/>
              <w:ind w:firstLine="0" w:firstLineChars="0"/>
              <w:jc w:val="center"/>
              <w:rPr>
                <w:rFonts w:hint="eastAsia" w:ascii="宋体" w:hAnsi="宋体" w:cs="宋体"/>
                <w:color w:val="000000"/>
                <w:sz w:val="18"/>
                <w:szCs w:val="18"/>
              </w:rPr>
            </w:pPr>
          </w:p>
        </w:tc>
      </w:tr>
      <w:tr w14:paraId="27AA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1526EBDC">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3168" w:type="pct"/>
            <w:vAlign w:val="center"/>
          </w:tcPr>
          <w:p w14:paraId="34C04C02">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并行文件存储服务器</w:t>
            </w:r>
          </w:p>
        </w:tc>
        <w:tc>
          <w:tcPr>
            <w:tcW w:w="457" w:type="pct"/>
            <w:vAlign w:val="center"/>
          </w:tcPr>
          <w:p w14:paraId="2555F8BB">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457" w:type="pct"/>
            <w:vAlign w:val="center"/>
          </w:tcPr>
          <w:p w14:paraId="291B25B2">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473D57BC">
            <w:pPr>
              <w:spacing w:line="240" w:lineRule="auto"/>
              <w:ind w:firstLine="0" w:firstLineChars="0"/>
              <w:jc w:val="center"/>
              <w:rPr>
                <w:rFonts w:hint="eastAsia" w:ascii="宋体" w:hAnsi="宋体" w:cs="宋体"/>
                <w:color w:val="000000"/>
                <w:sz w:val="18"/>
                <w:szCs w:val="18"/>
              </w:rPr>
            </w:pPr>
          </w:p>
        </w:tc>
      </w:tr>
      <w:tr w14:paraId="0B3C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3B85A03">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3168" w:type="pct"/>
            <w:vAlign w:val="center"/>
          </w:tcPr>
          <w:p w14:paraId="3D9A3829">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通用计算服务器</w:t>
            </w:r>
          </w:p>
        </w:tc>
        <w:tc>
          <w:tcPr>
            <w:tcW w:w="457" w:type="pct"/>
            <w:vAlign w:val="center"/>
          </w:tcPr>
          <w:p w14:paraId="5C50DB6D">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457" w:type="pct"/>
            <w:vAlign w:val="center"/>
          </w:tcPr>
          <w:p w14:paraId="53EAC830">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2F386435">
            <w:pPr>
              <w:spacing w:line="240" w:lineRule="auto"/>
              <w:ind w:firstLine="0" w:firstLineChars="0"/>
              <w:jc w:val="center"/>
              <w:rPr>
                <w:rFonts w:hint="eastAsia" w:ascii="宋体" w:hAnsi="宋体" w:cs="宋体"/>
                <w:color w:val="000000"/>
                <w:sz w:val="18"/>
                <w:szCs w:val="18"/>
              </w:rPr>
            </w:pPr>
          </w:p>
        </w:tc>
      </w:tr>
      <w:tr w14:paraId="4DB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018774A5">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3</w:t>
            </w:r>
          </w:p>
        </w:tc>
        <w:tc>
          <w:tcPr>
            <w:tcW w:w="3168" w:type="pct"/>
            <w:vAlign w:val="center"/>
          </w:tcPr>
          <w:p w14:paraId="6C593D34">
            <w:pPr>
              <w:spacing w:line="240" w:lineRule="auto"/>
              <w:ind w:firstLine="0" w:firstLineChars="0"/>
              <w:jc w:val="left"/>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IB网络监控服务器</w:t>
            </w:r>
          </w:p>
        </w:tc>
        <w:tc>
          <w:tcPr>
            <w:tcW w:w="457" w:type="pct"/>
            <w:vAlign w:val="center"/>
          </w:tcPr>
          <w:p w14:paraId="0EAF4333">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2</w:t>
            </w:r>
          </w:p>
        </w:tc>
        <w:tc>
          <w:tcPr>
            <w:tcW w:w="457" w:type="pct"/>
            <w:vAlign w:val="center"/>
          </w:tcPr>
          <w:p w14:paraId="1C418346">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台</w:t>
            </w:r>
          </w:p>
        </w:tc>
        <w:tc>
          <w:tcPr>
            <w:tcW w:w="457" w:type="pct"/>
            <w:vAlign w:val="center"/>
          </w:tcPr>
          <w:p w14:paraId="0CC67224">
            <w:pPr>
              <w:spacing w:line="240" w:lineRule="auto"/>
              <w:ind w:firstLine="0" w:firstLineChars="0"/>
              <w:jc w:val="center"/>
              <w:rPr>
                <w:rFonts w:hint="eastAsia" w:ascii="宋体" w:hAnsi="宋体" w:cs="宋体"/>
                <w:b/>
                <w:bCs/>
                <w:color w:val="000000"/>
                <w:sz w:val="18"/>
                <w:szCs w:val="18"/>
              </w:rPr>
            </w:pPr>
          </w:p>
        </w:tc>
      </w:tr>
      <w:tr w14:paraId="61C1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09006DCF">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3168" w:type="pct"/>
            <w:vAlign w:val="center"/>
          </w:tcPr>
          <w:p w14:paraId="669A7B39">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核心交换机</w:t>
            </w:r>
          </w:p>
        </w:tc>
        <w:tc>
          <w:tcPr>
            <w:tcW w:w="457" w:type="pct"/>
            <w:vAlign w:val="center"/>
          </w:tcPr>
          <w:p w14:paraId="08B6604B">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7" w:type="pct"/>
            <w:vAlign w:val="center"/>
          </w:tcPr>
          <w:p w14:paraId="15CAD267">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3F753072">
            <w:pPr>
              <w:spacing w:line="240" w:lineRule="auto"/>
              <w:ind w:firstLine="0" w:firstLineChars="0"/>
              <w:jc w:val="center"/>
              <w:rPr>
                <w:rFonts w:hint="eastAsia" w:ascii="宋体" w:hAnsi="宋体" w:cs="宋体"/>
                <w:color w:val="000000"/>
                <w:sz w:val="18"/>
                <w:szCs w:val="18"/>
              </w:rPr>
            </w:pPr>
          </w:p>
        </w:tc>
      </w:tr>
      <w:tr w14:paraId="3AE6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15C54E4">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3168" w:type="pct"/>
            <w:vAlign w:val="center"/>
          </w:tcPr>
          <w:p w14:paraId="2846E9DF">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IPMI交换机</w:t>
            </w:r>
          </w:p>
        </w:tc>
        <w:tc>
          <w:tcPr>
            <w:tcW w:w="457" w:type="pct"/>
            <w:vAlign w:val="center"/>
          </w:tcPr>
          <w:p w14:paraId="5D1621A6">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457" w:type="pct"/>
            <w:vAlign w:val="center"/>
          </w:tcPr>
          <w:p w14:paraId="3F29D569">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53806E30">
            <w:pPr>
              <w:spacing w:line="240" w:lineRule="auto"/>
              <w:ind w:firstLine="0" w:firstLineChars="0"/>
              <w:jc w:val="center"/>
              <w:rPr>
                <w:rFonts w:hint="eastAsia" w:ascii="宋体" w:hAnsi="宋体" w:cs="宋体"/>
                <w:color w:val="000000"/>
                <w:sz w:val="18"/>
                <w:szCs w:val="18"/>
              </w:rPr>
            </w:pPr>
          </w:p>
        </w:tc>
      </w:tr>
      <w:tr w14:paraId="56B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3C000E55">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3168" w:type="pct"/>
            <w:vAlign w:val="center"/>
          </w:tcPr>
          <w:p w14:paraId="521B9F4C">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业务交换机</w:t>
            </w:r>
          </w:p>
        </w:tc>
        <w:tc>
          <w:tcPr>
            <w:tcW w:w="457" w:type="pct"/>
            <w:vAlign w:val="center"/>
          </w:tcPr>
          <w:p w14:paraId="77437F00">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457" w:type="pct"/>
            <w:vAlign w:val="center"/>
          </w:tcPr>
          <w:p w14:paraId="4A624B03">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65D9E697">
            <w:pPr>
              <w:spacing w:line="240" w:lineRule="auto"/>
              <w:ind w:firstLine="0" w:firstLineChars="0"/>
              <w:jc w:val="center"/>
              <w:rPr>
                <w:rFonts w:hint="eastAsia" w:ascii="宋体" w:hAnsi="宋体" w:cs="宋体"/>
                <w:color w:val="000000"/>
                <w:sz w:val="18"/>
                <w:szCs w:val="18"/>
              </w:rPr>
            </w:pPr>
          </w:p>
        </w:tc>
      </w:tr>
      <w:tr w14:paraId="2C41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80FAE0F">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3168" w:type="pct"/>
            <w:vAlign w:val="center"/>
          </w:tcPr>
          <w:p w14:paraId="0EC4661D">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专线接入交换机</w:t>
            </w:r>
          </w:p>
        </w:tc>
        <w:tc>
          <w:tcPr>
            <w:tcW w:w="457" w:type="pct"/>
            <w:vAlign w:val="center"/>
          </w:tcPr>
          <w:p w14:paraId="6EDB94ED">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7" w:type="pct"/>
            <w:vAlign w:val="center"/>
          </w:tcPr>
          <w:p w14:paraId="018705ED">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1D61CD9B">
            <w:pPr>
              <w:spacing w:line="240" w:lineRule="auto"/>
              <w:ind w:firstLine="0" w:firstLineChars="0"/>
              <w:jc w:val="center"/>
              <w:rPr>
                <w:rFonts w:hint="eastAsia" w:ascii="宋体" w:hAnsi="宋体" w:cs="宋体"/>
                <w:color w:val="000000"/>
                <w:sz w:val="18"/>
                <w:szCs w:val="18"/>
              </w:rPr>
            </w:pPr>
          </w:p>
        </w:tc>
      </w:tr>
      <w:tr w14:paraId="022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50A60850">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3168" w:type="pct"/>
            <w:vAlign w:val="center"/>
          </w:tcPr>
          <w:p w14:paraId="6C082893">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公网接入路由器</w:t>
            </w:r>
          </w:p>
        </w:tc>
        <w:tc>
          <w:tcPr>
            <w:tcW w:w="457" w:type="pct"/>
            <w:vAlign w:val="center"/>
          </w:tcPr>
          <w:p w14:paraId="7CADD6DA">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7" w:type="pct"/>
            <w:vAlign w:val="center"/>
          </w:tcPr>
          <w:p w14:paraId="1BB431E4">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3EC13022">
            <w:pPr>
              <w:spacing w:line="240" w:lineRule="auto"/>
              <w:ind w:firstLine="0" w:firstLineChars="0"/>
              <w:jc w:val="center"/>
              <w:rPr>
                <w:rFonts w:hint="eastAsia" w:ascii="宋体" w:hAnsi="宋体" w:cs="宋体"/>
                <w:color w:val="000000"/>
                <w:sz w:val="18"/>
                <w:szCs w:val="18"/>
              </w:rPr>
            </w:pPr>
          </w:p>
        </w:tc>
      </w:tr>
      <w:tr w14:paraId="7C36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5693B0D">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3168" w:type="pct"/>
            <w:vAlign w:val="center"/>
          </w:tcPr>
          <w:p w14:paraId="4E7D9A68">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100G单模模块</w:t>
            </w:r>
          </w:p>
        </w:tc>
        <w:tc>
          <w:tcPr>
            <w:tcW w:w="457" w:type="pct"/>
            <w:vAlign w:val="center"/>
          </w:tcPr>
          <w:p w14:paraId="3B71715F">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230</w:t>
            </w:r>
          </w:p>
        </w:tc>
        <w:tc>
          <w:tcPr>
            <w:tcW w:w="457" w:type="pct"/>
            <w:vAlign w:val="center"/>
          </w:tcPr>
          <w:p w14:paraId="642491F2">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块</w:t>
            </w:r>
          </w:p>
        </w:tc>
        <w:tc>
          <w:tcPr>
            <w:tcW w:w="457" w:type="pct"/>
            <w:vAlign w:val="center"/>
          </w:tcPr>
          <w:p w14:paraId="6B8220D4">
            <w:pPr>
              <w:spacing w:line="240" w:lineRule="auto"/>
              <w:ind w:firstLine="0" w:firstLineChars="0"/>
              <w:jc w:val="center"/>
              <w:rPr>
                <w:rFonts w:hint="eastAsia" w:ascii="宋体" w:hAnsi="宋体" w:cs="宋体"/>
                <w:color w:val="000000"/>
                <w:sz w:val="18"/>
                <w:szCs w:val="18"/>
              </w:rPr>
            </w:pPr>
          </w:p>
        </w:tc>
      </w:tr>
      <w:tr w14:paraId="2990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5D3CCEBA">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3168" w:type="pct"/>
            <w:vAlign w:val="center"/>
          </w:tcPr>
          <w:p w14:paraId="28AF42CE">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25G多模模块</w:t>
            </w:r>
          </w:p>
        </w:tc>
        <w:tc>
          <w:tcPr>
            <w:tcW w:w="457" w:type="pct"/>
            <w:vAlign w:val="center"/>
          </w:tcPr>
          <w:p w14:paraId="0975508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600</w:t>
            </w:r>
          </w:p>
        </w:tc>
        <w:tc>
          <w:tcPr>
            <w:tcW w:w="457" w:type="pct"/>
            <w:vAlign w:val="center"/>
          </w:tcPr>
          <w:p w14:paraId="703BA106">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块</w:t>
            </w:r>
          </w:p>
        </w:tc>
        <w:tc>
          <w:tcPr>
            <w:tcW w:w="457" w:type="pct"/>
            <w:vAlign w:val="center"/>
          </w:tcPr>
          <w:p w14:paraId="03EB5C21">
            <w:pPr>
              <w:spacing w:line="240" w:lineRule="auto"/>
              <w:ind w:firstLine="0" w:firstLineChars="0"/>
              <w:jc w:val="center"/>
              <w:rPr>
                <w:rFonts w:hint="eastAsia" w:ascii="宋体" w:hAnsi="宋体" w:cs="宋体"/>
                <w:color w:val="000000"/>
                <w:sz w:val="18"/>
                <w:szCs w:val="18"/>
              </w:rPr>
            </w:pPr>
          </w:p>
        </w:tc>
      </w:tr>
      <w:tr w14:paraId="0D03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AFD11A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3168" w:type="pct"/>
            <w:vAlign w:val="center"/>
          </w:tcPr>
          <w:p w14:paraId="1B3D3CB7">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10G单模模块</w:t>
            </w:r>
          </w:p>
        </w:tc>
        <w:tc>
          <w:tcPr>
            <w:tcW w:w="457" w:type="pct"/>
            <w:vAlign w:val="center"/>
          </w:tcPr>
          <w:p w14:paraId="40530924">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96</w:t>
            </w:r>
          </w:p>
        </w:tc>
        <w:tc>
          <w:tcPr>
            <w:tcW w:w="457" w:type="pct"/>
            <w:vAlign w:val="center"/>
          </w:tcPr>
          <w:p w14:paraId="6C1214FC">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块</w:t>
            </w:r>
          </w:p>
        </w:tc>
        <w:tc>
          <w:tcPr>
            <w:tcW w:w="457" w:type="pct"/>
            <w:vAlign w:val="center"/>
          </w:tcPr>
          <w:p w14:paraId="628AF2EA">
            <w:pPr>
              <w:spacing w:line="240" w:lineRule="auto"/>
              <w:ind w:firstLine="0" w:firstLineChars="0"/>
              <w:jc w:val="center"/>
              <w:rPr>
                <w:rFonts w:hint="eastAsia" w:ascii="宋体" w:hAnsi="宋体" w:cs="宋体"/>
                <w:color w:val="000000"/>
                <w:sz w:val="18"/>
                <w:szCs w:val="18"/>
              </w:rPr>
            </w:pPr>
          </w:p>
        </w:tc>
      </w:tr>
      <w:tr w14:paraId="0FEB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48237525">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12</w:t>
            </w:r>
          </w:p>
        </w:tc>
        <w:tc>
          <w:tcPr>
            <w:tcW w:w="3168" w:type="pct"/>
            <w:vAlign w:val="center"/>
          </w:tcPr>
          <w:p w14:paraId="5FF0D8B9">
            <w:pPr>
              <w:spacing w:line="240" w:lineRule="auto"/>
              <w:ind w:firstLine="0" w:firstLineChars="0"/>
              <w:jc w:val="left"/>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堡垒机</w:t>
            </w:r>
          </w:p>
        </w:tc>
        <w:tc>
          <w:tcPr>
            <w:tcW w:w="457" w:type="pct"/>
            <w:vAlign w:val="center"/>
          </w:tcPr>
          <w:p w14:paraId="4E87F9FA">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2</w:t>
            </w:r>
          </w:p>
        </w:tc>
        <w:tc>
          <w:tcPr>
            <w:tcW w:w="457" w:type="pct"/>
            <w:vAlign w:val="center"/>
          </w:tcPr>
          <w:p w14:paraId="220BFAA5">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台</w:t>
            </w:r>
          </w:p>
        </w:tc>
        <w:tc>
          <w:tcPr>
            <w:tcW w:w="457" w:type="pct"/>
            <w:vAlign w:val="center"/>
          </w:tcPr>
          <w:p w14:paraId="5F36EFC0">
            <w:pPr>
              <w:spacing w:line="240" w:lineRule="auto"/>
              <w:ind w:firstLine="0" w:firstLineChars="0"/>
              <w:jc w:val="center"/>
              <w:rPr>
                <w:rFonts w:hint="eastAsia" w:ascii="宋体" w:hAnsi="宋体" w:cs="宋体"/>
                <w:b/>
                <w:bCs/>
                <w:color w:val="000000"/>
                <w:sz w:val="18"/>
                <w:szCs w:val="18"/>
              </w:rPr>
            </w:pPr>
          </w:p>
        </w:tc>
      </w:tr>
      <w:tr w14:paraId="0048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382AC8E4">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3168" w:type="pct"/>
            <w:vAlign w:val="center"/>
          </w:tcPr>
          <w:p w14:paraId="394B74D1">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互联网接入防火墙</w:t>
            </w:r>
          </w:p>
        </w:tc>
        <w:tc>
          <w:tcPr>
            <w:tcW w:w="457" w:type="pct"/>
            <w:vAlign w:val="center"/>
          </w:tcPr>
          <w:p w14:paraId="2D79A3F2">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7" w:type="pct"/>
            <w:vAlign w:val="center"/>
          </w:tcPr>
          <w:p w14:paraId="44B167C8">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57" w:type="pct"/>
            <w:vAlign w:val="center"/>
          </w:tcPr>
          <w:p w14:paraId="53E5243F">
            <w:pPr>
              <w:spacing w:line="240" w:lineRule="auto"/>
              <w:ind w:firstLine="0" w:firstLineChars="0"/>
              <w:jc w:val="center"/>
              <w:rPr>
                <w:rFonts w:hint="eastAsia" w:ascii="宋体" w:hAnsi="宋体" w:cs="宋体"/>
                <w:color w:val="000000"/>
                <w:sz w:val="18"/>
                <w:szCs w:val="18"/>
              </w:rPr>
            </w:pPr>
          </w:p>
        </w:tc>
      </w:tr>
      <w:tr w14:paraId="7BE6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1FDA8542">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3168" w:type="pct"/>
            <w:vAlign w:val="center"/>
          </w:tcPr>
          <w:p w14:paraId="4FA0B798">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日志审计</w:t>
            </w:r>
          </w:p>
        </w:tc>
        <w:tc>
          <w:tcPr>
            <w:tcW w:w="457" w:type="pct"/>
            <w:vAlign w:val="center"/>
          </w:tcPr>
          <w:p w14:paraId="30C2A99B">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457" w:type="pct"/>
            <w:vAlign w:val="center"/>
          </w:tcPr>
          <w:p w14:paraId="51EAEB3D">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57" w:type="pct"/>
            <w:vAlign w:val="center"/>
          </w:tcPr>
          <w:p w14:paraId="7FF37B9B">
            <w:pPr>
              <w:spacing w:line="240" w:lineRule="auto"/>
              <w:ind w:firstLine="0" w:firstLineChars="0"/>
              <w:jc w:val="center"/>
              <w:rPr>
                <w:rFonts w:hint="eastAsia" w:ascii="宋体" w:hAnsi="宋体" w:cs="宋体"/>
                <w:color w:val="000000"/>
                <w:sz w:val="18"/>
                <w:szCs w:val="18"/>
              </w:rPr>
            </w:pPr>
          </w:p>
        </w:tc>
      </w:tr>
      <w:tr w14:paraId="2579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5BCF072E">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3168" w:type="pct"/>
            <w:vAlign w:val="center"/>
          </w:tcPr>
          <w:p w14:paraId="5DC725D4">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终端威胁防御系统</w:t>
            </w:r>
          </w:p>
        </w:tc>
        <w:tc>
          <w:tcPr>
            <w:tcW w:w="457" w:type="pct"/>
            <w:vAlign w:val="center"/>
          </w:tcPr>
          <w:p w14:paraId="730C822E">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57" w:type="pct"/>
            <w:vAlign w:val="center"/>
          </w:tcPr>
          <w:p w14:paraId="379ECF9E">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57" w:type="pct"/>
            <w:vAlign w:val="center"/>
          </w:tcPr>
          <w:p w14:paraId="51E9149A">
            <w:pPr>
              <w:spacing w:line="240" w:lineRule="auto"/>
              <w:ind w:firstLine="0" w:firstLineChars="0"/>
              <w:jc w:val="center"/>
              <w:rPr>
                <w:rFonts w:hint="eastAsia" w:ascii="宋体" w:hAnsi="宋体" w:cs="宋体"/>
                <w:color w:val="000000"/>
                <w:sz w:val="18"/>
                <w:szCs w:val="18"/>
              </w:rPr>
            </w:pPr>
          </w:p>
        </w:tc>
      </w:tr>
      <w:tr w14:paraId="4624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7" w:type="pct"/>
            <w:vAlign w:val="center"/>
          </w:tcPr>
          <w:p w14:paraId="6CA6B87E">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3168" w:type="pct"/>
            <w:vAlign w:val="center"/>
          </w:tcPr>
          <w:p w14:paraId="704B2A19">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算力运营平台、运维监控平台的新型GPU卡适配</w:t>
            </w:r>
          </w:p>
        </w:tc>
        <w:tc>
          <w:tcPr>
            <w:tcW w:w="457" w:type="pct"/>
            <w:vAlign w:val="center"/>
          </w:tcPr>
          <w:p w14:paraId="1619F9C6">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457" w:type="pct"/>
            <w:vAlign w:val="center"/>
          </w:tcPr>
          <w:p w14:paraId="2208A5ED">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w:t>
            </w:r>
          </w:p>
        </w:tc>
        <w:tc>
          <w:tcPr>
            <w:tcW w:w="457" w:type="pct"/>
            <w:vAlign w:val="center"/>
          </w:tcPr>
          <w:p w14:paraId="4E0C88F7">
            <w:pPr>
              <w:spacing w:line="240" w:lineRule="auto"/>
              <w:ind w:firstLine="0" w:firstLineChars="0"/>
              <w:jc w:val="center"/>
              <w:rPr>
                <w:rFonts w:hint="eastAsia" w:ascii="宋体" w:hAnsi="宋体" w:cs="宋体"/>
                <w:color w:val="000000"/>
                <w:sz w:val="18"/>
                <w:szCs w:val="18"/>
              </w:rPr>
            </w:pPr>
          </w:p>
        </w:tc>
      </w:tr>
    </w:tbl>
    <w:p w14:paraId="3ADCAD89">
      <w:pPr>
        <w:widowControl w:val="0"/>
        <w:autoSpaceDE w:val="0"/>
        <w:autoSpaceDN w:val="0"/>
        <w:adjustRightInd w:val="0"/>
        <w:snapToGrid w:val="0"/>
        <w:ind w:firstLine="0" w:firstLineChars="0"/>
        <w:rPr>
          <w:rFonts w:hint="eastAsia" w:ascii="宋体" w:hAnsi="宋体" w:cs="宋体"/>
          <w:szCs w:val="21"/>
        </w:rPr>
      </w:pPr>
    </w:p>
    <w:p w14:paraId="3E8D4F50">
      <w:pPr>
        <w:widowControl w:val="0"/>
        <w:autoSpaceDE w:val="0"/>
        <w:autoSpaceDN w:val="0"/>
        <w:adjustRightInd w:val="0"/>
        <w:snapToGrid w:val="0"/>
        <w:ind w:left="0" w:leftChars="0" w:firstLine="0" w:firstLineChars="0"/>
        <w:outlineLvl w:val="2"/>
        <w:rPr>
          <w:rFonts w:hint="eastAsia" w:ascii="宋体" w:hAnsi="宋体" w:cs="宋体"/>
          <w:b/>
          <w:bCs/>
          <w:sz w:val="28"/>
          <w:szCs w:val="28"/>
          <w:lang w:val="en-US" w:eastAsia="zh-CN"/>
        </w:rPr>
      </w:pPr>
      <w:r>
        <w:rPr>
          <w:rFonts w:hint="eastAsia" w:ascii="宋体" w:hAnsi="宋体" w:cs="宋体"/>
          <w:b/>
          <w:bCs/>
          <w:sz w:val="28"/>
          <w:szCs w:val="28"/>
          <w:lang w:val="en-US" w:eastAsia="zh-CN"/>
        </w:rPr>
        <w:t>三、项目服务要求</w:t>
      </w:r>
    </w:p>
    <w:p w14:paraId="4E287BF7">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1、总体要求</w:t>
      </w:r>
    </w:p>
    <w:p w14:paraId="02288CA6">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lang w:val="en-US" w:eastAsia="zh-CN"/>
        </w:rPr>
        <w:t xml:space="preserve">1 </w:t>
      </w:r>
      <w:r>
        <w:rPr>
          <w:rFonts w:hint="eastAsia" w:ascii="宋体" w:hAnsi="宋体" w:cs="宋体"/>
          <w:b/>
          <w:bCs/>
          <w:szCs w:val="21"/>
        </w:rPr>
        <w:t>运维服务人员要求</w:t>
      </w:r>
    </w:p>
    <w:p w14:paraId="68A86E94">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w:t>
      </w:r>
      <w:bookmarkStart w:id="10" w:name="_Hlk197176298"/>
      <w:r>
        <w:rPr>
          <w:rFonts w:hint="eastAsia" w:ascii="宋体" w:hAnsi="宋体" w:cs="宋体"/>
          <w:szCs w:val="21"/>
        </w:rPr>
        <w:t>服务团队要求：提供一个不少于1</w:t>
      </w:r>
      <w:r>
        <w:rPr>
          <w:rFonts w:hint="eastAsia" w:ascii="宋体" w:hAnsi="宋体" w:cs="宋体"/>
          <w:szCs w:val="21"/>
          <w:lang w:val="en-US" w:eastAsia="zh-CN"/>
        </w:rPr>
        <w:t>8</w:t>
      </w:r>
      <w:r>
        <w:rPr>
          <w:rFonts w:hint="eastAsia" w:ascii="宋体" w:hAnsi="宋体" w:cs="宋体"/>
          <w:szCs w:val="21"/>
        </w:rPr>
        <w:t>人的服务团队，包括运维项目经理1名，智算集群资深运维专家2人，高级运维工程师3人（算力设备运维、软件运维、网络设备运维各1名），中级运维工程师9人（每天3个班，每班3人，提供24小时驻场运维服务）</w:t>
      </w:r>
      <w:r>
        <w:rPr>
          <w:rFonts w:hint="eastAsia" w:ascii="宋体" w:hAnsi="宋体" w:cs="宋体"/>
          <w:szCs w:val="21"/>
          <w:lang w:eastAsia="zh-CN"/>
        </w:rPr>
        <w:t>、</w:t>
      </w:r>
      <w:r>
        <w:rPr>
          <w:rFonts w:hint="eastAsia" w:ascii="宋体" w:hAnsi="宋体" w:cs="宋体"/>
          <w:szCs w:val="21"/>
          <w:lang w:val="en-US" w:eastAsia="zh-CN"/>
        </w:rPr>
        <w:t>算力用户驻场技术支持工程师3人</w:t>
      </w:r>
      <w:r>
        <w:rPr>
          <w:rFonts w:hint="eastAsia" w:ascii="宋体" w:hAnsi="宋体" w:cs="宋体"/>
          <w:szCs w:val="21"/>
        </w:rPr>
        <w:t>。基于目前智算集群的现状，提供详细的组网方案以及理解和建议，并提供整个智算集群（涵盖算力、参数网、存储网、管理网、业务网以及软件平台等）运行维护建议。</w:t>
      </w:r>
      <w:bookmarkEnd w:id="10"/>
    </w:p>
    <w:p w14:paraId="20A71F67">
      <w:pPr>
        <w:widowControl w:val="0"/>
        <w:autoSpaceDE w:val="0"/>
        <w:autoSpaceDN w:val="0"/>
        <w:adjustRightInd w:val="0"/>
        <w:snapToGrid w:val="0"/>
        <w:ind w:firstLine="420"/>
        <w:rPr>
          <w:rFonts w:hint="eastAsia" w:ascii="宋体" w:hAnsi="宋体" w:cs="宋体"/>
          <w:kern w:val="0"/>
          <w:szCs w:val="21"/>
        </w:rPr>
      </w:pPr>
      <w:r>
        <w:rPr>
          <w:rFonts w:hint="eastAsia" w:ascii="宋体" w:hAnsi="宋体" w:cs="宋体"/>
          <w:szCs w:val="21"/>
        </w:rPr>
        <w:t>②</w:t>
      </w:r>
      <w:r>
        <w:rPr>
          <w:rFonts w:hint="eastAsia" w:ascii="宋体" w:hAnsi="宋体" w:cs="宋体"/>
          <w:szCs w:val="21"/>
          <w:lang w:val="en-US" w:eastAsia="zh-CN"/>
        </w:rPr>
        <w:t>数据中心</w:t>
      </w:r>
      <w:r>
        <w:rPr>
          <w:rFonts w:hint="eastAsia" w:ascii="宋体" w:hAnsi="宋体" w:cs="宋体"/>
          <w:szCs w:val="21"/>
        </w:rPr>
        <w:t>驻场服务要求：提供7*24小时驻场服务，在智算集群所在数据中心提供现场运维工程师建立</w:t>
      </w:r>
      <w:r>
        <w:rPr>
          <w:rFonts w:hint="eastAsia" w:ascii="宋体" w:hAnsi="宋体" w:cs="宋体"/>
          <w:kern w:val="0"/>
          <w:szCs w:val="21"/>
        </w:rPr>
        <w:t>7*24小时值守轮岗工作机制。</w:t>
      </w:r>
    </w:p>
    <w:p w14:paraId="339B5A43">
      <w:pPr>
        <w:pStyle w:val="2"/>
        <w:rPr>
          <w:rFonts w:hint="default" w:eastAsia="宋体"/>
          <w:lang w:val="en-US" w:eastAsia="zh-CN"/>
        </w:rPr>
      </w:pPr>
      <w:r>
        <w:rPr>
          <w:rFonts w:hint="eastAsia"/>
          <w:lang w:val="en-US" w:eastAsia="zh-CN"/>
        </w:rPr>
        <w:t>③算力用户驻场服务要求：根据询价人要求，派遣技术人员至最终算力客户的工作场地，按照最终算力客户业务需求，按需开展模型微调、算子适配等业务支持技术服务，协助解决算力用户在使用算力集群中可能遇到的相关技术问题。驻场技术支持工程师应服从算力最终用户办公管理。</w:t>
      </w:r>
    </w:p>
    <w:p w14:paraId="466C71A8">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lang w:val="en-US" w:eastAsia="zh-CN"/>
        </w:rPr>
        <w:t xml:space="preserve">1.2 </w:t>
      </w:r>
      <w:r>
        <w:rPr>
          <w:rFonts w:hint="eastAsia" w:ascii="宋体" w:hAnsi="宋体" w:cs="宋体"/>
          <w:b/>
          <w:bCs/>
          <w:szCs w:val="21"/>
        </w:rPr>
        <w:t>算力集群整体运维技术指标</w:t>
      </w:r>
    </w:p>
    <w:p w14:paraId="49511F8F">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①故障分级响应要求：根据SLA分级响应，最高级别故障需5分钟内响应，重要级别故障15分钟内响应。</w:t>
      </w:r>
    </w:p>
    <w:p w14:paraId="48348F82">
      <w:pPr>
        <w:widowControl w:val="0"/>
        <w:autoSpaceDE w:val="0"/>
        <w:autoSpaceDN w:val="0"/>
        <w:adjustRightInd w:val="0"/>
        <w:snapToGrid w:val="0"/>
        <w:ind w:firstLine="0" w:firstLineChars="0"/>
        <w:jc w:val="center"/>
        <w:rPr>
          <w:rFonts w:hint="eastAsia" w:ascii="宋体" w:hAnsi="宋体" w:cs="宋体"/>
          <w:b/>
          <w:bCs/>
          <w:szCs w:val="21"/>
        </w:rPr>
      </w:pPr>
      <w:r>
        <w:rPr>
          <w:rFonts w:hint="eastAsia" w:ascii="宋体" w:hAnsi="宋体" w:cs="宋体"/>
          <w:b/>
          <w:bCs/>
          <w:szCs w:val="21"/>
        </w:rPr>
        <w:t>故障分级响应表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8"/>
        <w:gridCol w:w="3982"/>
        <w:gridCol w:w="1922"/>
      </w:tblGrid>
      <w:tr w14:paraId="3C66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tcPr>
          <w:p w14:paraId="237250E9">
            <w:pPr>
              <w:widowControl w:val="0"/>
              <w:autoSpaceDE w:val="0"/>
              <w:autoSpaceDN w:val="0"/>
              <w:adjustRightInd w:val="0"/>
              <w:snapToGrid w:val="0"/>
              <w:spacing w:line="240" w:lineRule="auto"/>
              <w:ind w:firstLine="0" w:firstLineChars="0"/>
              <w:jc w:val="center"/>
              <w:rPr>
                <w:rFonts w:hint="eastAsia" w:ascii="宋体" w:hAnsi="宋体" w:cs="宋体" w:eastAsiaTheme="minorEastAsia"/>
                <w:b/>
                <w:bCs/>
                <w:szCs w:val="21"/>
              </w:rPr>
            </w:pPr>
            <w:r>
              <w:rPr>
                <w:rFonts w:hint="eastAsia" w:ascii="宋体" w:hAnsi="宋体" w:cs="宋体" w:eastAsiaTheme="minorEastAsia"/>
                <w:b/>
                <w:bCs/>
                <w:szCs w:val="21"/>
              </w:rPr>
              <w:t>序号</w:t>
            </w:r>
          </w:p>
        </w:tc>
        <w:tc>
          <w:tcPr>
            <w:tcW w:w="1688" w:type="dxa"/>
          </w:tcPr>
          <w:p w14:paraId="7396B696">
            <w:pPr>
              <w:widowControl w:val="0"/>
              <w:autoSpaceDE w:val="0"/>
              <w:autoSpaceDN w:val="0"/>
              <w:adjustRightInd w:val="0"/>
              <w:snapToGrid w:val="0"/>
              <w:spacing w:line="240" w:lineRule="auto"/>
              <w:ind w:firstLine="0" w:firstLineChars="0"/>
              <w:jc w:val="center"/>
              <w:rPr>
                <w:rFonts w:hint="eastAsia" w:ascii="宋体" w:hAnsi="宋体" w:cs="宋体" w:eastAsiaTheme="minorEastAsia"/>
                <w:b/>
                <w:bCs/>
                <w:szCs w:val="21"/>
              </w:rPr>
            </w:pPr>
            <w:r>
              <w:rPr>
                <w:rFonts w:hint="eastAsia" w:ascii="宋体" w:hAnsi="宋体" w:cs="宋体" w:eastAsiaTheme="minorEastAsia"/>
                <w:b/>
                <w:bCs/>
                <w:szCs w:val="21"/>
              </w:rPr>
              <w:t>故障等级</w:t>
            </w:r>
          </w:p>
        </w:tc>
        <w:tc>
          <w:tcPr>
            <w:tcW w:w="3982" w:type="dxa"/>
            <w:vAlign w:val="center"/>
          </w:tcPr>
          <w:p w14:paraId="77E77E51">
            <w:pPr>
              <w:widowControl w:val="0"/>
              <w:autoSpaceDE w:val="0"/>
              <w:autoSpaceDN w:val="0"/>
              <w:adjustRightInd w:val="0"/>
              <w:snapToGrid w:val="0"/>
              <w:spacing w:line="240" w:lineRule="auto"/>
              <w:ind w:firstLine="0" w:firstLineChars="0"/>
              <w:jc w:val="center"/>
              <w:rPr>
                <w:rFonts w:hint="eastAsia" w:ascii="宋体" w:hAnsi="宋体" w:cs="宋体" w:eastAsiaTheme="minorEastAsia"/>
                <w:b/>
                <w:bCs/>
                <w:szCs w:val="21"/>
              </w:rPr>
            </w:pPr>
            <w:r>
              <w:rPr>
                <w:rFonts w:hint="eastAsia" w:ascii="宋体" w:hAnsi="宋体" w:cs="宋体" w:eastAsiaTheme="minorEastAsia"/>
                <w:b/>
                <w:bCs/>
                <w:szCs w:val="21"/>
              </w:rPr>
              <w:t>故障描述</w:t>
            </w:r>
          </w:p>
        </w:tc>
        <w:tc>
          <w:tcPr>
            <w:tcW w:w="1922" w:type="dxa"/>
          </w:tcPr>
          <w:p w14:paraId="06E5E3F0">
            <w:pPr>
              <w:widowControl w:val="0"/>
              <w:autoSpaceDE w:val="0"/>
              <w:autoSpaceDN w:val="0"/>
              <w:adjustRightInd w:val="0"/>
              <w:snapToGrid w:val="0"/>
              <w:spacing w:line="240" w:lineRule="auto"/>
              <w:ind w:firstLine="0" w:firstLineChars="0"/>
              <w:jc w:val="center"/>
              <w:rPr>
                <w:rFonts w:hint="eastAsia" w:ascii="宋体" w:hAnsi="宋体" w:cs="宋体" w:eastAsiaTheme="minorEastAsia"/>
                <w:b/>
                <w:bCs/>
                <w:szCs w:val="21"/>
              </w:rPr>
            </w:pPr>
            <w:r>
              <w:rPr>
                <w:rFonts w:hint="eastAsia" w:ascii="宋体" w:hAnsi="宋体" w:cs="宋体" w:eastAsiaTheme="minorEastAsia"/>
                <w:b/>
                <w:bCs/>
                <w:szCs w:val="21"/>
              </w:rPr>
              <w:t>响应时间</w:t>
            </w:r>
          </w:p>
        </w:tc>
      </w:tr>
      <w:tr w14:paraId="10FB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14:paraId="350F4977">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ascii="宋体" w:hAnsi="宋体" w:cs="宋体" w:eastAsiaTheme="minorEastAsia"/>
                <w:szCs w:val="21"/>
              </w:rPr>
              <w:t>P0</w:t>
            </w:r>
          </w:p>
        </w:tc>
        <w:tc>
          <w:tcPr>
            <w:tcW w:w="1688" w:type="dxa"/>
            <w:vAlign w:val="center"/>
          </w:tcPr>
          <w:p w14:paraId="26822E3A">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最高级别故障</w:t>
            </w:r>
          </w:p>
        </w:tc>
        <w:tc>
          <w:tcPr>
            <w:tcW w:w="3982" w:type="dxa"/>
            <w:vAlign w:val="center"/>
          </w:tcPr>
          <w:p w14:paraId="6B34324C">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hint="eastAsia" w:ascii="宋体" w:hAnsi="宋体" w:cs="宋体" w:eastAsiaTheme="minorEastAsia"/>
                <w:szCs w:val="21"/>
              </w:rPr>
              <w:t>影响核心业务功能，导致服务完全中断或大规模算力资源无法使用，可能造成重大经济损失或声誉损害。</w:t>
            </w:r>
          </w:p>
        </w:tc>
        <w:tc>
          <w:tcPr>
            <w:tcW w:w="1922" w:type="dxa"/>
            <w:vAlign w:val="center"/>
          </w:tcPr>
          <w:p w14:paraId="4C7A7589">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hint="eastAsia" w:ascii="宋体" w:hAnsi="宋体" w:cs="宋体" w:eastAsiaTheme="minorEastAsia"/>
                <w:szCs w:val="21"/>
              </w:rPr>
              <w:t>5分钟内响应</w:t>
            </w:r>
          </w:p>
        </w:tc>
      </w:tr>
      <w:tr w14:paraId="2636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14:paraId="29D5507C">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ascii="宋体" w:hAnsi="宋体" w:cs="宋体" w:eastAsiaTheme="minorEastAsia"/>
                <w:szCs w:val="21"/>
              </w:rPr>
              <w:t>P</w:t>
            </w:r>
            <w:r>
              <w:rPr>
                <w:rFonts w:hint="eastAsia" w:ascii="宋体" w:hAnsi="宋体" w:cs="宋体" w:eastAsiaTheme="minorEastAsia"/>
                <w:szCs w:val="21"/>
              </w:rPr>
              <w:t>1</w:t>
            </w:r>
          </w:p>
        </w:tc>
        <w:tc>
          <w:tcPr>
            <w:tcW w:w="1688" w:type="dxa"/>
            <w:vAlign w:val="center"/>
          </w:tcPr>
          <w:p w14:paraId="777D68DB">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重要级别故障</w:t>
            </w:r>
            <w:r>
              <w:rPr>
                <w:rFonts w:ascii="Times New Roman" w:hAnsi="Times New Roman" w:eastAsiaTheme="minorEastAsia" w:cstheme="minorBidi"/>
                <w:szCs w:val="21"/>
              </w:rPr>
              <w:t>‌</w:t>
            </w:r>
          </w:p>
        </w:tc>
        <w:tc>
          <w:tcPr>
            <w:tcW w:w="3982" w:type="dxa"/>
            <w:vAlign w:val="center"/>
          </w:tcPr>
          <w:p w14:paraId="212C8229">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影响部分重要功能或服务性能显著下降，对业务运营产生较大影响。</w:t>
            </w:r>
          </w:p>
        </w:tc>
        <w:tc>
          <w:tcPr>
            <w:tcW w:w="1922" w:type="dxa"/>
            <w:vAlign w:val="center"/>
          </w:tcPr>
          <w:p w14:paraId="438A2840">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hint="eastAsia" w:ascii="宋体" w:hAnsi="宋体" w:cs="宋体" w:eastAsiaTheme="minorEastAsia"/>
                <w:szCs w:val="21"/>
              </w:rPr>
              <w:t>15分钟内响应</w:t>
            </w:r>
          </w:p>
        </w:tc>
      </w:tr>
      <w:tr w14:paraId="1642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14:paraId="24FEE48A">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ascii="宋体" w:hAnsi="宋体" w:cs="宋体" w:eastAsiaTheme="minorEastAsia"/>
                <w:szCs w:val="21"/>
              </w:rPr>
              <w:t>P</w:t>
            </w:r>
            <w:r>
              <w:rPr>
                <w:rFonts w:hint="eastAsia" w:ascii="宋体" w:hAnsi="宋体" w:cs="宋体" w:eastAsiaTheme="minorEastAsia"/>
                <w:szCs w:val="21"/>
              </w:rPr>
              <w:t>2</w:t>
            </w:r>
          </w:p>
        </w:tc>
        <w:tc>
          <w:tcPr>
            <w:tcW w:w="1688" w:type="dxa"/>
            <w:vAlign w:val="center"/>
          </w:tcPr>
          <w:p w14:paraId="61924AA9">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一般级别故障</w:t>
            </w:r>
          </w:p>
        </w:tc>
        <w:tc>
          <w:tcPr>
            <w:tcW w:w="3982" w:type="dxa"/>
            <w:vAlign w:val="center"/>
          </w:tcPr>
          <w:p w14:paraId="44472F01">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影响非核心功能或服务性能有所下降，但对业务运营影响较小，用户可能感知到不便但不影响整体使用</w:t>
            </w:r>
            <w:r>
              <w:rPr>
                <w:rFonts w:hint="eastAsia" w:ascii="宋体" w:hAnsi="宋体" w:cs="宋体" w:eastAsiaTheme="minorEastAsia"/>
                <w:szCs w:val="21"/>
              </w:rPr>
              <w:t>。</w:t>
            </w:r>
          </w:p>
        </w:tc>
        <w:tc>
          <w:tcPr>
            <w:tcW w:w="1922" w:type="dxa"/>
            <w:vAlign w:val="center"/>
          </w:tcPr>
          <w:p w14:paraId="79E30BA2">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hint="eastAsia" w:ascii="宋体" w:hAnsi="宋体" w:cs="宋体" w:eastAsiaTheme="minorEastAsia"/>
                <w:szCs w:val="21"/>
              </w:rPr>
              <w:t>2小时内响应</w:t>
            </w:r>
          </w:p>
        </w:tc>
      </w:tr>
      <w:tr w14:paraId="740F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14:paraId="04503DD3">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ascii="宋体" w:hAnsi="宋体" w:cs="宋体" w:eastAsiaTheme="minorEastAsia"/>
                <w:szCs w:val="21"/>
              </w:rPr>
              <w:t>P</w:t>
            </w:r>
            <w:r>
              <w:rPr>
                <w:rFonts w:hint="eastAsia" w:ascii="宋体" w:hAnsi="宋体" w:cs="宋体" w:eastAsiaTheme="minorEastAsia"/>
                <w:szCs w:val="21"/>
              </w:rPr>
              <w:t>3</w:t>
            </w:r>
          </w:p>
        </w:tc>
        <w:tc>
          <w:tcPr>
            <w:tcW w:w="1688" w:type="dxa"/>
            <w:vAlign w:val="center"/>
          </w:tcPr>
          <w:p w14:paraId="15607703">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低级别故障</w:t>
            </w:r>
          </w:p>
        </w:tc>
        <w:tc>
          <w:tcPr>
            <w:tcW w:w="3982" w:type="dxa"/>
            <w:vAlign w:val="center"/>
          </w:tcPr>
          <w:p w14:paraId="30C259C6">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影响较小，主要是边缘功能或服务的小问题，对业务运营和用户体验影响有限。</w:t>
            </w:r>
          </w:p>
        </w:tc>
        <w:tc>
          <w:tcPr>
            <w:tcW w:w="1922" w:type="dxa"/>
            <w:vAlign w:val="center"/>
          </w:tcPr>
          <w:p w14:paraId="2AFAD6CD">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hint="eastAsia" w:ascii="宋体" w:hAnsi="宋体" w:cs="宋体" w:eastAsiaTheme="minorEastAsia"/>
                <w:szCs w:val="21"/>
              </w:rPr>
              <w:t>4小时内响应</w:t>
            </w:r>
          </w:p>
        </w:tc>
      </w:tr>
      <w:tr w14:paraId="591F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14:paraId="05B4D659">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ascii="宋体" w:hAnsi="宋体" w:cs="宋体" w:eastAsiaTheme="minorEastAsia"/>
                <w:szCs w:val="21"/>
              </w:rPr>
              <w:t>P</w:t>
            </w:r>
            <w:r>
              <w:rPr>
                <w:rFonts w:hint="eastAsia" w:ascii="宋体" w:hAnsi="宋体" w:cs="宋体" w:eastAsiaTheme="minorEastAsia"/>
                <w:szCs w:val="21"/>
              </w:rPr>
              <w:t>4</w:t>
            </w:r>
          </w:p>
        </w:tc>
        <w:tc>
          <w:tcPr>
            <w:tcW w:w="1688" w:type="dxa"/>
            <w:vAlign w:val="center"/>
          </w:tcPr>
          <w:p w14:paraId="058FCEB4">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轻微级别故障</w:t>
            </w:r>
          </w:p>
        </w:tc>
        <w:tc>
          <w:tcPr>
            <w:tcW w:w="3982" w:type="dxa"/>
            <w:vAlign w:val="center"/>
          </w:tcPr>
          <w:p w14:paraId="78F995F8">
            <w:pPr>
              <w:widowControl w:val="0"/>
              <w:autoSpaceDE w:val="0"/>
              <w:autoSpaceDN w:val="0"/>
              <w:adjustRightInd w:val="0"/>
              <w:snapToGrid w:val="0"/>
              <w:spacing w:line="240" w:lineRule="auto"/>
              <w:ind w:firstLine="0" w:firstLineChars="0"/>
              <w:rPr>
                <w:rFonts w:hint="eastAsia" w:ascii="宋体" w:hAnsi="宋体" w:cs="宋体" w:eastAsiaTheme="minorEastAsia"/>
                <w:szCs w:val="21"/>
              </w:rPr>
            </w:pPr>
            <w:r>
              <w:rPr>
                <w:rFonts w:ascii="宋体" w:hAnsi="宋体" w:cs="宋体" w:eastAsiaTheme="minorEastAsia"/>
                <w:szCs w:val="21"/>
              </w:rPr>
              <w:t>几乎不影响业务运营和用户体验，主要是微小的问题。</w:t>
            </w:r>
          </w:p>
        </w:tc>
        <w:tc>
          <w:tcPr>
            <w:tcW w:w="1922" w:type="dxa"/>
            <w:vAlign w:val="center"/>
          </w:tcPr>
          <w:p w14:paraId="19FB4F58">
            <w:pPr>
              <w:widowControl w:val="0"/>
              <w:autoSpaceDE w:val="0"/>
              <w:autoSpaceDN w:val="0"/>
              <w:adjustRightInd w:val="0"/>
              <w:snapToGrid w:val="0"/>
              <w:spacing w:line="240" w:lineRule="auto"/>
              <w:ind w:firstLine="0" w:firstLineChars="0"/>
              <w:jc w:val="center"/>
              <w:rPr>
                <w:rFonts w:hint="eastAsia" w:ascii="宋体" w:hAnsi="宋体" w:cs="宋体" w:eastAsiaTheme="minorEastAsia"/>
                <w:szCs w:val="21"/>
              </w:rPr>
            </w:pPr>
            <w:r>
              <w:rPr>
                <w:rFonts w:hint="eastAsia" w:ascii="宋体" w:hAnsi="宋体" w:cs="宋体" w:eastAsiaTheme="minorEastAsia"/>
                <w:szCs w:val="21"/>
              </w:rPr>
              <w:t>24小时内响应</w:t>
            </w:r>
          </w:p>
        </w:tc>
      </w:tr>
    </w:tbl>
    <w:p w14:paraId="2F4AFD83">
      <w:pPr>
        <w:widowControl w:val="0"/>
        <w:autoSpaceDE w:val="0"/>
        <w:autoSpaceDN w:val="0"/>
        <w:adjustRightInd w:val="0"/>
        <w:snapToGrid w:val="0"/>
        <w:ind w:firstLine="480" w:firstLineChars="0"/>
        <w:rPr>
          <w:rFonts w:hint="eastAsia" w:ascii="宋体" w:hAnsi="宋体" w:cs="宋体"/>
          <w:szCs w:val="21"/>
        </w:rPr>
      </w:pPr>
      <w:r>
        <w:rPr>
          <w:rFonts w:hint="eastAsia" w:ascii="宋体" w:hAnsi="宋体" w:cs="宋体"/>
          <w:szCs w:val="21"/>
        </w:rPr>
        <w:t>注：中标人受限于采购人要求的安全访问规则或管理流程无法访问资源，无法对问题进行监控和定位的情况不包含在内，出于管理合规和安全访问控制引起的操作延误和等待，不计入中标人责任范围。本协议约定中标人故障响应、处理、解决等时间，以采购人正式通知到中标人指定负责人并开通相关管理权限的时间点起计。</w:t>
      </w:r>
    </w:p>
    <w:p w14:paraId="6AEC68EC">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②集群可用率：不低于95%。（具体计算方法根据集群</w:t>
      </w:r>
      <w:r>
        <w:rPr>
          <w:rFonts w:hint="eastAsia" w:ascii="宋体" w:hAnsi="宋体" w:cs="宋体"/>
          <w:szCs w:val="21"/>
          <w:lang w:val="en-US" w:eastAsia="zh-CN"/>
        </w:rPr>
        <w:t>最终用</w:t>
      </w:r>
      <w:r>
        <w:rPr>
          <w:rFonts w:hint="eastAsia" w:ascii="宋体" w:hAnsi="宋体" w:cs="宋体"/>
          <w:szCs w:val="21"/>
        </w:rPr>
        <w:t>户的算法确定）</w:t>
      </w:r>
    </w:p>
    <w:p w14:paraId="0A8219E0">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③存储系统: 可用率不低于99.95%（具体计算方法根据集群租户的算法确定，不包括 GPU 服务器本地 NVMe 数据盘）。</w:t>
      </w:r>
    </w:p>
    <w:p w14:paraId="3C276ED5">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④网络：参数面网络和存储网络可靠性高达99.95%。</w:t>
      </w:r>
    </w:p>
    <w:p w14:paraId="06B9DC6D">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2、具体运维服务要求</w:t>
      </w:r>
    </w:p>
    <w:p w14:paraId="234A05A2">
      <w:pPr>
        <w:keepNext w:val="0"/>
        <w:keepLines w:val="0"/>
        <w:pageBreakBefore w:val="0"/>
        <w:widowControl w:val="0"/>
        <w:kinsoku/>
        <w:wordWrap/>
        <w:overflowPunct/>
        <w:topLinePunct w:val="0"/>
        <w:autoSpaceDE w:val="0"/>
        <w:autoSpaceDN w:val="0"/>
        <w:bidi w:val="0"/>
        <w:adjustRightInd w:val="0"/>
        <w:snapToGrid w:val="0"/>
        <w:ind w:firstLine="422"/>
        <w:textAlignment w:val="auto"/>
        <w:outlineLvl w:val="4"/>
        <w:rPr>
          <w:rFonts w:hint="eastAsia" w:ascii="宋体" w:hAnsi="宋体" w:cs="宋体"/>
          <w:b/>
          <w:bCs/>
          <w:szCs w:val="21"/>
        </w:rPr>
      </w:pPr>
      <w:r>
        <w:rPr>
          <w:rFonts w:hint="eastAsia" w:ascii="宋体" w:hAnsi="宋体" w:cs="宋体"/>
          <w:b/>
          <w:bCs/>
          <w:szCs w:val="21"/>
          <w:lang w:val="en-US" w:eastAsia="zh-CN"/>
        </w:rPr>
        <w:t xml:space="preserve">2.1 </w:t>
      </w:r>
      <w:r>
        <w:rPr>
          <w:rFonts w:hint="eastAsia" w:ascii="宋体" w:hAnsi="宋体" w:cs="宋体"/>
          <w:b/>
          <w:bCs/>
          <w:szCs w:val="21"/>
        </w:rPr>
        <w:t>智算集群日常运维保障服务</w:t>
      </w:r>
    </w:p>
    <w:p w14:paraId="69C6EEFE">
      <w:pPr>
        <w:keepNext w:val="0"/>
        <w:keepLines w:val="0"/>
        <w:pageBreakBefore w:val="0"/>
        <w:widowControl w:val="0"/>
        <w:kinsoku/>
        <w:wordWrap/>
        <w:overflowPunct/>
        <w:topLinePunct w:val="0"/>
        <w:autoSpaceDE w:val="0"/>
        <w:autoSpaceDN w:val="0"/>
        <w:bidi w:val="0"/>
        <w:adjustRightInd w:val="0"/>
        <w:snapToGrid w:val="0"/>
        <w:ind w:firstLine="420"/>
        <w:textAlignment w:val="auto"/>
        <w:rPr>
          <w:rFonts w:hint="eastAsia" w:ascii="宋体" w:hAnsi="宋体" w:cs="宋体"/>
          <w:szCs w:val="21"/>
        </w:rPr>
      </w:pPr>
      <w:r>
        <w:rPr>
          <w:rFonts w:hint="eastAsia" w:ascii="宋体" w:hAnsi="宋体" w:cs="宋体"/>
          <w:szCs w:val="21"/>
        </w:rPr>
        <w:t>为保障智算集群的稳定运行，为智算集群客户提供高效、快捷的技术服务，支持采购人做好智算集群业务的运维服务，投标人一方面应做好智算集群的日常运维和故障处理等工作，确保整个系统的安全平稳运行；另一方面支撑采购人相关业务部门做好智算算力资源对外的智算集群管理、开通、运行、服务、回收的全流程工作，充分发挥智算集群算力资源池的资源价值，为客户提供业界领先的技术服务，保障服务质量和服务体验，打造智算集群服务的品牌，创造良好的经济效益和社会效益。</w:t>
      </w:r>
    </w:p>
    <w:p w14:paraId="0FCB69A2">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rPr>
        <w:t>（1）算力集群业务运维支持服务</w:t>
      </w:r>
    </w:p>
    <w:p w14:paraId="09A019C9">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投标人应基于采购人投资建设的软硬件设备，支持采购人智算集群管理团队，对外提供智算服务。投标人需提供以下的智算集群业务服务支持：数据导入、数据极速导入、算力资源配置确认及开通、监控数据报表、独享带宽保障、数据备份恢复服务、平台运行监控、业务运维监控服务、故障诊断及处理等。</w:t>
      </w:r>
    </w:p>
    <w:p w14:paraId="5E09F4C2">
      <w:pPr>
        <w:ind w:firstLine="0" w:firstLineChars="0"/>
        <w:jc w:val="center"/>
        <w:rPr>
          <w:rFonts w:hint="eastAsia" w:ascii="宋体" w:hAnsi="宋体"/>
          <w:b/>
          <w:bCs/>
          <w:szCs w:val="21"/>
        </w:rPr>
      </w:pPr>
      <w:r>
        <w:rPr>
          <w:rFonts w:hint="eastAsia" w:ascii="宋体" w:hAnsi="宋体"/>
          <w:b/>
          <w:bCs/>
          <w:szCs w:val="21"/>
        </w:rPr>
        <w:t>智算集群业务运维支持服务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526"/>
        <w:gridCol w:w="5359"/>
      </w:tblGrid>
      <w:tr w14:paraId="0F23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3EFF8DEB">
            <w:pPr>
              <w:spacing w:line="240" w:lineRule="auto"/>
              <w:ind w:firstLine="0" w:firstLineChars="0"/>
              <w:jc w:val="center"/>
              <w:rPr>
                <w:rFonts w:hint="eastAsia" w:ascii="宋体" w:hAnsi="宋体"/>
                <w:b/>
                <w:bCs/>
                <w:color w:val="000000"/>
                <w:szCs w:val="21"/>
              </w:rPr>
            </w:pPr>
            <w:r>
              <w:rPr>
                <w:rFonts w:hint="eastAsia" w:ascii="宋体" w:hAnsi="宋体"/>
                <w:b/>
                <w:bCs/>
                <w:color w:val="000000"/>
                <w:szCs w:val="21"/>
              </w:rPr>
              <w:t>序号</w:t>
            </w:r>
          </w:p>
        </w:tc>
        <w:tc>
          <w:tcPr>
            <w:tcW w:w="0" w:type="auto"/>
            <w:shd w:val="clear" w:color="auto" w:fill="auto"/>
            <w:noWrap/>
            <w:vAlign w:val="center"/>
          </w:tcPr>
          <w:p w14:paraId="6CF4493C">
            <w:pPr>
              <w:spacing w:line="240" w:lineRule="auto"/>
              <w:ind w:firstLine="0" w:firstLineChars="0"/>
              <w:jc w:val="center"/>
              <w:rPr>
                <w:rFonts w:hint="eastAsia" w:ascii="宋体" w:hAnsi="宋体"/>
                <w:b/>
                <w:bCs/>
                <w:color w:val="000000"/>
                <w:szCs w:val="21"/>
              </w:rPr>
            </w:pPr>
            <w:r>
              <w:rPr>
                <w:rFonts w:hint="eastAsia" w:ascii="宋体" w:hAnsi="宋体"/>
                <w:b/>
                <w:bCs/>
                <w:color w:val="000000"/>
                <w:szCs w:val="21"/>
              </w:rPr>
              <w:t>服务事项</w:t>
            </w:r>
          </w:p>
        </w:tc>
        <w:tc>
          <w:tcPr>
            <w:tcW w:w="0" w:type="auto"/>
            <w:shd w:val="clear" w:color="auto" w:fill="auto"/>
            <w:vAlign w:val="center"/>
          </w:tcPr>
          <w:p w14:paraId="72AA6CF8">
            <w:pPr>
              <w:spacing w:line="240" w:lineRule="auto"/>
              <w:ind w:firstLine="0" w:firstLineChars="0"/>
              <w:jc w:val="center"/>
              <w:rPr>
                <w:rFonts w:hint="eastAsia" w:ascii="宋体" w:hAnsi="宋体"/>
                <w:b/>
                <w:bCs/>
                <w:color w:val="000000"/>
                <w:szCs w:val="21"/>
              </w:rPr>
            </w:pPr>
            <w:r>
              <w:rPr>
                <w:rFonts w:hint="eastAsia" w:ascii="宋体" w:hAnsi="宋体"/>
                <w:b/>
                <w:bCs/>
                <w:color w:val="000000"/>
                <w:szCs w:val="21"/>
              </w:rPr>
              <w:t>服务内容</w:t>
            </w:r>
          </w:p>
        </w:tc>
      </w:tr>
      <w:tr w14:paraId="2BE7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shd w:val="clear" w:color="auto" w:fill="auto"/>
            <w:noWrap/>
            <w:vAlign w:val="center"/>
          </w:tcPr>
          <w:p w14:paraId="5891ABF7">
            <w:pPr>
              <w:spacing w:line="240" w:lineRule="auto"/>
              <w:ind w:firstLine="0" w:firstLineChars="0"/>
              <w:jc w:val="center"/>
              <w:rPr>
                <w:rFonts w:hint="eastAsia" w:ascii="宋体" w:hAnsi="宋体"/>
                <w:color w:val="000000"/>
                <w:szCs w:val="21"/>
              </w:rPr>
            </w:pPr>
            <w:r>
              <w:rPr>
                <w:rFonts w:hint="eastAsia" w:ascii="宋体" w:hAnsi="宋体"/>
                <w:color w:val="000000"/>
                <w:szCs w:val="21"/>
              </w:rPr>
              <w:t>1</w:t>
            </w:r>
          </w:p>
        </w:tc>
        <w:tc>
          <w:tcPr>
            <w:tcW w:w="0" w:type="auto"/>
            <w:shd w:val="clear" w:color="auto" w:fill="auto"/>
            <w:noWrap/>
            <w:vAlign w:val="center"/>
          </w:tcPr>
          <w:p w14:paraId="677EF8BF">
            <w:pPr>
              <w:spacing w:line="240" w:lineRule="auto"/>
              <w:ind w:firstLine="0" w:firstLineChars="0"/>
              <w:rPr>
                <w:rFonts w:hint="eastAsia" w:ascii="宋体" w:hAnsi="宋体"/>
                <w:color w:val="000000"/>
                <w:szCs w:val="21"/>
              </w:rPr>
            </w:pPr>
            <w:r>
              <w:rPr>
                <w:rFonts w:hint="eastAsia" w:ascii="宋体" w:hAnsi="宋体"/>
                <w:color w:val="000000"/>
                <w:szCs w:val="21"/>
              </w:rPr>
              <w:t>数据导入/导出</w:t>
            </w:r>
          </w:p>
        </w:tc>
        <w:tc>
          <w:tcPr>
            <w:tcW w:w="0" w:type="auto"/>
            <w:shd w:val="clear" w:color="auto" w:fill="auto"/>
            <w:vAlign w:val="center"/>
          </w:tcPr>
          <w:p w14:paraId="0D19A54F">
            <w:pPr>
              <w:spacing w:line="240" w:lineRule="auto"/>
              <w:ind w:firstLine="0" w:firstLineChars="0"/>
              <w:rPr>
                <w:rFonts w:hint="eastAsia" w:ascii="宋体" w:hAnsi="宋体"/>
                <w:color w:val="000000"/>
                <w:szCs w:val="21"/>
              </w:rPr>
            </w:pPr>
            <w:r>
              <w:rPr>
                <w:rFonts w:hint="eastAsia" w:ascii="宋体" w:hAnsi="宋体"/>
                <w:color w:val="000000"/>
                <w:szCs w:val="21"/>
              </w:rPr>
              <w:t>1.开通从客户到算力资源池的专项数据导入/导出VPN接入端口，提供有限期的接入服务（不超过2周），配合客户完成数据集导入/导出工作；数据集导入/导出完成之后，拆除该VPN数据集导入通道。数据集导入通道，互联网级别每客户可开通两次，超过次数额外协商。</w:t>
            </w:r>
            <w:r>
              <w:rPr>
                <w:rFonts w:hint="eastAsia" w:ascii="宋体" w:hAnsi="宋体"/>
                <w:color w:val="000000"/>
                <w:szCs w:val="21"/>
              </w:rPr>
              <w:br w:type="textWrapping"/>
            </w:r>
            <w:r>
              <w:rPr>
                <w:rFonts w:hint="eastAsia" w:ascii="宋体" w:hAnsi="宋体"/>
                <w:color w:val="000000"/>
                <w:szCs w:val="21"/>
              </w:rPr>
              <w:t>2.文件和代码通过管理VPN导入/导出，客户可自助开启。</w:t>
            </w:r>
          </w:p>
        </w:tc>
      </w:tr>
      <w:tr w14:paraId="7F28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6D1C401C">
            <w:pPr>
              <w:spacing w:line="240" w:lineRule="auto"/>
              <w:ind w:firstLine="0" w:firstLineChars="0"/>
              <w:jc w:val="center"/>
              <w:rPr>
                <w:rFonts w:hint="eastAsia" w:ascii="宋体" w:hAnsi="宋体"/>
                <w:color w:val="000000"/>
                <w:szCs w:val="21"/>
              </w:rPr>
            </w:pPr>
            <w:r>
              <w:rPr>
                <w:rFonts w:hint="eastAsia" w:ascii="宋体" w:hAnsi="宋体"/>
                <w:color w:val="000000"/>
                <w:szCs w:val="21"/>
              </w:rPr>
              <w:t>2</w:t>
            </w:r>
          </w:p>
        </w:tc>
        <w:tc>
          <w:tcPr>
            <w:tcW w:w="0" w:type="auto"/>
            <w:shd w:val="clear" w:color="auto" w:fill="auto"/>
            <w:noWrap/>
            <w:vAlign w:val="center"/>
          </w:tcPr>
          <w:p w14:paraId="6FD45812">
            <w:pPr>
              <w:spacing w:line="240" w:lineRule="auto"/>
              <w:ind w:firstLine="0" w:firstLineChars="0"/>
              <w:rPr>
                <w:rFonts w:hint="eastAsia" w:ascii="宋体" w:hAnsi="宋体"/>
                <w:color w:val="000000"/>
                <w:szCs w:val="21"/>
              </w:rPr>
            </w:pPr>
            <w:r>
              <w:rPr>
                <w:rFonts w:hint="eastAsia" w:ascii="宋体" w:hAnsi="宋体"/>
                <w:color w:val="000000"/>
                <w:szCs w:val="21"/>
              </w:rPr>
              <w:t>数据极速导入</w:t>
            </w:r>
          </w:p>
        </w:tc>
        <w:tc>
          <w:tcPr>
            <w:tcW w:w="0" w:type="auto"/>
            <w:shd w:val="clear" w:color="auto" w:fill="auto"/>
            <w:vAlign w:val="center"/>
          </w:tcPr>
          <w:p w14:paraId="4043ABF1">
            <w:pPr>
              <w:spacing w:line="240" w:lineRule="auto"/>
              <w:ind w:firstLine="0" w:firstLineChars="0"/>
              <w:rPr>
                <w:rFonts w:hint="eastAsia" w:ascii="宋体" w:hAnsi="宋体"/>
                <w:color w:val="000000"/>
                <w:szCs w:val="21"/>
              </w:rPr>
            </w:pPr>
            <w:r>
              <w:rPr>
                <w:rFonts w:hint="eastAsia" w:ascii="宋体" w:hAnsi="宋体"/>
                <w:color w:val="000000"/>
                <w:szCs w:val="21"/>
              </w:rPr>
              <w:t>为客户提供数据集极速导入业务，专人携带数据存储介质进入IDC操作，数据集即可存入智算空间。</w:t>
            </w:r>
          </w:p>
        </w:tc>
      </w:tr>
      <w:tr w14:paraId="421A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3E2F602D">
            <w:pPr>
              <w:spacing w:line="240" w:lineRule="auto"/>
              <w:ind w:firstLine="0" w:firstLineChars="0"/>
              <w:jc w:val="center"/>
              <w:rPr>
                <w:rFonts w:hint="eastAsia" w:ascii="宋体" w:hAnsi="宋体"/>
                <w:color w:val="000000"/>
                <w:szCs w:val="21"/>
              </w:rPr>
            </w:pPr>
            <w:r>
              <w:rPr>
                <w:rFonts w:ascii="宋体" w:hAnsi="宋体"/>
                <w:color w:val="000000"/>
                <w:szCs w:val="21"/>
              </w:rPr>
              <w:t>3</w:t>
            </w:r>
          </w:p>
        </w:tc>
        <w:tc>
          <w:tcPr>
            <w:tcW w:w="0" w:type="auto"/>
            <w:shd w:val="clear" w:color="auto" w:fill="auto"/>
            <w:noWrap/>
            <w:vAlign w:val="center"/>
          </w:tcPr>
          <w:p w14:paraId="3A896E99">
            <w:pPr>
              <w:spacing w:line="240" w:lineRule="auto"/>
              <w:ind w:firstLine="0" w:firstLineChars="0"/>
              <w:rPr>
                <w:rFonts w:hint="eastAsia" w:ascii="宋体" w:hAnsi="宋体"/>
                <w:color w:val="000000"/>
                <w:szCs w:val="21"/>
              </w:rPr>
            </w:pPr>
            <w:r>
              <w:rPr>
                <w:rFonts w:hint="eastAsia" w:ascii="宋体" w:hAnsi="宋体"/>
                <w:color w:val="000000"/>
                <w:szCs w:val="21"/>
              </w:rPr>
              <w:t>数据极速导出</w:t>
            </w:r>
          </w:p>
        </w:tc>
        <w:tc>
          <w:tcPr>
            <w:tcW w:w="0" w:type="auto"/>
            <w:shd w:val="clear" w:color="auto" w:fill="auto"/>
            <w:vAlign w:val="center"/>
          </w:tcPr>
          <w:p w14:paraId="4564ABAA">
            <w:pPr>
              <w:spacing w:line="240" w:lineRule="auto"/>
              <w:ind w:firstLine="0" w:firstLineChars="0"/>
              <w:rPr>
                <w:rFonts w:hint="eastAsia" w:ascii="宋体" w:hAnsi="宋体"/>
                <w:color w:val="000000"/>
                <w:szCs w:val="21"/>
              </w:rPr>
            </w:pPr>
            <w:r>
              <w:rPr>
                <w:rFonts w:hint="eastAsia" w:ascii="宋体" w:hAnsi="宋体"/>
                <w:color w:val="000000"/>
                <w:szCs w:val="21"/>
              </w:rPr>
              <w:t>为客户提供数据集极速导出业务，专人携带数据存储介质进入IDC操作，数据集从智算空间导出到客户自己的存储介质</w:t>
            </w:r>
          </w:p>
        </w:tc>
      </w:tr>
      <w:tr w14:paraId="3B76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0A29FA96">
            <w:pPr>
              <w:spacing w:line="240" w:lineRule="auto"/>
              <w:ind w:firstLine="0" w:firstLineChars="0"/>
              <w:jc w:val="center"/>
              <w:rPr>
                <w:rFonts w:hint="eastAsia" w:ascii="宋体" w:hAnsi="宋体"/>
                <w:color w:val="000000"/>
                <w:szCs w:val="21"/>
              </w:rPr>
            </w:pPr>
            <w:r>
              <w:rPr>
                <w:rFonts w:ascii="宋体" w:hAnsi="宋体"/>
                <w:color w:val="000000"/>
                <w:szCs w:val="21"/>
              </w:rPr>
              <w:t>4</w:t>
            </w:r>
          </w:p>
        </w:tc>
        <w:tc>
          <w:tcPr>
            <w:tcW w:w="0" w:type="auto"/>
            <w:shd w:val="clear" w:color="auto" w:fill="auto"/>
            <w:noWrap/>
            <w:vAlign w:val="center"/>
          </w:tcPr>
          <w:p w14:paraId="077F0EA8">
            <w:pPr>
              <w:spacing w:line="240" w:lineRule="auto"/>
              <w:ind w:firstLine="0" w:firstLineChars="0"/>
              <w:rPr>
                <w:rFonts w:hint="eastAsia" w:ascii="宋体" w:hAnsi="宋体"/>
                <w:color w:val="000000"/>
                <w:szCs w:val="21"/>
              </w:rPr>
            </w:pPr>
            <w:r>
              <w:rPr>
                <w:rFonts w:hint="eastAsia" w:ascii="宋体" w:hAnsi="宋体"/>
                <w:color w:val="000000"/>
                <w:szCs w:val="21"/>
              </w:rPr>
              <w:t>算力资源配置确认及开通</w:t>
            </w:r>
          </w:p>
        </w:tc>
        <w:tc>
          <w:tcPr>
            <w:tcW w:w="0" w:type="auto"/>
            <w:shd w:val="clear" w:color="auto" w:fill="auto"/>
            <w:vAlign w:val="center"/>
          </w:tcPr>
          <w:p w14:paraId="3062056B">
            <w:pPr>
              <w:spacing w:line="240" w:lineRule="auto"/>
              <w:ind w:firstLine="0" w:firstLineChars="0"/>
              <w:rPr>
                <w:rFonts w:hint="eastAsia" w:ascii="宋体" w:hAnsi="宋体"/>
                <w:color w:val="000000"/>
                <w:szCs w:val="21"/>
              </w:rPr>
            </w:pPr>
            <w:r>
              <w:rPr>
                <w:rFonts w:hint="eastAsia" w:ascii="宋体" w:hAnsi="宋体"/>
                <w:color w:val="000000"/>
                <w:szCs w:val="21"/>
              </w:rPr>
              <w:t>客户提出算力资源租赁申请后，提供售前技术服务，包括但不限于：核对租赁要求，设计算力配套资源，确认智算集群服务内容，完成资源开通协助，提供必要的使用指引</w:t>
            </w:r>
          </w:p>
        </w:tc>
      </w:tr>
      <w:tr w14:paraId="6EEE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5377632F">
            <w:pPr>
              <w:spacing w:line="240" w:lineRule="auto"/>
              <w:ind w:firstLine="0" w:firstLineChars="0"/>
              <w:jc w:val="center"/>
              <w:rPr>
                <w:rFonts w:hint="eastAsia" w:ascii="宋体" w:hAnsi="宋体"/>
                <w:color w:val="000000"/>
                <w:szCs w:val="21"/>
              </w:rPr>
            </w:pPr>
            <w:r>
              <w:rPr>
                <w:rFonts w:ascii="宋体" w:hAnsi="宋体"/>
                <w:color w:val="000000"/>
                <w:szCs w:val="21"/>
              </w:rPr>
              <w:t>5</w:t>
            </w:r>
          </w:p>
        </w:tc>
        <w:tc>
          <w:tcPr>
            <w:tcW w:w="0" w:type="auto"/>
            <w:shd w:val="clear" w:color="auto" w:fill="auto"/>
            <w:noWrap/>
            <w:vAlign w:val="center"/>
          </w:tcPr>
          <w:p w14:paraId="2624F47E">
            <w:pPr>
              <w:spacing w:line="240" w:lineRule="auto"/>
              <w:ind w:firstLine="0" w:firstLineChars="0"/>
              <w:rPr>
                <w:rFonts w:hint="eastAsia" w:ascii="宋体" w:hAnsi="宋体"/>
                <w:color w:val="000000"/>
                <w:szCs w:val="21"/>
              </w:rPr>
            </w:pPr>
            <w:r>
              <w:rPr>
                <w:rFonts w:hint="eastAsia" w:ascii="宋体" w:hAnsi="宋体"/>
                <w:color w:val="000000"/>
                <w:szCs w:val="21"/>
              </w:rPr>
              <w:t>系统环境调整服务</w:t>
            </w:r>
          </w:p>
        </w:tc>
        <w:tc>
          <w:tcPr>
            <w:tcW w:w="0" w:type="auto"/>
            <w:shd w:val="clear" w:color="auto" w:fill="auto"/>
            <w:vAlign w:val="center"/>
          </w:tcPr>
          <w:p w14:paraId="72C44742">
            <w:pPr>
              <w:spacing w:line="240" w:lineRule="auto"/>
              <w:ind w:firstLine="0" w:firstLineChars="0"/>
              <w:rPr>
                <w:rFonts w:hint="eastAsia" w:ascii="宋体" w:hAnsi="宋体"/>
                <w:color w:val="000000"/>
                <w:szCs w:val="21"/>
              </w:rPr>
            </w:pPr>
            <w:r>
              <w:rPr>
                <w:rFonts w:hint="eastAsia" w:ascii="宋体" w:hAnsi="宋体"/>
                <w:color w:val="000000"/>
                <w:szCs w:val="21"/>
              </w:rPr>
              <w:t>基于客户的算力资源需求，提供</w:t>
            </w:r>
            <w:r>
              <w:rPr>
                <w:rFonts w:ascii="宋体" w:hAnsi="宋体"/>
                <w:color w:val="000000"/>
                <w:szCs w:val="21"/>
              </w:rPr>
              <w:t>操作系统、驱动、</w:t>
            </w:r>
            <w:r>
              <w:rPr>
                <w:rFonts w:hint="eastAsia" w:ascii="宋体" w:hAnsi="宋体"/>
                <w:color w:val="000000"/>
                <w:szCs w:val="21"/>
              </w:rPr>
              <w:t>容器、</w:t>
            </w:r>
            <w:r>
              <w:rPr>
                <w:rFonts w:ascii="宋体" w:hAnsi="宋体"/>
                <w:color w:val="000000"/>
                <w:szCs w:val="21"/>
              </w:rPr>
              <w:t>K8S的</w:t>
            </w:r>
            <w:r>
              <w:rPr>
                <w:rFonts w:hint="eastAsia" w:ascii="宋体" w:hAnsi="宋体"/>
                <w:color w:val="000000"/>
                <w:szCs w:val="21"/>
              </w:rPr>
              <w:t>重新</w:t>
            </w:r>
            <w:r>
              <w:rPr>
                <w:rFonts w:ascii="宋体" w:hAnsi="宋体"/>
                <w:color w:val="000000"/>
                <w:szCs w:val="21"/>
              </w:rPr>
              <w:t>部署服务</w:t>
            </w:r>
          </w:p>
        </w:tc>
      </w:tr>
      <w:tr w14:paraId="34D5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545919C0">
            <w:pPr>
              <w:spacing w:line="240" w:lineRule="auto"/>
              <w:ind w:firstLine="0" w:firstLineChars="0"/>
              <w:jc w:val="center"/>
              <w:rPr>
                <w:rFonts w:hint="eastAsia" w:ascii="宋体" w:hAnsi="宋体"/>
                <w:color w:val="000000"/>
                <w:szCs w:val="21"/>
              </w:rPr>
            </w:pPr>
            <w:r>
              <w:rPr>
                <w:rFonts w:ascii="宋体" w:hAnsi="宋体"/>
                <w:color w:val="000000"/>
                <w:szCs w:val="21"/>
              </w:rPr>
              <w:t>6</w:t>
            </w:r>
          </w:p>
        </w:tc>
        <w:tc>
          <w:tcPr>
            <w:tcW w:w="0" w:type="auto"/>
            <w:shd w:val="clear" w:color="auto" w:fill="auto"/>
            <w:noWrap/>
            <w:vAlign w:val="center"/>
          </w:tcPr>
          <w:p w14:paraId="793DCFB6">
            <w:pPr>
              <w:spacing w:line="240" w:lineRule="auto"/>
              <w:ind w:firstLine="0" w:firstLineChars="0"/>
              <w:rPr>
                <w:rFonts w:hint="eastAsia" w:ascii="宋体" w:hAnsi="宋体"/>
                <w:color w:val="000000"/>
                <w:szCs w:val="21"/>
              </w:rPr>
            </w:pPr>
            <w:r>
              <w:rPr>
                <w:rFonts w:hint="eastAsia" w:ascii="宋体" w:hAnsi="宋体"/>
                <w:color w:val="000000"/>
                <w:szCs w:val="21"/>
              </w:rPr>
              <w:t>监控数据报表</w:t>
            </w:r>
          </w:p>
        </w:tc>
        <w:tc>
          <w:tcPr>
            <w:tcW w:w="0" w:type="auto"/>
            <w:shd w:val="clear" w:color="auto" w:fill="auto"/>
            <w:vAlign w:val="center"/>
          </w:tcPr>
          <w:p w14:paraId="535667B6">
            <w:pPr>
              <w:spacing w:line="240" w:lineRule="auto"/>
              <w:ind w:firstLine="0" w:firstLineChars="0"/>
              <w:rPr>
                <w:rFonts w:hint="eastAsia" w:ascii="宋体" w:hAnsi="宋体"/>
                <w:color w:val="000000"/>
                <w:szCs w:val="21"/>
              </w:rPr>
            </w:pPr>
            <w:r>
              <w:rPr>
                <w:rFonts w:hint="eastAsia" w:ascii="宋体" w:hAnsi="宋体"/>
                <w:color w:val="000000"/>
                <w:szCs w:val="21"/>
              </w:rPr>
              <w:t>服务周期内，周期性（通常是月）向客户发布邮件，统计算力资源使用情况报表，并提供数据监控的原始点文件</w:t>
            </w:r>
          </w:p>
        </w:tc>
      </w:tr>
      <w:tr w14:paraId="5761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7FD623F2">
            <w:pPr>
              <w:spacing w:line="240" w:lineRule="auto"/>
              <w:ind w:firstLine="0" w:firstLineChars="0"/>
              <w:jc w:val="center"/>
              <w:rPr>
                <w:rFonts w:hint="eastAsia" w:ascii="宋体" w:hAnsi="宋体"/>
                <w:color w:val="000000"/>
                <w:szCs w:val="21"/>
              </w:rPr>
            </w:pPr>
            <w:r>
              <w:rPr>
                <w:rFonts w:ascii="宋体" w:hAnsi="宋体"/>
                <w:color w:val="000000"/>
                <w:szCs w:val="21"/>
              </w:rPr>
              <w:t>7</w:t>
            </w:r>
          </w:p>
        </w:tc>
        <w:tc>
          <w:tcPr>
            <w:tcW w:w="0" w:type="auto"/>
            <w:shd w:val="clear" w:color="auto" w:fill="auto"/>
            <w:noWrap/>
            <w:vAlign w:val="center"/>
          </w:tcPr>
          <w:p w14:paraId="552E0A8D">
            <w:pPr>
              <w:spacing w:line="240" w:lineRule="auto"/>
              <w:ind w:firstLine="0" w:firstLineChars="0"/>
              <w:rPr>
                <w:rFonts w:hint="eastAsia" w:ascii="宋体" w:hAnsi="宋体"/>
                <w:color w:val="000000"/>
                <w:szCs w:val="21"/>
              </w:rPr>
            </w:pPr>
            <w:r>
              <w:rPr>
                <w:rFonts w:hint="eastAsia" w:ascii="宋体" w:hAnsi="宋体"/>
                <w:color w:val="000000"/>
                <w:szCs w:val="21"/>
              </w:rPr>
              <w:t>独享带宽保障</w:t>
            </w:r>
          </w:p>
        </w:tc>
        <w:tc>
          <w:tcPr>
            <w:tcW w:w="0" w:type="auto"/>
            <w:shd w:val="clear" w:color="auto" w:fill="auto"/>
            <w:vAlign w:val="center"/>
          </w:tcPr>
          <w:p w14:paraId="6257A501">
            <w:pPr>
              <w:spacing w:line="240" w:lineRule="auto"/>
              <w:ind w:firstLine="0" w:firstLineChars="0"/>
              <w:rPr>
                <w:rFonts w:hint="eastAsia" w:ascii="宋体" w:hAnsi="宋体"/>
                <w:color w:val="000000"/>
                <w:szCs w:val="21"/>
              </w:rPr>
            </w:pPr>
            <w:r>
              <w:rPr>
                <w:rFonts w:hint="eastAsia" w:ascii="宋体" w:hAnsi="宋体"/>
                <w:color w:val="000000"/>
                <w:szCs w:val="21"/>
              </w:rPr>
              <w:t>按套餐包含的公网出口带宽为客户提供独享带宽，包括用户portal；用户文件上传；用户ssh访问等</w:t>
            </w:r>
          </w:p>
        </w:tc>
      </w:tr>
      <w:tr w14:paraId="0B07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63AB86D8">
            <w:pPr>
              <w:spacing w:line="240" w:lineRule="auto"/>
              <w:ind w:firstLine="0" w:firstLineChars="0"/>
              <w:jc w:val="center"/>
              <w:rPr>
                <w:rFonts w:hint="eastAsia" w:ascii="宋体" w:hAnsi="宋体"/>
                <w:color w:val="000000"/>
                <w:szCs w:val="21"/>
              </w:rPr>
            </w:pPr>
            <w:r>
              <w:rPr>
                <w:rFonts w:ascii="宋体" w:hAnsi="宋体"/>
                <w:color w:val="000000"/>
                <w:szCs w:val="21"/>
              </w:rPr>
              <w:t>8</w:t>
            </w:r>
          </w:p>
        </w:tc>
        <w:tc>
          <w:tcPr>
            <w:tcW w:w="0" w:type="auto"/>
            <w:shd w:val="clear" w:color="auto" w:fill="auto"/>
            <w:noWrap/>
            <w:vAlign w:val="center"/>
          </w:tcPr>
          <w:p w14:paraId="46610268">
            <w:pPr>
              <w:spacing w:line="240" w:lineRule="auto"/>
              <w:ind w:firstLine="0" w:firstLineChars="0"/>
              <w:rPr>
                <w:rFonts w:hint="eastAsia" w:ascii="宋体" w:hAnsi="宋体"/>
                <w:color w:val="000000"/>
                <w:szCs w:val="21"/>
              </w:rPr>
            </w:pPr>
            <w:r>
              <w:rPr>
                <w:rFonts w:hint="eastAsia" w:ascii="宋体" w:hAnsi="宋体"/>
                <w:color w:val="000000"/>
                <w:szCs w:val="21"/>
              </w:rPr>
              <w:t>数据备份恢复服务</w:t>
            </w:r>
          </w:p>
        </w:tc>
        <w:tc>
          <w:tcPr>
            <w:tcW w:w="0" w:type="auto"/>
            <w:shd w:val="clear" w:color="auto" w:fill="auto"/>
            <w:vAlign w:val="center"/>
          </w:tcPr>
          <w:p w14:paraId="12A625E0">
            <w:pPr>
              <w:spacing w:line="240" w:lineRule="auto"/>
              <w:ind w:firstLine="0" w:firstLineChars="0"/>
              <w:rPr>
                <w:rFonts w:hint="eastAsia" w:ascii="宋体" w:hAnsi="宋体"/>
                <w:color w:val="000000"/>
                <w:szCs w:val="21"/>
              </w:rPr>
            </w:pPr>
            <w:r>
              <w:rPr>
                <w:rFonts w:hint="eastAsia" w:ascii="宋体" w:hAnsi="宋体"/>
                <w:color w:val="000000"/>
                <w:szCs w:val="21"/>
              </w:rPr>
              <w:t>客户提出数据备份/恢复申请，备份来源为空间内所有有访问权限数据和文件；恢复则为同客户下的前期数据备份</w:t>
            </w:r>
          </w:p>
        </w:tc>
      </w:tr>
      <w:tr w14:paraId="2CDA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45E5EF2E">
            <w:pPr>
              <w:spacing w:line="240" w:lineRule="auto"/>
              <w:ind w:firstLine="0" w:firstLineChars="0"/>
              <w:jc w:val="center"/>
              <w:rPr>
                <w:rFonts w:hint="eastAsia" w:ascii="宋体" w:hAnsi="宋体"/>
                <w:color w:val="000000"/>
                <w:szCs w:val="21"/>
              </w:rPr>
            </w:pPr>
            <w:r>
              <w:rPr>
                <w:rFonts w:ascii="宋体" w:hAnsi="宋体"/>
                <w:color w:val="000000"/>
                <w:szCs w:val="21"/>
              </w:rPr>
              <w:t>9</w:t>
            </w:r>
          </w:p>
        </w:tc>
        <w:tc>
          <w:tcPr>
            <w:tcW w:w="0" w:type="auto"/>
            <w:shd w:val="clear" w:color="auto" w:fill="auto"/>
            <w:noWrap/>
            <w:vAlign w:val="center"/>
          </w:tcPr>
          <w:p w14:paraId="21159992">
            <w:pPr>
              <w:spacing w:line="240" w:lineRule="auto"/>
              <w:ind w:firstLine="0" w:firstLineChars="0"/>
              <w:rPr>
                <w:rFonts w:hint="eastAsia" w:ascii="宋体" w:hAnsi="宋体"/>
                <w:color w:val="000000"/>
                <w:szCs w:val="21"/>
              </w:rPr>
            </w:pPr>
            <w:r>
              <w:rPr>
                <w:rFonts w:hint="eastAsia" w:ascii="宋体" w:hAnsi="宋体"/>
                <w:color w:val="000000"/>
                <w:szCs w:val="21"/>
              </w:rPr>
              <w:t>故障诊断及处理</w:t>
            </w:r>
          </w:p>
        </w:tc>
        <w:tc>
          <w:tcPr>
            <w:tcW w:w="0" w:type="auto"/>
            <w:shd w:val="clear" w:color="auto" w:fill="auto"/>
            <w:vAlign w:val="center"/>
          </w:tcPr>
          <w:p w14:paraId="54B1320E">
            <w:pPr>
              <w:spacing w:line="240" w:lineRule="auto"/>
              <w:ind w:firstLine="0" w:firstLineChars="0"/>
              <w:rPr>
                <w:rFonts w:hint="eastAsia" w:ascii="宋体" w:hAnsi="宋体"/>
                <w:color w:val="000000"/>
                <w:szCs w:val="21"/>
              </w:rPr>
            </w:pPr>
            <w:r>
              <w:rPr>
                <w:rFonts w:hint="eastAsia" w:ascii="宋体" w:hAnsi="宋体"/>
                <w:color w:val="000000"/>
                <w:szCs w:val="21"/>
              </w:rPr>
              <w:t>平台发生故障或客户使用过程中出现故障，及时安排技术人员进行排查诊断，对故障进行处理和恢复。</w:t>
            </w:r>
          </w:p>
        </w:tc>
      </w:tr>
      <w:tr w14:paraId="591E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496BC10D">
            <w:pPr>
              <w:spacing w:line="240" w:lineRule="auto"/>
              <w:ind w:firstLine="0" w:firstLineChars="0"/>
              <w:jc w:val="center"/>
              <w:rPr>
                <w:rFonts w:hint="eastAsia" w:ascii="宋体" w:hAnsi="宋体"/>
                <w:color w:val="000000"/>
                <w:szCs w:val="21"/>
              </w:rPr>
            </w:pPr>
            <w:r>
              <w:rPr>
                <w:rFonts w:hint="eastAsia" w:ascii="宋体" w:hAnsi="宋体"/>
                <w:color w:val="000000"/>
                <w:szCs w:val="21"/>
              </w:rPr>
              <w:t>10</w:t>
            </w:r>
          </w:p>
        </w:tc>
        <w:tc>
          <w:tcPr>
            <w:tcW w:w="0" w:type="auto"/>
            <w:shd w:val="clear" w:color="auto" w:fill="auto"/>
            <w:noWrap/>
            <w:vAlign w:val="center"/>
          </w:tcPr>
          <w:p w14:paraId="45D9E24B">
            <w:pPr>
              <w:spacing w:line="240" w:lineRule="auto"/>
              <w:ind w:firstLine="0" w:firstLineChars="0"/>
              <w:rPr>
                <w:rFonts w:hint="eastAsia" w:ascii="宋体" w:hAnsi="宋体"/>
                <w:color w:val="000000"/>
                <w:szCs w:val="21"/>
              </w:rPr>
            </w:pPr>
            <w:r>
              <w:rPr>
                <w:rFonts w:hint="eastAsia" w:ascii="宋体" w:hAnsi="宋体"/>
                <w:color w:val="000000"/>
                <w:szCs w:val="21"/>
              </w:rPr>
              <w:t>专线运维服务</w:t>
            </w:r>
          </w:p>
        </w:tc>
        <w:tc>
          <w:tcPr>
            <w:tcW w:w="0" w:type="auto"/>
            <w:shd w:val="clear" w:color="auto" w:fill="auto"/>
            <w:vAlign w:val="center"/>
          </w:tcPr>
          <w:p w14:paraId="52CB3787">
            <w:pPr>
              <w:spacing w:line="240" w:lineRule="auto"/>
              <w:ind w:firstLine="0" w:firstLineChars="0"/>
              <w:rPr>
                <w:rFonts w:hint="eastAsia" w:ascii="宋体" w:hAnsi="宋体"/>
                <w:color w:val="000000"/>
                <w:szCs w:val="21"/>
              </w:rPr>
            </w:pPr>
            <w:r>
              <w:rPr>
                <w:rFonts w:hint="eastAsia" w:ascii="宋体" w:hAnsi="宋体"/>
                <w:color w:val="000000"/>
                <w:szCs w:val="21"/>
              </w:rPr>
              <w:t>智算集群跨城专线的运维，主要服务于客户数据集的上传导入，包括带宽、时延及抖动等品质管理</w:t>
            </w:r>
          </w:p>
        </w:tc>
      </w:tr>
    </w:tbl>
    <w:p w14:paraId="73ACE7BE">
      <w:pPr>
        <w:ind w:firstLine="420"/>
        <w:rPr>
          <w:rFonts w:hint="eastAsia" w:ascii="宋体" w:hAnsi="宋体"/>
          <w:szCs w:val="21"/>
        </w:rPr>
      </w:pPr>
      <w:r>
        <w:rPr>
          <w:rFonts w:hint="eastAsia" w:ascii="宋体" w:hAnsi="宋体"/>
          <w:szCs w:val="21"/>
        </w:rPr>
        <w:t>注：本文所写“客户”是指与本项目采购人签署算力租赁服务合同、并实际使用本项目算力集群资源的单位。</w:t>
      </w:r>
    </w:p>
    <w:p w14:paraId="4B435278">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rPr>
        <w:t>1）算力资源开通的技术支持</w:t>
      </w:r>
    </w:p>
    <w:p w14:paraId="70BF958A">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为客户提供智算中心平台相关的技术支持，协助客户算力资源管理团队推动客户完成试用、或长期租用算力中心的智算资源服务；</w:t>
      </w:r>
    </w:p>
    <w:p w14:paraId="00D8C812">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①采取线下约谈或线上会议方式与智算中心客户进行算力服务需求的技术方案交流。</w:t>
      </w:r>
    </w:p>
    <w:p w14:paraId="1780149C">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②对智算中心客户的需求进行分析，协助智算中心管理人员 收集需求信息，并完成相关方案编写工作。</w:t>
      </w:r>
    </w:p>
    <w:p w14:paraId="27A375BF">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③技术方案POC测试：</w:t>
      </w:r>
    </w:p>
    <w:p w14:paraId="44E8F3E5">
      <w:pPr>
        <w:widowControl w:val="0"/>
        <w:numPr>
          <w:ilvl w:val="-1"/>
          <w:numId w:val="0"/>
        </w:numPr>
        <w:autoSpaceDE w:val="0"/>
        <w:autoSpaceDN w:val="0"/>
        <w:adjustRightInd w:val="0"/>
        <w:snapToGrid w:val="0"/>
        <w:ind w:firstLine="420"/>
        <w:contextualSpacing w:val="0"/>
        <w:rPr>
          <w:rFonts w:hint="eastAsia" w:ascii="宋体" w:hAnsi="宋体" w:cs="宋体"/>
          <w:szCs w:val="21"/>
        </w:rPr>
      </w:pPr>
      <w:r>
        <w:rPr>
          <w:rFonts w:hint="eastAsia" w:ascii="宋体" w:hAnsi="宋体" w:cs="宋体"/>
          <w:szCs w:val="21"/>
        </w:rPr>
        <w:t>根据收到的试用、租用智算资源需求，负责评估当前智算平台能否满足测试或租用需求，资源具备则及时调整智算中心平台的虚拟算力资源或裸金属算力资源；</w:t>
      </w:r>
    </w:p>
    <w:p w14:paraId="37E16FAC">
      <w:pPr>
        <w:widowControl w:val="0"/>
        <w:numPr>
          <w:ilvl w:val="-1"/>
          <w:numId w:val="0"/>
        </w:numPr>
        <w:autoSpaceDE w:val="0"/>
        <w:autoSpaceDN w:val="0"/>
        <w:adjustRightInd w:val="0"/>
        <w:snapToGrid w:val="0"/>
        <w:ind w:firstLine="420"/>
        <w:contextualSpacing w:val="0"/>
        <w:rPr>
          <w:rFonts w:hint="eastAsia" w:ascii="宋体" w:hAnsi="宋体" w:cs="宋体"/>
          <w:szCs w:val="21"/>
        </w:rPr>
      </w:pPr>
      <w:r>
        <w:rPr>
          <w:rFonts w:hint="eastAsia" w:ascii="宋体" w:hAnsi="宋体" w:cs="宋体"/>
          <w:szCs w:val="21"/>
        </w:rPr>
        <w:t>根据收到的客户试用、租用或购买需求，提供相应的</w:t>
      </w:r>
      <w:r>
        <w:rPr>
          <w:rFonts w:ascii="宋体" w:hAnsi="宋体" w:cs="宋体"/>
          <w:szCs w:val="21"/>
        </w:rPr>
        <w:t>IB</w:t>
      </w:r>
      <w:r>
        <w:rPr>
          <w:rFonts w:hint="eastAsia" w:ascii="宋体" w:hAnsi="宋体" w:cs="宋体"/>
          <w:szCs w:val="21"/>
        </w:rPr>
        <w:t>组网方案；若组网不满足客户需求，需在买方数据中心机房进行相应的设备上架、设备调整、线缆布线和组网变更等；</w:t>
      </w:r>
    </w:p>
    <w:p w14:paraId="5E85E29D">
      <w:pPr>
        <w:widowControl w:val="0"/>
        <w:numPr>
          <w:ilvl w:val="-1"/>
          <w:numId w:val="0"/>
        </w:numPr>
        <w:autoSpaceDE w:val="0"/>
        <w:autoSpaceDN w:val="0"/>
        <w:adjustRightInd w:val="0"/>
        <w:snapToGrid w:val="0"/>
        <w:ind w:firstLine="420"/>
        <w:contextualSpacing w:val="0"/>
        <w:rPr>
          <w:rFonts w:hint="eastAsia" w:ascii="宋体" w:hAnsi="宋体" w:cs="宋体"/>
          <w:szCs w:val="21"/>
        </w:rPr>
      </w:pPr>
      <w:r>
        <w:rPr>
          <w:rFonts w:hint="eastAsia" w:ascii="宋体" w:hAnsi="宋体" w:cs="宋体"/>
          <w:szCs w:val="21"/>
        </w:rPr>
        <w:t>负责为测试客户开通或回收智算平台资源及账号信息：包括裸金属服务器数量、</w:t>
      </w:r>
      <w:r>
        <w:rPr>
          <w:rFonts w:ascii="宋体" w:hAnsi="宋体" w:cs="宋体"/>
          <w:szCs w:val="21"/>
        </w:rPr>
        <w:t>VPN</w:t>
      </w:r>
      <w:r>
        <w:rPr>
          <w:rFonts w:hint="eastAsia" w:ascii="宋体" w:hAnsi="宋体" w:cs="宋体"/>
          <w:szCs w:val="21"/>
        </w:rPr>
        <w:t>账号、操作系统账号及登录方式，提供</w:t>
      </w:r>
      <w:r>
        <w:rPr>
          <w:rFonts w:ascii="宋体" w:hAnsi="宋体" w:cs="宋体"/>
          <w:szCs w:val="21"/>
        </w:rPr>
        <w:t>VPN</w:t>
      </w:r>
      <w:r>
        <w:rPr>
          <w:rFonts w:hint="eastAsia" w:ascii="宋体" w:hAnsi="宋体" w:cs="宋体"/>
          <w:szCs w:val="21"/>
        </w:rPr>
        <w:t>客户端、</w:t>
      </w:r>
      <w:r>
        <w:rPr>
          <w:rFonts w:ascii="宋体" w:hAnsi="宋体" w:cs="宋体"/>
          <w:szCs w:val="21"/>
        </w:rPr>
        <w:t>VPN</w:t>
      </w:r>
      <w:r>
        <w:rPr>
          <w:rFonts w:hint="eastAsia" w:ascii="宋体" w:hAnsi="宋体" w:cs="宋体"/>
          <w:szCs w:val="21"/>
        </w:rPr>
        <w:t>网关地址、共享存储空间、跳板机登录地址，并为客户提供配套使用手册。</w:t>
      </w:r>
    </w:p>
    <w:p w14:paraId="515385AA">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④根据采购人要求，积极配合智算中心管理团队提供智算中心客户招投标相关材料支持。</w:t>
      </w:r>
    </w:p>
    <w:p w14:paraId="0C3BA26D">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rPr>
        <w:t>2）客户接入及业务开通服务</w:t>
      </w:r>
    </w:p>
    <w:p w14:paraId="66D2F701">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①根据收到的客户租用或购买需求，提供相应的</w:t>
      </w:r>
      <w:r>
        <w:rPr>
          <w:rFonts w:ascii="宋体" w:hAnsi="宋体" w:cs="宋体"/>
          <w:szCs w:val="21"/>
        </w:rPr>
        <w:t>IB</w:t>
      </w:r>
      <w:r>
        <w:rPr>
          <w:rFonts w:hint="eastAsia" w:ascii="宋体" w:hAnsi="宋体" w:cs="宋体"/>
          <w:szCs w:val="21"/>
        </w:rPr>
        <w:t>组网方案；若组网不满足客户需求，在采购人数据中心机房进行相应的设备调整及当前范围内的线缆布线和组网变更等；</w:t>
      </w:r>
    </w:p>
    <w:p w14:paraId="465ABF2C">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②负责根据正式客户业务开通需求，规划和调整共享存储空间，指导第三方团队进行共享存储的组网规划和调整，初始化共享存储空间以及共享存储空间的整体分配；</w:t>
      </w:r>
    </w:p>
    <w:p w14:paraId="2264E4B6">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③负责根据客户需求进行智算服务器设备加电、操作系统的批量安装与重装、带外管理网配置、管理网卡绑定和配置、网卡驱动和</w:t>
      </w:r>
      <w:r>
        <w:rPr>
          <w:rFonts w:ascii="宋体" w:hAnsi="宋体" w:cs="宋体"/>
          <w:szCs w:val="21"/>
        </w:rPr>
        <w:t>GPU</w:t>
      </w:r>
      <w:r>
        <w:rPr>
          <w:rFonts w:hint="eastAsia" w:ascii="宋体" w:hAnsi="宋体" w:cs="宋体"/>
          <w:szCs w:val="21"/>
        </w:rPr>
        <w:t>驱动的安装、</w:t>
      </w:r>
      <w:r>
        <w:rPr>
          <w:rFonts w:ascii="宋体" w:hAnsi="宋体" w:cs="宋体"/>
          <w:szCs w:val="21"/>
        </w:rPr>
        <w:t>IB</w:t>
      </w:r>
      <w:r>
        <w:rPr>
          <w:rFonts w:hint="eastAsia" w:ascii="宋体" w:hAnsi="宋体" w:cs="宋体"/>
          <w:szCs w:val="21"/>
        </w:rPr>
        <w:t>网卡配置；</w:t>
      </w:r>
    </w:p>
    <w:p w14:paraId="13A6D8E9">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④负责在客户测试或正式业务上线交付前的带宽时延测试，包括读、写操作带宽测试，读写操作时延测试，发送操作带宽和时延测试，以及其他必要的测试；</w:t>
      </w:r>
    </w:p>
    <w:p w14:paraId="02DC1E5E">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⑤负责智算中心堡垒机资源的添加和维护，角色和权限的分配；因人为误操作或资源不可用等故障，责任无法判断时，负责查看和回溯堡垒机上的录屏内容，明确各方责任；</w:t>
      </w:r>
    </w:p>
    <w:p w14:paraId="5185A6B5">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⑥负责为正式客户开通或回收智算平台资源及账号信息：包括裸金属服务器数量、</w:t>
      </w:r>
      <w:r>
        <w:rPr>
          <w:rFonts w:ascii="宋体" w:hAnsi="宋体" w:cs="宋体"/>
          <w:szCs w:val="21"/>
        </w:rPr>
        <w:t>VPN</w:t>
      </w:r>
      <w:r>
        <w:rPr>
          <w:rFonts w:hint="eastAsia" w:ascii="宋体" w:hAnsi="宋体" w:cs="宋体"/>
          <w:szCs w:val="21"/>
        </w:rPr>
        <w:t>账号、操作系统账号及登录方式，提供</w:t>
      </w:r>
      <w:r>
        <w:rPr>
          <w:rFonts w:ascii="宋体" w:hAnsi="宋体" w:cs="宋体"/>
          <w:szCs w:val="21"/>
        </w:rPr>
        <w:t>VPN</w:t>
      </w:r>
      <w:r>
        <w:rPr>
          <w:rFonts w:hint="eastAsia" w:ascii="宋体" w:hAnsi="宋体" w:cs="宋体"/>
          <w:szCs w:val="21"/>
        </w:rPr>
        <w:t>客户端、</w:t>
      </w:r>
      <w:r>
        <w:rPr>
          <w:rFonts w:ascii="宋体" w:hAnsi="宋体" w:cs="宋体"/>
          <w:szCs w:val="21"/>
        </w:rPr>
        <w:t>VPN</w:t>
      </w:r>
      <w:r>
        <w:rPr>
          <w:rFonts w:hint="eastAsia" w:ascii="宋体" w:hAnsi="宋体" w:cs="宋体"/>
          <w:szCs w:val="21"/>
        </w:rPr>
        <w:t>网关地址、共享存储空间、跳板机登录地址，并为客户提供配套使用手册；</w:t>
      </w:r>
    </w:p>
    <w:p w14:paraId="0F594E31">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⑦负责客户数据集磁盘或磁盘矩阵的挂载、客户数据集导入、磁盘或磁盘阵列卸载，并通知客户数据集是否导入成功，由客户确认下一步操作。</w:t>
      </w:r>
    </w:p>
    <w:p w14:paraId="70196F83">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⑧协助采购人在每个月【5】日前（如遇节日则相应顺延）填报上一月租户服务费用结算单中相关技术部分的内容，发送给采购人。</w:t>
      </w:r>
    </w:p>
    <w:p w14:paraId="1AD7D9E5">
      <w:pPr>
        <w:widowControl w:val="0"/>
        <w:autoSpaceDE w:val="0"/>
        <w:autoSpaceDN w:val="0"/>
        <w:adjustRightInd w:val="0"/>
        <w:snapToGrid w:val="0"/>
        <w:ind w:firstLine="422"/>
        <w:rPr>
          <w:rFonts w:hint="eastAsia" w:ascii="宋体" w:hAnsi="宋体" w:cs="宋体"/>
          <w:szCs w:val="21"/>
        </w:rPr>
      </w:pPr>
      <w:r>
        <w:rPr>
          <w:rFonts w:hint="eastAsia" w:ascii="宋体" w:hAnsi="宋体" w:cs="宋体"/>
          <w:b/>
          <w:bCs/>
          <w:szCs w:val="21"/>
        </w:rPr>
        <w:t>（2）算力集群日常运行维护服务</w:t>
      </w:r>
    </w:p>
    <w:p w14:paraId="65CEEFD8">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rPr>
        <w:t>1）基础维护要求</w:t>
      </w:r>
    </w:p>
    <w:p w14:paraId="4ED42083">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基础维护指为保证系统正常运行所需的预防性维护，日常维护支持，网络调整支持，数据备份支持等工作。包括：</w:t>
      </w:r>
    </w:p>
    <w:p w14:paraId="3AF022C6">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①日常维护技术支持：对系统的网络、硬件、软件系统进行维护，监控运行情况，保证系统正常运行。</w:t>
      </w:r>
    </w:p>
    <w:p w14:paraId="2972CFF6">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②日常投诉处理：支撑采购人智算中心管理人员处理客户投诉，并提供相关技术支撑工作。</w:t>
      </w:r>
    </w:p>
    <w:p w14:paraId="34A0D587">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③系统重装技术支持：负责系统服务端软件的安装。</w:t>
      </w:r>
    </w:p>
    <w:p w14:paraId="192C689F">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④数据安全性管理技术支持：对系统的数据备份和恢复进行技术支持，以备在异常情况下尽快恢复系统。</w:t>
      </w:r>
    </w:p>
    <w:p w14:paraId="57B667AA">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⑤成立专门的技术支持部门，由运维服务部经理统一协调技术服务工作。</w:t>
      </w:r>
    </w:p>
    <w:p w14:paraId="0BB3BEAD">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⑥支持电话、传真、电子邮件、WWW等方式的售后技术服务要求。</w:t>
      </w:r>
    </w:p>
    <w:p w14:paraId="09A6A521">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⑦远程无法解决的，需协调人员到现场进行更高层面的售后技术支持服务，同时协调第三方相关设备厂家共同到达客户问题现场。具体故障响应时间以及故障恢复时间，需要依据第三方相关设备厂商技术服务承诺要求。</w:t>
      </w:r>
    </w:p>
    <w:p w14:paraId="591991E4">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⑧对智算中心的运行状况提供定期巡检服务。</w:t>
      </w:r>
      <w:bookmarkStart w:id="11" w:name="OLE_LINK7"/>
      <w:r>
        <w:rPr>
          <w:rFonts w:hint="eastAsia" w:ascii="宋体" w:hAnsi="宋体" w:cs="宋体"/>
          <w:szCs w:val="21"/>
        </w:rPr>
        <w:t>每周一次巡检</w:t>
      </w:r>
      <w:bookmarkEnd w:id="11"/>
      <w:r>
        <w:rPr>
          <w:rFonts w:hint="eastAsia" w:ascii="宋体" w:hAnsi="宋体" w:cs="宋体"/>
          <w:szCs w:val="21"/>
        </w:rPr>
        <w:t>，</w:t>
      </w:r>
      <w:r>
        <w:rPr>
          <w:rFonts w:ascii="宋体" w:hAnsi="宋体" w:cs="宋体"/>
          <w:szCs w:val="21"/>
        </w:rPr>
        <w:t>每</w:t>
      </w:r>
      <w:r>
        <w:rPr>
          <w:rFonts w:hint="eastAsia" w:ascii="宋体" w:hAnsi="宋体" w:cs="宋体"/>
          <w:szCs w:val="21"/>
        </w:rPr>
        <w:t>个月进行一次深度巡检工作，保证软件和业务报表的数据健康、平稳运行。对于巡检中出现的隐患、高危或异常情况，及时汇报给采购人，并提供建议的解决方案。</w:t>
      </w:r>
    </w:p>
    <w:p w14:paraId="44FECCCB">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⑨配备网络安全专业技术人员，对系统定期进行安全检查，对运行中存在的安全隐患、检查发现的漏洞、安全问题等及时进行修复和解决。</w:t>
      </w:r>
    </w:p>
    <w:p w14:paraId="7E034FF9">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⑩负责撰写智算中心月报，并提供给采购人运营团队。基于目前智算集群所有软硬件资源，定期提供满足采购方资源监控平台所要求</w:t>
      </w:r>
      <w:bookmarkStart w:id="13" w:name="_GoBack"/>
      <w:bookmarkEnd w:id="13"/>
      <w:r>
        <w:rPr>
          <w:rFonts w:hint="eastAsia" w:ascii="宋体" w:hAnsi="宋体" w:cs="宋体"/>
          <w:szCs w:val="21"/>
        </w:rPr>
        <w:t>的监控项列表，以及资源监控的详细信息。</w:t>
      </w:r>
    </w:p>
    <w:p w14:paraId="6020078E">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rPr>
        <w:t>2）升级支持服务</w:t>
      </w:r>
    </w:p>
    <w:p w14:paraId="47CEB56B">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①操作系统升级服务。</w:t>
      </w:r>
    </w:p>
    <w:p w14:paraId="601293C0">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②版本升级技术支持：系统软件版本的升级。</w:t>
      </w:r>
    </w:p>
    <w:p w14:paraId="43BB0A56">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③漏洞补丁安装服务：定期做系统巡检，与租户确认后，对发现的漏洞进行补丁安装服务。</w:t>
      </w:r>
    </w:p>
    <w:p w14:paraId="79885A0F">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rPr>
        <w:t>3）网络及安全运维工作</w:t>
      </w:r>
    </w:p>
    <w:p w14:paraId="7EF3E2F6">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①负责整体智算中心网络安全策略的规划和动态调整，保障内部网络安全；</w:t>
      </w:r>
    </w:p>
    <w:p w14:paraId="6D56FEC3">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②负责整体智算中心配套设备的安全加固和漏洞整改，保障平台自身安全；</w:t>
      </w:r>
    </w:p>
    <w:p w14:paraId="3D78615F">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rPr>
        <w:t>4）故障处理服务</w:t>
      </w:r>
    </w:p>
    <w:p w14:paraId="4E3C4DF5">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用户在使用系统时如遇到问题，无论是软件、硬件或是网络，都应得到相应的支持与帮助，并提供故障诊断分析和解决方案；严重故障导致系统不能正常运行，通过电话或远程无法解决,应在设备厂家备品备件准备就绪的情况下，满足现场故障处理的要求。应建立故障处理机制，原则上必须满足以下要求：</w:t>
      </w:r>
    </w:p>
    <w:p w14:paraId="7A877EAD">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w:t>
      </w:r>
      <w:r>
        <w:rPr>
          <w:rFonts w:ascii="宋体" w:hAnsi="宋体" w:cs="宋体"/>
          <w:szCs w:val="21"/>
        </w:rPr>
        <w:t>建立故障单上报机制</w:t>
      </w:r>
    </w:p>
    <w:p w14:paraId="3B13A869">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②</w:t>
      </w:r>
      <w:r>
        <w:rPr>
          <w:rFonts w:ascii="宋体" w:hAnsi="宋体" w:cs="宋体"/>
          <w:szCs w:val="21"/>
        </w:rPr>
        <w:t>建</w:t>
      </w:r>
      <w:r>
        <w:rPr>
          <w:rFonts w:hint="eastAsia" w:ascii="宋体" w:hAnsi="宋体" w:cs="宋体"/>
          <w:szCs w:val="21"/>
        </w:rPr>
        <w:t>立</w:t>
      </w:r>
      <w:r>
        <w:rPr>
          <w:rFonts w:ascii="宋体" w:hAnsi="宋体" w:cs="宋体"/>
          <w:szCs w:val="21"/>
        </w:rPr>
        <w:t>故障报警机制</w:t>
      </w:r>
    </w:p>
    <w:p w14:paraId="7C309DD5">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③</w:t>
      </w:r>
      <w:r>
        <w:rPr>
          <w:rFonts w:ascii="宋体" w:hAnsi="宋体" w:cs="宋体"/>
          <w:szCs w:val="21"/>
        </w:rPr>
        <w:t>建立故障表单并存储</w:t>
      </w:r>
    </w:p>
    <w:p w14:paraId="7023DE7A">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④业务影响确认：故障发生后，应尽快确认是否影响用户业务使用，采购人通过投诉预警、业务拨测、KPI性能指标监测、网络舆情等信息，以及通过登录信息进行用户业务影响情况确认，根据该信息判断是否为重大故障。</w:t>
      </w:r>
    </w:p>
    <w:p w14:paraId="2B1ACFF4">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⑤具体故障处理以及解决，需要依据第三方相关设备厂商技术服务承诺要求。</w:t>
      </w:r>
    </w:p>
    <w:p w14:paraId="6C80EDA4">
      <w:pPr>
        <w:widowControl/>
        <w:autoSpaceDE/>
        <w:autoSpaceDN/>
        <w:adjustRightInd/>
        <w:snapToGrid/>
        <w:ind w:firstLine="0"/>
        <w:outlineLvl w:val="9"/>
        <w:rPr>
          <w:rFonts w:hint="eastAsia" w:ascii="宋体" w:hAnsi="宋体" w:cs="宋体"/>
          <w:b/>
          <w:bCs/>
          <w:color w:val="auto"/>
          <w:sz w:val="21"/>
          <w:szCs w:val="21"/>
        </w:rPr>
      </w:pPr>
      <w:r>
        <w:rPr>
          <w:rFonts w:hint="eastAsia" w:ascii="宋体" w:hAnsi="宋体" w:cs="宋体"/>
          <w:b/>
          <w:bCs/>
          <w:color w:val="auto"/>
          <w:sz w:val="21"/>
          <w:szCs w:val="21"/>
          <w:lang w:val="en-US" w:eastAsia="zh-CN"/>
        </w:rPr>
        <w:t>5）</w:t>
      </w:r>
      <w:r>
        <w:rPr>
          <w:rFonts w:hint="eastAsia" w:ascii="宋体" w:hAnsi="宋体" w:cs="宋体"/>
          <w:b/>
          <w:bCs/>
          <w:color w:val="auto"/>
          <w:sz w:val="21"/>
          <w:szCs w:val="21"/>
        </w:rPr>
        <w:t>算力</w:t>
      </w:r>
      <w:r>
        <w:rPr>
          <w:rFonts w:hint="eastAsia" w:ascii="宋体" w:hAnsi="宋体" w:cs="宋体"/>
          <w:b/>
          <w:bCs/>
          <w:color w:val="auto"/>
          <w:sz w:val="21"/>
          <w:szCs w:val="21"/>
          <w:lang w:val="en-US" w:eastAsia="zh-CN"/>
        </w:rPr>
        <w:t>客户驻场技术支持服务</w:t>
      </w:r>
    </w:p>
    <w:p w14:paraId="44E812BD">
      <w:pPr>
        <w:pStyle w:val="11"/>
        <w:ind w:firstLine="480"/>
        <w:rPr>
          <w:rFonts w:hint="eastAsia" w:hAnsi="宋体" w:cs="宋体"/>
          <w:color w:val="auto"/>
          <w:sz w:val="21"/>
          <w:lang w:val="en-US" w:eastAsia="zh-CN"/>
        </w:rPr>
      </w:pPr>
      <w:r>
        <w:rPr>
          <w:rFonts w:hint="eastAsia" w:hAnsi="宋体" w:cs="宋体"/>
          <w:color w:val="auto"/>
          <w:sz w:val="21"/>
          <w:lang w:val="en-US" w:eastAsia="zh-CN"/>
        </w:rPr>
        <w:t>报价人</w:t>
      </w:r>
      <w:r>
        <w:rPr>
          <w:rFonts w:hint="eastAsia" w:ascii="宋体" w:hAnsi="宋体" w:cs="宋体"/>
          <w:color w:val="auto"/>
          <w:sz w:val="21"/>
          <w:lang w:val="en-US" w:eastAsia="zh-CN"/>
        </w:rPr>
        <w:t>根据</w:t>
      </w:r>
      <w:r>
        <w:rPr>
          <w:rFonts w:hint="eastAsia" w:hAnsi="宋体" w:cs="宋体"/>
          <w:color w:val="auto"/>
          <w:sz w:val="21"/>
          <w:lang w:val="en-US" w:eastAsia="zh-CN"/>
        </w:rPr>
        <w:t>采购人要求，派遣技术人员至最终算力使用客户的工作场地，按照最终算力客户业务需求，按需开展模型微调、算子适配等业务支持增值技术服务。此部分服务具体可能包括以下事项：</w:t>
      </w:r>
    </w:p>
    <w:p w14:paraId="0D34507D">
      <w:pPr>
        <w:pStyle w:val="11"/>
        <w:ind w:firstLine="480"/>
        <w:rPr>
          <w:rFonts w:hint="eastAsia" w:hAnsi="宋体" w:cs="宋体"/>
          <w:color w:val="auto"/>
          <w:sz w:val="21"/>
          <w:lang w:val="en-US" w:eastAsia="zh-CN"/>
        </w:rPr>
      </w:pPr>
      <w:r>
        <w:rPr>
          <w:rFonts w:hint="eastAsia" w:hAnsi="宋体" w:cs="宋体"/>
          <w:color w:val="auto"/>
          <w:sz w:val="21"/>
          <w:lang w:val="en-US" w:eastAsia="zh-CN"/>
        </w:rPr>
        <w:t>（1）模型微调技术支持：根据算力客户提供的预训练模型和数据，开展针对性优化，以提升其在特定任务上的性能。</w:t>
      </w:r>
    </w:p>
    <w:p w14:paraId="64A19FD8">
      <w:pPr>
        <w:pStyle w:val="11"/>
        <w:ind w:firstLine="480"/>
        <w:rPr>
          <w:rFonts w:hint="eastAsia" w:hAnsi="宋体" w:cs="宋体"/>
          <w:color w:val="auto"/>
          <w:sz w:val="21"/>
          <w:lang w:val="en-US" w:eastAsia="zh-CN"/>
        </w:rPr>
      </w:pPr>
      <w:r>
        <w:rPr>
          <w:rFonts w:hint="eastAsia" w:hAnsi="宋体" w:cs="宋体"/>
          <w:color w:val="auto"/>
          <w:sz w:val="21"/>
          <w:lang w:val="en-US" w:eastAsia="zh-CN"/>
        </w:rPr>
        <w:t>（2）算子适配技术支持：根据算力客户提供的算子或AI框架文件，开展适配CUDA、GPU卡等技术服务工作。</w:t>
      </w:r>
    </w:p>
    <w:p w14:paraId="2EABD970">
      <w:pPr>
        <w:pStyle w:val="11"/>
        <w:ind w:firstLine="480"/>
        <w:rPr>
          <w:color w:val="auto"/>
        </w:rPr>
      </w:pPr>
      <w:r>
        <w:rPr>
          <w:rFonts w:hint="eastAsia" w:hAnsi="宋体" w:cs="宋体"/>
          <w:color w:val="auto"/>
          <w:sz w:val="21"/>
          <w:lang w:val="en-US" w:eastAsia="zh-CN"/>
        </w:rPr>
        <w:t>（3）其他技术服务：根据算力客户需求，提供其他专业技术支持服务。</w:t>
      </w:r>
    </w:p>
    <w:p w14:paraId="3EA89131">
      <w:pPr>
        <w:widowControl w:val="0"/>
        <w:autoSpaceDE w:val="0"/>
        <w:autoSpaceDN w:val="0"/>
        <w:adjustRightInd w:val="0"/>
        <w:snapToGrid w:val="0"/>
        <w:ind w:firstLine="422"/>
        <w:rPr>
          <w:rFonts w:hint="eastAsia"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）培训及其他服务</w:t>
      </w:r>
    </w:p>
    <w:p w14:paraId="63D6DE90">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培训服务：向采购人或算力集群使用客户提供免费运维培训，包括平台使用、运维、故障排查等。</w:t>
      </w:r>
    </w:p>
    <w:p w14:paraId="45252B61">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专家服务：参与采购人有关智算集群运维、扩容等事项的重大技术论证会，提供专家意见。</w:t>
      </w:r>
    </w:p>
    <w:p w14:paraId="3DFE05C0">
      <w:pPr>
        <w:widowControl w:val="0"/>
        <w:autoSpaceDE w:val="0"/>
        <w:autoSpaceDN w:val="0"/>
        <w:adjustRightInd w:val="0"/>
        <w:snapToGrid w:val="0"/>
        <w:ind w:firstLine="422"/>
        <w:rPr>
          <w:rFonts w:hint="eastAsia" w:ascii="宋体" w:hAnsi="宋体" w:cs="宋体"/>
          <w:b/>
          <w:bCs/>
          <w:szCs w:val="21"/>
          <w:lang w:val="en-US" w:eastAsia="zh-CN"/>
        </w:rPr>
      </w:pPr>
      <w:r>
        <w:rPr>
          <w:rFonts w:hint="eastAsia" w:ascii="宋体" w:hAnsi="宋体" w:cs="宋体"/>
          <w:b/>
          <w:bCs/>
          <w:szCs w:val="21"/>
          <w:lang w:val="en-US" w:eastAsia="zh-CN"/>
        </w:rPr>
        <w:t>7）定期总结报告</w:t>
      </w:r>
    </w:p>
    <w:p w14:paraId="552F6499">
      <w:pPr>
        <w:widowControl w:val="0"/>
        <w:numPr>
          <w:ilvl w:val="255"/>
          <w:numId w:val="0"/>
        </w:numPr>
        <w:autoSpaceDE w:val="0"/>
        <w:autoSpaceDN w:val="0"/>
        <w:adjustRightInd w:val="0"/>
        <w:snapToGrid w:val="0"/>
        <w:ind w:firstLine="480"/>
        <w:rPr>
          <w:rFonts w:hint="eastAsia" w:ascii="宋体" w:hAnsi="宋体" w:cs="宋体"/>
          <w:szCs w:val="21"/>
        </w:rPr>
      </w:pPr>
      <w:r>
        <w:rPr>
          <w:rFonts w:hint="eastAsia" w:ascii="宋体" w:hAnsi="宋体" w:cs="宋体"/>
          <w:szCs w:val="21"/>
        </w:rPr>
        <w:t>周报告：根据甲方要求，每周提供一份书面形式的运维报告，报告简明扼要的汇报智算集群当月运维工作情况。</w:t>
      </w:r>
    </w:p>
    <w:p w14:paraId="16333739">
      <w:pPr>
        <w:widowControl w:val="0"/>
        <w:numPr>
          <w:ilvl w:val="255"/>
          <w:numId w:val="0"/>
        </w:numPr>
        <w:autoSpaceDE w:val="0"/>
        <w:autoSpaceDN w:val="0"/>
        <w:adjustRightInd w:val="0"/>
        <w:snapToGrid w:val="0"/>
        <w:ind w:firstLine="480"/>
        <w:rPr>
          <w:rFonts w:hint="eastAsia" w:ascii="宋体" w:hAnsi="宋体" w:cs="宋体"/>
          <w:szCs w:val="21"/>
        </w:rPr>
      </w:pPr>
      <w:r>
        <w:rPr>
          <w:rFonts w:hint="eastAsia" w:ascii="宋体" w:hAnsi="宋体" w:cs="宋体"/>
          <w:szCs w:val="21"/>
        </w:rPr>
        <w:t>月度报告：根据采购人要求，每月提供一份书面的智算集群运维月度报告。报告内容应包含集群设备当月的运行状况、集群使用客户资源利用情况、质保事件情况、备件使用情况等其他相关信息。</w:t>
      </w:r>
    </w:p>
    <w:p w14:paraId="45DA3FED">
      <w:pPr>
        <w:widowControl w:val="0"/>
        <w:numPr>
          <w:ilvl w:val="255"/>
          <w:numId w:val="0"/>
        </w:numPr>
        <w:autoSpaceDE w:val="0"/>
        <w:autoSpaceDN w:val="0"/>
        <w:adjustRightInd w:val="0"/>
        <w:snapToGrid w:val="0"/>
        <w:ind w:firstLine="480"/>
        <w:rPr>
          <w:rFonts w:hint="eastAsia" w:ascii="宋体" w:hAnsi="宋体" w:cs="宋体"/>
          <w:szCs w:val="21"/>
        </w:rPr>
      </w:pPr>
      <w:r>
        <w:rPr>
          <w:rFonts w:hint="eastAsia" w:ascii="宋体" w:hAnsi="宋体" w:cs="宋体"/>
          <w:szCs w:val="21"/>
        </w:rPr>
        <w:t>季度例会：根据甲方要求，每季度开展一次季度会议，线上或线下会议形式的汇报当季度的运维情况。汇报内容应包含集群设备当季度的运行状况、集群使用客户资源利用情况、质保事件情况、备件使用情况等其他相关信息。</w:t>
      </w:r>
    </w:p>
    <w:p w14:paraId="60D3461B">
      <w:pPr>
        <w:widowControl w:val="0"/>
        <w:autoSpaceDE w:val="0"/>
        <w:autoSpaceDN w:val="0"/>
        <w:adjustRightInd w:val="0"/>
        <w:snapToGrid w:val="0"/>
        <w:ind w:firstLine="480" w:firstLineChars="0"/>
        <w:rPr>
          <w:rFonts w:hint="eastAsia" w:ascii="宋体" w:hAnsi="宋体" w:cs="宋体"/>
          <w:szCs w:val="21"/>
        </w:rPr>
      </w:pPr>
      <w:r>
        <w:rPr>
          <w:rFonts w:hint="eastAsia" w:ascii="宋体" w:hAnsi="宋体" w:cs="宋体"/>
          <w:szCs w:val="21"/>
        </w:rPr>
        <w:t>年度报告：根据采购人要求，每年提供一份智算集群运维总结报告。报告应对全年集群的运行状况、集群使用客户资源利用情况、质保事件情况、备件使用情况进行统计分析，对常见故障及处理方案进行总结。</w:t>
      </w:r>
    </w:p>
    <w:p w14:paraId="4676C15F">
      <w:pPr>
        <w:keepNext w:val="0"/>
        <w:keepLines w:val="0"/>
        <w:pageBreakBefore w:val="0"/>
        <w:widowControl w:val="0"/>
        <w:kinsoku/>
        <w:wordWrap/>
        <w:overflowPunct/>
        <w:topLinePunct w:val="0"/>
        <w:autoSpaceDE w:val="0"/>
        <w:autoSpaceDN w:val="0"/>
        <w:bidi w:val="0"/>
        <w:adjustRightInd w:val="0"/>
        <w:snapToGrid w:val="0"/>
        <w:ind w:firstLine="422"/>
        <w:textAlignment w:val="auto"/>
        <w:outlineLvl w:val="4"/>
        <w:rPr>
          <w:rFonts w:hint="eastAsia" w:ascii="宋体" w:hAnsi="宋体" w:cs="宋体"/>
          <w:b/>
          <w:bCs/>
          <w:szCs w:val="21"/>
          <w:lang w:val="en-US" w:eastAsia="zh-CN"/>
        </w:rPr>
      </w:pPr>
      <w:r>
        <w:rPr>
          <w:rFonts w:hint="eastAsia" w:ascii="宋体" w:hAnsi="宋体" w:cs="宋体"/>
          <w:b/>
          <w:bCs/>
          <w:szCs w:val="21"/>
          <w:lang w:val="en-US" w:eastAsia="zh-CN"/>
        </w:rPr>
        <w:t>2.2 备品备件--关键设备备件采购</w:t>
      </w:r>
    </w:p>
    <w:p w14:paraId="30006EFC">
      <w:pPr>
        <w:widowControl w:val="0"/>
        <w:autoSpaceDE w:val="0"/>
        <w:autoSpaceDN w:val="0"/>
        <w:adjustRightInd w:val="0"/>
        <w:snapToGrid w:val="0"/>
        <w:ind w:firstLine="422"/>
        <w:rPr>
          <w:rFonts w:hint="eastAsia" w:ascii="宋体" w:hAnsi="宋体" w:cs="宋体"/>
          <w:b w:val="0"/>
          <w:bCs w:val="0"/>
          <w:szCs w:val="21"/>
        </w:rPr>
      </w:pPr>
      <w:r>
        <w:rPr>
          <w:rFonts w:hint="eastAsia" w:ascii="宋体" w:hAnsi="宋体" w:cs="宋体"/>
          <w:b w:val="0"/>
          <w:bCs w:val="0"/>
          <w:szCs w:val="21"/>
          <w:lang w:val="en-US" w:eastAsia="zh-CN"/>
        </w:rPr>
        <w:t>（1）GPU服务器SSD硬盘采购</w:t>
      </w:r>
      <w:r>
        <w:rPr>
          <w:rFonts w:hint="eastAsia" w:ascii="宋体" w:hAnsi="宋体" w:cs="宋体"/>
          <w:b w:val="0"/>
          <w:bCs w:val="0"/>
          <w:szCs w:val="21"/>
          <w:lang w:eastAsia="zh-CN"/>
        </w:rPr>
        <w:t>：</w:t>
      </w:r>
      <w:r>
        <w:rPr>
          <w:rFonts w:hint="eastAsia" w:ascii="宋体" w:hAnsi="宋体" w:cs="宋体"/>
          <w:b w:val="0"/>
          <w:bCs w:val="0"/>
          <w:szCs w:val="21"/>
          <w:lang w:val="en-US" w:eastAsia="zh-CN"/>
        </w:rPr>
        <w:t>采购适配采购人智算集群GPU服务器SSD硬盘768块</w:t>
      </w:r>
      <w:r>
        <w:rPr>
          <w:rFonts w:hint="eastAsia" w:ascii="宋体" w:hAnsi="宋体" w:cs="宋体"/>
          <w:b w:val="0"/>
          <w:bCs w:val="0"/>
          <w:szCs w:val="21"/>
        </w:rPr>
        <w:t>。</w:t>
      </w:r>
    </w:p>
    <w:p w14:paraId="7F5AEEFF">
      <w:pPr>
        <w:widowControl w:val="0"/>
        <w:autoSpaceDE w:val="0"/>
        <w:autoSpaceDN w:val="0"/>
        <w:adjustRightInd w:val="0"/>
        <w:snapToGrid w:val="0"/>
        <w:ind w:firstLine="422"/>
        <w:rPr>
          <w:rFonts w:hint="eastAsia" w:ascii="宋体" w:hAnsi="宋体" w:cs="宋体"/>
          <w:b w:val="0"/>
          <w:bCs w:val="0"/>
          <w:szCs w:val="21"/>
        </w:rPr>
      </w:pPr>
      <w:r>
        <w:rPr>
          <w:rFonts w:hint="eastAsia" w:ascii="宋体" w:hAnsi="宋体" w:cs="宋体"/>
          <w:b w:val="0"/>
          <w:bCs w:val="0"/>
          <w:szCs w:val="21"/>
          <w:lang w:val="en-US" w:eastAsia="zh-CN"/>
        </w:rPr>
        <w:t>（2）GPU服务器采购</w:t>
      </w:r>
      <w:r>
        <w:rPr>
          <w:rFonts w:hint="eastAsia" w:ascii="宋体" w:hAnsi="宋体" w:cs="宋体"/>
          <w:b w:val="0"/>
          <w:bCs w:val="0"/>
          <w:szCs w:val="21"/>
          <w:lang w:eastAsia="zh-CN"/>
        </w:rPr>
        <w:t>：</w:t>
      </w:r>
      <w:r>
        <w:rPr>
          <w:rFonts w:hint="eastAsia" w:ascii="宋体" w:hAnsi="宋体" w:cs="宋体"/>
          <w:b w:val="0"/>
          <w:bCs w:val="0"/>
          <w:szCs w:val="21"/>
          <w:lang w:val="en-US" w:eastAsia="zh-CN"/>
        </w:rPr>
        <w:t>采购1台备用GPU服务器，GPU服务器配置要求详见下表</w:t>
      </w:r>
      <w:r>
        <w:rPr>
          <w:rFonts w:hint="eastAsia" w:ascii="宋体" w:hAnsi="宋体" w:cs="宋体"/>
          <w:b w:val="0"/>
          <w:bCs w:val="0"/>
          <w:szCs w:val="21"/>
        </w:rPr>
        <w:t>。</w:t>
      </w:r>
    </w:p>
    <w:p w14:paraId="70368630">
      <w:pPr>
        <w:pStyle w:val="2"/>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firstLine="0" w:firstLineChars="0"/>
        <w:jc w:val="center"/>
        <w:textAlignment w:val="auto"/>
        <w:rPr>
          <w:rFonts w:hint="default" w:eastAsia="宋体"/>
          <w:b/>
          <w:bCs/>
          <w:lang w:val="en-US" w:eastAsia="zh-CN"/>
        </w:rPr>
      </w:pPr>
      <w:r>
        <w:rPr>
          <w:rFonts w:hint="eastAsia" w:cs="宋体"/>
          <w:b/>
          <w:bCs/>
          <w:szCs w:val="21"/>
          <w:lang w:val="en-US" w:eastAsia="zh-CN"/>
        </w:rPr>
        <w:t>关键设备备件配置要求表</w:t>
      </w:r>
    </w:p>
    <w:tbl>
      <w:tblPr>
        <w:tblStyle w:val="21"/>
        <w:tblW w:w="8524" w:type="dxa"/>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Layout w:type="autofit"/>
        <w:tblCellMar>
          <w:top w:w="0" w:type="dxa"/>
          <w:left w:w="108" w:type="dxa"/>
          <w:bottom w:w="0" w:type="dxa"/>
          <w:right w:w="108" w:type="dxa"/>
        </w:tblCellMar>
      </w:tblPr>
      <w:tblGrid>
        <w:gridCol w:w="830"/>
        <w:gridCol w:w="1779"/>
        <w:gridCol w:w="4960"/>
        <w:gridCol w:w="955"/>
      </w:tblGrid>
      <w:tr w14:paraId="10EB479E">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tblHeader/>
          <w:jc w:val="center"/>
        </w:trPr>
        <w:tc>
          <w:tcPr>
            <w:tcW w:w="830" w:type="dxa"/>
            <w:tcBorders>
              <w:tl2br w:val="nil"/>
              <w:tr2bl w:val="nil"/>
            </w:tcBorders>
            <w:shd w:val="clear" w:color="auto" w:fill="auto"/>
            <w:vAlign w:val="center"/>
          </w:tcPr>
          <w:p w14:paraId="30B5D130">
            <w:pPr>
              <w:snapToGrid w:val="0"/>
              <w:spacing w:line="240" w:lineRule="auto"/>
              <w:ind w:left="0" w:leftChars="0" w:right="0" w:rightChars="0"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779" w:type="dxa"/>
            <w:tcBorders>
              <w:tl2br w:val="nil"/>
              <w:tr2bl w:val="nil"/>
            </w:tcBorders>
            <w:shd w:val="clear" w:color="auto" w:fill="auto"/>
            <w:vAlign w:val="center"/>
          </w:tcPr>
          <w:p w14:paraId="11F3E0D9">
            <w:pPr>
              <w:snapToGrid w:val="0"/>
              <w:spacing w:line="240" w:lineRule="auto"/>
              <w:ind w:left="0" w:leftChars="0" w:right="0" w:rightChars="0"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货物名称</w:t>
            </w:r>
          </w:p>
        </w:tc>
        <w:tc>
          <w:tcPr>
            <w:tcW w:w="4960" w:type="dxa"/>
            <w:tcBorders>
              <w:tl2br w:val="nil"/>
              <w:tr2bl w:val="nil"/>
            </w:tcBorders>
            <w:shd w:val="clear" w:color="auto" w:fill="auto"/>
            <w:vAlign w:val="center"/>
          </w:tcPr>
          <w:p w14:paraId="7C24427F">
            <w:pPr>
              <w:snapToGrid w:val="0"/>
              <w:spacing w:line="240" w:lineRule="auto"/>
              <w:ind w:left="0" w:leftChars="0" w:right="0" w:rightChars="0"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技术要求</w:t>
            </w:r>
          </w:p>
        </w:tc>
        <w:tc>
          <w:tcPr>
            <w:tcW w:w="955" w:type="dxa"/>
            <w:tcBorders>
              <w:tl2br w:val="nil"/>
              <w:tr2bl w:val="nil"/>
            </w:tcBorders>
            <w:shd w:val="clear" w:color="auto" w:fill="auto"/>
            <w:vAlign w:val="center"/>
          </w:tcPr>
          <w:p w14:paraId="21407609">
            <w:pPr>
              <w:snapToGrid w:val="0"/>
              <w:spacing w:line="240" w:lineRule="auto"/>
              <w:ind w:left="0" w:leftChars="0" w:right="0" w:rightChars="0" w:firstLine="0" w:firstLineChars="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数量</w:t>
            </w:r>
          </w:p>
        </w:tc>
      </w:tr>
      <w:tr w14:paraId="5077F850">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restart"/>
            <w:tcBorders>
              <w:tl2br w:val="nil"/>
              <w:tr2bl w:val="nil"/>
            </w:tcBorders>
            <w:shd w:val="clear" w:color="auto" w:fill="auto"/>
            <w:vAlign w:val="center"/>
          </w:tcPr>
          <w:p w14:paraId="5C61A355">
            <w:pPr>
              <w:snapToGrid w:val="0"/>
              <w:spacing w:line="240" w:lineRule="auto"/>
              <w:ind w:left="0" w:leftChars="0" w:right="0" w:rightChars="0" w:firstLine="0" w:firstLineChars="0"/>
              <w:jc w:val="center"/>
              <w:textAlignment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kern w:val="0"/>
                <w:sz w:val="21"/>
                <w:szCs w:val="21"/>
                <w:lang w:val="en-US" w:eastAsia="zh-CN" w:bidi="ar"/>
              </w:rPr>
              <w:t>1</w:t>
            </w:r>
          </w:p>
        </w:tc>
        <w:tc>
          <w:tcPr>
            <w:tcW w:w="1779" w:type="dxa"/>
            <w:vMerge w:val="restart"/>
            <w:tcBorders>
              <w:tl2br w:val="nil"/>
              <w:tr2bl w:val="nil"/>
            </w:tcBorders>
            <w:shd w:val="clear" w:color="auto" w:fill="auto"/>
            <w:vAlign w:val="center"/>
          </w:tcPr>
          <w:p w14:paraId="2F29E017">
            <w:pPr>
              <w:snapToGrid w:val="0"/>
              <w:spacing w:line="240" w:lineRule="auto"/>
              <w:ind w:left="0" w:leftChars="0" w:right="0" w:rightChars="0" w:firstLine="0" w:firstLineChars="0"/>
              <w:jc w:val="left"/>
              <w:textAlignment w:val="center"/>
              <w:rPr>
                <w:rFonts w:hint="eastAsia" w:ascii="宋体" w:hAnsi="宋体" w:eastAsia="宋体" w:cs="宋体"/>
                <w:b/>
                <w:bCs/>
                <w:color w:val="000000"/>
                <w:sz w:val="21"/>
                <w:szCs w:val="21"/>
              </w:rPr>
            </w:pPr>
            <w:r>
              <w:rPr>
                <w:rFonts w:hint="eastAsia" w:ascii="宋体" w:hAnsi="宋体" w:cs="宋体"/>
                <w:b w:val="0"/>
                <w:bCs w:val="0"/>
                <w:szCs w:val="21"/>
                <w:lang w:val="en-US" w:eastAsia="zh-CN"/>
              </w:rPr>
              <w:t>GPU服务器SSD硬盘</w:t>
            </w:r>
          </w:p>
        </w:tc>
        <w:tc>
          <w:tcPr>
            <w:tcW w:w="4960" w:type="dxa"/>
            <w:tcBorders>
              <w:tl2br w:val="nil"/>
              <w:tr2bl w:val="nil"/>
            </w:tcBorders>
            <w:shd w:val="clear" w:color="auto" w:fill="auto"/>
            <w:vAlign w:val="center"/>
          </w:tcPr>
          <w:p w14:paraId="66BC37A2">
            <w:pPr>
              <w:snapToGrid w:val="0"/>
              <w:spacing w:line="240" w:lineRule="auto"/>
              <w:ind w:left="0" w:leftChars="0" w:right="0" w:rightChars="0" w:firstLine="0" w:firstLineChars="0"/>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 硬盘接口：不低于PCIe 4.0 x4；</w:t>
            </w:r>
          </w:p>
        </w:tc>
        <w:tc>
          <w:tcPr>
            <w:tcW w:w="955" w:type="dxa"/>
            <w:vMerge w:val="restart"/>
            <w:tcBorders>
              <w:tl2br w:val="nil"/>
              <w:tr2bl w:val="nil"/>
            </w:tcBorders>
            <w:shd w:val="clear" w:color="auto" w:fill="auto"/>
            <w:vAlign w:val="center"/>
          </w:tcPr>
          <w:p w14:paraId="38D490B2">
            <w:pPr>
              <w:snapToGrid w:val="0"/>
              <w:spacing w:line="240" w:lineRule="auto"/>
              <w:ind w:left="0" w:leftChars="0" w:right="0" w:rightChars="0" w:firstLine="0" w:firstLineChars="0"/>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768块</w:t>
            </w:r>
          </w:p>
        </w:tc>
      </w:tr>
      <w:tr w14:paraId="71FAD0B4">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069B4EC9">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p>
        </w:tc>
        <w:tc>
          <w:tcPr>
            <w:tcW w:w="1779" w:type="dxa"/>
            <w:vMerge w:val="continue"/>
            <w:tcBorders>
              <w:tl2br w:val="nil"/>
              <w:tr2bl w:val="nil"/>
            </w:tcBorders>
            <w:shd w:val="clear" w:color="auto" w:fill="auto"/>
            <w:vAlign w:val="center"/>
          </w:tcPr>
          <w:p w14:paraId="7FB9FFA3">
            <w:pPr>
              <w:snapToGrid w:val="0"/>
              <w:spacing w:line="240" w:lineRule="auto"/>
              <w:ind w:left="0" w:leftChars="0" w:right="0" w:rightChars="0" w:firstLine="0" w:firstLineChars="0"/>
              <w:jc w:val="left"/>
              <w:textAlignment w:val="center"/>
              <w:rPr>
                <w:rFonts w:hint="eastAsia" w:ascii="宋体" w:hAnsi="宋体" w:cs="宋体"/>
                <w:b w:val="0"/>
                <w:bCs w:val="0"/>
                <w:szCs w:val="21"/>
                <w:lang w:val="en-US" w:eastAsia="zh-CN"/>
              </w:rPr>
            </w:pPr>
          </w:p>
        </w:tc>
        <w:tc>
          <w:tcPr>
            <w:tcW w:w="4960" w:type="dxa"/>
            <w:tcBorders>
              <w:tl2br w:val="nil"/>
              <w:tr2bl w:val="nil"/>
            </w:tcBorders>
            <w:shd w:val="clear" w:color="auto" w:fill="auto"/>
            <w:vAlign w:val="center"/>
          </w:tcPr>
          <w:p w14:paraId="4CBFA092">
            <w:pPr>
              <w:snapToGrid w:val="0"/>
              <w:spacing w:line="240" w:lineRule="auto"/>
              <w:ind w:left="0" w:leftChars="0" w:right="0" w:rightChars="0" w:firstLine="0" w:firstLineChars="0"/>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 外形规格：不低于U.2；</w:t>
            </w:r>
          </w:p>
        </w:tc>
        <w:tc>
          <w:tcPr>
            <w:tcW w:w="955" w:type="dxa"/>
            <w:vMerge w:val="continue"/>
            <w:tcBorders>
              <w:tl2br w:val="nil"/>
              <w:tr2bl w:val="nil"/>
            </w:tcBorders>
            <w:shd w:val="clear" w:color="auto" w:fill="auto"/>
            <w:vAlign w:val="center"/>
          </w:tcPr>
          <w:p w14:paraId="1C9F0C7D">
            <w:pPr>
              <w:snapToGrid w:val="0"/>
              <w:spacing w:line="240" w:lineRule="auto"/>
              <w:ind w:left="0" w:leftChars="0" w:right="0" w:rightChars="0" w:firstLine="0" w:firstLineChars="0"/>
              <w:jc w:val="center"/>
              <w:rPr>
                <w:rFonts w:hint="eastAsia" w:ascii="宋体" w:hAnsi="宋体" w:cs="宋体"/>
                <w:color w:val="000000"/>
                <w:sz w:val="21"/>
                <w:szCs w:val="21"/>
                <w:lang w:val="en-US" w:eastAsia="zh-CN"/>
              </w:rPr>
            </w:pPr>
          </w:p>
        </w:tc>
      </w:tr>
      <w:tr w14:paraId="5FC18725">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2DAAF48A">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p>
        </w:tc>
        <w:tc>
          <w:tcPr>
            <w:tcW w:w="1779" w:type="dxa"/>
            <w:vMerge w:val="continue"/>
            <w:tcBorders>
              <w:tl2br w:val="nil"/>
              <w:tr2bl w:val="nil"/>
            </w:tcBorders>
            <w:shd w:val="clear" w:color="auto" w:fill="auto"/>
            <w:vAlign w:val="center"/>
          </w:tcPr>
          <w:p w14:paraId="0E817888">
            <w:pPr>
              <w:snapToGrid w:val="0"/>
              <w:spacing w:line="240" w:lineRule="auto"/>
              <w:ind w:left="0" w:leftChars="0" w:right="0" w:rightChars="0" w:firstLine="0" w:firstLineChars="0"/>
              <w:jc w:val="left"/>
              <w:textAlignment w:val="center"/>
              <w:rPr>
                <w:rFonts w:hint="eastAsia" w:ascii="宋体" w:hAnsi="宋体" w:cs="宋体"/>
                <w:b w:val="0"/>
                <w:bCs w:val="0"/>
                <w:szCs w:val="21"/>
                <w:lang w:val="en-US" w:eastAsia="zh-CN"/>
              </w:rPr>
            </w:pPr>
          </w:p>
        </w:tc>
        <w:tc>
          <w:tcPr>
            <w:tcW w:w="4960" w:type="dxa"/>
            <w:tcBorders>
              <w:tl2br w:val="nil"/>
              <w:tr2bl w:val="nil"/>
            </w:tcBorders>
            <w:shd w:val="clear" w:color="auto" w:fill="auto"/>
            <w:vAlign w:val="center"/>
          </w:tcPr>
          <w:p w14:paraId="3098B3FD">
            <w:pPr>
              <w:snapToGrid w:val="0"/>
              <w:spacing w:line="240" w:lineRule="auto"/>
              <w:ind w:left="0" w:leftChars="0" w:right="0" w:rightChars="0" w:firstLine="0" w:firstLineChars="0"/>
              <w:jc w:val="both"/>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w:t>
            </w:r>
            <w:r>
              <w:rPr>
                <w:rFonts w:hint="eastAsia" w:ascii="宋体" w:hAnsi="宋体" w:cs="宋体"/>
                <w:color w:val="000000"/>
                <w:kern w:val="0"/>
                <w:sz w:val="21"/>
                <w:szCs w:val="21"/>
                <w:lang w:val="en-US" w:eastAsia="zh-CN" w:bidi="ar"/>
              </w:rPr>
              <w:t xml:space="preserve">1.3 </w:t>
            </w:r>
            <w:r>
              <w:rPr>
                <w:rFonts w:hint="eastAsia" w:ascii="宋体" w:hAnsi="宋体" w:eastAsia="宋体" w:cs="宋体"/>
                <w:color w:val="000000"/>
                <w:sz w:val="21"/>
                <w:szCs w:val="21"/>
              </w:rPr>
              <w:t>容量</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768</w:t>
            </w:r>
            <w:r>
              <w:rPr>
                <w:rFonts w:hint="eastAsia" w:ascii="宋体" w:hAnsi="宋体" w:cs="宋体"/>
                <w:color w:val="000000"/>
                <w:sz w:val="21"/>
                <w:szCs w:val="21"/>
                <w:lang w:val="en-US" w:eastAsia="zh-CN"/>
              </w:rPr>
              <w:t>0</w:t>
            </w:r>
            <w:r>
              <w:rPr>
                <w:rFonts w:hint="eastAsia" w:ascii="宋体" w:hAnsi="宋体" w:cs="宋体"/>
                <w:color w:val="000000"/>
                <w:sz w:val="21"/>
                <w:szCs w:val="21"/>
                <w:lang w:eastAsia="zh-CN"/>
              </w:rPr>
              <w:t xml:space="preserve"> </w:t>
            </w:r>
            <w:r>
              <w:rPr>
                <w:rFonts w:hint="eastAsia" w:ascii="宋体" w:hAnsi="宋体" w:cs="宋体"/>
                <w:color w:val="000000"/>
                <w:sz w:val="21"/>
                <w:szCs w:val="21"/>
                <w:lang w:val="en-US" w:eastAsia="zh-CN"/>
              </w:rPr>
              <w:t>G</w:t>
            </w:r>
            <w:r>
              <w:rPr>
                <w:rFonts w:hint="eastAsia" w:ascii="宋体" w:hAnsi="宋体" w:cs="宋体"/>
                <w:color w:val="000000"/>
                <w:sz w:val="21"/>
                <w:szCs w:val="21"/>
                <w:lang w:eastAsia="zh-CN"/>
              </w:rPr>
              <w:t>B；</w:t>
            </w:r>
          </w:p>
        </w:tc>
        <w:tc>
          <w:tcPr>
            <w:tcW w:w="955" w:type="dxa"/>
            <w:vMerge w:val="continue"/>
            <w:tcBorders>
              <w:tl2br w:val="nil"/>
              <w:tr2bl w:val="nil"/>
            </w:tcBorders>
            <w:shd w:val="clear" w:color="auto" w:fill="auto"/>
            <w:vAlign w:val="center"/>
          </w:tcPr>
          <w:p w14:paraId="2E0C1EC0">
            <w:pPr>
              <w:snapToGrid w:val="0"/>
              <w:spacing w:line="240" w:lineRule="auto"/>
              <w:ind w:left="0" w:leftChars="0" w:right="0" w:rightChars="0" w:firstLine="0" w:firstLineChars="0"/>
              <w:jc w:val="center"/>
              <w:rPr>
                <w:rFonts w:hint="eastAsia" w:ascii="宋体" w:hAnsi="宋体" w:eastAsia="宋体" w:cs="宋体"/>
                <w:color w:val="000000"/>
                <w:kern w:val="0"/>
                <w:sz w:val="21"/>
                <w:szCs w:val="21"/>
                <w:lang w:bidi="ar"/>
              </w:rPr>
            </w:pPr>
          </w:p>
        </w:tc>
      </w:tr>
      <w:tr w14:paraId="499F5A98">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746D9CF8">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p>
        </w:tc>
        <w:tc>
          <w:tcPr>
            <w:tcW w:w="1779" w:type="dxa"/>
            <w:vMerge w:val="continue"/>
            <w:tcBorders>
              <w:tl2br w:val="nil"/>
              <w:tr2bl w:val="nil"/>
            </w:tcBorders>
            <w:shd w:val="clear" w:color="auto" w:fill="auto"/>
            <w:vAlign w:val="center"/>
          </w:tcPr>
          <w:p w14:paraId="1457F0DF">
            <w:pPr>
              <w:snapToGrid w:val="0"/>
              <w:spacing w:line="240" w:lineRule="auto"/>
              <w:ind w:left="0" w:leftChars="0" w:right="0" w:rightChars="0" w:firstLine="0" w:firstLineChars="0"/>
              <w:jc w:val="left"/>
              <w:textAlignment w:val="center"/>
              <w:rPr>
                <w:rFonts w:hint="eastAsia" w:ascii="宋体" w:hAnsi="宋体" w:cs="宋体"/>
                <w:b w:val="0"/>
                <w:bCs w:val="0"/>
                <w:szCs w:val="21"/>
                <w:lang w:val="en-US" w:eastAsia="zh-CN"/>
              </w:rPr>
            </w:pPr>
          </w:p>
        </w:tc>
        <w:tc>
          <w:tcPr>
            <w:tcW w:w="4960" w:type="dxa"/>
            <w:tcBorders>
              <w:tl2br w:val="nil"/>
              <w:tr2bl w:val="nil"/>
            </w:tcBorders>
            <w:shd w:val="clear" w:color="auto" w:fill="auto"/>
            <w:vAlign w:val="center"/>
          </w:tcPr>
          <w:p w14:paraId="2979AB0B">
            <w:pPr>
              <w:snapToGrid w:val="0"/>
              <w:spacing w:line="240" w:lineRule="auto"/>
              <w:ind w:left="0" w:leftChars="0" w:right="0" w:rightChars="0" w:firstLine="0" w:firstLineChars="0"/>
              <w:jc w:val="both"/>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 xml:space="preserve">1.4 </w:t>
            </w:r>
            <w:r>
              <w:rPr>
                <w:rFonts w:hint="eastAsia" w:ascii="宋体" w:hAnsi="宋体" w:eastAsia="宋体" w:cs="宋体"/>
                <w:color w:val="000000"/>
                <w:sz w:val="21"/>
                <w:szCs w:val="21"/>
              </w:rPr>
              <w:t>顺序读取</w:t>
            </w:r>
            <w:r>
              <w:rPr>
                <w:rFonts w:hint="eastAsia" w:ascii="宋体" w:hAnsi="宋体" w:cs="宋体"/>
                <w:color w:val="000000"/>
                <w:sz w:val="21"/>
                <w:szCs w:val="21"/>
                <w:lang w:val="en-US" w:eastAsia="zh-CN"/>
              </w:rPr>
              <w:t>速率（128KB）：≥6700 MB/s；</w:t>
            </w:r>
          </w:p>
        </w:tc>
        <w:tc>
          <w:tcPr>
            <w:tcW w:w="955" w:type="dxa"/>
            <w:vMerge w:val="continue"/>
            <w:tcBorders>
              <w:tl2br w:val="nil"/>
              <w:tr2bl w:val="nil"/>
            </w:tcBorders>
            <w:shd w:val="clear" w:color="auto" w:fill="auto"/>
            <w:vAlign w:val="center"/>
          </w:tcPr>
          <w:p w14:paraId="312C85B3">
            <w:pPr>
              <w:snapToGrid w:val="0"/>
              <w:spacing w:line="240" w:lineRule="auto"/>
              <w:ind w:left="0" w:leftChars="0" w:right="0" w:rightChars="0" w:firstLine="0" w:firstLineChars="0"/>
              <w:jc w:val="center"/>
              <w:rPr>
                <w:rFonts w:hint="eastAsia" w:ascii="宋体" w:hAnsi="宋体" w:cs="宋体"/>
                <w:color w:val="000000"/>
                <w:sz w:val="21"/>
                <w:szCs w:val="21"/>
                <w:lang w:val="en-US" w:eastAsia="zh-CN"/>
              </w:rPr>
            </w:pPr>
          </w:p>
        </w:tc>
      </w:tr>
      <w:tr w14:paraId="4A0FF3F5">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33F4A05A">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p>
        </w:tc>
        <w:tc>
          <w:tcPr>
            <w:tcW w:w="1779" w:type="dxa"/>
            <w:vMerge w:val="continue"/>
            <w:tcBorders>
              <w:tl2br w:val="nil"/>
              <w:tr2bl w:val="nil"/>
            </w:tcBorders>
            <w:shd w:val="clear" w:color="auto" w:fill="auto"/>
            <w:vAlign w:val="center"/>
          </w:tcPr>
          <w:p w14:paraId="12C1C2FF">
            <w:pPr>
              <w:snapToGrid w:val="0"/>
              <w:spacing w:line="240" w:lineRule="auto"/>
              <w:ind w:left="0" w:leftChars="0" w:right="0" w:rightChars="0" w:firstLine="0" w:firstLineChars="0"/>
              <w:jc w:val="left"/>
              <w:textAlignment w:val="center"/>
              <w:rPr>
                <w:rFonts w:hint="eastAsia" w:ascii="宋体" w:hAnsi="宋体" w:cs="宋体"/>
                <w:b w:val="0"/>
                <w:bCs w:val="0"/>
                <w:szCs w:val="21"/>
                <w:lang w:val="en-US" w:eastAsia="zh-CN"/>
              </w:rPr>
            </w:pPr>
          </w:p>
        </w:tc>
        <w:tc>
          <w:tcPr>
            <w:tcW w:w="4960" w:type="dxa"/>
            <w:tcBorders>
              <w:tl2br w:val="nil"/>
              <w:tr2bl w:val="nil"/>
            </w:tcBorders>
            <w:shd w:val="clear" w:color="auto" w:fill="auto"/>
            <w:vAlign w:val="center"/>
          </w:tcPr>
          <w:p w14:paraId="15F02124">
            <w:pPr>
              <w:snapToGrid w:val="0"/>
              <w:spacing w:line="240" w:lineRule="auto"/>
              <w:ind w:left="0" w:leftChars="0" w:right="0" w:rightChars="0" w:firstLine="0" w:firstLineChars="0"/>
              <w:jc w:val="both"/>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 xml:space="preserve">1.5 </w:t>
            </w:r>
            <w:r>
              <w:rPr>
                <w:rFonts w:hint="eastAsia" w:ascii="宋体" w:hAnsi="宋体" w:eastAsia="宋体" w:cs="宋体"/>
                <w:color w:val="000000"/>
                <w:sz w:val="21"/>
                <w:szCs w:val="21"/>
              </w:rPr>
              <w:t>顺序写入</w:t>
            </w:r>
            <w:r>
              <w:rPr>
                <w:rFonts w:hint="eastAsia" w:ascii="宋体" w:hAnsi="宋体" w:cs="宋体"/>
                <w:color w:val="000000"/>
                <w:sz w:val="21"/>
                <w:szCs w:val="21"/>
                <w:lang w:val="en-US" w:eastAsia="zh-CN"/>
              </w:rPr>
              <w:t>速率（128KB）：≥4000 MB/s；</w:t>
            </w:r>
          </w:p>
        </w:tc>
        <w:tc>
          <w:tcPr>
            <w:tcW w:w="955" w:type="dxa"/>
            <w:vMerge w:val="continue"/>
            <w:tcBorders>
              <w:tl2br w:val="nil"/>
              <w:tr2bl w:val="nil"/>
            </w:tcBorders>
            <w:shd w:val="clear" w:color="auto" w:fill="auto"/>
            <w:vAlign w:val="center"/>
          </w:tcPr>
          <w:p w14:paraId="7A416E56">
            <w:pPr>
              <w:snapToGrid w:val="0"/>
              <w:spacing w:line="240" w:lineRule="auto"/>
              <w:ind w:left="0" w:leftChars="0" w:right="0" w:rightChars="0" w:firstLine="0" w:firstLineChars="0"/>
              <w:jc w:val="center"/>
              <w:rPr>
                <w:rFonts w:hint="eastAsia" w:ascii="宋体" w:hAnsi="宋体" w:cs="宋体"/>
                <w:color w:val="000000"/>
                <w:sz w:val="21"/>
                <w:szCs w:val="21"/>
                <w:lang w:val="en-US" w:eastAsia="zh-CN"/>
              </w:rPr>
            </w:pPr>
          </w:p>
        </w:tc>
      </w:tr>
      <w:tr w14:paraId="49F5B146">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459603A5">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p>
        </w:tc>
        <w:tc>
          <w:tcPr>
            <w:tcW w:w="1779" w:type="dxa"/>
            <w:vMerge w:val="continue"/>
            <w:tcBorders>
              <w:tl2br w:val="nil"/>
              <w:tr2bl w:val="nil"/>
            </w:tcBorders>
            <w:shd w:val="clear" w:color="auto" w:fill="auto"/>
            <w:vAlign w:val="center"/>
          </w:tcPr>
          <w:p w14:paraId="24C27716">
            <w:pPr>
              <w:snapToGrid w:val="0"/>
              <w:spacing w:line="240" w:lineRule="auto"/>
              <w:ind w:left="0" w:leftChars="0" w:right="0" w:rightChars="0" w:firstLine="0" w:firstLineChars="0"/>
              <w:jc w:val="left"/>
              <w:textAlignment w:val="center"/>
              <w:rPr>
                <w:rFonts w:hint="eastAsia" w:ascii="宋体" w:hAnsi="宋体" w:cs="宋体"/>
                <w:b w:val="0"/>
                <w:bCs w:val="0"/>
                <w:szCs w:val="21"/>
                <w:lang w:val="en-US" w:eastAsia="zh-CN"/>
              </w:rPr>
            </w:pPr>
          </w:p>
        </w:tc>
        <w:tc>
          <w:tcPr>
            <w:tcW w:w="4960" w:type="dxa"/>
            <w:tcBorders>
              <w:tl2br w:val="nil"/>
              <w:tr2bl w:val="nil"/>
            </w:tcBorders>
            <w:shd w:val="clear" w:color="auto" w:fill="auto"/>
            <w:vAlign w:val="center"/>
          </w:tcPr>
          <w:p w14:paraId="6D2D1922">
            <w:pPr>
              <w:snapToGrid w:val="0"/>
              <w:spacing w:line="240" w:lineRule="auto"/>
              <w:ind w:left="0" w:leftChars="0" w:right="0" w:rightChars="0" w:firstLine="0" w:firstLineChars="0"/>
              <w:jc w:val="both"/>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 xml:space="preserve">1.6 </w:t>
            </w:r>
            <w:r>
              <w:rPr>
                <w:rFonts w:hint="eastAsia" w:ascii="宋体" w:hAnsi="宋体" w:eastAsia="宋体" w:cs="宋体"/>
                <w:color w:val="000000"/>
                <w:sz w:val="21"/>
                <w:szCs w:val="21"/>
              </w:rPr>
              <w:t>随机读取</w:t>
            </w:r>
            <w:r>
              <w:rPr>
                <w:rFonts w:hint="eastAsia" w:ascii="宋体" w:hAnsi="宋体" w:cs="宋体"/>
                <w:color w:val="000000"/>
                <w:sz w:val="21"/>
                <w:szCs w:val="21"/>
                <w:lang w:val="en-US" w:eastAsia="zh-CN"/>
              </w:rPr>
              <w:t>速率（4KB）：≥1000K IOPS；</w:t>
            </w:r>
          </w:p>
        </w:tc>
        <w:tc>
          <w:tcPr>
            <w:tcW w:w="955" w:type="dxa"/>
            <w:vMerge w:val="continue"/>
            <w:tcBorders>
              <w:tl2br w:val="nil"/>
              <w:tr2bl w:val="nil"/>
            </w:tcBorders>
            <w:shd w:val="clear" w:color="auto" w:fill="auto"/>
            <w:vAlign w:val="center"/>
          </w:tcPr>
          <w:p w14:paraId="6763B73B">
            <w:pPr>
              <w:snapToGrid w:val="0"/>
              <w:spacing w:line="240" w:lineRule="auto"/>
              <w:ind w:left="0" w:leftChars="0" w:right="0" w:rightChars="0" w:firstLine="0" w:firstLineChars="0"/>
              <w:jc w:val="center"/>
              <w:rPr>
                <w:rFonts w:hint="eastAsia" w:ascii="宋体" w:hAnsi="宋体" w:cs="宋体"/>
                <w:color w:val="000000"/>
                <w:sz w:val="21"/>
                <w:szCs w:val="21"/>
                <w:lang w:val="en-US" w:eastAsia="zh-CN"/>
              </w:rPr>
            </w:pPr>
          </w:p>
        </w:tc>
      </w:tr>
      <w:tr w14:paraId="3CBC4082">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463DD691">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p>
        </w:tc>
        <w:tc>
          <w:tcPr>
            <w:tcW w:w="1779" w:type="dxa"/>
            <w:vMerge w:val="continue"/>
            <w:tcBorders>
              <w:tl2br w:val="nil"/>
              <w:tr2bl w:val="nil"/>
            </w:tcBorders>
            <w:shd w:val="clear" w:color="auto" w:fill="auto"/>
            <w:vAlign w:val="center"/>
          </w:tcPr>
          <w:p w14:paraId="6037ED50">
            <w:pPr>
              <w:snapToGrid w:val="0"/>
              <w:spacing w:line="240" w:lineRule="auto"/>
              <w:ind w:left="0" w:leftChars="0" w:right="0" w:rightChars="0" w:firstLine="0" w:firstLineChars="0"/>
              <w:jc w:val="left"/>
              <w:textAlignment w:val="center"/>
              <w:rPr>
                <w:rFonts w:hint="eastAsia" w:ascii="宋体" w:hAnsi="宋体" w:cs="宋体"/>
                <w:b w:val="0"/>
                <w:bCs w:val="0"/>
                <w:szCs w:val="21"/>
                <w:lang w:val="en-US" w:eastAsia="zh-CN"/>
              </w:rPr>
            </w:pPr>
          </w:p>
        </w:tc>
        <w:tc>
          <w:tcPr>
            <w:tcW w:w="4960" w:type="dxa"/>
            <w:tcBorders>
              <w:tl2br w:val="nil"/>
              <w:tr2bl w:val="nil"/>
            </w:tcBorders>
            <w:shd w:val="clear" w:color="auto" w:fill="auto"/>
            <w:vAlign w:val="center"/>
          </w:tcPr>
          <w:p w14:paraId="5FD5B1F6">
            <w:pPr>
              <w:snapToGrid w:val="0"/>
              <w:spacing w:line="240" w:lineRule="auto"/>
              <w:ind w:left="0" w:leftChars="0" w:right="0" w:rightChars="0" w:firstLine="0" w:firstLineChars="0"/>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1.7 随机写入速率（4KB）：≥200K IOPS；</w:t>
            </w:r>
          </w:p>
        </w:tc>
        <w:tc>
          <w:tcPr>
            <w:tcW w:w="955" w:type="dxa"/>
            <w:vMerge w:val="continue"/>
            <w:tcBorders>
              <w:tl2br w:val="nil"/>
              <w:tr2bl w:val="nil"/>
            </w:tcBorders>
            <w:shd w:val="clear" w:color="auto" w:fill="auto"/>
            <w:vAlign w:val="center"/>
          </w:tcPr>
          <w:p w14:paraId="1928E402">
            <w:pPr>
              <w:snapToGrid w:val="0"/>
              <w:spacing w:line="240" w:lineRule="auto"/>
              <w:ind w:left="0" w:leftChars="0" w:right="0" w:rightChars="0" w:firstLine="0" w:firstLineChars="0"/>
              <w:jc w:val="center"/>
              <w:rPr>
                <w:rFonts w:hint="eastAsia" w:ascii="宋体" w:hAnsi="宋体" w:cs="宋体"/>
                <w:color w:val="000000"/>
                <w:sz w:val="21"/>
                <w:szCs w:val="21"/>
                <w:lang w:val="en-US" w:eastAsia="zh-CN"/>
              </w:rPr>
            </w:pPr>
          </w:p>
        </w:tc>
      </w:tr>
      <w:tr w14:paraId="643111FA">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2673ACF6">
            <w:pPr>
              <w:snapToGrid w:val="0"/>
              <w:spacing w:line="240" w:lineRule="auto"/>
              <w:ind w:left="0" w:leftChars="0" w:right="0" w:rightChars="0" w:firstLine="0" w:firstLineChars="0"/>
              <w:jc w:val="center"/>
              <w:textAlignment w:val="center"/>
              <w:rPr>
                <w:rFonts w:hint="eastAsia" w:ascii="宋体" w:hAnsi="宋体" w:cs="宋体"/>
                <w:b/>
                <w:bCs/>
                <w:color w:val="000000"/>
                <w:kern w:val="0"/>
                <w:sz w:val="21"/>
                <w:szCs w:val="21"/>
                <w:lang w:val="en-US" w:eastAsia="zh-CN" w:bidi="ar"/>
              </w:rPr>
            </w:pPr>
          </w:p>
        </w:tc>
        <w:tc>
          <w:tcPr>
            <w:tcW w:w="1779" w:type="dxa"/>
            <w:vMerge w:val="continue"/>
            <w:tcBorders>
              <w:tl2br w:val="nil"/>
              <w:tr2bl w:val="nil"/>
            </w:tcBorders>
            <w:shd w:val="clear" w:color="auto" w:fill="auto"/>
            <w:vAlign w:val="center"/>
          </w:tcPr>
          <w:p w14:paraId="12FF7B1B">
            <w:pPr>
              <w:snapToGrid w:val="0"/>
              <w:spacing w:line="240" w:lineRule="auto"/>
              <w:ind w:left="0" w:leftChars="0" w:right="0" w:rightChars="0" w:firstLine="0" w:firstLineChars="0"/>
              <w:jc w:val="left"/>
              <w:textAlignment w:val="center"/>
              <w:rPr>
                <w:rFonts w:hint="eastAsia" w:ascii="宋体" w:hAnsi="宋体" w:cs="宋体"/>
                <w:b w:val="0"/>
                <w:bCs w:val="0"/>
                <w:szCs w:val="21"/>
                <w:lang w:val="en-US" w:eastAsia="zh-CN"/>
              </w:rPr>
            </w:pPr>
          </w:p>
        </w:tc>
        <w:tc>
          <w:tcPr>
            <w:tcW w:w="4960" w:type="dxa"/>
            <w:tcBorders>
              <w:tl2br w:val="nil"/>
              <w:tr2bl w:val="nil"/>
            </w:tcBorders>
            <w:shd w:val="clear" w:color="auto" w:fill="auto"/>
            <w:vAlign w:val="center"/>
          </w:tcPr>
          <w:p w14:paraId="1702FCCA">
            <w:pPr>
              <w:snapToGrid w:val="0"/>
              <w:spacing w:line="240" w:lineRule="auto"/>
              <w:ind w:left="0" w:leftChars="0" w:right="0" w:rightChars="0" w:firstLine="0" w:firstLineChars="0"/>
              <w:jc w:val="both"/>
              <w:rPr>
                <w:rFonts w:hint="default" w:ascii="宋体" w:hAnsi="宋体" w:cs="宋体"/>
                <w:color w:val="000000"/>
                <w:sz w:val="21"/>
                <w:szCs w:val="21"/>
                <w:lang w:val="en-US" w:eastAsia="zh-CN"/>
              </w:rPr>
            </w:pPr>
            <w:r>
              <w:rPr>
                <w:rFonts w:hint="eastAsia" w:ascii="宋体" w:hAnsi="宋体" w:eastAsia="宋体" w:cs="宋体"/>
                <w:color w:val="000000"/>
                <w:kern w:val="0"/>
                <w:sz w:val="21"/>
                <w:szCs w:val="21"/>
                <w:lang w:bidi="ar"/>
              </w:rPr>
              <w:t>★</w:t>
            </w:r>
            <w:r>
              <w:rPr>
                <w:rFonts w:hint="eastAsia" w:ascii="宋体" w:hAnsi="宋体" w:cs="宋体"/>
                <w:color w:val="000000"/>
                <w:sz w:val="21"/>
                <w:szCs w:val="21"/>
                <w:lang w:val="en-US" w:eastAsia="zh-CN"/>
              </w:rPr>
              <w:t>1.8 适配采购人现有GPU服务器；</w:t>
            </w:r>
          </w:p>
        </w:tc>
        <w:tc>
          <w:tcPr>
            <w:tcW w:w="955" w:type="dxa"/>
            <w:vMerge w:val="continue"/>
            <w:tcBorders>
              <w:tl2br w:val="nil"/>
              <w:tr2bl w:val="nil"/>
            </w:tcBorders>
            <w:shd w:val="clear" w:color="auto" w:fill="auto"/>
            <w:vAlign w:val="center"/>
          </w:tcPr>
          <w:p w14:paraId="4DBE24C4">
            <w:pPr>
              <w:snapToGrid w:val="0"/>
              <w:spacing w:line="240" w:lineRule="auto"/>
              <w:ind w:left="0" w:leftChars="0" w:right="0" w:rightChars="0" w:firstLine="0" w:firstLineChars="0"/>
              <w:jc w:val="center"/>
              <w:rPr>
                <w:rFonts w:hint="eastAsia" w:ascii="宋体" w:hAnsi="宋体" w:cs="宋体"/>
                <w:color w:val="000000"/>
                <w:sz w:val="21"/>
                <w:szCs w:val="21"/>
                <w:lang w:val="en-US" w:eastAsia="zh-CN"/>
              </w:rPr>
            </w:pPr>
          </w:p>
        </w:tc>
      </w:tr>
      <w:tr w14:paraId="74DEFE9B">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restart"/>
            <w:tcBorders>
              <w:tl2br w:val="nil"/>
              <w:tr2bl w:val="nil"/>
            </w:tcBorders>
            <w:shd w:val="clear" w:color="auto" w:fill="auto"/>
            <w:vAlign w:val="center"/>
          </w:tcPr>
          <w:p w14:paraId="761EB938">
            <w:pPr>
              <w:snapToGrid w:val="0"/>
              <w:spacing w:line="240" w:lineRule="auto"/>
              <w:ind w:left="0" w:leftChars="0" w:right="0" w:rightChars="0" w:firstLine="0" w:firstLineChars="0"/>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2</w:t>
            </w:r>
          </w:p>
        </w:tc>
        <w:tc>
          <w:tcPr>
            <w:tcW w:w="1779" w:type="dxa"/>
            <w:vMerge w:val="restart"/>
            <w:tcBorders>
              <w:tl2br w:val="nil"/>
              <w:tr2bl w:val="nil"/>
            </w:tcBorders>
            <w:shd w:val="clear" w:color="auto" w:fill="auto"/>
            <w:vAlign w:val="center"/>
          </w:tcPr>
          <w:p w14:paraId="4195304B">
            <w:pPr>
              <w:snapToGrid w:val="0"/>
              <w:spacing w:line="240" w:lineRule="auto"/>
              <w:ind w:left="0" w:leftChars="0" w:right="0" w:rightChars="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GPU服务器</w:t>
            </w:r>
          </w:p>
        </w:tc>
        <w:tc>
          <w:tcPr>
            <w:tcW w:w="4960" w:type="dxa"/>
            <w:tcBorders>
              <w:tl2br w:val="nil"/>
              <w:tr2bl w:val="nil"/>
            </w:tcBorders>
            <w:shd w:val="clear" w:color="auto" w:fill="auto"/>
            <w:vAlign w:val="center"/>
          </w:tcPr>
          <w:p w14:paraId="472C24C2">
            <w:pPr>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.1 CPU:Intel Xeon 不低于5th *2</w:t>
            </w:r>
          </w:p>
        </w:tc>
        <w:tc>
          <w:tcPr>
            <w:tcW w:w="955" w:type="dxa"/>
            <w:vMerge w:val="restart"/>
            <w:tcBorders>
              <w:tl2br w:val="nil"/>
              <w:tr2bl w:val="nil"/>
            </w:tcBorders>
            <w:shd w:val="clear" w:color="auto" w:fill="auto"/>
            <w:vAlign w:val="center"/>
          </w:tcPr>
          <w:p w14:paraId="79681E5C">
            <w:pPr>
              <w:snapToGrid w:val="0"/>
              <w:spacing w:line="240" w:lineRule="auto"/>
              <w:ind w:left="0" w:leftChars="0" w:right="0" w:rightChars="0"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1台</w:t>
            </w:r>
          </w:p>
        </w:tc>
      </w:tr>
      <w:tr w14:paraId="4064ECC3">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16DD9A78">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295736A2">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59A8169D">
            <w:pPr>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.2 内存：支持DDR5的 ECC内容，总容量不低于2TB；</w:t>
            </w:r>
          </w:p>
        </w:tc>
        <w:tc>
          <w:tcPr>
            <w:tcW w:w="955" w:type="dxa"/>
            <w:vMerge w:val="continue"/>
            <w:tcBorders>
              <w:tl2br w:val="nil"/>
              <w:tr2bl w:val="nil"/>
            </w:tcBorders>
            <w:shd w:val="clear" w:color="auto" w:fill="auto"/>
            <w:vAlign w:val="center"/>
          </w:tcPr>
          <w:p w14:paraId="0EEB4A91">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567386A1">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12082E49">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473AE7CF">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41511837">
            <w:pPr>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.3 GPU卡：8卡互联，任意点对点卡间互联带宽≥1.8TB/S,整机显存≥1.4TB;单卡算力≥</w:t>
            </w:r>
            <w:r>
              <w:rPr>
                <w:rFonts w:hint="eastAsia" w:ascii="宋体" w:hAnsi="宋体" w:eastAsia="宋体" w:cs="宋体"/>
                <w:color w:val="000000"/>
                <w:kern w:val="0"/>
                <w:sz w:val="21"/>
                <w:szCs w:val="21"/>
                <w:lang w:val="en-US" w:eastAsia="zh-CN" w:bidi="ar"/>
              </w:rPr>
              <w:t>4.5</w:t>
            </w:r>
            <w:r>
              <w:rPr>
                <w:rFonts w:hint="eastAsia" w:ascii="宋体" w:hAnsi="宋体" w:eastAsia="宋体" w:cs="宋体"/>
                <w:color w:val="000000"/>
                <w:kern w:val="0"/>
                <w:sz w:val="21"/>
                <w:szCs w:val="21"/>
                <w:lang w:bidi="ar"/>
              </w:rPr>
              <w:t>PFlops@FP16；</w:t>
            </w:r>
          </w:p>
        </w:tc>
        <w:tc>
          <w:tcPr>
            <w:tcW w:w="955" w:type="dxa"/>
            <w:vMerge w:val="continue"/>
            <w:tcBorders>
              <w:tl2br w:val="nil"/>
              <w:tr2bl w:val="nil"/>
            </w:tcBorders>
            <w:shd w:val="clear" w:color="auto" w:fill="auto"/>
            <w:vAlign w:val="center"/>
          </w:tcPr>
          <w:p w14:paraId="5E263CB1">
            <w:pPr>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r>
      <w:tr w14:paraId="4618692F">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187817FF">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470B9117">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6F8DE654">
            <w:pPr>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.4 系统盘：≥960G SATA SSD * 2</w:t>
            </w:r>
          </w:p>
        </w:tc>
        <w:tc>
          <w:tcPr>
            <w:tcW w:w="955" w:type="dxa"/>
            <w:vMerge w:val="continue"/>
            <w:tcBorders>
              <w:tl2br w:val="nil"/>
              <w:tr2bl w:val="nil"/>
            </w:tcBorders>
            <w:shd w:val="clear" w:color="auto" w:fill="auto"/>
            <w:vAlign w:val="center"/>
          </w:tcPr>
          <w:p w14:paraId="36C4AFD5">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2E2F3FA4">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3E4ADD0B">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0A6E5284">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48213F6D">
            <w:pPr>
              <w:snapToGrid w:val="0"/>
              <w:spacing w:line="240" w:lineRule="auto"/>
              <w:ind w:left="0" w:leftChars="0" w:right="0" w:rightChars="0" w:firstLine="0" w:firstLineChars="0"/>
              <w:jc w:val="both"/>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.5 数据盘：≥7.68TB*</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 xml:space="preserve"> NVME SSD</w:t>
            </w:r>
          </w:p>
        </w:tc>
        <w:tc>
          <w:tcPr>
            <w:tcW w:w="955" w:type="dxa"/>
            <w:vMerge w:val="continue"/>
            <w:tcBorders>
              <w:tl2br w:val="nil"/>
              <w:tr2bl w:val="nil"/>
            </w:tcBorders>
            <w:shd w:val="clear" w:color="auto" w:fill="auto"/>
            <w:vAlign w:val="center"/>
          </w:tcPr>
          <w:p w14:paraId="65E2B4FA">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68AD35E4">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5235687F">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2754F997">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4E1CF2D3">
            <w:pPr>
              <w:snapToGrid w:val="0"/>
              <w:spacing w:line="240" w:lineRule="auto"/>
              <w:ind w:left="0" w:leftChars="0" w:right="0" w:rightChars="0" w:firstLine="0" w:firstLineChars="0"/>
              <w:jc w:val="both"/>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.6 RAID卡：支持 SAS/SATA盘，RAID 0/1/10支持，支持带外管理，带或不带电池或超级电容；</w:t>
            </w:r>
          </w:p>
        </w:tc>
        <w:tc>
          <w:tcPr>
            <w:tcW w:w="955" w:type="dxa"/>
            <w:vMerge w:val="continue"/>
            <w:tcBorders>
              <w:tl2br w:val="nil"/>
              <w:tr2bl w:val="nil"/>
            </w:tcBorders>
            <w:shd w:val="clear" w:color="auto" w:fill="auto"/>
            <w:vAlign w:val="center"/>
          </w:tcPr>
          <w:p w14:paraId="6DC87E23">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35E5E3BA">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0FECC7A9">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7D5D29D1">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70254D09">
            <w:pPr>
              <w:snapToGrid w:val="0"/>
              <w:spacing w:line="240" w:lineRule="auto"/>
              <w:ind w:left="0" w:leftChars="0" w:right="0" w:rightChars="0" w:firstLine="0" w:firstLineChars="0"/>
              <w:jc w:val="both"/>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.7 计算IB网卡：CX7单口400G*8</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满配多模光模块</w:t>
            </w:r>
            <w:r>
              <w:rPr>
                <w:rFonts w:hint="eastAsia" w:ascii="宋体" w:hAnsi="宋体" w:eastAsia="宋体" w:cs="宋体"/>
                <w:color w:val="auto"/>
                <w:kern w:val="0"/>
                <w:sz w:val="21"/>
                <w:szCs w:val="21"/>
                <w:lang w:eastAsia="zh-CN" w:bidi="ar"/>
              </w:rPr>
              <w:t>）</w:t>
            </w:r>
          </w:p>
        </w:tc>
        <w:tc>
          <w:tcPr>
            <w:tcW w:w="955" w:type="dxa"/>
            <w:vMerge w:val="continue"/>
            <w:tcBorders>
              <w:tl2br w:val="nil"/>
              <w:tr2bl w:val="nil"/>
            </w:tcBorders>
            <w:shd w:val="clear" w:color="auto" w:fill="auto"/>
            <w:vAlign w:val="center"/>
          </w:tcPr>
          <w:p w14:paraId="499C666D">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12F7C638">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216D49F6">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53ED2135">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791A45CD">
            <w:pPr>
              <w:snapToGrid w:val="0"/>
              <w:spacing w:line="240" w:lineRule="auto"/>
              <w:ind w:left="0" w:leftChars="0" w:right="0" w:rightChars="0" w:firstLine="0" w:firstLineChars="0"/>
              <w:jc w:val="both"/>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.8 存储IB网卡：200G*2</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满配多模光模块</w:t>
            </w:r>
            <w:r>
              <w:rPr>
                <w:rFonts w:hint="eastAsia" w:ascii="宋体" w:hAnsi="宋体" w:eastAsia="宋体" w:cs="宋体"/>
                <w:color w:val="auto"/>
                <w:kern w:val="0"/>
                <w:sz w:val="21"/>
                <w:szCs w:val="21"/>
                <w:lang w:eastAsia="zh-CN" w:bidi="ar"/>
              </w:rPr>
              <w:t>）</w:t>
            </w:r>
          </w:p>
        </w:tc>
        <w:tc>
          <w:tcPr>
            <w:tcW w:w="955" w:type="dxa"/>
            <w:vMerge w:val="continue"/>
            <w:tcBorders>
              <w:tl2br w:val="nil"/>
              <w:tr2bl w:val="nil"/>
            </w:tcBorders>
            <w:shd w:val="clear" w:color="auto" w:fill="auto"/>
            <w:vAlign w:val="center"/>
          </w:tcPr>
          <w:p w14:paraId="5744938A">
            <w:pPr>
              <w:snapToGrid w:val="0"/>
              <w:spacing w:line="240" w:lineRule="auto"/>
              <w:ind w:left="0" w:leftChars="0" w:right="0" w:rightChars="0" w:firstLine="0" w:firstLineChars="0"/>
              <w:jc w:val="center"/>
              <w:textAlignment w:val="center"/>
              <w:rPr>
                <w:rFonts w:hint="eastAsia" w:ascii="宋体" w:hAnsi="宋体" w:cs="宋体"/>
                <w:kern w:val="0"/>
                <w:sz w:val="21"/>
                <w:szCs w:val="21"/>
                <w:lang w:val="en-US" w:eastAsia="zh-CN" w:bidi="ar"/>
              </w:rPr>
            </w:pPr>
          </w:p>
        </w:tc>
      </w:tr>
      <w:tr w14:paraId="4929A7BF">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61BFB4A7">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71A80AF1">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647B8824">
            <w:pPr>
              <w:snapToGrid w:val="0"/>
              <w:spacing w:line="240" w:lineRule="auto"/>
              <w:ind w:left="0" w:leftChars="0" w:right="0" w:rightChars="0" w:firstLine="0" w:firstLineChars="0"/>
              <w:jc w:val="both"/>
              <w:textAlignment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.9 管理网络：25G*2</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满配多模光模块</w:t>
            </w:r>
            <w:r>
              <w:rPr>
                <w:rFonts w:hint="eastAsia" w:ascii="宋体" w:hAnsi="宋体" w:eastAsia="宋体" w:cs="宋体"/>
                <w:color w:val="auto"/>
                <w:kern w:val="0"/>
                <w:sz w:val="21"/>
                <w:szCs w:val="21"/>
                <w:lang w:eastAsia="zh-CN" w:bidi="ar"/>
              </w:rPr>
              <w:t>）</w:t>
            </w:r>
          </w:p>
        </w:tc>
        <w:tc>
          <w:tcPr>
            <w:tcW w:w="955" w:type="dxa"/>
            <w:vMerge w:val="continue"/>
            <w:tcBorders>
              <w:tl2br w:val="nil"/>
              <w:tr2bl w:val="nil"/>
            </w:tcBorders>
            <w:shd w:val="clear" w:color="auto" w:fill="auto"/>
            <w:vAlign w:val="center"/>
          </w:tcPr>
          <w:p w14:paraId="220470D2">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40D8E960">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75A81641">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4E660541">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3967FC5C">
            <w:pPr>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.10 电源：满配合规电源，支持n+n冗余，提供兼容国家标准的插头；</w:t>
            </w:r>
          </w:p>
        </w:tc>
        <w:tc>
          <w:tcPr>
            <w:tcW w:w="955" w:type="dxa"/>
            <w:vMerge w:val="continue"/>
            <w:tcBorders>
              <w:tl2br w:val="nil"/>
              <w:tr2bl w:val="nil"/>
            </w:tcBorders>
            <w:shd w:val="clear" w:color="auto" w:fill="auto"/>
            <w:vAlign w:val="center"/>
          </w:tcPr>
          <w:p w14:paraId="717BC1B5">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70D362E9">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202B9220">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0369FDBC">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392A0120">
            <w:pPr>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.11 操作系统：支持Ubuntu 22.0.4；</w:t>
            </w:r>
          </w:p>
        </w:tc>
        <w:tc>
          <w:tcPr>
            <w:tcW w:w="955" w:type="dxa"/>
            <w:vMerge w:val="continue"/>
            <w:tcBorders>
              <w:tl2br w:val="nil"/>
              <w:tr2bl w:val="nil"/>
            </w:tcBorders>
            <w:shd w:val="clear" w:color="auto" w:fill="auto"/>
            <w:vAlign w:val="center"/>
          </w:tcPr>
          <w:p w14:paraId="23CBAD4E">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260DBEF9">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79E20A98">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6F0BFEA4">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17F1179D">
            <w:pPr>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.12 质保期：3年或以上有效质保；</w:t>
            </w:r>
          </w:p>
        </w:tc>
        <w:tc>
          <w:tcPr>
            <w:tcW w:w="955" w:type="dxa"/>
            <w:vMerge w:val="continue"/>
            <w:tcBorders>
              <w:tl2br w:val="nil"/>
              <w:tr2bl w:val="nil"/>
            </w:tcBorders>
            <w:shd w:val="clear" w:color="auto" w:fill="auto"/>
            <w:vAlign w:val="center"/>
          </w:tcPr>
          <w:p w14:paraId="175F2081">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r w14:paraId="13805B10">
        <w:tblPrEx>
          <w:tblBorders>
            <w:top w:val="single" w:color="000000" w:sz="8" w:space="0"/>
            <w:left w:val="single" w:color="000000" w:sz="8" w:space="0"/>
            <w:bottom w:val="single" w:color="000000" w:sz="8" w:space="0"/>
            <w:right w:val="single" w:color="000000" w:sz="8" w:space="0"/>
            <w:insideH w:val="single" w:color="000000" w:sz="2" w:space="0"/>
            <w:insideV w:val="single" w:color="000000" w:sz="8" w:space="0"/>
          </w:tblBorders>
          <w:tblCellMar>
            <w:top w:w="0" w:type="dxa"/>
            <w:left w:w="108" w:type="dxa"/>
            <w:bottom w:w="0" w:type="dxa"/>
            <w:right w:w="108" w:type="dxa"/>
          </w:tblCellMar>
        </w:tblPrEx>
        <w:trPr>
          <w:trHeight w:val="0" w:hRule="atLeast"/>
          <w:jc w:val="center"/>
        </w:trPr>
        <w:tc>
          <w:tcPr>
            <w:tcW w:w="830" w:type="dxa"/>
            <w:vMerge w:val="continue"/>
            <w:tcBorders>
              <w:tl2br w:val="nil"/>
              <w:tr2bl w:val="nil"/>
            </w:tcBorders>
            <w:shd w:val="clear" w:color="auto" w:fill="auto"/>
            <w:vAlign w:val="center"/>
          </w:tcPr>
          <w:p w14:paraId="4B714F50">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1779" w:type="dxa"/>
            <w:vMerge w:val="continue"/>
            <w:tcBorders>
              <w:tl2br w:val="nil"/>
              <w:tr2bl w:val="nil"/>
            </w:tcBorders>
            <w:shd w:val="clear" w:color="auto" w:fill="auto"/>
            <w:vAlign w:val="center"/>
          </w:tcPr>
          <w:p w14:paraId="28120C25">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4960" w:type="dxa"/>
            <w:tcBorders>
              <w:tl2br w:val="nil"/>
              <w:tr2bl w:val="nil"/>
            </w:tcBorders>
            <w:shd w:val="clear" w:color="auto" w:fill="auto"/>
            <w:vAlign w:val="center"/>
          </w:tcPr>
          <w:p w14:paraId="03BDA3C8">
            <w:pPr>
              <w:snapToGrid w:val="0"/>
              <w:spacing w:line="240" w:lineRule="auto"/>
              <w:ind w:left="0" w:leftChars="0" w:right="0" w:rightChars="0" w:firstLine="0" w:firstLineChars="0"/>
              <w:jc w:val="both"/>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.13 GPU服务器必须通过采购人的验机测试，采购人对服务器的硬件配置以及验机标准保留最终且唯一解释权；</w:t>
            </w:r>
          </w:p>
        </w:tc>
        <w:tc>
          <w:tcPr>
            <w:tcW w:w="955" w:type="dxa"/>
            <w:vMerge w:val="continue"/>
            <w:tcBorders>
              <w:tl2br w:val="nil"/>
              <w:tr2bl w:val="nil"/>
            </w:tcBorders>
            <w:shd w:val="clear" w:color="auto" w:fill="auto"/>
            <w:vAlign w:val="center"/>
          </w:tcPr>
          <w:p w14:paraId="1C0EC1C0">
            <w:pPr>
              <w:snapToGrid w:val="0"/>
              <w:spacing w:line="240" w:lineRule="auto"/>
              <w:ind w:left="0" w:leftChars="0" w:right="0" w:rightChars="0" w:firstLine="0" w:firstLineChars="0"/>
              <w:jc w:val="center"/>
              <w:textAlignment w:val="center"/>
              <w:rPr>
                <w:rFonts w:hint="eastAsia" w:ascii="宋体" w:hAnsi="宋体" w:cs="宋体"/>
                <w:color w:val="000000"/>
                <w:kern w:val="0"/>
                <w:sz w:val="21"/>
                <w:szCs w:val="21"/>
                <w:lang w:val="en-US" w:eastAsia="zh-CN" w:bidi="ar"/>
              </w:rPr>
            </w:pPr>
          </w:p>
        </w:tc>
      </w:tr>
    </w:tbl>
    <w:p w14:paraId="244CA63E">
      <w:pPr>
        <w:widowControl w:val="0"/>
        <w:numPr>
          <w:ilvl w:val="0"/>
          <w:numId w:val="1"/>
        </w:numPr>
        <w:autoSpaceDE w:val="0"/>
        <w:autoSpaceDN w:val="0"/>
        <w:adjustRightInd w:val="0"/>
        <w:snapToGrid w:val="0"/>
        <w:ind w:firstLine="422"/>
        <w:rPr>
          <w:rFonts w:hint="eastAsia" w:ascii="宋体" w:hAnsi="宋体" w:cs="宋体"/>
          <w:b w:val="0"/>
          <w:bCs w:val="0"/>
          <w:szCs w:val="21"/>
          <w:lang w:val="en-US" w:eastAsia="zh-CN"/>
        </w:rPr>
      </w:pPr>
      <w:r>
        <w:rPr>
          <w:rFonts w:hint="eastAsia" w:ascii="宋体" w:hAnsi="宋体" w:cs="宋体"/>
          <w:b w:val="0"/>
          <w:bCs w:val="0"/>
          <w:szCs w:val="21"/>
          <w:lang w:val="en-US" w:eastAsia="zh-CN"/>
        </w:rPr>
        <w:t>本次采购的GPU服务器SSD硬盘和GPU服务器的质保要求如下表所示。</w:t>
      </w:r>
    </w:p>
    <w:p w14:paraId="4A87C873">
      <w:pPr>
        <w:pStyle w:val="2"/>
        <w:numPr>
          <w:ilvl w:val="0"/>
          <w:numId w:val="0"/>
        </w:numPr>
        <w:jc w:val="center"/>
        <w:rPr>
          <w:rFonts w:hint="default"/>
          <w:lang w:val="en-US" w:eastAsia="zh-CN"/>
        </w:rPr>
      </w:pPr>
      <w:r>
        <w:rPr>
          <w:rFonts w:hint="eastAsia" w:ascii="宋体" w:hAnsi="宋体" w:cs="宋体"/>
          <w:b/>
          <w:bCs/>
          <w:szCs w:val="21"/>
          <w:lang w:val="en-US" w:eastAsia="zh-CN"/>
        </w:rPr>
        <w:t>关键设备备件</w:t>
      </w:r>
      <w:r>
        <w:rPr>
          <w:rFonts w:hint="eastAsia" w:cs="宋体"/>
          <w:b/>
          <w:bCs/>
          <w:szCs w:val="21"/>
          <w:lang w:val="en-US" w:eastAsia="zh-CN"/>
        </w:rPr>
        <w:t>质保要求</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750"/>
        <w:gridCol w:w="5388"/>
        <w:gridCol w:w="662"/>
      </w:tblGrid>
      <w:tr w14:paraId="6A6D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24" w:type="pct"/>
            <w:vAlign w:val="center"/>
          </w:tcPr>
          <w:p w14:paraId="41A04A1E">
            <w:pPr>
              <w:spacing w:line="240" w:lineRule="auto"/>
              <w:ind w:firstLine="0" w:firstLineChars="0"/>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szCs w:val="21"/>
              </w:rPr>
              <w:t>序号</w:t>
            </w:r>
          </w:p>
        </w:tc>
        <w:tc>
          <w:tcPr>
            <w:tcW w:w="1026" w:type="pct"/>
            <w:vAlign w:val="center"/>
          </w:tcPr>
          <w:p w14:paraId="3D483BC9">
            <w:pPr>
              <w:spacing w:line="240" w:lineRule="auto"/>
              <w:ind w:firstLine="0" w:firstLineChars="0"/>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szCs w:val="21"/>
              </w:rPr>
              <w:t>货物名称</w:t>
            </w:r>
          </w:p>
        </w:tc>
        <w:tc>
          <w:tcPr>
            <w:tcW w:w="3160" w:type="pct"/>
            <w:vAlign w:val="center"/>
          </w:tcPr>
          <w:p w14:paraId="172A7486">
            <w:pPr>
              <w:spacing w:line="240" w:lineRule="auto"/>
              <w:ind w:firstLine="0" w:firstLineChars="0"/>
              <w:jc w:val="center"/>
              <w:rPr>
                <w:rFonts w:hint="eastAsia" w:cs="宋体" w:asciiTheme="minorEastAsia" w:hAnsiTheme="minorEastAsia" w:eastAsiaTheme="minorEastAsia"/>
                <w:b/>
                <w:bCs/>
                <w:color w:val="000000"/>
                <w:szCs w:val="21"/>
              </w:rPr>
            </w:pPr>
            <w:r>
              <w:rPr>
                <w:rFonts w:hint="eastAsia" w:cs="宋体" w:asciiTheme="minorEastAsia" w:hAnsiTheme="minorEastAsia" w:eastAsiaTheme="minorEastAsia"/>
                <w:b/>
                <w:szCs w:val="21"/>
              </w:rPr>
              <w:t>质保期服务内容和要求</w:t>
            </w:r>
          </w:p>
        </w:tc>
        <w:tc>
          <w:tcPr>
            <w:tcW w:w="388" w:type="pct"/>
            <w:vAlign w:val="center"/>
          </w:tcPr>
          <w:p w14:paraId="52C4FEBD">
            <w:pPr>
              <w:spacing w:line="240" w:lineRule="auto"/>
              <w:ind w:firstLine="0" w:firstLineChars="0"/>
              <w:jc w:val="center"/>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备注</w:t>
            </w:r>
          </w:p>
        </w:tc>
      </w:tr>
      <w:tr w14:paraId="5607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Align w:val="center"/>
          </w:tcPr>
          <w:p w14:paraId="4CCFF4D6">
            <w:pPr>
              <w:spacing w:line="240" w:lineRule="auto"/>
              <w:ind w:firstLine="0" w:firstLineChars="0"/>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p>
        </w:tc>
        <w:tc>
          <w:tcPr>
            <w:tcW w:w="1026" w:type="pct"/>
            <w:vAlign w:val="center"/>
          </w:tcPr>
          <w:p w14:paraId="60F088D6">
            <w:pPr>
              <w:spacing w:line="240" w:lineRule="auto"/>
              <w:ind w:firstLine="0" w:firstLineChars="0"/>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质量保修期限</w:t>
            </w:r>
          </w:p>
        </w:tc>
        <w:tc>
          <w:tcPr>
            <w:tcW w:w="3160" w:type="pct"/>
            <w:vAlign w:val="center"/>
          </w:tcPr>
          <w:p w14:paraId="06BE6472">
            <w:pPr>
              <w:spacing w:line="240" w:lineRule="auto"/>
              <w:ind w:firstLine="0" w:firstLineChars="0"/>
              <w:rPr>
                <w:rFonts w:hint="eastAsia" w:cs="宋体" w:asciiTheme="minorEastAsia" w:hAnsiTheme="minorEastAsia" w:eastAsiaTheme="minorEastAsia"/>
                <w:color w:val="000000"/>
                <w:szCs w:val="21"/>
              </w:rPr>
            </w:pPr>
            <w:r>
              <w:rPr>
                <w:rFonts w:hint="eastAsia" w:cs="宋体" w:asciiTheme="minorEastAsia" w:hAnsiTheme="minorEastAsia" w:eastAsiaTheme="minorEastAsia"/>
                <w:b/>
                <w:szCs w:val="21"/>
              </w:rPr>
              <w:t>★</w:t>
            </w:r>
            <w:r>
              <w:rPr>
                <w:rFonts w:hint="eastAsia" w:cs="宋体" w:asciiTheme="minorEastAsia" w:hAnsiTheme="minorEastAsia" w:eastAsiaTheme="minorEastAsia"/>
                <w:color w:val="000000"/>
                <w:szCs w:val="21"/>
              </w:rPr>
              <w:t>3年（从交货签收之日起算）</w:t>
            </w:r>
          </w:p>
        </w:tc>
        <w:tc>
          <w:tcPr>
            <w:tcW w:w="388" w:type="pct"/>
            <w:vAlign w:val="center"/>
          </w:tcPr>
          <w:p w14:paraId="51200FB4">
            <w:pPr>
              <w:spacing w:line="240" w:lineRule="auto"/>
              <w:ind w:firstLine="0" w:firstLineChars="0"/>
              <w:jc w:val="center"/>
              <w:rPr>
                <w:rFonts w:hint="eastAsia" w:cs="宋体" w:asciiTheme="minorEastAsia" w:hAnsiTheme="minorEastAsia" w:eastAsiaTheme="minorEastAsia"/>
                <w:color w:val="000000"/>
                <w:szCs w:val="21"/>
              </w:rPr>
            </w:pPr>
          </w:p>
        </w:tc>
      </w:tr>
      <w:tr w14:paraId="439E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Align w:val="center"/>
          </w:tcPr>
          <w:p w14:paraId="6F12C321">
            <w:pPr>
              <w:spacing w:line="240" w:lineRule="auto"/>
              <w:ind w:firstLine="0" w:firstLineChars="0"/>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1026" w:type="pct"/>
            <w:vAlign w:val="center"/>
          </w:tcPr>
          <w:p w14:paraId="3DD4C85E">
            <w:pPr>
              <w:spacing w:line="240" w:lineRule="auto"/>
              <w:ind w:firstLine="0" w:firstLineChars="0"/>
              <w:jc w:val="left"/>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质量保修范围</w:t>
            </w:r>
          </w:p>
        </w:tc>
        <w:tc>
          <w:tcPr>
            <w:tcW w:w="3160" w:type="pct"/>
            <w:vAlign w:val="center"/>
          </w:tcPr>
          <w:p w14:paraId="27178FE6">
            <w:pPr>
              <w:spacing w:line="240" w:lineRule="auto"/>
              <w:ind w:firstLine="0" w:firstLineChars="0"/>
              <w:jc w:val="left"/>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szCs w:val="21"/>
              </w:rPr>
              <w:t>货物质量缺陷或质量问题引起的维修事件</w:t>
            </w:r>
          </w:p>
        </w:tc>
        <w:tc>
          <w:tcPr>
            <w:tcW w:w="388" w:type="pct"/>
            <w:vAlign w:val="center"/>
          </w:tcPr>
          <w:p w14:paraId="4DF8248C">
            <w:pPr>
              <w:spacing w:line="240" w:lineRule="auto"/>
              <w:ind w:firstLine="0" w:firstLineChars="0"/>
              <w:jc w:val="center"/>
              <w:rPr>
                <w:rFonts w:hint="eastAsia" w:cs="宋体" w:asciiTheme="minorEastAsia" w:hAnsiTheme="minorEastAsia" w:eastAsiaTheme="minorEastAsia"/>
                <w:color w:val="000000"/>
                <w:szCs w:val="21"/>
              </w:rPr>
            </w:pPr>
          </w:p>
        </w:tc>
      </w:tr>
      <w:tr w14:paraId="075F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Align w:val="center"/>
          </w:tcPr>
          <w:p w14:paraId="45B605A5">
            <w:pPr>
              <w:spacing w:line="240" w:lineRule="auto"/>
              <w:ind w:firstLine="0" w:firstLineChars="0"/>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1026" w:type="pct"/>
            <w:vAlign w:val="center"/>
          </w:tcPr>
          <w:p w14:paraId="73035365">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远程技术响应服务</w:t>
            </w:r>
          </w:p>
        </w:tc>
        <w:tc>
          <w:tcPr>
            <w:tcW w:w="3160" w:type="pct"/>
            <w:vAlign w:val="center"/>
          </w:tcPr>
          <w:p w14:paraId="61A33C54">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1、提供电话和电子邮件两种服务响应方式，7天</w:t>
            </w:r>
            <w:r>
              <w:rPr>
                <w:rFonts w:cs="宋体" w:asciiTheme="minorEastAsia" w:hAnsiTheme="minorEastAsia" w:eastAsiaTheme="minorEastAsia"/>
                <w:szCs w:val="21"/>
              </w:rPr>
              <w:t>×</w:t>
            </w:r>
            <w:r>
              <w:rPr>
                <w:rFonts w:hint="eastAsia" w:cs="宋体" w:asciiTheme="minorEastAsia" w:hAnsiTheme="minorEastAsia" w:eastAsiaTheme="minorEastAsia"/>
                <w:szCs w:val="21"/>
              </w:rPr>
              <w:t>24小时受</w:t>
            </w:r>
            <w:r>
              <w:rPr>
                <w:rFonts w:hint="eastAsia" w:cs="Segoe UI Symbol" w:asciiTheme="minorEastAsia" w:hAnsiTheme="minorEastAsia" w:eastAsiaTheme="minorEastAsia"/>
                <w:szCs w:val="21"/>
              </w:rPr>
              <w:t>理</w:t>
            </w:r>
            <w:r>
              <w:rPr>
                <w:rFonts w:hint="eastAsia" w:cs="宋体" w:asciiTheme="minorEastAsia" w:hAnsiTheme="minorEastAsia" w:eastAsiaTheme="minorEastAsia"/>
                <w:szCs w:val="21"/>
              </w:rPr>
              <w:t>；</w:t>
            </w:r>
          </w:p>
          <w:p w14:paraId="4E4E5F6C">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2、电话响应时间要求：30分钟内；</w:t>
            </w:r>
          </w:p>
          <w:p w14:paraId="2FAF8435">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3、电子邮件响应时间要求：8小时内；</w:t>
            </w:r>
          </w:p>
        </w:tc>
        <w:tc>
          <w:tcPr>
            <w:tcW w:w="388" w:type="pct"/>
            <w:vAlign w:val="center"/>
          </w:tcPr>
          <w:p w14:paraId="7B6FB426">
            <w:pPr>
              <w:spacing w:line="240" w:lineRule="auto"/>
              <w:ind w:firstLine="0" w:firstLineChars="0"/>
              <w:jc w:val="center"/>
              <w:rPr>
                <w:rFonts w:hint="eastAsia" w:cs="宋体" w:asciiTheme="minorEastAsia" w:hAnsiTheme="minorEastAsia" w:eastAsiaTheme="minorEastAsia"/>
                <w:color w:val="000000"/>
                <w:szCs w:val="21"/>
              </w:rPr>
            </w:pPr>
          </w:p>
        </w:tc>
      </w:tr>
      <w:tr w14:paraId="0B22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Align w:val="center"/>
          </w:tcPr>
          <w:p w14:paraId="6765EAAE">
            <w:pPr>
              <w:spacing w:line="240" w:lineRule="auto"/>
              <w:ind w:firstLine="0" w:firstLineChars="0"/>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1026" w:type="pct"/>
            <w:vAlign w:val="center"/>
          </w:tcPr>
          <w:p w14:paraId="4BE8F977">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硬件返修服务</w:t>
            </w:r>
          </w:p>
        </w:tc>
        <w:tc>
          <w:tcPr>
            <w:tcW w:w="3160" w:type="pct"/>
            <w:vAlign w:val="center"/>
          </w:tcPr>
          <w:p w14:paraId="43B7256B">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1、硬件返修服务受理时间：周一至周五，8:00-17:00，法定节假日除外。</w:t>
            </w:r>
          </w:p>
          <w:p w14:paraId="642355E2">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2、收到坏件后30个工作日内将修复或更换件送达。</w:t>
            </w:r>
          </w:p>
        </w:tc>
        <w:tc>
          <w:tcPr>
            <w:tcW w:w="388" w:type="pct"/>
            <w:vAlign w:val="center"/>
          </w:tcPr>
          <w:p w14:paraId="3AA29B0A">
            <w:pPr>
              <w:spacing w:line="240" w:lineRule="auto"/>
              <w:ind w:firstLine="0" w:firstLineChars="0"/>
              <w:jc w:val="center"/>
              <w:rPr>
                <w:rFonts w:hint="eastAsia" w:cs="宋体" w:asciiTheme="minorEastAsia" w:hAnsiTheme="minorEastAsia" w:eastAsiaTheme="minorEastAsia"/>
                <w:color w:val="000000"/>
                <w:szCs w:val="21"/>
              </w:rPr>
            </w:pPr>
          </w:p>
        </w:tc>
      </w:tr>
      <w:tr w14:paraId="25F6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vAlign w:val="center"/>
          </w:tcPr>
          <w:p w14:paraId="4AEB2409">
            <w:pPr>
              <w:spacing w:line="240" w:lineRule="auto"/>
              <w:ind w:firstLine="0" w:firstLineChars="0"/>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1026" w:type="pct"/>
            <w:vAlign w:val="center"/>
          </w:tcPr>
          <w:p w14:paraId="39D245FC">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免责说明</w:t>
            </w:r>
          </w:p>
        </w:tc>
        <w:tc>
          <w:tcPr>
            <w:tcW w:w="3160" w:type="pct"/>
            <w:vAlign w:val="center"/>
          </w:tcPr>
          <w:p w14:paraId="52D3B0C8">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1、下列情况不在质保服务范围之内：</w:t>
            </w:r>
          </w:p>
          <w:p w14:paraId="1E31D980">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（1）由于不可抗力事件（自然灾害、火灾、战争等）对设备造成损坏。</w:t>
            </w:r>
          </w:p>
          <w:p w14:paraId="7971CC1A">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（2）自然损耗或磨损造成设备损坏。</w:t>
            </w:r>
          </w:p>
          <w:p w14:paraId="1DB00206">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（3）因现场设备运行环境(比如配电、温湿度、承重、液冷供水水质，流量及压差、管路材质及气密性等) 或外部因素（比如外部电磁干扰、内部互联设备的故障等）不能满足设备正常运行的环境要求和通用行业标准所造成的直接损坏。</w:t>
            </w:r>
          </w:p>
          <w:p w14:paraId="044A6E55">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（4）由于故意或疏忽、使用不当、外力或蓄意破坏行为对设备造成大规模的硬件或数据损坏。</w:t>
            </w:r>
          </w:p>
          <w:p w14:paraId="367777AA">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（5）已达到最大读写次数的SSD卡/盘，SD卡，M.2等部件。</w:t>
            </w:r>
          </w:p>
          <w:p w14:paraId="203684DC">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（6）设备表面物理损伤、涂改的。</w:t>
            </w:r>
          </w:p>
          <w:p w14:paraId="6693A610">
            <w:pPr>
              <w:spacing w:line="240" w:lineRule="auto"/>
              <w:ind w:firstLine="0" w:firstLineChars="0"/>
              <w:jc w:val="left"/>
              <w:textAlignment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2、下列情况可能导致乙方不能按要求履行质保服务的，由双甲乙双方根据实际情况协商解决：</w:t>
            </w:r>
          </w:p>
          <w:p w14:paraId="4956B237">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（1）不可抗力（如：火灾、水灾、地震、雷击等）引起的意外情况致使乙方不能按要求履行质保服务。</w:t>
            </w:r>
          </w:p>
          <w:p w14:paraId="1DFFD23B">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（2）社会性问题（如：动乱、战争、罢工、政府管制等）引起的服务条件恶化，致使乙方不能按要求履行质保服务。</w:t>
            </w:r>
          </w:p>
          <w:p w14:paraId="7A30EAA3">
            <w:pPr>
              <w:spacing w:line="240" w:lineRule="auto"/>
              <w:ind w:firstLine="0" w:firstLineChars="0"/>
              <w:rPr>
                <w:rFonts w:hint="eastAsia" w:cs="宋体" w:asciiTheme="minorEastAsia" w:hAnsiTheme="minorEastAsia" w:eastAsiaTheme="minorEastAsia"/>
                <w:szCs w:val="21"/>
              </w:rPr>
            </w:pPr>
            <w:r>
              <w:rPr>
                <w:rFonts w:hint="eastAsia" w:cs="宋体" w:asciiTheme="minorEastAsia" w:hAnsiTheme="minorEastAsia" w:eastAsiaTheme="minorEastAsia"/>
                <w:szCs w:val="21"/>
              </w:rPr>
              <w:t>（3）因国际贸易争端或进出口管制政策，乙方客观上无法获得可替换、维修的部件或设备，致使乙方不能按要求履行质保服务。</w:t>
            </w:r>
          </w:p>
        </w:tc>
        <w:tc>
          <w:tcPr>
            <w:tcW w:w="388" w:type="pct"/>
            <w:vAlign w:val="center"/>
          </w:tcPr>
          <w:p w14:paraId="41A65AD0">
            <w:pPr>
              <w:spacing w:line="240" w:lineRule="auto"/>
              <w:ind w:firstLine="0" w:firstLineChars="0"/>
              <w:jc w:val="center"/>
              <w:rPr>
                <w:rFonts w:hint="eastAsia" w:cs="宋体" w:asciiTheme="minorEastAsia" w:hAnsiTheme="minorEastAsia" w:eastAsiaTheme="minorEastAsia"/>
                <w:color w:val="000000"/>
                <w:szCs w:val="21"/>
              </w:rPr>
            </w:pPr>
          </w:p>
        </w:tc>
      </w:tr>
    </w:tbl>
    <w:p w14:paraId="6A1AABC4">
      <w:pPr>
        <w:pStyle w:val="2"/>
        <w:rPr>
          <w:rFonts w:hint="eastAsia"/>
          <w:lang w:val="en-US" w:eastAsia="zh-CN"/>
        </w:rPr>
      </w:pPr>
    </w:p>
    <w:p w14:paraId="04F078F9">
      <w:pPr>
        <w:keepNext w:val="0"/>
        <w:keepLines w:val="0"/>
        <w:pageBreakBefore w:val="0"/>
        <w:widowControl w:val="0"/>
        <w:kinsoku/>
        <w:wordWrap/>
        <w:overflowPunct/>
        <w:topLinePunct w:val="0"/>
        <w:autoSpaceDE w:val="0"/>
        <w:autoSpaceDN w:val="0"/>
        <w:bidi w:val="0"/>
        <w:adjustRightInd w:val="0"/>
        <w:snapToGrid w:val="0"/>
        <w:ind w:firstLine="422"/>
        <w:textAlignment w:val="auto"/>
        <w:outlineLvl w:val="4"/>
        <w:rPr>
          <w:rFonts w:hint="eastAsia" w:ascii="宋体" w:hAnsi="宋体" w:cs="宋体"/>
          <w:b/>
          <w:bCs/>
          <w:szCs w:val="21"/>
          <w:lang w:val="en-US" w:eastAsia="zh-CN"/>
        </w:rPr>
      </w:pPr>
      <w:r>
        <w:rPr>
          <w:rFonts w:hint="eastAsia" w:ascii="宋体" w:hAnsi="宋体" w:cs="宋体"/>
          <w:b/>
          <w:bCs/>
          <w:szCs w:val="21"/>
          <w:lang w:val="en-US" w:eastAsia="zh-CN"/>
        </w:rPr>
        <w:t>2.3 备品备件--配套设备备件支持服务</w:t>
      </w:r>
    </w:p>
    <w:p w14:paraId="2EAE43C5">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（1）对智算集群除GPU服务器以外的硬件部分，提供</w:t>
      </w:r>
      <w:r>
        <w:rPr>
          <w:rFonts w:hint="eastAsia" w:ascii="宋体" w:hAnsi="宋体" w:cs="宋体"/>
          <w:szCs w:val="21"/>
          <w:lang w:val="en-US" w:eastAsia="zh-CN"/>
        </w:rPr>
        <w:t>足够</w:t>
      </w:r>
      <w:r>
        <w:rPr>
          <w:rFonts w:hint="eastAsia" w:ascii="宋体" w:hAnsi="宋体" w:cs="宋体"/>
          <w:szCs w:val="21"/>
        </w:rPr>
        <w:t>的备品备件支持服务（供应商在范围内承诺备件比例），确保服务期内智算集群的正常运转和使用。</w:t>
      </w:r>
    </w:p>
    <w:p w14:paraId="6E6A9E47">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2）集群设备硬件易坏部件应建立现场备件库（详见下表），确保快速更换。硬件故障恢复要求7*24小时覆盖，实时响应，备件库存放单个产品型号备件需大于等于一件，不足一件的备件（除GPU服务器和显卡外）需4小时内到现场。</w:t>
      </w:r>
    </w:p>
    <w:p w14:paraId="0B46EF19">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3）原则上备品备件型号需与现有在用设备型号严格对应配套，确保兼容性及功能一致性（详见下表）。如有特殊情况（如原设备部件已停产、其他客观原因无法采购、不可抗力等情况），投标人应通知采购人，提供不降低性能且适配原设备的备件。</w:t>
      </w:r>
    </w:p>
    <w:p w14:paraId="3B4F5BBD">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配套设备</w:t>
      </w:r>
      <w:r>
        <w:rPr>
          <w:rFonts w:hint="eastAsia" w:ascii="宋体" w:hAnsi="宋体" w:cs="宋体"/>
          <w:szCs w:val="21"/>
        </w:rPr>
        <w:t>备件资产产权归属投标人，投标人以备件支持的形式提供服务。如备件被使用，成为智算集群的一部分，对应资产产权归属转为采购人。</w:t>
      </w:r>
    </w:p>
    <w:p w14:paraId="6E7F2A57">
      <w:pPr>
        <w:widowControl w:val="0"/>
        <w:autoSpaceDE w:val="0"/>
        <w:autoSpaceDN w:val="0"/>
        <w:adjustRightInd w:val="0"/>
        <w:snapToGrid w:val="0"/>
        <w:ind w:firstLine="0" w:firstLineChars="0"/>
        <w:jc w:val="center"/>
        <w:rPr>
          <w:rFonts w:hint="eastAsia" w:ascii="宋体" w:hAnsi="宋体" w:cs="宋体"/>
          <w:b/>
          <w:bCs/>
          <w:szCs w:val="21"/>
        </w:rPr>
      </w:pPr>
      <w:r>
        <w:rPr>
          <w:rFonts w:hint="eastAsia" w:ascii="宋体" w:hAnsi="宋体" w:cs="宋体"/>
          <w:b/>
          <w:bCs/>
          <w:szCs w:val="21"/>
        </w:rPr>
        <w:t>备品备件支持服务要求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196"/>
        <w:gridCol w:w="3157"/>
        <w:gridCol w:w="1896"/>
      </w:tblGrid>
      <w:tr w14:paraId="2A7E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81" w:type="dxa"/>
            <w:vAlign w:val="center"/>
          </w:tcPr>
          <w:p w14:paraId="7C903DB4">
            <w:pPr>
              <w:spacing w:line="240" w:lineRule="auto"/>
              <w:ind w:firstLine="0" w:firstLineChars="0"/>
              <w:jc w:val="center"/>
              <w:rPr>
                <w:rFonts w:hint="eastAsia" w:ascii="宋体" w:hAnsi="宋体" w:cs="宋体"/>
                <w:b/>
                <w:bCs/>
                <w:color w:val="000000"/>
                <w:sz w:val="18"/>
                <w:szCs w:val="18"/>
              </w:rPr>
            </w:pPr>
            <w:r>
              <w:rPr>
                <w:rFonts w:hint="eastAsia" w:ascii="宋体" w:hAnsi="宋体" w:cs="宋体"/>
                <w:b/>
                <w:sz w:val="18"/>
                <w:szCs w:val="18"/>
              </w:rPr>
              <w:t>序号</w:t>
            </w:r>
          </w:p>
        </w:tc>
        <w:tc>
          <w:tcPr>
            <w:tcW w:w="2196" w:type="dxa"/>
            <w:vAlign w:val="center"/>
          </w:tcPr>
          <w:p w14:paraId="6CA2958F">
            <w:pPr>
              <w:spacing w:line="240" w:lineRule="auto"/>
              <w:ind w:firstLine="0" w:firstLineChars="0"/>
              <w:jc w:val="both"/>
              <w:rPr>
                <w:rFonts w:hint="eastAsia" w:ascii="宋体" w:hAnsi="宋体" w:cs="宋体"/>
                <w:b/>
                <w:bCs/>
                <w:color w:val="000000"/>
                <w:sz w:val="18"/>
                <w:szCs w:val="18"/>
              </w:rPr>
            </w:pPr>
            <w:r>
              <w:rPr>
                <w:rFonts w:hint="eastAsia" w:ascii="宋体" w:hAnsi="宋体" w:cs="宋体"/>
                <w:b/>
                <w:sz w:val="18"/>
                <w:szCs w:val="18"/>
              </w:rPr>
              <w:t>名称</w:t>
            </w:r>
          </w:p>
        </w:tc>
        <w:tc>
          <w:tcPr>
            <w:tcW w:w="3157" w:type="dxa"/>
            <w:vAlign w:val="center"/>
          </w:tcPr>
          <w:p w14:paraId="18E2E813">
            <w:pPr>
              <w:spacing w:line="240" w:lineRule="auto"/>
              <w:ind w:firstLine="0" w:firstLineChars="0"/>
              <w:jc w:val="center"/>
              <w:rPr>
                <w:rFonts w:hint="eastAsia" w:ascii="宋体" w:hAnsi="宋体" w:cs="宋体"/>
                <w:b/>
                <w:bCs/>
                <w:color w:val="000000"/>
                <w:sz w:val="18"/>
                <w:szCs w:val="18"/>
              </w:rPr>
            </w:pPr>
            <w:r>
              <w:rPr>
                <w:rFonts w:hint="eastAsia" w:ascii="宋体" w:hAnsi="宋体" w:cs="宋体"/>
                <w:b/>
                <w:sz w:val="18"/>
                <w:szCs w:val="18"/>
                <w:lang w:val="en-US" w:eastAsia="zh-CN"/>
              </w:rPr>
              <w:t>产品</w:t>
            </w:r>
            <w:r>
              <w:rPr>
                <w:rFonts w:hint="eastAsia" w:ascii="宋体" w:hAnsi="宋体" w:cs="宋体"/>
                <w:b/>
                <w:sz w:val="18"/>
                <w:szCs w:val="18"/>
              </w:rPr>
              <w:t>型号</w:t>
            </w:r>
          </w:p>
        </w:tc>
        <w:tc>
          <w:tcPr>
            <w:tcW w:w="1896" w:type="dxa"/>
            <w:vAlign w:val="center"/>
          </w:tcPr>
          <w:p w14:paraId="549EAA4E">
            <w:pPr>
              <w:spacing w:line="240" w:lineRule="auto"/>
              <w:ind w:firstLine="0" w:firstLineChars="0"/>
              <w:jc w:val="center"/>
              <w:rPr>
                <w:rFonts w:hint="default" w:ascii="宋体" w:hAnsi="宋体" w:eastAsia="宋体" w:cs="宋体"/>
                <w:b/>
                <w:bCs/>
                <w:color w:val="000000"/>
                <w:sz w:val="18"/>
                <w:szCs w:val="18"/>
                <w:lang w:val="en-US" w:eastAsia="zh-CN"/>
              </w:rPr>
            </w:pPr>
            <w:r>
              <w:rPr>
                <w:rFonts w:hint="eastAsia" w:ascii="宋体" w:hAnsi="宋体" w:cs="宋体"/>
                <w:b/>
                <w:sz w:val="18"/>
                <w:szCs w:val="18"/>
                <w:lang w:val="en-US" w:eastAsia="zh-CN"/>
              </w:rPr>
              <w:t>备件支持要求</w:t>
            </w:r>
          </w:p>
        </w:tc>
      </w:tr>
      <w:tr w14:paraId="7353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538192FA">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一</w:t>
            </w:r>
          </w:p>
        </w:tc>
        <w:tc>
          <w:tcPr>
            <w:tcW w:w="2196" w:type="dxa"/>
            <w:vAlign w:val="center"/>
          </w:tcPr>
          <w:p w14:paraId="118ECD0C">
            <w:pPr>
              <w:spacing w:line="240" w:lineRule="auto"/>
              <w:ind w:firstLine="0" w:firstLineChars="0"/>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关键设备和软件</w:t>
            </w:r>
          </w:p>
        </w:tc>
        <w:tc>
          <w:tcPr>
            <w:tcW w:w="3157" w:type="dxa"/>
            <w:vAlign w:val="center"/>
          </w:tcPr>
          <w:p w14:paraId="6F3790C2">
            <w:pPr>
              <w:spacing w:line="240" w:lineRule="auto"/>
              <w:ind w:firstLine="0" w:firstLineChars="0"/>
              <w:jc w:val="left"/>
              <w:rPr>
                <w:rFonts w:hint="eastAsia" w:ascii="宋体" w:hAnsi="宋体" w:cs="宋体"/>
                <w:b/>
                <w:bCs/>
                <w:color w:val="000000"/>
                <w:sz w:val="18"/>
                <w:szCs w:val="18"/>
              </w:rPr>
            </w:pPr>
          </w:p>
        </w:tc>
        <w:tc>
          <w:tcPr>
            <w:tcW w:w="1896" w:type="dxa"/>
            <w:vAlign w:val="center"/>
          </w:tcPr>
          <w:p w14:paraId="797BD4E3">
            <w:pPr>
              <w:spacing w:line="240" w:lineRule="auto"/>
              <w:ind w:firstLine="0" w:firstLineChars="0"/>
              <w:jc w:val="center"/>
              <w:rPr>
                <w:rFonts w:hint="eastAsia" w:ascii="宋体" w:hAnsi="宋体" w:cs="宋体"/>
                <w:b/>
                <w:bCs/>
                <w:color w:val="000000"/>
                <w:sz w:val="18"/>
                <w:szCs w:val="18"/>
              </w:rPr>
            </w:pPr>
          </w:p>
        </w:tc>
      </w:tr>
      <w:tr w14:paraId="0980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81" w:type="dxa"/>
            <w:vAlign w:val="center"/>
          </w:tcPr>
          <w:p w14:paraId="09D1953F">
            <w:pPr>
              <w:spacing w:line="240" w:lineRule="auto"/>
              <w:ind w:firstLine="0" w:firstLineChars="0"/>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1</w:t>
            </w:r>
          </w:p>
        </w:tc>
        <w:tc>
          <w:tcPr>
            <w:tcW w:w="2196" w:type="dxa"/>
            <w:vAlign w:val="center"/>
          </w:tcPr>
          <w:p w14:paraId="0F39F287">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IB交换机</w:t>
            </w:r>
          </w:p>
        </w:tc>
        <w:tc>
          <w:tcPr>
            <w:tcW w:w="3157" w:type="dxa"/>
            <w:vAlign w:val="center"/>
          </w:tcPr>
          <w:p w14:paraId="7318560D">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英伟达/MQM9790</w:t>
            </w:r>
          </w:p>
        </w:tc>
        <w:tc>
          <w:tcPr>
            <w:tcW w:w="1896" w:type="dxa"/>
            <w:vAlign w:val="center"/>
          </w:tcPr>
          <w:p w14:paraId="4050B044">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3AC9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46F4E902">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2196" w:type="dxa"/>
            <w:vAlign w:val="center"/>
          </w:tcPr>
          <w:p w14:paraId="3DE92989">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800G光模块（多模）</w:t>
            </w:r>
          </w:p>
        </w:tc>
        <w:tc>
          <w:tcPr>
            <w:tcW w:w="3157" w:type="dxa"/>
            <w:vAlign w:val="center"/>
          </w:tcPr>
          <w:p w14:paraId="1A99D76B">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纳多德/OSFP-800G-2xSR4H</w:t>
            </w:r>
          </w:p>
        </w:tc>
        <w:tc>
          <w:tcPr>
            <w:tcW w:w="1896" w:type="dxa"/>
            <w:vAlign w:val="center"/>
          </w:tcPr>
          <w:p w14:paraId="2498DB73">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144D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573958B9">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2196" w:type="dxa"/>
            <w:vAlign w:val="center"/>
          </w:tcPr>
          <w:p w14:paraId="09E7CB7A">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400G光模块（多模）</w:t>
            </w:r>
          </w:p>
        </w:tc>
        <w:tc>
          <w:tcPr>
            <w:tcW w:w="3157" w:type="dxa"/>
            <w:vAlign w:val="center"/>
          </w:tcPr>
          <w:p w14:paraId="2806523F">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纳多德/OSFP-400G-SR4H</w:t>
            </w:r>
          </w:p>
        </w:tc>
        <w:tc>
          <w:tcPr>
            <w:tcW w:w="1896" w:type="dxa"/>
            <w:vAlign w:val="center"/>
          </w:tcPr>
          <w:p w14:paraId="02F46785">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7628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016AFDF">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2196" w:type="dxa"/>
            <w:vAlign w:val="center"/>
          </w:tcPr>
          <w:p w14:paraId="04A2365C">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MPO线缆</w:t>
            </w:r>
          </w:p>
        </w:tc>
        <w:tc>
          <w:tcPr>
            <w:tcW w:w="3157" w:type="dxa"/>
            <w:vAlign w:val="center"/>
          </w:tcPr>
          <w:p w14:paraId="25B2A4E3">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纳多德/m4mpoa12fb</w:t>
            </w:r>
          </w:p>
        </w:tc>
        <w:tc>
          <w:tcPr>
            <w:tcW w:w="1896" w:type="dxa"/>
            <w:vAlign w:val="center"/>
          </w:tcPr>
          <w:p w14:paraId="370E2A5F">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1BEC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0469007E">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2196" w:type="dxa"/>
            <w:vAlign w:val="center"/>
          </w:tcPr>
          <w:p w14:paraId="1F3A7715">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400G一分二AOC（IB）</w:t>
            </w:r>
          </w:p>
        </w:tc>
        <w:tc>
          <w:tcPr>
            <w:tcW w:w="3157" w:type="dxa"/>
            <w:vAlign w:val="center"/>
          </w:tcPr>
          <w:p w14:paraId="36E356ED">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纳多德/o2q56-400g-aoch</w:t>
            </w:r>
          </w:p>
        </w:tc>
        <w:tc>
          <w:tcPr>
            <w:tcW w:w="1896" w:type="dxa"/>
            <w:vAlign w:val="center"/>
          </w:tcPr>
          <w:p w14:paraId="4712125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54D5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57F131B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b/>
                <w:bCs/>
                <w:color w:val="000000"/>
                <w:kern w:val="0"/>
                <w:sz w:val="18"/>
                <w:szCs w:val="18"/>
                <w:lang w:bidi="ar"/>
              </w:rPr>
              <w:t>二</w:t>
            </w:r>
          </w:p>
        </w:tc>
        <w:tc>
          <w:tcPr>
            <w:tcW w:w="2196" w:type="dxa"/>
            <w:vAlign w:val="center"/>
          </w:tcPr>
          <w:p w14:paraId="0111E16E">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b/>
                <w:bCs/>
                <w:color w:val="000000"/>
                <w:kern w:val="0"/>
                <w:sz w:val="18"/>
                <w:szCs w:val="18"/>
                <w:lang w:bidi="ar"/>
              </w:rPr>
              <w:t>其他设备和软件</w:t>
            </w:r>
          </w:p>
        </w:tc>
        <w:tc>
          <w:tcPr>
            <w:tcW w:w="3157" w:type="dxa"/>
            <w:vAlign w:val="center"/>
          </w:tcPr>
          <w:p w14:paraId="4F1F538E">
            <w:pPr>
              <w:spacing w:line="240" w:lineRule="auto"/>
              <w:ind w:firstLine="0" w:firstLineChars="0"/>
              <w:jc w:val="left"/>
              <w:textAlignment w:val="center"/>
              <w:rPr>
                <w:rFonts w:hint="eastAsia" w:ascii="宋体" w:hAnsi="宋体" w:cs="宋体"/>
                <w:color w:val="000000"/>
                <w:sz w:val="18"/>
                <w:szCs w:val="18"/>
              </w:rPr>
            </w:pPr>
          </w:p>
        </w:tc>
        <w:tc>
          <w:tcPr>
            <w:tcW w:w="1896" w:type="dxa"/>
          </w:tcPr>
          <w:p w14:paraId="41343FA4">
            <w:pPr>
              <w:spacing w:line="240" w:lineRule="auto"/>
              <w:ind w:firstLine="0" w:firstLineChars="0"/>
              <w:jc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3FBE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2945308D">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2196" w:type="dxa"/>
            <w:vAlign w:val="center"/>
          </w:tcPr>
          <w:p w14:paraId="355481F0">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并行文件存储服务器</w:t>
            </w:r>
          </w:p>
        </w:tc>
        <w:tc>
          <w:tcPr>
            <w:tcW w:w="3157" w:type="dxa"/>
            <w:vAlign w:val="center"/>
          </w:tcPr>
          <w:p w14:paraId="18912FD7">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浪潮/AS13000G7（inview软件）</w:t>
            </w:r>
          </w:p>
        </w:tc>
        <w:tc>
          <w:tcPr>
            <w:tcW w:w="1896" w:type="dxa"/>
            <w:vAlign w:val="center"/>
          </w:tcPr>
          <w:p w14:paraId="60DF2080">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6F29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076195C">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2196" w:type="dxa"/>
            <w:vAlign w:val="center"/>
          </w:tcPr>
          <w:p w14:paraId="1C0C5FCF">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通用计算服务器</w:t>
            </w:r>
          </w:p>
        </w:tc>
        <w:tc>
          <w:tcPr>
            <w:tcW w:w="3157" w:type="dxa"/>
            <w:vAlign w:val="center"/>
          </w:tcPr>
          <w:p w14:paraId="0E2E6E9A">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华为/FusionCube 1000（DP2210）</w:t>
            </w:r>
          </w:p>
        </w:tc>
        <w:tc>
          <w:tcPr>
            <w:tcW w:w="1896" w:type="dxa"/>
            <w:vAlign w:val="center"/>
          </w:tcPr>
          <w:p w14:paraId="7133BE1A">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4DC8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4EEFF49B">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3</w:t>
            </w:r>
          </w:p>
        </w:tc>
        <w:tc>
          <w:tcPr>
            <w:tcW w:w="2196" w:type="dxa"/>
            <w:vAlign w:val="center"/>
          </w:tcPr>
          <w:p w14:paraId="4A0441AB">
            <w:pPr>
              <w:spacing w:line="240" w:lineRule="auto"/>
              <w:ind w:firstLine="0" w:firstLineChars="0"/>
              <w:jc w:val="left"/>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IB网络监控服务器</w:t>
            </w:r>
          </w:p>
        </w:tc>
        <w:tc>
          <w:tcPr>
            <w:tcW w:w="3157" w:type="dxa"/>
            <w:vAlign w:val="center"/>
          </w:tcPr>
          <w:p w14:paraId="7502BCED">
            <w:pPr>
              <w:spacing w:line="240" w:lineRule="auto"/>
              <w:ind w:firstLine="0" w:firstLineChars="0"/>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浪潮/元脑NF5280M6</w:t>
            </w:r>
          </w:p>
        </w:tc>
        <w:tc>
          <w:tcPr>
            <w:tcW w:w="1896" w:type="dxa"/>
            <w:vAlign w:val="center"/>
          </w:tcPr>
          <w:p w14:paraId="250459B6">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rPr>
              <w:t>提供备件支持服务</w:t>
            </w:r>
          </w:p>
        </w:tc>
      </w:tr>
      <w:tr w14:paraId="6751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0C5400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2196" w:type="dxa"/>
            <w:vAlign w:val="center"/>
          </w:tcPr>
          <w:p w14:paraId="56B91BC3">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核心交换机</w:t>
            </w:r>
          </w:p>
        </w:tc>
        <w:tc>
          <w:tcPr>
            <w:tcW w:w="3157" w:type="dxa"/>
            <w:vAlign w:val="center"/>
          </w:tcPr>
          <w:p w14:paraId="10597FB1">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华为/CloudEngine 16808</w:t>
            </w:r>
          </w:p>
        </w:tc>
        <w:tc>
          <w:tcPr>
            <w:tcW w:w="1896" w:type="dxa"/>
            <w:vAlign w:val="center"/>
          </w:tcPr>
          <w:p w14:paraId="71F7108C">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2B9A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48A25CF8">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2196" w:type="dxa"/>
            <w:vAlign w:val="center"/>
          </w:tcPr>
          <w:p w14:paraId="6D64A5FC">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IPMI交换机</w:t>
            </w:r>
          </w:p>
        </w:tc>
        <w:tc>
          <w:tcPr>
            <w:tcW w:w="3157" w:type="dxa"/>
            <w:vAlign w:val="center"/>
          </w:tcPr>
          <w:p w14:paraId="6F1E3DC2">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华为/CloudEngine S5731-H48T4XC</w:t>
            </w:r>
          </w:p>
        </w:tc>
        <w:tc>
          <w:tcPr>
            <w:tcW w:w="1896" w:type="dxa"/>
            <w:vAlign w:val="center"/>
          </w:tcPr>
          <w:p w14:paraId="144D4C18">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74F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62D36C95">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2196" w:type="dxa"/>
            <w:vAlign w:val="center"/>
          </w:tcPr>
          <w:p w14:paraId="2B6A966B">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业务交换机</w:t>
            </w:r>
          </w:p>
        </w:tc>
        <w:tc>
          <w:tcPr>
            <w:tcW w:w="3157" w:type="dxa"/>
            <w:vAlign w:val="center"/>
          </w:tcPr>
          <w:p w14:paraId="6B4259F9">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华为/CloudEngine 6885-48YS8CQ</w:t>
            </w:r>
          </w:p>
        </w:tc>
        <w:tc>
          <w:tcPr>
            <w:tcW w:w="1896" w:type="dxa"/>
            <w:vAlign w:val="center"/>
          </w:tcPr>
          <w:p w14:paraId="4EC7E103">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027D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0FE2BB15">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2196" w:type="dxa"/>
            <w:vAlign w:val="center"/>
          </w:tcPr>
          <w:p w14:paraId="210AB844">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专线接入交换机</w:t>
            </w:r>
          </w:p>
        </w:tc>
        <w:tc>
          <w:tcPr>
            <w:tcW w:w="3157" w:type="dxa"/>
            <w:vAlign w:val="center"/>
          </w:tcPr>
          <w:p w14:paraId="62830994">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华为/CloudEngine 6857F-48S6CQ</w:t>
            </w:r>
          </w:p>
        </w:tc>
        <w:tc>
          <w:tcPr>
            <w:tcW w:w="1896" w:type="dxa"/>
            <w:vAlign w:val="center"/>
          </w:tcPr>
          <w:p w14:paraId="0948EC88">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2764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39400C9F">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2196" w:type="dxa"/>
            <w:vAlign w:val="center"/>
          </w:tcPr>
          <w:p w14:paraId="3781AA3C">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公网接入路由器</w:t>
            </w:r>
          </w:p>
        </w:tc>
        <w:tc>
          <w:tcPr>
            <w:tcW w:w="3157" w:type="dxa"/>
            <w:vAlign w:val="center"/>
          </w:tcPr>
          <w:p w14:paraId="737BBD0E">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华为/NetEngine 8000 M14</w:t>
            </w:r>
          </w:p>
        </w:tc>
        <w:tc>
          <w:tcPr>
            <w:tcW w:w="1896" w:type="dxa"/>
            <w:vAlign w:val="center"/>
          </w:tcPr>
          <w:p w14:paraId="68D23C95">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2AFE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25A001DB">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2196" w:type="dxa"/>
            <w:vAlign w:val="center"/>
          </w:tcPr>
          <w:p w14:paraId="6A8293C7">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100G单模模块</w:t>
            </w:r>
          </w:p>
        </w:tc>
        <w:tc>
          <w:tcPr>
            <w:tcW w:w="3157" w:type="dxa"/>
            <w:vAlign w:val="center"/>
          </w:tcPr>
          <w:p w14:paraId="4C405B3D">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华为/QSFP28-100G-LR4</w:t>
            </w:r>
          </w:p>
        </w:tc>
        <w:tc>
          <w:tcPr>
            <w:tcW w:w="1896" w:type="dxa"/>
            <w:vAlign w:val="center"/>
          </w:tcPr>
          <w:p w14:paraId="02B6F172">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7011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6E72378">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2196" w:type="dxa"/>
            <w:vAlign w:val="center"/>
          </w:tcPr>
          <w:p w14:paraId="1F89998F">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25G多模模块</w:t>
            </w:r>
          </w:p>
        </w:tc>
        <w:tc>
          <w:tcPr>
            <w:tcW w:w="3157" w:type="dxa"/>
            <w:vAlign w:val="center"/>
          </w:tcPr>
          <w:p w14:paraId="11394841">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华为/SFP-25G-SR</w:t>
            </w:r>
          </w:p>
        </w:tc>
        <w:tc>
          <w:tcPr>
            <w:tcW w:w="1896" w:type="dxa"/>
            <w:vAlign w:val="center"/>
          </w:tcPr>
          <w:p w14:paraId="62BCFA9B">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700F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7ADEFF1">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2196" w:type="dxa"/>
            <w:vAlign w:val="center"/>
          </w:tcPr>
          <w:p w14:paraId="44282030">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10G单模模块</w:t>
            </w:r>
          </w:p>
        </w:tc>
        <w:tc>
          <w:tcPr>
            <w:tcW w:w="3157" w:type="dxa"/>
            <w:vAlign w:val="center"/>
          </w:tcPr>
          <w:p w14:paraId="67EAD3FE">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华为/SFP-10G-LR</w:t>
            </w:r>
          </w:p>
        </w:tc>
        <w:tc>
          <w:tcPr>
            <w:tcW w:w="1896" w:type="dxa"/>
            <w:vAlign w:val="center"/>
          </w:tcPr>
          <w:p w14:paraId="17F3C875">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6942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5E91367C">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12</w:t>
            </w:r>
          </w:p>
        </w:tc>
        <w:tc>
          <w:tcPr>
            <w:tcW w:w="2196" w:type="dxa"/>
            <w:vAlign w:val="center"/>
          </w:tcPr>
          <w:p w14:paraId="0FC59159">
            <w:pPr>
              <w:spacing w:line="240" w:lineRule="auto"/>
              <w:ind w:firstLine="0" w:firstLineChars="0"/>
              <w:jc w:val="left"/>
              <w:textAlignment w:val="center"/>
              <w:rPr>
                <w:rFonts w:hint="eastAsia" w:ascii="宋体" w:hAnsi="宋体" w:cs="宋体"/>
                <w:b/>
                <w:bCs/>
                <w:color w:val="000000"/>
                <w:sz w:val="18"/>
                <w:szCs w:val="18"/>
              </w:rPr>
            </w:pPr>
            <w:r>
              <w:rPr>
                <w:rFonts w:hint="eastAsia" w:ascii="宋体" w:hAnsi="宋体" w:cs="宋体"/>
                <w:color w:val="000000"/>
                <w:kern w:val="0"/>
                <w:sz w:val="18"/>
                <w:szCs w:val="18"/>
                <w:lang w:bidi="ar"/>
              </w:rPr>
              <w:t>堡垒机</w:t>
            </w:r>
          </w:p>
        </w:tc>
        <w:tc>
          <w:tcPr>
            <w:tcW w:w="3157" w:type="dxa"/>
            <w:vAlign w:val="center"/>
          </w:tcPr>
          <w:p w14:paraId="3E1103F8">
            <w:pPr>
              <w:spacing w:line="240" w:lineRule="auto"/>
              <w:ind w:firstLine="0" w:firstLineChars="0"/>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华为/UMA1520F</w:t>
            </w:r>
          </w:p>
        </w:tc>
        <w:tc>
          <w:tcPr>
            <w:tcW w:w="1896" w:type="dxa"/>
            <w:vAlign w:val="center"/>
          </w:tcPr>
          <w:p w14:paraId="59DCE700">
            <w:pPr>
              <w:spacing w:line="240" w:lineRule="auto"/>
              <w:ind w:firstLine="0" w:firstLineChars="0"/>
              <w:jc w:val="center"/>
              <w:textAlignment w:val="center"/>
              <w:rPr>
                <w:rFonts w:hint="eastAsia" w:ascii="宋体" w:hAnsi="宋体" w:cs="宋体"/>
                <w:b/>
                <w:bCs/>
                <w:color w:val="000000"/>
                <w:sz w:val="18"/>
                <w:szCs w:val="18"/>
              </w:rPr>
            </w:pPr>
            <w:r>
              <w:rPr>
                <w:rFonts w:hint="eastAsia" w:ascii="宋体" w:hAnsi="宋体" w:cs="宋体"/>
                <w:color w:val="000000"/>
                <w:kern w:val="0"/>
                <w:sz w:val="18"/>
                <w:szCs w:val="18"/>
              </w:rPr>
              <w:t>提供备件支持服务</w:t>
            </w:r>
          </w:p>
        </w:tc>
      </w:tr>
      <w:tr w14:paraId="69F8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54E37279">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2196" w:type="dxa"/>
            <w:vAlign w:val="center"/>
          </w:tcPr>
          <w:p w14:paraId="79AB9FE5">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互联网接入防火墙</w:t>
            </w:r>
          </w:p>
        </w:tc>
        <w:tc>
          <w:tcPr>
            <w:tcW w:w="3157" w:type="dxa"/>
            <w:vAlign w:val="center"/>
          </w:tcPr>
          <w:p w14:paraId="3949C61A">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华为/HiSecEngine USG6655F</w:t>
            </w:r>
          </w:p>
        </w:tc>
        <w:tc>
          <w:tcPr>
            <w:tcW w:w="1896" w:type="dxa"/>
            <w:vAlign w:val="center"/>
          </w:tcPr>
          <w:p w14:paraId="458B1715">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2ECD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2472BCF">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2196" w:type="dxa"/>
            <w:vAlign w:val="center"/>
          </w:tcPr>
          <w:p w14:paraId="5088DFB9">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日志审计</w:t>
            </w:r>
          </w:p>
        </w:tc>
        <w:tc>
          <w:tcPr>
            <w:tcW w:w="3157" w:type="dxa"/>
            <w:vAlign w:val="center"/>
          </w:tcPr>
          <w:p w14:paraId="5C92A63C">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华为/日志审计分析平台LogAuditor1580F</w:t>
            </w:r>
          </w:p>
        </w:tc>
        <w:tc>
          <w:tcPr>
            <w:tcW w:w="1896" w:type="dxa"/>
            <w:vAlign w:val="center"/>
          </w:tcPr>
          <w:p w14:paraId="5E86E737">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r w14:paraId="232B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312F627">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2196" w:type="dxa"/>
            <w:vAlign w:val="center"/>
          </w:tcPr>
          <w:p w14:paraId="6EE0C807">
            <w:pPr>
              <w:spacing w:line="240" w:lineRule="auto"/>
              <w:ind w:firstLine="0" w:firstLineChar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终端威胁防御系统</w:t>
            </w:r>
          </w:p>
        </w:tc>
        <w:tc>
          <w:tcPr>
            <w:tcW w:w="3157" w:type="dxa"/>
            <w:vAlign w:val="center"/>
          </w:tcPr>
          <w:p w14:paraId="295DDC72">
            <w:pPr>
              <w:spacing w:line="240" w:lineRule="auto"/>
              <w:ind w:firstLine="0" w:firstLineChar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华为/HiSec Endpoint智能终端安全系统</w:t>
            </w:r>
          </w:p>
        </w:tc>
        <w:tc>
          <w:tcPr>
            <w:tcW w:w="1896" w:type="dxa"/>
            <w:vAlign w:val="center"/>
          </w:tcPr>
          <w:p w14:paraId="5B4A8F05">
            <w:pPr>
              <w:spacing w:line="240" w:lineRule="auto"/>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提供备件支持服务</w:t>
            </w:r>
          </w:p>
        </w:tc>
      </w:tr>
    </w:tbl>
    <w:p w14:paraId="6E4B55D6">
      <w:pPr>
        <w:pStyle w:val="2"/>
        <w:rPr>
          <w:rFonts w:hint="eastAsia"/>
        </w:rPr>
      </w:pPr>
    </w:p>
    <w:p w14:paraId="3F561F5F">
      <w:pPr>
        <w:keepNext w:val="0"/>
        <w:keepLines w:val="0"/>
        <w:pageBreakBefore w:val="0"/>
        <w:widowControl w:val="0"/>
        <w:kinsoku/>
        <w:wordWrap/>
        <w:overflowPunct/>
        <w:topLinePunct w:val="0"/>
        <w:autoSpaceDE w:val="0"/>
        <w:autoSpaceDN w:val="0"/>
        <w:bidi w:val="0"/>
        <w:adjustRightInd w:val="0"/>
        <w:snapToGrid w:val="0"/>
        <w:ind w:firstLine="422"/>
        <w:textAlignment w:val="auto"/>
        <w:outlineLvl w:val="4"/>
        <w:rPr>
          <w:rFonts w:hint="eastAsia" w:ascii="宋体" w:hAnsi="宋体" w:cs="宋体"/>
          <w:b/>
          <w:bCs/>
          <w:szCs w:val="21"/>
          <w:lang w:val="en-US" w:eastAsia="zh-CN"/>
        </w:rPr>
      </w:pPr>
      <w:r>
        <w:rPr>
          <w:rFonts w:hint="eastAsia" w:ascii="宋体" w:hAnsi="宋体" w:cs="宋体"/>
          <w:b/>
          <w:bCs/>
          <w:szCs w:val="21"/>
          <w:lang w:val="en-US" w:eastAsia="zh-CN"/>
        </w:rPr>
        <w:t>2.4 专线服务</w:t>
      </w:r>
    </w:p>
    <w:p w14:paraId="1B8EA5FF">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1）专线带宽：贵安新区内两个</w:t>
      </w:r>
      <w:r>
        <w:rPr>
          <w:rFonts w:hint="eastAsia" w:ascii="宋体" w:hAnsi="宋体" w:cs="宋体"/>
          <w:szCs w:val="21"/>
          <w:lang w:val="en-US" w:eastAsia="zh-CN"/>
        </w:rPr>
        <w:t>点位</w:t>
      </w:r>
      <w:r>
        <w:rPr>
          <w:rFonts w:hint="eastAsia" w:ascii="宋体" w:hAnsi="宋体" w:cs="宋体"/>
          <w:szCs w:val="21"/>
        </w:rPr>
        <w:t>之间2*100Gb/s，支持平滑扩容；</w:t>
      </w:r>
    </w:p>
    <w:p w14:paraId="4A82FB08">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2）专线网关服务支持BGP、静态路由协议；</w:t>
      </w:r>
    </w:p>
    <w:p w14:paraId="1DE5421E">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3）专线网关支持接收1000条路由；</w:t>
      </w:r>
    </w:p>
    <w:p w14:paraId="7F263510">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4）专线网关支持默认路由、明细路由接收；</w:t>
      </w:r>
    </w:p>
    <w:p w14:paraId="77CEA18B">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5）专线具体起止端信息由采购人指定（起止端均在贵安新区范围内）</w:t>
      </w:r>
    </w:p>
    <w:p w14:paraId="4D183FB7">
      <w:pPr>
        <w:widowControl w:val="0"/>
        <w:autoSpaceDE w:val="0"/>
        <w:autoSpaceDN w:val="0"/>
        <w:adjustRightInd w:val="0"/>
        <w:snapToGrid w:val="0"/>
        <w:ind w:firstLine="420"/>
        <w:rPr>
          <w:rFonts w:hint="eastAsia" w:ascii="宋体" w:hAnsi="宋体" w:cs="宋体"/>
          <w:szCs w:val="21"/>
        </w:rPr>
      </w:pPr>
      <w:bookmarkStart w:id="12" w:name="OLE_LINK6"/>
      <w:r>
        <w:rPr>
          <w:rFonts w:hint="eastAsia" w:ascii="宋体" w:hAnsi="宋体" w:cs="宋体"/>
          <w:szCs w:val="21"/>
          <w:lang w:eastAsia="zh-CN"/>
        </w:rPr>
        <w:t>（</w:t>
      </w:r>
      <w:r>
        <w:rPr>
          <w:rFonts w:hint="eastAsia" w:ascii="宋体" w:hAnsi="宋体" w:cs="宋体"/>
          <w:szCs w:val="21"/>
        </w:rPr>
        <w:t>6）合同签订后</w:t>
      </w:r>
      <w:r>
        <w:rPr>
          <w:rFonts w:hint="eastAsia" w:ascii="宋体" w:hAnsi="宋体" w:cs="宋体"/>
          <w:szCs w:val="21"/>
          <w:lang w:val="en-US" w:eastAsia="zh-CN"/>
        </w:rPr>
        <w:t>30</w:t>
      </w:r>
      <w:r>
        <w:rPr>
          <w:rFonts w:hint="eastAsia" w:ascii="宋体" w:hAnsi="宋体" w:cs="宋体"/>
          <w:szCs w:val="21"/>
        </w:rPr>
        <w:t>天内实现专线的开通。</w:t>
      </w:r>
    </w:p>
    <w:p w14:paraId="365130D0">
      <w:pPr>
        <w:widowControl w:val="0"/>
        <w:autoSpaceDE w:val="0"/>
        <w:autoSpaceDN w:val="0"/>
        <w:adjustRightInd w:val="0"/>
        <w:snapToGrid w:val="0"/>
        <w:ind w:firstLine="420"/>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7）专线物理线路按照独享纤芯方式提供。</w:t>
      </w:r>
    </w:p>
    <w:p w14:paraId="63CA7387">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8）专线完工后，需配合采购人完成专线验收测试，若测试带宽达不到要求，乙方需进行整改。</w:t>
      </w:r>
    </w:p>
    <w:p w14:paraId="68BEE552">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9）需提供7*24小时报障邮箱以及专职技术接口人，有明确事件升级机制，在内部进行升级，并通报给采购人。</w:t>
      </w:r>
    </w:p>
    <w:p w14:paraId="7E706E7A">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10）事故响应:严格按照采购人要求针对专线故障问题进行响应和解决。事故回溯机制:在故障恢复后，3-5个工作日内向采购人提供故障报告，内容包括但不限于:详细的故障发生的原因、故障产生的影响、后续的保障措施和明确的改进计划。</w:t>
      </w:r>
      <w:bookmarkEnd w:id="12"/>
    </w:p>
    <w:p w14:paraId="65BED57B">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3、服务验收内容及标准</w:t>
      </w:r>
    </w:p>
    <w:p w14:paraId="4F57BC68">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（1）采购人以采购项目的招标文件、投标文件、采购合同作为验收依据，按照采购合同的约定逐项核对技术、服务、安全标准的履约情况并确认；</w:t>
      </w:r>
    </w:p>
    <w:p w14:paraId="73E3BB65">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（2）本项目具体验收内容及标准：</w:t>
      </w:r>
    </w:p>
    <w:p w14:paraId="0298F4D3">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①根据采购人要求，提供项目期间所产生的文档材料，包括并不限于：巡检服务报告、故障处理记录表、系统升级记录表、合同要求的智算集群运维管理办法等材料，如有缺失或遗漏，则不予验收。</w:t>
      </w:r>
    </w:p>
    <w:p w14:paraId="40F5021E">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②根据采购人要求，本项目验收期间需由采购人填写合同履约评价表，如评价表总体评价为差（60分以下），则不予验收。</w:t>
      </w:r>
    </w:p>
    <w:p w14:paraId="125F0CF9">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③根据采购人要求，本项目验收期间需采购人填写合同履约评价表，如评价表中任意一条分项评价为差，则不予验收。如有不适用的分项，则不纳入验收标准。</w:t>
      </w:r>
    </w:p>
    <w:p w14:paraId="63816F4B">
      <w:pPr>
        <w:widowControl w:val="0"/>
        <w:autoSpaceDE w:val="0"/>
        <w:autoSpaceDN w:val="0"/>
        <w:adjustRightInd w:val="0"/>
        <w:snapToGrid w:val="0"/>
        <w:ind w:firstLine="420"/>
        <w:rPr>
          <w:rFonts w:hint="eastAsia" w:ascii="宋体" w:hAnsi="宋体" w:cs="宋体"/>
          <w:szCs w:val="21"/>
        </w:rPr>
      </w:pPr>
      <w:r>
        <w:rPr>
          <w:rFonts w:hint="eastAsia" w:ascii="宋体" w:hAnsi="宋体" w:cs="宋体"/>
          <w:szCs w:val="21"/>
        </w:rPr>
        <w:t>④本项目验收时，如未出现以上任意一条不予验收情况，则验收通过，后续可进行款项支付；如有需补充说明的问题，则待中标人响应完成补充问题后方可进行款项支付；如出现以上任意一条不予验收情况，则本项目不予验收。验收不通过的，则中标人必须限期整改，完成整改后重新申请验收，并重新按照上述标准完成验收。</w:t>
      </w:r>
    </w:p>
    <w:p w14:paraId="77976AFB">
      <w:pPr>
        <w:ind w:firstLine="482"/>
        <w:jc w:val="left"/>
        <w:outlineLvl w:val="3"/>
        <w:rPr>
          <w:rFonts w:hint="eastAsia" w:ascii="宋体" w:hAnsi="宋体" w:cs="宋体"/>
          <w:b/>
          <w:sz w:val="24"/>
          <w:lang w:val="en-US" w:eastAsia="zh-CN"/>
        </w:rPr>
      </w:pPr>
      <w:r>
        <w:rPr>
          <w:rFonts w:hint="eastAsia" w:ascii="宋体" w:hAnsi="宋体" w:cs="宋体"/>
          <w:b/>
          <w:sz w:val="24"/>
          <w:lang w:val="en-US" w:eastAsia="zh-CN"/>
        </w:rPr>
        <w:t>4、保密要求</w:t>
      </w:r>
    </w:p>
    <w:p w14:paraId="151581EE">
      <w:pPr>
        <w:widowControl w:val="0"/>
        <w:autoSpaceDE w:val="0"/>
        <w:autoSpaceDN w:val="0"/>
        <w:adjustRightInd w:val="0"/>
        <w:snapToGrid w:val="0"/>
        <w:ind w:firstLine="420"/>
        <w:rPr>
          <w:rFonts w:hint="eastAsia" w:ascii="宋体" w:hAnsi="宋体"/>
          <w:b/>
          <w:bCs/>
          <w:sz w:val="52"/>
          <w:szCs w:val="52"/>
        </w:rPr>
      </w:pPr>
      <w:r>
        <w:rPr>
          <w:rFonts w:hint="eastAsia" w:ascii="宋体" w:hAnsi="宋体" w:cs="宋体"/>
          <w:szCs w:val="21"/>
        </w:rPr>
        <w:t>采购人、中标人双方在采购和履行合同过程中所获悉的所有信息（包括但不限于智算集群设备信息、智算集群用户信息、各方合同信息、集群设备供应链信息、采购人算力运营定价</w:t>
      </w:r>
      <w:r>
        <w:rPr>
          <w:rFonts w:hint="eastAsia" w:ascii="宋体" w:hAnsi="宋体" w:cs="宋体"/>
          <w:szCs w:val="21"/>
          <w:lang w:eastAsia="zh-CN"/>
        </w:rPr>
        <w:t>、</w:t>
      </w:r>
      <w:r>
        <w:rPr>
          <w:rFonts w:hint="eastAsia" w:ascii="宋体" w:hAnsi="宋体" w:cs="宋体"/>
          <w:szCs w:val="21"/>
          <w:lang w:val="en-US" w:eastAsia="zh-CN"/>
        </w:rPr>
        <w:t>专线信息</w:t>
      </w:r>
      <w:r>
        <w:rPr>
          <w:rFonts w:hint="eastAsia" w:ascii="宋体" w:hAnsi="宋体" w:cs="宋体"/>
          <w:szCs w:val="21"/>
        </w:rPr>
        <w:t>等）都属于保密的内容，采购人中标人双方均有保密义务。</w:t>
      </w:r>
      <w:bookmarkEnd w:id="4"/>
      <w:bookmarkEnd w:id="5"/>
      <w:bookmarkEnd w:id="6"/>
      <w:bookmarkEnd w:id="9"/>
    </w:p>
    <w:sectPr>
      <w:headerReference r:id="rId5" w:type="default"/>
      <w:footerReference r:id="rId6" w:type="default"/>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1BEE">
    <w:pPr>
      <w:pStyle w:val="13"/>
      <w:ind w:firstLine="0" w:firstLineChars="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79</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E393">
    <w:pPr>
      <w:pStyle w:val="14"/>
      <w:pBdr>
        <w:bottom w:val="none" w:color="auto" w:sz="0" w:space="0"/>
      </w:pBdr>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C3F44"/>
    <w:multiLevelType w:val="singleLevel"/>
    <w:tmpl w:val="A64C3F4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hYjljNWFmNmI1Njc0NTAyMWJiMjIzZTkxNTVhMTEifQ=="/>
    <w:docVar w:name="KSO_WPS_MARK_KEY" w:val="2c31e946-ae69-4f0f-9ef2-3a32f2de1d07"/>
  </w:docVars>
  <w:rsids>
    <w:rsidRoot w:val="00A02203"/>
    <w:rsid w:val="00006FB8"/>
    <w:rsid w:val="00020806"/>
    <w:rsid w:val="00024ADA"/>
    <w:rsid w:val="00060893"/>
    <w:rsid w:val="00062A0F"/>
    <w:rsid w:val="0006766B"/>
    <w:rsid w:val="00084D6F"/>
    <w:rsid w:val="000A5DE7"/>
    <w:rsid w:val="000B63A1"/>
    <w:rsid w:val="000C1FF9"/>
    <w:rsid w:val="000D3B33"/>
    <w:rsid w:val="000D43F8"/>
    <w:rsid w:val="000E3DE9"/>
    <w:rsid w:val="000E6171"/>
    <w:rsid w:val="000F7480"/>
    <w:rsid w:val="00126071"/>
    <w:rsid w:val="00130738"/>
    <w:rsid w:val="00156CC6"/>
    <w:rsid w:val="00167DF2"/>
    <w:rsid w:val="001C7BBF"/>
    <w:rsid w:val="001E34CE"/>
    <w:rsid w:val="001F1698"/>
    <w:rsid w:val="001F2BCB"/>
    <w:rsid w:val="00203A39"/>
    <w:rsid w:val="002073E7"/>
    <w:rsid w:val="00221353"/>
    <w:rsid w:val="00224D49"/>
    <w:rsid w:val="00254AC2"/>
    <w:rsid w:val="002717D7"/>
    <w:rsid w:val="002766B3"/>
    <w:rsid w:val="00282FFE"/>
    <w:rsid w:val="00296707"/>
    <w:rsid w:val="002A3D69"/>
    <w:rsid w:val="002B4D1B"/>
    <w:rsid w:val="0030140E"/>
    <w:rsid w:val="00311895"/>
    <w:rsid w:val="00347821"/>
    <w:rsid w:val="00372252"/>
    <w:rsid w:val="003B353E"/>
    <w:rsid w:val="003C1164"/>
    <w:rsid w:val="003D6595"/>
    <w:rsid w:val="003E035F"/>
    <w:rsid w:val="003F7950"/>
    <w:rsid w:val="00415146"/>
    <w:rsid w:val="004355D7"/>
    <w:rsid w:val="00445FCE"/>
    <w:rsid w:val="004534D2"/>
    <w:rsid w:val="00483F32"/>
    <w:rsid w:val="004B029F"/>
    <w:rsid w:val="004C4183"/>
    <w:rsid w:val="004C4EF7"/>
    <w:rsid w:val="004D1FF6"/>
    <w:rsid w:val="004F32B1"/>
    <w:rsid w:val="00521DF9"/>
    <w:rsid w:val="005447E2"/>
    <w:rsid w:val="00554018"/>
    <w:rsid w:val="00572068"/>
    <w:rsid w:val="005B6E4E"/>
    <w:rsid w:val="00607CB2"/>
    <w:rsid w:val="00631853"/>
    <w:rsid w:val="0063730D"/>
    <w:rsid w:val="00681615"/>
    <w:rsid w:val="00683B04"/>
    <w:rsid w:val="00686B05"/>
    <w:rsid w:val="006A6EA1"/>
    <w:rsid w:val="006B56EA"/>
    <w:rsid w:val="006E3999"/>
    <w:rsid w:val="007235D8"/>
    <w:rsid w:val="00734C8D"/>
    <w:rsid w:val="00751FF3"/>
    <w:rsid w:val="007526BC"/>
    <w:rsid w:val="00755FF4"/>
    <w:rsid w:val="00765D57"/>
    <w:rsid w:val="00766BF9"/>
    <w:rsid w:val="007A5ABC"/>
    <w:rsid w:val="007A652F"/>
    <w:rsid w:val="007C2ADE"/>
    <w:rsid w:val="007C6DA5"/>
    <w:rsid w:val="007F0BA3"/>
    <w:rsid w:val="00810664"/>
    <w:rsid w:val="00845D04"/>
    <w:rsid w:val="00851BE6"/>
    <w:rsid w:val="00860A82"/>
    <w:rsid w:val="00864F7C"/>
    <w:rsid w:val="00872980"/>
    <w:rsid w:val="008A1282"/>
    <w:rsid w:val="008D0E71"/>
    <w:rsid w:val="008E3523"/>
    <w:rsid w:val="008E3DDE"/>
    <w:rsid w:val="00911443"/>
    <w:rsid w:val="009477B3"/>
    <w:rsid w:val="00954250"/>
    <w:rsid w:val="009621AF"/>
    <w:rsid w:val="00963DE3"/>
    <w:rsid w:val="00970AD0"/>
    <w:rsid w:val="00985848"/>
    <w:rsid w:val="009C49DE"/>
    <w:rsid w:val="009D6C69"/>
    <w:rsid w:val="009F5CF5"/>
    <w:rsid w:val="00A02203"/>
    <w:rsid w:val="00A02CF6"/>
    <w:rsid w:val="00A830B4"/>
    <w:rsid w:val="00AA07F1"/>
    <w:rsid w:val="00AD5864"/>
    <w:rsid w:val="00AD606C"/>
    <w:rsid w:val="00B05BDB"/>
    <w:rsid w:val="00B37F6D"/>
    <w:rsid w:val="00B84395"/>
    <w:rsid w:val="00BC2835"/>
    <w:rsid w:val="00BC462C"/>
    <w:rsid w:val="00C06F5A"/>
    <w:rsid w:val="00C11DAD"/>
    <w:rsid w:val="00C13AF0"/>
    <w:rsid w:val="00C16F7C"/>
    <w:rsid w:val="00C53A31"/>
    <w:rsid w:val="00C6316E"/>
    <w:rsid w:val="00C63624"/>
    <w:rsid w:val="00C645D2"/>
    <w:rsid w:val="00C72976"/>
    <w:rsid w:val="00C7580A"/>
    <w:rsid w:val="00C76E88"/>
    <w:rsid w:val="00CA3FC3"/>
    <w:rsid w:val="00CB42A1"/>
    <w:rsid w:val="00CB5704"/>
    <w:rsid w:val="00CD3AA9"/>
    <w:rsid w:val="00CF03FA"/>
    <w:rsid w:val="00CF0417"/>
    <w:rsid w:val="00CF5499"/>
    <w:rsid w:val="00D00132"/>
    <w:rsid w:val="00D22792"/>
    <w:rsid w:val="00D22A1F"/>
    <w:rsid w:val="00D536AC"/>
    <w:rsid w:val="00D7081E"/>
    <w:rsid w:val="00D76199"/>
    <w:rsid w:val="00D83A5B"/>
    <w:rsid w:val="00DA3726"/>
    <w:rsid w:val="00DA737E"/>
    <w:rsid w:val="00DB4C13"/>
    <w:rsid w:val="00DD2598"/>
    <w:rsid w:val="00E06F31"/>
    <w:rsid w:val="00E2532F"/>
    <w:rsid w:val="00E56CF2"/>
    <w:rsid w:val="00E612B9"/>
    <w:rsid w:val="00E660AB"/>
    <w:rsid w:val="00EA604B"/>
    <w:rsid w:val="00EB2CEC"/>
    <w:rsid w:val="00EB34BF"/>
    <w:rsid w:val="00EC453B"/>
    <w:rsid w:val="00F004D9"/>
    <w:rsid w:val="00F1603D"/>
    <w:rsid w:val="00F615C1"/>
    <w:rsid w:val="00F85CF9"/>
    <w:rsid w:val="00F91BCD"/>
    <w:rsid w:val="00F94FFA"/>
    <w:rsid w:val="00FA42EB"/>
    <w:rsid w:val="00FB2109"/>
    <w:rsid w:val="00FE2493"/>
    <w:rsid w:val="00FE7736"/>
    <w:rsid w:val="01063175"/>
    <w:rsid w:val="016F7FFB"/>
    <w:rsid w:val="017C776C"/>
    <w:rsid w:val="0190741C"/>
    <w:rsid w:val="01B15C86"/>
    <w:rsid w:val="0234420F"/>
    <w:rsid w:val="024C0DD3"/>
    <w:rsid w:val="02511C3B"/>
    <w:rsid w:val="025D5F33"/>
    <w:rsid w:val="02737D92"/>
    <w:rsid w:val="02922C89"/>
    <w:rsid w:val="02D212D8"/>
    <w:rsid w:val="034537A8"/>
    <w:rsid w:val="03940C7A"/>
    <w:rsid w:val="03943426"/>
    <w:rsid w:val="03B739ED"/>
    <w:rsid w:val="03D44496"/>
    <w:rsid w:val="03F97CF6"/>
    <w:rsid w:val="042A6EF2"/>
    <w:rsid w:val="044C6E68"/>
    <w:rsid w:val="04C17856"/>
    <w:rsid w:val="04D81A63"/>
    <w:rsid w:val="05550281"/>
    <w:rsid w:val="059960DD"/>
    <w:rsid w:val="05CD222A"/>
    <w:rsid w:val="05DC4526"/>
    <w:rsid w:val="05E65F09"/>
    <w:rsid w:val="06012780"/>
    <w:rsid w:val="061047E2"/>
    <w:rsid w:val="06427D86"/>
    <w:rsid w:val="06452F87"/>
    <w:rsid w:val="06461EAE"/>
    <w:rsid w:val="06833048"/>
    <w:rsid w:val="06964CB8"/>
    <w:rsid w:val="06F828B9"/>
    <w:rsid w:val="06FD55A4"/>
    <w:rsid w:val="0724700D"/>
    <w:rsid w:val="07350087"/>
    <w:rsid w:val="074603F1"/>
    <w:rsid w:val="07A75C95"/>
    <w:rsid w:val="07B14549"/>
    <w:rsid w:val="07C54FE7"/>
    <w:rsid w:val="07E00BD3"/>
    <w:rsid w:val="085278B3"/>
    <w:rsid w:val="08A944DF"/>
    <w:rsid w:val="094F38FA"/>
    <w:rsid w:val="09785869"/>
    <w:rsid w:val="09E801C4"/>
    <w:rsid w:val="09FC3210"/>
    <w:rsid w:val="0A161FC1"/>
    <w:rsid w:val="0A3D7A10"/>
    <w:rsid w:val="0A723C56"/>
    <w:rsid w:val="0A8729A8"/>
    <w:rsid w:val="0B3A5294"/>
    <w:rsid w:val="0B5605CC"/>
    <w:rsid w:val="0B746BC5"/>
    <w:rsid w:val="0B7F4611"/>
    <w:rsid w:val="0BA26816"/>
    <w:rsid w:val="0C001D59"/>
    <w:rsid w:val="0C3E2615"/>
    <w:rsid w:val="0C44382F"/>
    <w:rsid w:val="0C694029"/>
    <w:rsid w:val="0C700313"/>
    <w:rsid w:val="0C8D1B21"/>
    <w:rsid w:val="0CCD47D7"/>
    <w:rsid w:val="0CD86ED3"/>
    <w:rsid w:val="0CE61F7A"/>
    <w:rsid w:val="0D37240F"/>
    <w:rsid w:val="0D4303D8"/>
    <w:rsid w:val="0D6071A2"/>
    <w:rsid w:val="0D611858"/>
    <w:rsid w:val="0D9B6D57"/>
    <w:rsid w:val="0DA0635B"/>
    <w:rsid w:val="0DC14423"/>
    <w:rsid w:val="0DC440B5"/>
    <w:rsid w:val="0DD71E98"/>
    <w:rsid w:val="0DDA4CE8"/>
    <w:rsid w:val="0E027FA2"/>
    <w:rsid w:val="0E0E11CA"/>
    <w:rsid w:val="0E172295"/>
    <w:rsid w:val="0E38641C"/>
    <w:rsid w:val="0E533C27"/>
    <w:rsid w:val="0E5B4877"/>
    <w:rsid w:val="0EF31C3F"/>
    <w:rsid w:val="0F63739C"/>
    <w:rsid w:val="0F743619"/>
    <w:rsid w:val="0F7D6A6F"/>
    <w:rsid w:val="0FAD70BD"/>
    <w:rsid w:val="0FB26719"/>
    <w:rsid w:val="0FBF0D1C"/>
    <w:rsid w:val="0FDE2C3A"/>
    <w:rsid w:val="0FE10850"/>
    <w:rsid w:val="0FE57A63"/>
    <w:rsid w:val="105A60FB"/>
    <w:rsid w:val="106E77FE"/>
    <w:rsid w:val="10AA7DD2"/>
    <w:rsid w:val="10CA0879"/>
    <w:rsid w:val="11323CD0"/>
    <w:rsid w:val="11504B7F"/>
    <w:rsid w:val="11906566"/>
    <w:rsid w:val="11C9307C"/>
    <w:rsid w:val="11F31972"/>
    <w:rsid w:val="11F34DA9"/>
    <w:rsid w:val="1202325C"/>
    <w:rsid w:val="120F1BE8"/>
    <w:rsid w:val="124309DE"/>
    <w:rsid w:val="12706081"/>
    <w:rsid w:val="12CC5D44"/>
    <w:rsid w:val="12F52B79"/>
    <w:rsid w:val="13141C4C"/>
    <w:rsid w:val="13253A77"/>
    <w:rsid w:val="13471D26"/>
    <w:rsid w:val="13477178"/>
    <w:rsid w:val="135B2C24"/>
    <w:rsid w:val="1360330B"/>
    <w:rsid w:val="137774E9"/>
    <w:rsid w:val="138065EB"/>
    <w:rsid w:val="138C2DA5"/>
    <w:rsid w:val="13B85DF1"/>
    <w:rsid w:val="13EB21F9"/>
    <w:rsid w:val="140D7D85"/>
    <w:rsid w:val="14981ED1"/>
    <w:rsid w:val="14991C55"/>
    <w:rsid w:val="14CD7A5B"/>
    <w:rsid w:val="15036F32"/>
    <w:rsid w:val="1540361B"/>
    <w:rsid w:val="154A64FF"/>
    <w:rsid w:val="155A6BE8"/>
    <w:rsid w:val="156762A6"/>
    <w:rsid w:val="159A214F"/>
    <w:rsid w:val="15BC0CA1"/>
    <w:rsid w:val="15FB1691"/>
    <w:rsid w:val="16705447"/>
    <w:rsid w:val="167504A0"/>
    <w:rsid w:val="16A505F5"/>
    <w:rsid w:val="16D74CB7"/>
    <w:rsid w:val="17351F88"/>
    <w:rsid w:val="1741325D"/>
    <w:rsid w:val="17535C24"/>
    <w:rsid w:val="175C675B"/>
    <w:rsid w:val="178F1E7F"/>
    <w:rsid w:val="17996410"/>
    <w:rsid w:val="17AA1EE5"/>
    <w:rsid w:val="17D9641D"/>
    <w:rsid w:val="17ED7748"/>
    <w:rsid w:val="180E5886"/>
    <w:rsid w:val="1813553D"/>
    <w:rsid w:val="1832074A"/>
    <w:rsid w:val="185940F5"/>
    <w:rsid w:val="187163BB"/>
    <w:rsid w:val="18BD626E"/>
    <w:rsid w:val="18C82BC8"/>
    <w:rsid w:val="18E4311F"/>
    <w:rsid w:val="190E35A4"/>
    <w:rsid w:val="191B537A"/>
    <w:rsid w:val="192359D9"/>
    <w:rsid w:val="195A6195"/>
    <w:rsid w:val="1A2901CD"/>
    <w:rsid w:val="1A3B0ED0"/>
    <w:rsid w:val="1A405200"/>
    <w:rsid w:val="1A4F00C4"/>
    <w:rsid w:val="1A757FD2"/>
    <w:rsid w:val="1AAC67D1"/>
    <w:rsid w:val="1AB5523E"/>
    <w:rsid w:val="1AEE6FEB"/>
    <w:rsid w:val="1B0818E3"/>
    <w:rsid w:val="1B17289A"/>
    <w:rsid w:val="1B1D7291"/>
    <w:rsid w:val="1B250899"/>
    <w:rsid w:val="1B816F5A"/>
    <w:rsid w:val="1B8C3039"/>
    <w:rsid w:val="1BED4D8A"/>
    <w:rsid w:val="1C3967F8"/>
    <w:rsid w:val="1C407C12"/>
    <w:rsid w:val="1C5F4373"/>
    <w:rsid w:val="1C67572C"/>
    <w:rsid w:val="1C87769C"/>
    <w:rsid w:val="1CA37F60"/>
    <w:rsid w:val="1CB558E4"/>
    <w:rsid w:val="1CBC0B1E"/>
    <w:rsid w:val="1CEB326A"/>
    <w:rsid w:val="1CF245F9"/>
    <w:rsid w:val="1CF30177"/>
    <w:rsid w:val="1D022362"/>
    <w:rsid w:val="1D024ED4"/>
    <w:rsid w:val="1D111A4E"/>
    <w:rsid w:val="1D506A6A"/>
    <w:rsid w:val="1DBE5791"/>
    <w:rsid w:val="1DF4215F"/>
    <w:rsid w:val="1E0324F9"/>
    <w:rsid w:val="1E5E181A"/>
    <w:rsid w:val="1E787406"/>
    <w:rsid w:val="1E873E8D"/>
    <w:rsid w:val="1E8D11EB"/>
    <w:rsid w:val="1E9811D0"/>
    <w:rsid w:val="1EE40319"/>
    <w:rsid w:val="1EE41C3E"/>
    <w:rsid w:val="1F0A3A34"/>
    <w:rsid w:val="1F343F13"/>
    <w:rsid w:val="1F415AF5"/>
    <w:rsid w:val="1F482C35"/>
    <w:rsid w:val="1F497F66"/>
    <w:rsid w:val="1F826BE1"/>
    <w:rsid w:val="1FA140B4"/>
    <w:rsid w:val="1FBF4BDE"/>
    <w:rsid w:val="1FF71F87"/>
    <w:rsid w:val="204038CD"/>
    <w:rsid w:val="204333BD"/>
    <w:rsid w:val="204A0B08"/>
    <w:rsid w:val="20533168"/>
    <w:rsid w:val="2099277F"/>
    <w:rsid w:val="20B969CD"/>
    <w:rsid w:val="20CC6FAC"/>
    <w:rsid w:val="20D9162C"/>
    <w:rsid w:val="20F84967"/>
    <w:rsid w:val="21261B05"/>
    <w:rsid w:val="21A85355"/>
    <w:rsid w:val="21AF0F00"/>
    <w:rsid w:val="21BC2EF1"/>
    <w:rsid w:val="21C44E06"/>
    <w:rsid w:val="21CF315A"/>
    <w:rsid w:val="21ED41AA"/>
    <w:rsid w:val="224761AC"/>
    <w:rsid w:val="225D4B25"/>
    <w:rsid w:val="227A7D18"/>
    <w:rsid w:val="22890606"/>
    <w:rsid w:val="22A905E8"/>
    <w:rsid w:val="22E975AC"/>
    <w:rsid w:val="23797031"/>
    <w:rsid w:val="245C73C7"/>
    <w:rsid w:val="24714BBD"/>
    <w:rsid w:val="24AB0466"/>
    <w:rsid w:val="24D141C1"/>
    <w:rsid w:val="24F46A34"/>
    <w:rsid w:val="24FB4B23"/>
    <w:rsid w:val="250A644E"/>
    <w:rsid w:val="251E0909"/>
    <w:rsid w:val="252E53D1"/>
    <w:rsid w:val="256E2FBD"/>
    <w:rsid w:val="25801496"/>
    <w:rsid w:val="259D6EB5"/>
    <w:rsid w:val="25A031B3"/>
    <w:rsid w:val="25F0369F"/>
    <w:rsid w:val="2613738E"/>
    <w:rsid w:val="264105C0"/>
    <w:rsid w:val="265873B4"/>
    <w:rsid w:val="26720558"/>
    <w:rsid w:val="26773DC1"/>
    <w:rsid w:val="26BB3CAD"/>
    <w:rsid w:val="26DF1CEB"/>
    <w:rsid w:val="27090F73"/>
    <w:rsid w:val="278B7B24"/>
    <w:rsid w:val="27CD6D2E"/>
    <w:rsid w:val="27E8712F"/>
    <w:rsid w:val="27F84A8D"/>
    <w:rsid w:val="28182937"/>
    <w:rsid w:val="284D5D51"/>
    <w:rsid w:val="285B2580"/>
    <w:rsid w:val="28C055AB"/>
    <w:rsid w:val="28CB0A65"/>
    <w:rsid w:val="294146C7"/>
    <w:rsid w:val="29875DEC"/>
    <w:rsid w:val="298A5D0E"/>
    <w:rsid w:val="29C35BC0"/>
    <w:rsid w:val="29E57890"/>
    <w:rsid w:val="2A4B0CB0"/>
    <w:rsid w:val="2A9E3B61"/>
    <w:rsid w:val="2AF4607E"/>
    <w:rsid w:val="2B1971F4"/>
    <w:rsid w:val="2B1A7429"/>
    <w:rsid w:val="2B38357B"/>
    <w:rsid w:val="2B5103B4"/>
    <w:rsid w:val="2B5D369E"/>
    <w:rsid w:val="2B940B8C"/>
    <w:rsid w:val="2BC022E7"/>
    <w:rsid w:val="2BC37160"/>
    <w:rsid w:val="2BFF288E"/>
    <w:rsid w:val="2C55366B"/>
    <w:rsid w:val="2C7257EB"/>
    <w:rsid w:val="2C7566AC"/>
    <w:rsid w:val="2C8B403F"/>
    <w:rsid w:val="2C9160B1"/>
    <w:rsid w:val="2CA174A1"/>
    <w:rsid w:val="2CA54F8D"/>
    <w:rsid w:val="2CD350CB"/>
    <w:rsid w:val="2CD9463D"/>
    <w:rsid w:val="2CF07C47"/>
    <w:rsid w:val="2CF24E6D"/>
    <w:rsid w:val="2D245E37"/>
    <w:rsid w:val="2D5F4910"/>
    <w:rsid w:val="2DAD3C75"/>
    <w:rsid w:val="2DCE7635"/>
    <w:rsid w:val="2DD355F3"/>
    <w:rsid w:val="2E0A2FA1"/>
    <w:rsid w:val="2E906356"/>
    <w:rsid w:val="2EEC38F0"/>
    <w:rsid w:val="2F001910"/>
    <w:rsid w:val="2F2919D0"/>
    <w:rsid w:val="2F4321C6"/>
    <w:rsid w:val="2F6B3496"/>
    <w:rsid w:val="2FDA60E1"/>
    <w:rsid w:val="301A6972"/>
    <w:rsid w:val="301F34FF"/>
    <w:rsid w:val="304B7EE5"/>
    <w:rsid w:val="30777594"/>
    <w:rsid w:val="30BC2D6A"/>
    <w:rsid w:val="30CD2CC4"/>
    <w:rsid w:val="30DA2763"/>
    <w:rsid w:val="312468F3"/>
    <w:rsid w:val="314530B8"/>
    <w:rsid w:val="316E47B5"/>
    <w:rsid w:val="31A62227"/>
    <w:rsid w:val="31CA410C"/>
    <w:rsid w:val="31D976DD"/>
    <w:rsid w:val="321B004B"/>
    <w:rsid w:val="32713DBA"/>
    <w:rsid w:val="327712B1"/>
    <w:rsid w:val="327F0DB3"/>
    <w:rsid w:val="328A605C"/>
    <w:rsid w:val="32BF4B25"/>
    <w:rsid w:val="32C97D64"/>
    <w:rsid w:val="32EC3A0F"/>
    <w:rsid w:val="331772B8"/>
    <w:rsid w:val="33185FE3"/>
    <w:rsid w:val="33617589"/>
    <w:rsid w:val="33813DC4"/>
    <w:rsid w:val="339B7340"/>
    <w:rsid w:val="33A63196"/>
    <w:rsid w:val="33AF70F4"/>
    <w:rsid w:val="33D44A17"/>
    <w:rsid w:val="33E22B57"/>
    <w:rsid w:val="341449FD"/>
    <w:rsid w:val="34251D0C"/>
    <w:rsid w:val="342657E2"/>
    <w:rsid w:val="34CA499E"/>
    <w:rsid w:val="34E13457"/>
    <w:rsid w:val="35165311"/>
    <w:rsid w:val="3583611D"/>
    <w:rsid w:val="358C2793"/>
    <w:rsid w:val="35E7648F"/>
    <w:rsid w:val="35F76384"/>
    <w:rsid w:val="35FB0E69"/>
    <w:rsid w:val="36105698"/>
    <w:rsid w:val="36372C8D"/>
    <w:rsid w:val="364123A8"/>
    <w:rsid w:val="36520CAA"/>
    <w:rsid w:val="368667C7"/>
    <w:rsid w:val="36B054A5"/>
    <w:rsid w:val="36D6068F"/>
    <w:rsid w:val="36DE2375"/>
    <w:rsid w:val="37130F68"/>
    <w:rsid w:val="37182A56"/>
    <w:rsid w:val="3746301B"/>
    <w:rsid w:val="374E0226"/>
    <w:rsid w:val="376D1FDA"/>
    <w:rsid w:val="379669C1"/>
    <w:rsid w:val="37C47FFF"/>
    <w:rsid w:val="37D05606"/>
    <w:rsid w:val="37EB14D6"/>
    <w:rsid w:val="38364A12"/>
    <w:rsid w:val="38660D38"/>
    <w:rsid w:val="38737712"/>
    <w:rsid w:val="387A6EFA"/>
    <w:rsid w:val="388303A3"/>
    <w:rsid w:val="38D65D98"/>
    <w:rsid w:val="38DF49D1"/>
    <w:rsid w:val="38FC118C"/>
    <w:rsid w:val="3901717A"/>
    <w:rsid w:val="39050DB8"/>
    <w:rsid w:val="390F04A7"/>
    <w:rsid w:val="392018CD"/>
    <w:rsid w:val="392122BE"/>
    <w:rsid w:val="39483C99"/>
    <w:rsid w:val="395A77E7"/>
    <w:rsid w:val="3966325F"/>
    <w:rsid w:val="39975BA6"/>
    <w:rsid w:val="39B876B8"/>
    <w:rsid w:val="39D65955"/>
    <w:rsid w:val="39EB0F8E"/>
    <w:rsid w:val="39FC040D"/>
    <w:rsid w:val="3A004B8C"/>
    <w:rsid w:val="3A085004"/>
    <w:rsid w:val="3A1E65D5"/>
    <w:rsid w:val="3A2F4016"/>
    <w:rsid w:val="3A575F58"/>
    <w:rsid w:val="3ABB122A"/>
    <w:rsid w:val="3AC32241"/>
    <w:rsid w:val="3AC86541"/>
    <w:rsid w:val="3AED5FA8"/>
    <w:rsid w:val="3B0C687A"/>
    <w:rsid w:val="3B455595"/>
    <w:rsid w:val="3B5F0DB9"/>
    <w:rsid w:val="3B893F22"/>
    <w:rsid w:val="3BA943E7"/>
    <w:rsid w:val="3BDE2627"/>
    <w:rsid w:val="3BE15B0C"/>
    <w:rsid w:val="3C017F5D"/>
    <w:rsid w:val="3C644423"/>
    <w:rsid w:val="3C8A5759"/>
    <w:rsid w:val="3D163786"/>
    <w:rsid w:val="3D54230E"/>
    <w:rsid w:val="3D54522C"/>
    <w:rsid w:val="3D622C7D"/>
    <w:rsid w:val="3DA93FCD"/>
    <w:rsid w:val="3DAF089D"/>
    <w:rsid w:val="3DB77FBB"/>
    <w:rsid w:val="3DBF41AC"/>
    <w:rsid w:val="3E813F6C"/>
    <w:rsid w:val="3E8A06BC"/>
    <w:rsid w:val="3EA80B63"/>
    <w:rsid w:val="3EDA5A73"/>
    <w:rsid w:val="3EE54133"/>
    <w:rsid w:val="3F601F7A"/>
    <w:rsid w:val="3F6F2B07"/>
    <w:rsid w:val="3F8213B4"/>
    <w:rsid w:val="3FDF1820"/>
    <w:rsid w:val="3FE71217"/>
    <w:rsid w:val="40136C10"/>
    <w:rsid w:val="404C46CE"/>
    <w:rsid w:val="41043763"/>
    <w:rsid w:val="41166258"/>
    <w:rsid w:val="41597EF3"/>
    <w:rsid w:val="417B17CA"/>
    <w:rsid w:val="41AC2719"/>
    <w:rsid w:val="41BF7D35"/>
    <w:rsid w:val="41C011A1"/>
    <w:rsid w:val="41D04AEB"/>
    <w:rsid w:val="41DA308F"/>
    <w:rsid w:val="4229501E"/>
    <w:rsid w:val="424E1A22"/>
    <w:rsid w:val="426C08AF"/>
    <w:rsid w:val="427A3869"/>
    <w:rsid w:val="42876B8D"/>
    <w:rsid w:val="429763B9"/>
    <w:rsid w:val="4299627E"/>
    <w:rsid w:val="42B333BA"/>
    <w:rsid w:val="42B51AA1"/>
    <w:rsid w:val="42B71375"/>
    <w:rsid w:val="42D5320F"/>
    <w:rsid w:val="42F771E2"/>
    <w:rsid w:val="433A7064"/>
    <w:rsid w:val="437905DF"/>
    <w:rsid w:val="43DE6DD5"/>
    <w:rsid w:val="442E77EA"/>
    <w:rsid w:val="4472531D"/>
    <w:rsid w:val="4487121B"/>
    <w:rsid w:val="44986F84"/>
    <w:rsid w:val="449F6BE7"/>
    <w:rsid w:val="44CC1BC8"/>
    <w:rsid w:val="44D77541"/>
    <w:rsid w:val="44F16612"/>
    <w:rsid w:val="44FE330C"/>
    <w:rsid w:val="453E3FCF"/>
    <w:rsid w:val="45432B38"/>
    <w:rsid w:val="455D565E"/>
    <w:rsid w:val="45684BA8"/>
    <w:rsid w:val="45763354"/>
    <w:rsid w:val="458614D2"/>
    <w:rsid w:val="45B24076"/>
    <w:rsid w:val="45DB537A"/>
    <w:rsid w:val="45E309A2"/>
    <w:rsid w:val="460B23A9"/>
    <w:rsid w:val="462A789C"/>
    <w:rsid w:val="46351B82"/>
    <w:rsid w:val="46B25A17"/>
    <w:rsid w:val="46C05608"/>
    <w:rsid w:val="46C107E2"/>
    <w:rsid w:val="46DC1E07"/>
    <w:rsid w:val="46E14C12"/>
    <w:rsid w:val="46E84E16"/>
    <w:rsid w:val="46E976BF"/>
    <w:rsid w:val="46F36E39"/>
    <w:rsid w:val="473F2EEB"/>
    <w:rsid w:val="47400962"/>
    <w:rsid w:val="47733FF1"/>
    <w:rsid w:val="4789583A"/>
    <w:rsid w:val="47903C6D"/>
    <w:rsid w:val="47A125F4"/>
    <w:rsid w:val="490003D1"/>
    <w:rsid w:val="494476DB"/>
    <w:rsid w:val="495C4EE9"/>
    <w:rsid w:val="49D4183D"/>
    <w:rsid w:val="49DB1DED"/>
    <w:rsid w:val="49DF3DC5"/>
    <w:rsid w:val="49EA4AA7"/>
    <w:rsid w:val="4A03024F"/>
    <w:rsid w:val="4A3D4856"/>
    <w:rsid w:val="4A4342B8"/>
    <w:rsid w:val="4A462D97"/>
    <w:rsid w:val="4A875AD1"/>
    <w:rsid w:val="4A8C6E1A"/>
    <w:rsid w:val="4A8F19CF"/>
    <w:rsid w:val="4AB81393"/>
    <w:rsid w:val="4AC731A0"/>
    <w:rsid w:val="4AE16557"/>
    <w:rsid w:val="4AF90855"/>
    <w:rsid w:val="4B1D4687"/>
    <w:rsid w:val="4B2900A2"/>
    <w:rsid w:val="4B2B0CAC"/>
    <w:rsid w:val="4B2E1145"/>
    <w:rsid w:val="4B604A46"/>
    <w:rsid w:val="4B956AED"/>
    <w:rsid w:val="4BA63CCD"/>
    <w:rsid w:val="4BCD2C3A"/>
    <w:rsid w:val="4C6E4ADE"/>
    <w:rsid w:val="4C957343"/>
    <w:rsid w:val="4CD40D75"/>
    <w:rsid w:val="4CFB7EC4"/>
    <w:rsid w:val="4D023786"/>
    <w:rsid w:val="4D0F051D"/>
    <w:rsid w:val="4D1768C6"/>
    <w:rsid w:val="4D3A5835"/>
    <w:rsid w:val="4D61085B"/>
    <w:rsid w:val="4DE45877"/>
    <w:rsid w:val="4DE6344C"/>
    <w:rsid w:val="4DF427AC"/>
    <w:rsid w:val="4E261B60"/>
    <w:rsid w:val="4E4C150B"/>
    <w:rsid w:val="4E582767"/>
    <w:rsid w:val="4EB60851"/>
    <w:rsid w:val="4EBE456F"/>
    <w:rsid w:val="4ECE1BE2"/>
    <w:rsid w:val="4EEC7B66"/>
    <w:rsid w:val="4EFA7FF5"/>
    <w:rsid w:val="4F536D3F"/>
    <w:rsid w:val="4F5D1E0D"/>
    <w:rsid w:val="4F7B4B8D"/>
    <w:rsid w:val="4F88450E"/>
    <w:rsid w:val="500B6935"/>
    <w:rsid w:val="501E3C84"/>
    <w:rsid w:val="50421E27"/>
    <w:rsid w:val="50574037"/>
    <w:rsid w:val="50AB43CB"/>
    <w:rsid w:val="50AE4D02"/>
    <w:rsid w:val="50C94E66"/>
    <w:rsid w:val="511B709E"/>
    <w:rsid w:val="51230972"/>
    <w:rsid w:val="51473D14"/>
    <w:rsid w:val="51574591"/>
    <w:rsid w:val="51BB6AA3"/>
    <w:rsid w:val="51E335B3"/>
    <w:rsid w:val="52207196"/>
    <w:rsid w:val="523D116B"/>
    <w:rsid w:val="52D17915"/>
    <w:rsid w:val="52D9661B"/>
    <w:rsid w:val="52E57838"/>
    <w:rsid w:val="536D782E"/>
    <w:rsid w:val="537D2167"/>
    <w:rsid w:val="539C2A43"/>
    <w:rsid w:val="53AA7275"/>
    <w:rsid w:val="542B4174"/>
    <w:rsid w:val="542B4D51"/>
    <w:rsid w:val="54347312"/>
    <w:rsid w:val="54507787"/>
    <w:rsid w:val="545C46BC"/>
    <w:rsid w:val="546100C0"/>
    <w:rsid w:val="54694499"/>
    <w:rsid w:val="547A7123"/>
    <w:rsid w:val="549204A4"/>
    <w:rsid w:val="54AC25D1"/>
    <w:rsid w:val="55050A50"/>
    <w:rsid w:val="551E34D6"/>
    <w:rsid w:val="55742FA0"/>
    <w:rsid w:val="55B14FAB"/>
    <w:rsid w:val="55D702FB"/>
    <w:rsid w:val="55DC6DCC"/>
    <w:rsid w:val="55F13795"/>
    <w:rsid w:val="560E52F8"/>
    <w:rsid w:val="566024A6"/>
    <w:rsid w:val="568352B4"/>
    <w:rsid w:val="56DA342C"/>
    <w:rsid w:val="56EB2B5D"/>
    <w:rsid w:val="5737087F"/>
    <w:rsid w:val="57540C1D"/>
    <w:rsid w:val="57B508B1"/>
    <w:rsid w:val="57C540DC"/>
    <w:rsid w:val="580B5F93"/>
    <w:rsid w:val="58107D08"/>
    <w:rsid w:val="58282C54"/>
    <w:rsid w:val="585F0AA4"/>
    <w:rsid w:val="5877669E"/>
    <w:rsid w:val="58A31D94"/>
    <w:rsid w:val="590450F5"/>
    <w:rsid w:val="590F062C"/>
    <w:rsid w:val="59295276"/>
    <w:rsid w:val="5936187F"/>
    <w:rsid w:val="59535678"/>
    <w:rsid w:val="5A371CA1"/>
    <w:rsid w:val="5A5F753A"/>
    <w:rsid w:val="5A695691"/>
    <w:rsid w:val="5A817839"/>
    <w:rsid w:val="5AD85DDC"/>
    <w:rsid w:val="5B1042D2"/>
    <w:rsid w:val="5B263725"/>
    <w:rsid w:val="5B3C2907"/>
    <w:rsid w:val="5B5A2953"/>
    <w:rsid w:val="5B5E7BE7"/>
    <w:rsid w:val="5BD97AA9"/>
    <w:rsid w:val="5BF34F74"/>
    <w:rsid w:val="5C286582"/>
    <w:rsid w:val="5C3D35A6"/>
    <w:rsid w:val="5C451348"/>
    <w:rsid w:val="5C566D94"/>
    <w:rsid w:val="5C82434A"/>
    <w:rsid w:val="5C8E2CEF"/>
    <w:rsid w:val="5CBA3AE4"/>
    <w:rsid w:val="5CD30081"/>
    <w:rsid w:val="5CE10185"/>
    <w:rsid w:val="5D4F3160"/>
    <w:rsid w:val="5D695FB5"/>
    <w:rsid w:val="5E0E7BCB"/>
    <w:rsid w:val="5E1256DF"/>
    <w:rsid w:val="5E417E77"/>
    <w:rsid w:val="5E75572A"/>
    <w:rsid w:val="5EAA7185"/>
    <w:rsid w:val="5EAE4933"/>
    <w:rsid w:val="5EFD23AE"/>
    <w:rsid w:val="5F0B744A"/>
    <w:rsid w:val="5F297354"/>
    <w:rsid w:val="5FA0018F"/>
    <w:rsid w:val="5FBF7434"/>
    <w:rsid w:val="601259E5"/>
    <w:rsid w:val="60226F41"/>
    <w:rsid w:val="607C4818"/>
    <w:rsid w:val="60C03063"/>
    <w:rsid w:val="60C90138"/>
    <w:rsid w:val="60E05AE3"/>
    <w:rsid w:val="61072F92"/>
    <w:rsid w:val="6135091E"/>
    <w:rsid w:val="61532759"/>
    <w:rsid w:val="615B4A72"/>
    <w:rsid w:val="615D7F83"/>
    <w:rsid w:val="617B620C"/>
    <w:rsid w:val="617C580C"/>
    <w:rsid w:val="61BC3AE0"/>
    <w:rsid w:val="627F6FA3"/>
    <w:rsid w:val="62914C15"/>
    <w:rsid w:val="62A56FE4"/>
    <w:rsid w:val="62BC686B"/>
    <w:rsid w:val="62E0544E"/>
    <w:rsid w:val="62E85359"/>
    <w:rsid w:val="62EF2FA3"/>
    <w:rsid w:val="62F819D9"/>
    <w:rsid w:val="63047FBC"/>
    <w:rsid w:val="633255B3"/>
    <w:rsid w:val="63482644"/>
    <w:rsid w:val="638234EB"/>
    <w:rsid w:val="639B43C6"/>
    <w:rsid w:val="63AA41BB"/>
    <w:rsid w:val="63DA0F0F"/>
    <w:rsid w:val="63E12E52"/>
    <w:rsid w:val="64030200"/>
    <w:rsid w:val="6420005C"/>
    <w:rsid w:val="645E38EF"/>
    <w:rsid w:val="64633872"/>
    <w:rsid w:val="647940D9"/>
    <w:rsid w:val="64917924"/>
    <w:rsid w:val="64A82DBC"/>
    <w:rsid w:val="64AD1A58"/>
    <w:rsid w:val="64C30DEC"/>
    <w:rsid w:val="64CC4B55"/>
    <w:rsid w:val="64EA33D4"/>
    <w:rsid w:val="64EA5818"/>
    <w:rsid w:val="64EE6BB6"/>
    <w:rsid w:val="6506063D"/>
    <w:rsid w:val="65406257"/>
    <w:rsid w:val="65642E3B"/>
    <w:rsid w:val="659375C8"/>
    <w:rsid w:val="65B5123B"/>
    <w:rsid w:val="65B84045"/>
    <w:rsid w:val="65BE1E51"/>
    <w:rsid w:val="65D646D3"/>
    <w:rsid w:val="65E12696"/>
    <w:rsid w:val="66450B95"/>
    <w:rsid w:val="66492608"/>
    <w:rsid w:val="664D7777"/>
    <w:rsid w:val="66662F93"/>
    <w:rsid w:val="666D7E19"/>
    <w:rsid w:val="66B95978"/>
    <w:rsid w:val="66CB6AC3"/>
    <w:rsid w:val="66ED66A1"/>
    <w:rsid w:val="66F36D26"/>
    <w:rsid w:val="672E57FA"/>
    <w:rsid w:val="67492634"/>
    <w:rsid w:val="67662509"/>
    <w:rsid w:val="67AB3E75"/>
    <w:rsid w:val="67CA0A4B"/>
    <w:rsid w:val="67CD1141"/>
    <w:rsid w:val="6829150B"/>
    <w:rsid w:val="68750294"/>
    <w:rsid w:val="687E1C6E"/>
    <w:rsid w:val="68C77CB4"/>
    <w:rsid w:val="68FB3083"/>
    <w:rsid w:val="68FD06E8"/>
    <w:rsid w:val="68FE70D2"/>
    <w:rsid w:val="691F4AA6"/>
    <w:rsid w:val="69574686"/>
    <w:rsid w:val="696E0130"/>
    <w:rsid w:val="697E5A85"/>
    <w:rsid w:val="69861422"/>
    <w:rsid w:val="6988013A"/>
    <w:rsid w:val="69D4794B"/>
    <w:rsid w:val="69DD72C6"/>
    <w:rsid w:val="69FC4694"/>
    <w:rsid w:val="6A1D167F"/>
    <w:rsid w:val="6A34434C"/>
    <w:rsid w:val="6A3550F2"/>
    <w:rsid w:val="6AAD4C88"/>
    <w:rsid w:val="6B0429D0"/>
    <w:rsid w:val="6B407F50"/>
    <w:rsid w:val="6BBA1CD5"/>
    <w:rsid w:val="6BD70753"/>
    <w:rsid w:val="6C0703C8"/>
    <w:rsid w:val="6C551A40"/>
    <w:rsid w:val="6CD12492"/>
    <w:rsid w:val="6CDC7C7D"/>
    <w:rsid w:val="6CFC4257"/>
    <w:rsid w:val="6D091C6A"/>
    <w:rsid w:val="6D26486E"/>
    <w:rsid w:val="6D2B4263"/>
    <w:rsid w:val="6D325918"/>
    <w:rsid w:val="6D490077"/>
    <w:rsid w:val="6D8C5900"/>
    <w:rsid w:val="6D8D0DA1"/>
    <w:rsid w:val="6DA06D26"/>
    <w:rsid w:val="6DF165AE"/>
    <w:rsid w:val="6E5C2A36"/>
    <w:rsid w:val="6ED90385"/>
    <w:rsid w:val="6EEC218E"/>
    <w:rsid w:val="6F283BC4"/>
    <w:rsid w:val="6F583C9D"/>
    <w:rsid w:val="6FE65487"/>
    <w:rsid w:val="7000585A"/>
    <w:rsid w:val="7023779A"/>
    <w:rsid w:val="70245D8E"/>
    <w:rsid w:val="703F4938"/>
    <w:rsid w:val="705F62D8"/>
    <w:rsid w:val="70AD6750"/>
    <w:rsid w:val="70CE25CB"/>
    <w:rsid w:val="70F827BB"/>
    <w:rsid w:val="710B4B8D"/>
    <w:rsid w:val="714300F4"/>
    <w:rsid w:val="714360E9"/>
    <w:rsid w:val="71626039"/>
    <w:rsid w:val="71A76A95"/>
    <w:rsid w:val="71D76A8E"/>
    <w:rsid w:val="71EF475F"/>
    <w:rsid w:val="72420804"/>
    <w:rsid w:val="72630C75"/>
    <w:rsid w:val="7298446F"/>
    <w:rsid w:val="72DC76D4"/>
    <w:rsid w:val="72F55F26"/>
    <w:rsid w:val="72F90301"/>
    <w:rsid w:val="72FB16DB"/>
    <w:rsid w:val="731C51C2"/>
    <w:rsid w:val="739A7D73"/>
    <w:rsid w:val="73C27BDF"/>
    <w:rsid w:val="744E5CEC"/>
    <w:rsid w:val="74B51309"/>
    <w:rsid w:val="750F14EA"/>
    <w:rsid w:val="752E676D"/>
    <w:rsid w:val="75E719EF"/>
    <w:rsid w:val="75F92E2F"/>
    <w:rsid w:val="760E3413"/>
    <w:rsid w:val="76196565"/>
    <w:rsid w:val="76477BCD"/>
    <w:rsid w:val="76564B59"/>
    <w:rsid w:val="76583FC8"/>
    <w:rsid w:val="7659648C"/>
    <w:rsid w:val="765D5028"/>
    <w:rsid w:val="768747C0"/>
    <w:rsid w:val="76BC5B9D"/>
    <w:rsid w:val="77A411C1"/>
    <w:rsid w:val="780505F7"/>
    <w:rsid w:val="780F00DB"/>
    <w:rsid w:val="781E4B10"/>
    <w:rsid w:val="78304260"/>
    <w:rsid w:val="786B11DD"/>
    <w:rsid w:val="78926937"/>
    <w:rsid w:val="792454D5"/>
    <w:rsid w:val="79246EFB"/>
    <w:rsid w:val="792C76C0"/>
    <w:rsid w:val="795F7A95"/>
    <w:rsid w:val="79667F09"/>
    <w:rsid w:val="796F1C13"/>
    <w:rsid w:val="799A64F7"/>
    <w:rsid w:val="799F27B2"/>
    <w:rsid w:val="79A96F62"/>
    <w:rsid w:val="79AE4DB0"/>
    <w:rsid w:val="79B941A4"/>
    <w:rsid w:val="79D137FA"/>
    <w:rsid w:val="79D45341"/>
    <w:rsid w:val="79F70F7E"/>
    <w:rsid w:val="7A5E1AFB"/>
    <w:rsid w:val="7A820D8C"/>
    <w:rsid w:val="7A9A667C"/>
    <w:rsid w:val="7AAE1154"/>
    <w:rsid w:val="7B0D2114"/>
    <w:rsid w:val="7B25171C"/>
    <w:rsid w:val="7B2D0A05"/>
    <w:rsid w:val="7B306758"/>
    <w:rsid w:val="7B4F7F84"/>
    <w:rsid w:val="7B62432D"/>
    <w:rsid w:val="7B9A3006"/>
    <w:rsid w:val="7BA75723"/>
    <w:rsid w:val="7BE44D4F"/>
    <w:rsid w:val="7BE87594"/>
    <w:rsid w:val="7C022136"/>
    <w:rsid w:val="7C075B4D"/>
    <w:rsid w:val="7C265FA9"/>
    <w:rsid w:val="7C7678B1"/>
    <w:rsid w:val="7C7A052E"/>
    <w:rsid w:val="7C846E71"/>
    <w:rsid w:val="7C977546"/>
    <w:rsid w:val="7C9A62C5"/>
    <w:rsid w:val="7CBB2419"/>
    <w:rsid w:val="7CCB224E"/>
    <w:rsid w:val="7D1172F8"/>
    <w:rsid w:val="7D330BA3"/>
    <w:rsid w:val="7D5B26E2"/>
    <w:rsid w:val="7D770301"/>
    <w:rsid w:val="7D7A0D09"/>
    <w:rsid w:val="7D7D4A53"/>
    <w:rsid w:val="7D8A0E59"/>
    <w:rsid w:val="7DD41B55"/>
    <w:rsid w:val="7E2252B8"/>
    <w:rsid w:val="7E300EC0"/>
    <w:rsid w:val="7E3F4595"/>
    <w:rsid w:val="7E422C17"/>
    <w:rsid w:val="7E5954AA"/>
    <w:rsid w:val="7E611BB9"/>
    <w:rsid w:val="7E6944BB"/>
    <w:rsid w:val="7EAA5E42"/>
    <w:rsid w:val="7EE34383"/>
    <w:rsid w:val="7F0E03E9"/>
    <w:rsid w:val="7F6538A4"/>
    <w:rsid w:val="7F6761D1"/>
    <w:rsid w:val="7F7F45F3"/>
    <w:rsid w:val="7F871AF4"/>
    <w:rsid w:val="7F9D3F82"/>
    <w:rsid w:val="7FD33184"/>
    <w:rsid w:val="7FE758EA"/>
    <w:rsid w:val="7FEA1685"/>
    <w:rsid w:val="7FFF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6">
    <w:name w:val="index 8"/>
    <w:basedOn w:val="1"/>
    <w:next w:val="1"/>
    <w:qFormat/>
    <w:uiPriority w:val="0"/>
    <w:pPr>
      <w:widowControl w:val="0"/>
      <w:autoSpaceDE w:val="0"/>
      <w:autoSpaceDN w:val="0"/>
      <w:ind w:left="2940"/>
    </w:pPr>
    <w:rPr>
      <w:rFonts w:ascii="宋体" w:hAnsi="宋体" w:cs="宋体"/>
      <w:sz w:val="22"/>
      <w:szCs w:val="22"/>
      <w:lang w:eastAsia="en-US"/>
    </w:rPr>
  </w:style>
  <w:style w:type="paragraph" w:styleId="7">
    <w:name w:val="Normal Indent"/>
    <w:basedOn w:val="1"/>
    <w:link w:val="35"/>
    <w:qFormat/>
    <w:uiPriority w:val="0"/>
  </w:style>
  <w:style w:type="paragraph" w:styleId="8">
    <w:name w:val="annotation text"/>
    <w:basedOn w:val="1"/>
    <w:link w:val="29"/>
    <w:qFormat/>
    <w:uiPriority w:val="99"/>
    <w:pPr>
      <w:jc w:val="left"/>
    </w:pPr>
  </w:style>
  <w:style w:type="paragraph" w:styleId="9">
    <w:name w:val="Body Text"/>
    <w:basedOn w:val="1"/>
    <w:next w:val="1"/>
    <w:qFormat/>
    <w:uiPriority w:val="1"/>
    <w:pPr>
      <w:spacing w:after="120"/>
    </w:pPr>
  </w:style>
  <w:style w:type="paragraph" w:styleId="10">
    <w:name w:val="Body Text Indent"/>
    <w:basedOn w:val="1"/>
    <w:qFormat/>
    <w:uiPriority w:val="99"/>
    <w:pPr>
      <w:spacing w:after="120"/>
      <w:ind w:left="420" w:leftChars="200"/>
    </w:pPr>
  </w:style>
  <w:style w:type="paragraph" w:styleId="11">
    <w:name w:val="Plain Text"/>
    <w:basedOn w:val="1"/>
    <w:next w:val="6"/>
    <w:qFormat/>
    <w:uiPriority w:val="0"/>
    <w:rPr>
      <w:rFonts w:ascii="宋体" w:hAnsi="Courier New"/>
      <w:szCs w:val="21"/>
    </w:rPr>
  </w:style>
  <w:style w:type="paragraph" w:styleId="12">
    <w:name w:val="Balloon Text"/>
    <w:basedOn w:val="1"/>
    <w:link w:val="31"/>
    <w:qFormat/>
    <w:uiPriority w:val="0"/>
    <w:pPr>
      <w:spacing w:line="240" w:lineRule="auto"/>
    </w:pPr>
    <w:rPr>
      <w:sz w:val="18"/>
      <w:szCs w:val="18"/>
    </w:rPr>
  </w:style>
  <w:style w:type="paragraph" w:styleId="13">
    <w:name w:val="footer"/>
    <w:basedOn w:val="1"/>
    <w:link w:val="44"/>
    <w:qFormat/>
    <w:uiPriority w:val="0"/>
    <w:pPr>
      <w:tabs>
        <w:tab w:val="center" w:pos="4153"/>
        <w:tab w:val="right" w:pos="8306"/>
      </w:tabs>
      <w:snapToGrid w:val="0"/>
      <w:jc w:val="left"/>
    </w:pPr>
    <w:rPr>
      <w:sz w:val="18"/>
      <w:szCs w:val="18"/>
    </w:rPr>
  </w:style>
  <w:style w:type="paragraph" w:styleId="14">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16">
    <w:name w:val="Normal (Web)"/>
    <w:basedOn w:val="1"/>
    <w:qFormat/>
    <w:uiPriority w:val="0"/>
    <w:pPr>
      <w:widowControl w:val="0"/>
      <w:spacing w:before="100" w:beforeAutospacing="1" w:after="100" w:afterAutospacing="1"/>
    </w:pPr>
    <w:rPr>
      <w:rFonts w:ascii="Times New Roman" w:hAnsi="Times New Roman"/>
      <w:sz w:val="24"/>
    </w:rPr>
  </w:style>
  <w:style w:type="paragraph" w:styleId="17">
    <w:name w:val="Title"/>
    <w:basedOn w:val="1"/>
    <w:next w:val="1"/>
    <w:qFormat/>
    <w:uiPriority w:val="0"/>
    <w:pPr>
      <w:jc w:val="center"/>
      <w:outlineLvl w:val="0"/>
    </w:pPr>
    <w:rPr>
      <w:rFonts w:ascii="Arial" w:hAnsi="Arial" w:eastAsia="隶书"/>
      <w:b/>
      <w:bCs/>
      <w:sz w:val="32"/>
      <w:szCs w:val="32"/>
    </w:rPr>
  </w:style>
  <w:style w:type="paragraph" w:styleId="18">
    <w:name w:val="annotation subject"/>
    <w:basedOn w:val="8"/>
    <w:next w:val="8"/>
    <w:link w:val="30"/>
    <w:qFormat/>
    <w:uiPriority w:val="0"/>
    <w:rPr>
      <w:b/>
      <w:bCs/>
    </w:rPr>
  </w:style>
  <w:style w:type="paragraph" w:styleId="19">
    <w:name w:val="Body Text First Indent"/>
    <w:basedOn w:val="9"/>
    <w:qFormat/>
    <w:uiPriority w:val="0"/>
    <w:pPr>
      <w:ind w:firstLine="420" w:firstLineChars="100"/>
    </w:pPr>
    <w:rPr>
      <w:szCs w:val="21"/>
    </w:rPr>
  </w:style>
  <w:style w:type="paragraph" w:styleId="20">
    <w:name w:val="Body Text First Indent 2"/>
    <w:basedOn w:val="10"/>
    <w:unhideWhenUsed/>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styleId="26">
    <w:name w:val="List Paragraph"/>
    <w:basedOn w:val="1"/>
    <w:qFormat/>
    <w:uiPriority w:val="34"/>
    <w:pPr>
      <w:ind w:firstLine="420"/>
    </w:pPr>
  </w:style>
  <w:style w:type="paragraph" w:customStyle="1" w:styleId="27">
    <w:name w:val="首行缩进"/>
    <w:basedOn w:val="1"/>
    <w:qFormat/>
    <w:uiPriority w:val="0"/>
    <w:pPr>
      <w:widowControl w:val="0"/>
      <w:autoSpaceDE w:val="0"/>
      <w:autoSpaceDN w:val="0"/>
      <w:adjustRightInd w:val="0"/>
      <w:spacing w:line="240" w:lineRule="auto"/>
      <w:ind w:firstLine="480"/>
      <w:jc w:val="left"/>
    </w:pPr>
    <w:rPr>
      <w:rFonts w:ascii="Times New Roman" w:hAnsi="Times New Roman"/>
      <w:kern w:val="0"/>
      <w:szCs w:val="21"/>
      <w:lang w:val="zh-CN"/>
    </w:rPr>
  </w:style>
  <w:style w:type="paragraph" w:customStyle="1" w:styleId="28">
    <w:name w:val="Char Char Char1"/>
    <w:basedOn w:val="1"/>
    <w:qFormat/>
    <w:uiPriority w:val="0"/>
    <w:rPr>
      <w:rFonts w:ascii="宋体" w:hAnsi="宋体"/>
      <w:b/>
      <w:bCs/>
      <w:color w:val="000000"/>
      <w:sz w:val="24"/>
      <w:szCs w:val="21"/>
    </w:rPr>
  </w:style>
  <w:style w:type="character" w:customStyle="1" w:styleId="29">
    <w:name w:val="批注文字 字符"/>
    <w:basedOn w:val="23"/>
    <w:link w:val="8"/>
    <w:qFormat/>
    <w:uiPriority w:val="99"/>
    <w:rPr>
      <w:rFonts w:ascii="Calibri" w:hAnsi="Calibri" w:eastAsia="宋体" w:cs="Times New Roman"/>
      <w:kern w:val="2"/>
      <w:sz w:val="21"/>
      <w:szCs w:val="24"/>
    </w:rPr>
  </w:style>
  <w:style w:type="character" w:customStyle="1" w:styleId="30">
    <w:name w:val="批注主题 字符"/>
    <w:basedOn w:val="29"/>
    <w:link w:val="18"/>
    <w:qFormat/>
    <w:uiPriority w:val="0"/>
    <w:rPr>
      <w:rFonts w:ascii="Calibri" w:hAnsi="Calibri" w:eastAsia="宋体" w:cs="Times New Roman"/>
      <w:b/>
      <w:bCs/>
      <w:kern w:val="2"/>
      <w:sz w:val="21"/>
      <w:szCs w:val="24"/>
    </w:rPr>
  </w:style>
  <w:style w:type="character" w:customStyle="1" w:styleId="31">
    <w:name w:val="批注框文本 字符"/>
    <w:basedOn w:val="23"/>
    <w:link w:val="12"/>
    <w:qFormat/>
    <w:uiPriority w:val="0"/>
    <w:rPr>
      <w:rFonts w:ascii="Calibri" w:hAnsi="Calibri" w:eastAsia="宋体" w:cs="Times New Roman"/>
      <w:kern w:val="2"/>
      <w:sz w:val="18"/>
      <w:szCs w:val="18"/>
    </w:rPr>
  </w:style>
  <w:style w:type="paragraph" w:customStyle="1" w:styleId="32">
    <w:name w:val="修订1"/>
    <w:hidden/>
    <w:semiHidden/>
    <w:qFormat/>
    <w:uiPriority w:val="99"/>
    <w:rPr>
      <w:rFonts w:ascii="Calibri" w:hAnsi="Calibri" w:eastAsia="宋体" w:cs="Times New Roman"/>
      <w:kern w:val="2"/>
      <w:sz w:val="21"/>
      <w:szCs w:val="24"/>
      <w:lang w:val="en-US" w:eastAsia="zh-CN" w:bidi="ar-SA"/>
    </w:rPr>
  </w:style>
  <w:style w:type="paragraph" w:customStyle="1" w:styleId="33">
    <w:name w:val="修订2"/>
    <w:hidden/>
    <w:semiHidden/>
    <w:qFormat/>
    <w:uiPriority w:val="99"/>
    <w:rPr>
      <w:rFonts w:ascii="Calibri" w:hAnsi="Calibri" w:eastAsia="宋体" w:cs="Times New Roman"/>
      <w:kern w:val="2"/>
      <w:sz w:val="21"/>
      <w:szCs w:val="24"/>
      <w:lang w:val="en-US" w:eastAsia="zh-CN" w:bidi="ar-SA"/>
    </w:rPr>
  </w:style>
  <w:style w:type="paragraph" w:styleId="34">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5">
    <w:name w:val="正文缩进 字符"/>
    <w:link w:val="7"/>
    <w:qFormat/>
    <w:uiPriority w:val="0"/>
    <w:rPr>
      <w:rFonts w:ascii="Calibri" w:hAnsi="Calibri"/>
      <w:kern w:val="2"/>
      <w:sz w:val="21"/>
      <w:szCs w:val="24"/>
    </w:rPr>
  </w:style>
  <w:style w:type="paragraph" w:customStyle="1" w:styleId="36">
    <w:name w:val="正文缩进1"/>
    <w:basedOn w:val="1"/>
    <w:qFormat/>
    <w:uiPriority w:val="0"/>
    <w:pPr>
      <w:ind w:firstLine="420"/>
    </w:pPr>
  </w:style>
  <w:style w:type="table" w:customStyle="1" w:styleId="37">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修订3"/>
    <w:hidden/>
    <w:unhideWhenUsed/>
    <w:qFormat/>
    <w:uiPriority w:val="99"/>
    <w:rPr>
      <w:rFonts w:ascii="Calibri" w:hAnsi="Calibri" w:eastAsia="宋体" w:cs="Times New Roman"/>
      <w:kern w:val="2"/>
      <w:sz w:val="21"/>
      <w:szCs w:val="24"/>
      <w:lang w:val="en-US" w:eastAsia="zh-CN" w:bidi="ar-SA"/>
    </w:rPr>
  </w:style>
  <w:style w:type="paragraph" w:customStyle="1" w:styleId="39">
    <w:name w:val="修订4"/>
    <w:hidden/>
    <w:unhideWhenUsed/>
    <w:qFormat/>
    <w:uiPriority w:val="99"/>
    <w:rPr>
      <w:rFonts w:ascii="Calibri" w:hAnsi="Calibri" w:eastAsia="宋体" w:cs="Times New Roman"/>
      <w:kern w:val="2"/>
      <w:sz w:val="21"/>
      <w:szCs w:val="24"/>
      <w:lang w:val="en-US" w:eastAsia="zh-CN" w:bidi="ar-SA"/>
    </w:rPr>
  </w:style>
  <w:style w:type="paragraph" w:customStyle="1" w:styleId="40">
    <w:name w:val="修订5"/>
    <w:hidden/>
    <w:unhideWhenUsed/>
    <w:qFormat/>
    <w:uiPriority w:val="99"/>
    <w:rPr>
      <w:rFonts w:ascii="Calibri" w:hAnsi="Calibri" w:eastAsia="宋体" w:cs="Times New Roman"/>
      <w:kern w:val="2"/>
      <w:sz w:val="21"/>
      <w:szCs w:val="24"/>
      <w:lang w:val="en-US" w:eastAsia="zh-CN" w:bidi="ar-SA"/>
    </w:rPr>
  </w:style>
  <w:style w:type="paragraph" w:customStyle="1" w:styleId="41">
    <w:name w:val="标题 31"/>
    <w:basedOn w:val="1"/>
    <w:next w:val="1"/>
    <w:semiHidden/>
    <w:unhideWhenUsed/>
    <w:qFormat/>
    <w:uiPriority w:val="9"/>
    <w:pPr>
      <w:keepNext/>
      <w:keepLines/>
      <w:spacing w:before="160" w:after="80"/>
      <w:outlineLvl w:val="2"/>
    </w:pPr>
    <w:rPr>
      <w:rFonts w:ascii="Calibri Light" w:hAnsi="Calibri Light"/>
      <w:color w:val="2D53A0"/>
      <w:sz w:val="32"/>
      <w:szCs w:val="32"/>
    </w:rPr>
  </w:style>
  <w:style w:type="table" w:customStyle="1" w:styleId="42">
    <w:name w:val="网格型2"/>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页眉 字符"/>
    <w:basedOn w:val="23"/>
    <w:link w:val="14"/>
    <w:qFormat/>
    <w:uiPriority w:val="0"/>
    <w:rPr>
      <w:rFonts w:ascii="Calibri" w:hAnsi="Calibri"/>
      <w:kern w:val="2"/>
      <w:sz w:val="18"/>
      <w:szCs w:val="18"/>
    </w:rPr>
  </w:style>
  <w:style w:type="character" w:customStyle="1" w:styleId="44">
    <w:name w:val="页脚 字符"/>
    <w:basedOn w:val="23"/>
    <w:link w:val="13"/>
    <w:qFormat/>
    <w:uiPriority w:val="0"/>
    <w:rPr>
      <w:rFonts w:ascii="Calibri" w:hAnsi="Calibri"/>
      <w:kern w:val="2"/>
      <w:sz w:val="18"/>
      <w:szCs w:val="18"/>
    </w:rPr>
  </w:style>
  <w:style w:type="table" w:customStyle="1" w:styleId="45">
    <w:name w:val="网格型3"/>
    <w:basedOn w:val="2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修订6"/>
    <w:hidden/>
    <w:unhideWhenUsed/>
    <w:qFormat/>
    <w:uiPriority w:val="99"/>
    <w:rPr>
      <w:rFonts w:ascii="Calibri" w:hAnsi="Calibri" w:eastAsia="宋体" w:cs="Times New Roman"/>
      <w:kern w:val="2"/>
      <w:sz w:val="21"/>
      <w:szCs w:val="24"/>
      <w:lang w:val="en-US" w:eastAsia="zh-CN" w:bidi="ar-SA"/>
    </w:rPr>
  </w:style>
  <w:style w:type="paragraph" w:customStyle="1" w:styleId="47">
    <w:name w:val="修订7"/>
    <w:hidden/>
    <w:unhideWhenUsed/>
    <w:qFormat/>
    <w:uiPriority w:val="99"/>
    <w:rPr>
      <w:rFonts w:ascii="Calibri" w:hAnsi="Calibri" w:eastAsia="宋体" w:cs="Times New Roman"/>
      <w:kern w:val="2"/>
      <w:sz w:val="21"/>
      <w:szCs w:val="24"/>
      <w:lang w:val="en-US" w:eastAsia="zh-CN" w:bidi="ar-SA"/>
    </w:rPr>
  </w:style>
  <w:style w:type="paragraph" w:customStyle="1" w:styleId="48">
    <w:name w:val="修订8"/>
    <w:hidden/>
    <w:unhideWhenUsed/>
    <w:qFormat/>
    <w:uiPriority w:val="99"/>
    <w:rPr>
      <w:rFonts w:ascii="Calibri" w:hAnsi="Calibri" w:eastAsia="宋体" w:cs="Times New Roman"/>
      <w:kern w:val="2"/>
      <w:sz w:val="21"/>
      <w:szCs w:val="24"/>
      <w:lang w:val="en-US" w:eastAsia="zh-CN" w:bidi="ar-SA"/>
    </w:rPr>
  </w:style>
  <w:style w:type="paragraph" w:customStyle="1" w:styleId="49">
    <w:name w:val="正文文本1"/>
    <w:basedOn w:val="1"/>
    <w:qFormat/>
    <w:uiPriority w:val="0"/>
    <w:pPr>
      <w:widowControl w:val="0"/>
      <w:spacing w:line="446" w:lineRule="auto"/>
      <w:ind w:firstLine="400"/>
    </w:pPr>
    <w:rPr>
      <w:rFonts w:ascii="宋体" w:hAnsi="宋体" w:cs="宋体"/>
      <w:sz w:val="26"/>
      <w:szCs w:val="26"/>
    </w:rPr>
  </w:style>
  <w:style w:type="paragraph" w:customStyle="1" w:styleId="50">
    <w:name w:val="Revision"/>
    <w:hidden/>
    <w:unhideWhenUsed/>
    <w:qFormat/>
    <w:uiPriority w:val="99"/>
    <w:rPr>
      <w:rFonts w:ascii="Calibri" w:hAnsi="Calibri" w:eastAsia="宋体" w:cs="Times New Roman"/>
      <w:kern w:val="2"/>
      <w:sz w:val="21"/>
      <w:szCs w:val="24"/>
      <w:lang w:val="en-US" w:eastAsia="zh-CN" w:bidi="ar-SA"/>
    </w:rPr>
  </w:style>
  <w:style w:type="paragraph" w:customStyle="1" w:styleId="51">
    <w:name w:val="列出段落1"/>
    <w:basedOn w:val="1"/>
    <w:unhideWhenUsed/>
    <w:qFormat/>
    <w:uiPriority w:val="34"/>
    <w:pPr>
      <w:ind w:firstLine="420" w:firstLineChars="200"/>
    </w:pPr>
  </w:style>
  <w:style w:type="character" w:customStyle="1" w:styleId="52">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B6A7D-C87C-4D2B-980E-1B714C3C2E88}">
  <ds:schemaRefs/>
</ds:datastoreItem>
</file>

<file path=docProps/app.xml><?xml version="1.0" encoding="utf-8"?>
<Properties xmlns="http://schemas.openxmlformats.org/officeDocument/2006/extended-properties" xmlns:vt="http://schemas.openxmlformats.org/officeDocument/2006/docPropsVTypes">
  <Template>Normal</Template>
  <Pages>11</Pages>
  <Words>1841</Words>
  <Characters>1950</Characters>
  <Lines>2245</Lines>
  <Paragraphs>2702</Paragraphs>
  <TotalTime>12</TotalTime>
  <ScaleCrop>false</ScaleCrop>
  <LinksUpToDate>false</LinksUpToDate>
  <CharactersWithSpaces>1953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2025-05-09T09:37:00Z</dcterms:created>
  <dc:creator>Administrator</dc:creator>
  <cp:lastModifiedBy>實誠</cp:lastModifiedBy>
  <cp:lastPrinted>2022-03-01T12:49:00Z</cp:lastPrinted>
  <dcterms:modified xsi:type="dcterms:W3CDTF">2025-11-27T09:22:44Z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20B16EB5B4ED4FE9B25D44553F39ECBD_13</vt:lpwstr>
  </property>
  <property fmtid="{D5CDD505-2E9C-101B-9397-08002B2CF9AE}" pid="4" name="KSOTemplateDocerSaveRecord">
    <vt:lpwstr>eyJoZGlkIjoiZjYxZTUyYjc1MzQwNWRmNjlmMWQyYmQ2NmM1M2U4MmMiLCJ1c2VySWQiOiI2OTk3NTA5NDAifQ==</vt:lpwstr>
  </property>
</Properties>
</file>