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F6261">
      <w:pPr>
        <w:jc w:val="center"/>
        <w:rPr>
          <w:rFonts w:hint="eastAsia"/>
          <w:sz w:val="32"/>
          <w:szCs w:val="40"/>
          <w:lang w:eastAsia="zh-CN"/>
        </w:rPr>
      </w:pPr>
      <w:r>
        <w:rPr>
          <w:rFonts w:hint="eastAsia"/>
          <w:sz w:val="32"/>
          <w:szCs w:val="40"/>
          <w:lang w:eastAsia="zh-CN"/>
        </w:rPr>
        <w:t>擦窗机维修服务项目综合评分表</w:t>
      </w:r>
    </w:p>
    <w:tbl>
      <w:tblPr>
        <w:tblStyle w:val="5"/>
        <w:tblW w:w="886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711"/>
        <w:gridCol w:w="855"/>
        <w:gridCol w:w="4890"/>
        <w:gridCol w:w="1485"/>
        <w:gridCol w:w="927"/>
      </w:tblGrid>
      <w:tr w14:paraId="364D474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8868" w:type="dxa"/>
            <w:gridSpan w:val="5"/>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10F7BE3">
            <w:pPr>
              <w:keepNext w:val="0"/>
              <w:keepLines w:val="0"/>
              <w:widowControl/>
              <w:suppressLineNumbers w:val="0"/>
              <w:jc w:val="center"/>
              <w:rPr>
                <w:rFonts w:ascii="宋体" w:hAnsi="宋体" w:eastAsia="宋体" w:cs="宋体"/>
                <w:b w:val="0"/>
                <w:bCs w:val="0"/>
                <w:kern w:val="2"/>
                <w:sz w:val="22"/>
                <w:szCs w:val="22"/>
              </w:rPr>
            </w:pPr>
            <w:r>
              <w:rPr>
                <w:rFonts w:eastAsia="PingFang SC Regular"/>
                <w:kern w:val="2"/>
                <w:sz w:val="40"/>
                <w:szCs w:val="40"/>
              </w:rPr>
              <w:t>综合评分表</w:t>
            </w:r>
          </w:p>
        </w:tc>
      </w:tr>
      <w:tr w14:paraId="3422E2A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711"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7ABA617">
            <w:pPr>
              <w:tabs>
                <w:tab w:val="left" w:pos="420"/>
              </w:tabs>
              <w:spacing w:before="0" w:line="20" w:lineRule="atLeast"/>
              <w:jc w:val="center"/>
              <w:rPr>
                <w:rFonts w:hint="default"/>
                <w:sz w:val="22"/>
                <w:szCs w:val="28"/>
              </w:rPr>
            </w:pPr>
            <w:r>
              <w:rPr>
                <w:rFonts w:ascii="宋体" w:hAnsi="宋体" w:eastAsia="宋体" w:cs="宋体"/>
                <w:b/>
                <w:bCs/>
                <w:kern w:val="2"/>
                <w:sz w:val="22"/>
                <w:szCs w:val="22"/>
              </w:rPr>
              <w:t>序号</w:t>
            </w:r>
          </w:p>
        </w:tc>
        <w:tc>
          <w:tcPr>
            <w:tcW w:w="85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E848813">
            <w:pPr>
              <w:tabs>
                <w:tab w:val="left" w:pos="420"/>
              </w:tabs>
              <w:spacing w:before="0" w:line="20" w:lineRule="atLeast"/>
              <w:jc w:val="center"/>
              <w:rPr>
                <w:rFonts w:hint="default" w:ascii="宋体" w:hAnsi="宋体" w:eastAsia="宋体" w:cs="宋体"/>
                <w:b/>
                <w:bCs/>
                <w:kern w:val="2"/>
                <w:sz w:val="22"/>
                <w:szCs w:val="22"/>
              </w:rPr>
            </w:pPr>
            <w:r>
              <w:rPr>
                <w:rFonts w:ascii="宋体" w:hAnsi="宋体" w:eastAsia="宋体" w:cs="宋体"/>
                <w:b/>
                <w:bCs/>
                <w:kern w:val="2"/>
                <w:sz w:val="22"/>
                <w:szCs w:val="22"/>
              </w:rPr>
              <w:t>评审</w:t>
            </w:r>
          </w:p>
          <w:p w14:paraId="0D34BCCA">
            <w:pPr>
              <w:tabs>
                <w:tab w:val="left" w:pos="420"/>
              </w:tabs>
              <w:spacing w:before="0" w:line="20" w:lineRule="atLeast"/>
              <w:jc w:val="center"/>
              <w:rPr>
                <w:rFonts w:hint="default"/>
                <w:sz w:val="22"/>
                <w:szCs w:val="28"/>
              </w:rPr>
            </w:pPr>
            <w:r>
              <w:rPr>
                <w:rFonts w:ascii="宋体" w:hAnsi="宋体" w:eastAsia="宋体" w:cs="宋体"/>
                <w:b/>
                <w:bCs/>
                <w:kern w:val="2"/>
                <w:sz w:val="22"/>
                <w:szCs w:val="22"/>
              </w:rPr>
              <w:t>项目</w:t>
            </w:r>
          </w:p>
        </w:tc>
        <w:tc>
          <w:tcPr>
            <w:tcW w:w="4890"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B82665D">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sz w:val="22"/>
                <w:szCs w:val="28"/>
              </w:rPr>
            </w:pPr>
            <w:r>
              <w:rPr>
                <w:rFonts w:ascii="宋体" w:hAnsi="宋体" w:eastAsia="宋体" w:cs="宋体"/>
                <w:b/>
                <w:bCs/>
                <w:kern w:val="2"/>
                <w:sz w:val="22"/>
                <w:szCs w:val="22"/>
              </w:rPr>
              <w:t>评审标准</w:t>
            </w:r>
          </w:p>
        </w:tc>
        <w:tc>
          <w:tcPr>
            <w:tcW w:w="148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F893195">
            <w:pPr>
              <w:tabs>
                <w:tab w:val="left" w:pos="420"/>
                <w:tab w:val="left" w:pos="840"/>
                <w:tab w:val="left" w:pos="1260"/>
              </w:tabs>
              <w:spacing w:before="0" w:line="20" w:lineRule="atLeast"/>
              <w:jc w:val="center"/>
              <w:rPr>
                <w:rFonts w:hint="default"/>
                <w:sz w:val="22"/>
                <w:szCs w:val="28"/>
              </w:rPr>
            </w:pPr>
            <w:r>
              <w:rPr>
                <w:rFonts w:ascii="宋体" w:hAnsi="宋体" w:eastAsia="宋体" w:cs="宋体"/>
                <w:b/>
                <w:bCs/>
                <w:kern w:val="2"/>
                <w:sz w:val="22"/>
                <w:szCs w:val="22"/>
              </w:rPr>
              <w:t>证明材料</w:t>
            </w:r>
          </w:p>
        </w:tc>
        <w:tc>
          <w:tcPr>
            <w:tcW w:w="927"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120CA12">
            <w:pPr>
              <w:tabs>
                <w:tab w:val="left" w:pos="420"/>
              </w:tabs>
              <w:spacing w:before="0" w:line="20" w:lineRule="atLeast"/>
              <w:jc w:val="center"/>
              <w:rPr>
                <w:rFonts w:hint="default"/>
                <w:sz w:val="22"/>
                <w:szCs w:val="28"/>
              </w:rPr>
            </w:pPr>
            <w:r>
              <w:rPr>
                <w:rFonts w:ascii="宋体" w:hAnsi="宋体" w:eastAsia="宋体" w:cs="宋体"/>
                <w:b/>
                <w:bCs/>
                <w:kern w:val="2"/>
                <w:sz w:val="22"/>
                <w:szCs w:val="22"/>
              </w:rPr>
              <w:t>分值</w:t>
            </w:r>
          </w:p>
        </w:tc>
      </w:tr>
      <w:tr w14:paraId="25F5A7F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67CB2CC">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F80C8A1">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p w14:paraId="2455C805">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得分</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F907943">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符合要求且报价最低的为基准报价，其价格分为满分。</w:t>
            </w:r>
          </w:p>
          <w:p w14:paraId="6691C59F">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其他响应承包商的价格分统一按照报价得分=(基准报价/响应报价)×30计算。</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3E7CE4C">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提供响应下浮率，并加盖公章</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166DE81">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30分</w:t>
            </w:r>
          </w:p>
        </w:tc>
      </w:tr>
      <w:tr w14:paraId="26F8FB5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96ED945">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7E1CBE4">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企业</w:t>
            </w:r>
          </w:p>
          <w:p w14:paraId="7F27B3FA">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资信</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7238917">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近3年内（从公告截止之日起倒算）在无行政处罚记录；</w:t>
            </w:r>
          </w:p>
          <w:p w14:paraId="7B32E345">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近3年内（从公告截止之日起倒算）响应单位或者其法定代表人在中国裁判文书网查询没有行贿犯罪记录；</w:t>
            </w:r>
          </w:p>
          <w:p w14:paraId="14C87171">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近3年内响应单位未成为合同被告方的；</w:t>
            </w:r>
          </w:p>
          <w:p w14:paraId="4735EF43">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以上每符合一项得3分，未提供则不得分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1DBFECC">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提供相关系统中查询的信息</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B4D11F0">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9分</w:t>
            </w:r>
          </w:p>
        </w:tc>
      </w:tr>
      <w:tr w14:paraId="0D48450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6EB0864">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FABB0EE">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体系认证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C78C91F">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default" w:ascii="宋体" w:hAnsi="宋体" w:eastAsia="宋体" w:cs="宋体"/>
                <w:kern w:val="2"/>
                <w:sz w:val="22"/>
                <w:szCs w:val="22"/>
                <w:lang w:val="en-US" w:eastAsia="zh-CN"/>
              </w:rPr>
              <w:t>企业拥有</w:t>
            </w:r>
            <w:r>
              <w:rPr>
                <w:rFonts w:hint="eastAsia" w:ascii="宋体" w:hAnsi="宋体" w:eastAsia="宋体" w:cs="宋体"/>
                <w:kern w:val="2"/>
                <w:sz w:val="22"/>
                <w:szCs w:val="22"/>
                <w:lang w:val="en-US" w:eastAsia="zh-CN"/>
              </w:rPr>
              <w:t>中国职业健康安全管理体系认证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环境管理体系认证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建设施工行业质量管理体系认证的数量，每拥有一个认证，得2分，最高得6分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C3FCA2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AEBDB50">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14:paraId="2DBF4CE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0FA098A">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69FF4F8">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资质</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22779EE">
            <w:pPr>
              <w:widowControl w:val="0"/>
              <w:numPr>
                <w:ilvl w:val="0"/>
                <w:numId w:val="0"/>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1、企业拥有国家标准化管理</w:t>
            </w:r>
            <w:bookmarkStart w:id="0" w:name="_GoBack"/>
            <w:bookmarkEnd w:id="0"/>
            <w:r>
              <w:rPr>
                <w:rFonts w:hint="eastAsia" w:ascii="宋体" w:hAnsi="宋体" w:eastAsia="宋体" w:cs="宋体"/>
                <w:kern w:val="2"/>
                <w:sz w:val="22"/>
                <w:szCs w:val="22"/>
                <w:lang w:val="en-US" w:eastAsia="zh-CN"/>
              </w:rPr>
              <w:t>委员会颁发的《电气机电设备维修保养服务企业资质证书（一级）》的，得2分；</w:t>
            </w:r>
          </w:p>
          <w:p w14:paraId="1774F46A">
            <w:pPr>
              <w:pStyle w:val="2"/>
              <w:ind w:left="0" w:leftChars="0" w:firstLine="0" w:firstLineChars="0"/>
              <w:rPr>
                <w:rFonts w:hint="default"/>
                <w:lang w:val="en-US" w:eastAsia="zh-CN"/>
              </w:rPr>
            </w:pPr>
            <w:r>
              <w:rPr>
                <w:rFonts w:hint="eastAsia"/>
                <w:lang w:val="en-US" w:eastAsia="zh-CN"/>
              </w:rPr>
              <w:t>2、企业拥有</w:t>
            </w:r>
            <w:r>
              <w:rPr>
                <w:rFonts w:hint="eastAsia" w:ascii="宋体" w:hAnsi="宋体" w:eastAsia="宋体" w:cs="宋体"/>
                <w:kern w:val="2"/>
                <w:sz w:val="22"/>
                <w:szCs w:val="22"/>
                <w:lang w:val="en-US" w:eastAsia="zh-CN" w:bidi="ar-SA"/>
              </w:rPr>
              <w:t>中国质量认证监督管理中心颁发的</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擦窗机维护保养维修服务企业资质证书</w:t>
            </w:r>
            <w:r>
              <w:rPr>
                <w:rFonts w:hint="eastAsia" w:ascii="宋体" w:hAnsi="宋体" w:cs="宋体"/>
                <w:kern w:val="2"/>
                <w:sz w:val="22"/>
                <w:szCs w:val="22"/>
                <w:lang w:val="en-US" w:eastAsia="zh-CN" w:bidi="ar-SA"/>
              </w:rPr>
              <w:t>》（一级）的，得2分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2A4074B">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CF6CA8C">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4分</w:t>
            </w:r>
          </w:p>
        </w:tc>
      </w:tr>
      <w:tr w14:paraId="190689C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EE60842">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12359A5">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维修实施方案</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43811FC">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横向对比擦窗机维修实施方案，根据项目实际情况，从方案内容、维修作业及管理人员配置、工期、安全质量保证体系、文明施工、设备配备、施工材料品牌、应急预案等方面综合评价；评优得16-20分，良得11-15分，中得6-10分，差得1-5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A0EECDE">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提供维修实施方案</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6B2B83B">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20分</w:t>
            </w:r>
          </w:p>
        </w:tc>
      </w:tr>
      <w:tr w14:paraId="6060AFD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E4B36DB">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925FE99">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w:t>
            </w:r>
          </w:p>
          <w:p w14:paraId="7620D874">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案例</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F17245C">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近一年（自公告日倒算）拥有的擦窗机维修或维保业绩数量（合同金额大于20万元），每有一项业绩，得2分，最高得14分。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866736B">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提供项目维修合同</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30AA6E5">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14分</w:t>
            </w:r>
          </w:p>
        </w:tc>
      </w:tr>
      <w:tr w14:paraId="5D73A52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517"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0D7CF5B">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A79C995">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1D1342B">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项目质保期至少为2年；每增加1年质保期，加3分，最多加6分。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FF591D7">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承诺函</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FF418FC">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14:paraId="5FA3ABA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832"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9716BBF">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E9495A1">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C181A4B">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近三年（自公告日倒算）供应商拥有的客户履约评价（包括但不限于履约评价表、表扬信、感谢信等），每提供1项良好及以上的履约评价，或提供1项客户表扬信或感谢信的，得1分，最高得6分。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169B55A">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履约评价资料</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C2D54DC">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14:paraId="5D67D54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26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03F36D9">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17EEA6E">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售后响应效率</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C1A5DB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2"/>
                <w:szCs w:val="22"/>
                <w:u w:color="000000"/>
                <w:lang w:eastAsia="zh-CN"/>
              </w:rPr>
            </w:pPr>
            <w:r>
              <w:rPr>
                <w:rFonts w:hint="default" w:ascii="宋体" w:hAnsi="宋体" w:eastAsia="宋体" w:cs="宋体"/>
                <w:kern w:val="2"/>
                <w:sz w:val="22"/>
                <w:szCs w:val="22"/>
                <w:u w:color="000000"/>
                <w:lang w:eastAsia="zh-CN"/>
              </w:rPr>
              <w:t>是否在</w:t>
            </w:r>
            <w:r>
              <w:rPr>
                <w:rFonts w:hint="eastAsia" w:ascii="宋体" w:hAnsi="宋体" w:eastAsia="宋体" w:cs="宋体"/>
                <w:kern w:val="2"/>
                <w:sz w:val="22"/>
                <w:szCs w:val="22"/>
                <w:u w:color="000000"/>
                <w:lang w:eastAsia="zh-CN"/>
              </w:rPr>
              <w:t>深圳</w:t>
            </w:r>
            <w:r>
              <w:rPr>
                <w:rFonts w:hint="default" w:ascii="宋体" w:hAnsi="宋体" w:eastAsia="宋体" w:cs="宋体"/>
                <w:kern w:val="2"/>
                <w:sz w:val="22"/>
                <w:szCs w:val="22"/>
                <w:u w:color="000000"/>
                <w:lang w:eastAsia="zh-CN"/>
              </w:rPr>
              <w:t>市内有固定办公场所</w:t>
            </w:r>
            <w:r>
              <w:rPr>
                <w:rFonts w:hint="eastAsia" w:ascii="宋体" w:hAnsi="宋体" w:eastAsia="宋体" w:cs="宋体"/>
                <w:kern w:val="2"/>
                <w:sz w:val="22"/>
                <w:szCs w:val="22"/>
                <w:u w:color="000000"/>
                <w:lang w:eastAsia="zh-CN"/>
              </w:rPr>
              <w:t>，售后服务效率及质量保证的有关承诺。（承诺书格式自拟）</w:t>
            </w:r>
          </w:p>
          <w:p w14:paraId="1F7321F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2"/>
                <w:szCs w:val="22"/>
                <w:u w:color="000000"/>
                <w:lang w:val="en-US" w:eastAsia="zh-CN"/>
              </w:rPr>
            </w:pPr>
            <w:r>
              <w:rPr>
                <w:rFonts w:hint="eastAsia" w:ascii="宋体" w:hAnsi="宋体" w:eastAsia="宋体" w:cs="宋体"/>
                <w:kern w:val="2"/>
                <w:sz w:val="22"/>
                <w:szCs w:val="22"/>
                <w:u w:color="000000"/>
                <w:lang w:val="en-US" w:eastAsia="zh-CN"/>
              </w:rPr>
              <w:t>在深圳市有固定办公场所的，得2分；</w:t>
            </w:r>
          </w:p>
          <w:p w14:paraId="0008BE98">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u w:color="000000"/>
                <w:lang w:val="en-US" w:eastAsia="zh-CN"/>
              </w:rPr>
              <w:t>横向对比售后服务，优秀得3分，良好得2分，一般得1分，差不得分。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50C4F6C">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提供租赁合同或产权证明（与营业执照对应）、承诺书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4968F3F">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5分</w:t>
            </w:r>
          </w:p>
        </w:tc>
      </w:tr>
      <w:tr w14:paraId="711F488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34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2D40877">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合计</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275525C">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100分</w:t>
            </w:r>
          </w:p>
        </w:tc>
      </w:tr>
      <w:tr w14:paraId="7376E7C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76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4F76FB8">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b/>
                <w:bCs/>
                <w:kern w:val="2"/>
                <w:sz w:val="22"/>
                <w:szCs w:val="22"/>
                <w:lang w:val="en-US" w:eastAsia="zh-CN"/>
              </w:rPr>
              <w:t>拟推荐成交候选供应商（原则推荐评审综合得分最高的单位）</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0C4BFCA">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p>
        </w:tc>
      </w:tr>
    </w:tbl>
    <w:p w14:paraId="6EC7139C">
      <w:pPr>
        <w:jc w:val="center"/>
        <w:rPr>
          <w:rFonts w:hint="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2C589"/>
    <w:multiLevelType w:val="singleLevel"/>
    <w:tmpl w:val="E322C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000000"/>
    <w:rsid w:val="09734036"/>
    <w:rsid w:val="0CCF1A94"/>
    <w:rsid w:val="0EF364D5"/>
    <w:rsid w:val="11475A71"/>
    <w:rsid w:val="1F6A4DA2"/>
    <w:rsid w:val="2A9E2ED5"/>
    <w:rsid w:val="306D54B6"/>
    <w:rsid w:val="425E4BDE"/>
    <w:rsid w:val="4FD9151E"/>
    <w:rsid w:val="53ED3E81"/>
    <w:rsid w:val="5D9E3405"/>
    <w:rsid w:val="734E60D6"/>
    <w:rsid w:val="7D07430D"/>
    <w:rsid w:val="7D3C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931</Characters>
  <Lines>0</Lines>
  <Paragraphs>0</Paragraphs>
  <TotalTime>14</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實誠</cp:lastModifiedBy>
  <dcterms:modified xsi:type="dcterms:W3CDTF">2025-11-25T01:49:02Z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068953ECDD074F208C5A4402F6723D9A</vt:lpwstr>
  </property>
  <property fmtid="{D5CDD505-2E9C-101B-9397-08002B2CF9AE}" pid="4" name="KSOTemplateDocerSaveRecord">
    <vt:lpwstr>eyJoZGlkIjoiZjYxZTUyYjc1MzQwNWRmNjlmMWQyYmQ2NmM1M2U4MmMiLCJ1c2VySWQiOiI2OTk3NTA5NDAifQ==</vt:lpwstr>
  </property>
</Properties>
</file>