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龙岗区应急管理监测预警指挥中心项目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（二期）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监理服务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采购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公告</w:t>
      </w:r>
    </w:p>
    <w:p>
      <w:pPr>
        <w:pStyle w:val="3"/>
        <w:spacing w:line="560" w:lineRule="exact"/>
        <w:ind w:firstLine="0"/>
        <w:rPr>
          <w:rFonts w:ascii="黑体" w:hAnsi="黑体" w:eastAsia="黑体" w:cs="黑体"/>
          <w:sz w:val="44"/>
          <w:szCs w:val="44"/>
        </w:rPr>
      </w:pPr>
    </w:p>
    <w:p>
      <w:pPr>
        <w:widowControl/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龙岗区应急管理监测预警指挥中心项目（二期）监理服务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现面向社会公开招标，欢迎有相应资质和能力的潜在投标人参加本次招标活动。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项目概况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（一）采购项目名称：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龙岗区应急管理监测预警指挥中心项目（二期）监理服务。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（二）服务地点：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龙岗区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（三）项目概况：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龙岗区应急管理监测预警指挥中心项目（二期）聚焦工程建设诱发岩溶地质灾害防治、边坡风险防控和业务需求，在区应急管理监测预警指挥平台总体框架下，扩展平台支撑业务能力，包括岩溶风险防控、边坡风险防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应急管理监测预警指挥平台拓展建设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主动监测专项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及系统对接等内容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服务内容：</w:t>
      </w:r>
    </w:p>
    <w:p>
      <w:pPr>
        <w:pStyle w:val="12"/>
        <w:spacing w:line="560" w:lineRule="exact"/>
        <w:ind w:firstLine="64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按照项目建设目标要求，遵循国家、省、市信息系统项目建设和监理的标准和规范，依据项目建设合同和建设需求，采用先进、科学、合理的适合本项目特点的项目管理技巧和手段，对项目进行现场监理。对工程项目的各个阶段及各个层面进行全方位管理与协调。对工程项目质量、进度和支付及变更等进行全面控制。对项目建设合同的执行、项目建设文件资料等进行管理，确保项目按要求实施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服务要求：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1.项目质量控制措施要求：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采取先进的质量控制工具和控制方法，控制施工过程质量；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在关键的质量控制点，要有清楚明确的事前控制、事中监管、事后纠正的具体措施；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在项目施工准备阶段就开始制定具体的质量控制措施和方法，确保项目顺利开工；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有明确的措施或方法来确保采购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提供的资源能够满足项目的质量要求；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有一套方法在项目准备阶段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单位的各项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开展评估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避免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因项目准备不足而出现质量问题。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2.项目进度控制措施要求：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有一套完整的有效的项目进度控制的方法和措施，提供必要的项目进度控制的工具；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有处理项目进度延期的能力和策略，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避免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因局部延期影响整体项目进度；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有控制项目进度的具体措施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操作细则；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有检查项目进度的机制，应有进度延期的预警机制，应能准确评估局部进度出现偏差对整体项目的影响；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有项目进度动态管理方法，应有项目进度可视化的方法或措施；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有分析进度延期原因的能力，应有跟踪解决导致进度延期原因的措施或方法；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建立项目进度协调与控制机制。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3.项目投资控制措施要求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根据建设项目预算，制订该项目投资成本控制的管理办法；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依据招投标文件、承建合同，审核工程计划、设计方案中所说明的工程目标、范围、内容、产品和服务，对可能的投资变化，向采购单位提出监理意见；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控制变更情况，变更应由各方达成共识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并通过签署变更单予以明确；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有计量工程量与投资的能力，有控制投资的具体措施或方法；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有工程竣工结算的管理与控制能力；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（6）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有确保独立、公平、公正的竣工结算流程。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4.项目安全管理措施要求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有安全管理的经验，具有防止发生人员安全事故的安全管理办法或安全条款；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检查督促承建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建立、完善安全生产制度；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组织工程安全事故的调查与处理；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确立本项目安全监督的工作目标。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5.项目合同管理措施要求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有一套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成熟有效的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合同管理的方法；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监督合同执行情况，定期向采购单位提交监理报告；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协助采购单位与承建单位签署其他补充协议；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有控制合同变更的流程和方法，确保不出现随意变更现象。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6.项目信息管理措施要求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与采购单位、承建单位建立信息沟通机制，并要求各方在项目工作中贯彻执行；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及时向采购单位提交反映项目动态和监理工作情况的项目文档；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建立全面、准确反映项目各阶段工程状况的图表、文档，收集、管理项目各类文档和资料；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督促、检查承建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及时完成各阶段工程技术资料的整理和归档工作；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转发采购单位发出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与项目相关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的一切指示、通知和业务联系单；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就项目中存在或出现的问题向采购单位、承建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、设计单位提出独立、公正、公平的意见建议或解决方案；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项目实施出现质量问题或严重偏离计划时，应及时向采购单位报告，并提出对策建议，同时督促承建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采取措施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解决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7.项目组织协调措施要求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与采购单位、承建单位确定工程设计阶段的协调形式和方法，如监理例会和专题会议等，并在项目过程中执行；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确定承建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、设计单位等之间的工作范围和职责；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监督各方履行职责，协调各方的工作关系；</w:t>
      </w:r>
    </w:p>
    <w:p>
      <w:pPr>
        <w:pStyle w:val="12"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）采取有效措施使项目信息在有关各方之间保持畅通，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推动项目实施过程中问题的解决。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（四）项目预算金额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23.21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万元（中标价为合同暂定价，实际支付金额以结算为准）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（五）项目期限：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合同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签订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之日起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至完成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龙岗区应急管理监测预警指挥中心项目（二期）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结（决）算审计工作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（六）评分方法：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综合评分法（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20分+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项目服务方案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资质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分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业绩20分+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诚信10分=综合评分100分）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中标结果将在龙岗区应急管理局官网进行公示。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二、投标人要求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1.具有独立法人资格或具有独立承担民事责任能力的其它组织（提供营业执照或事业单位法人证书等法人证明扫描件，原件备查）。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2.供应商在《政府采购投标及履约承诺函》中作出声明，符合声明中所承诺的事项。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3.本项目不接受联合体招标。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（注：“信用中国”“中国政府采购网”“深圳信用网”以及“深圳市政府采购监督网”为供应商信息的查询渠道，相关信息以开标当日查询结果为准。）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名（仅限一人），团队成员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至少三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名（项目负责人除外）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，相关人员未经我方许可不得更换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人员均具有人力资源和社会保障颁发的信息系统监理师证书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Chars="200"/>
        <w:outlineLvl w:val="1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投标供应商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6月1日（以签订合同时间为准）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至今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政务信息系统项目案例。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三、投标方式</w:t>
      </w:r>
    </w:p>
    <w:p>
      <w:pPr>
        <w:spacing w:line="560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（一）投标资料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1.投标文件封面需注明项目名称，投标人名称，投标人地址，投标人联系人及联系电话。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2.单位简介：简要介绍单位情况。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方案：本项目的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方案（应包含但不限于：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团队、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价格、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资质、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经验、服务），本项目需报价明细表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内容简介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及违约承诺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4.营业执照、相关资质证书（根据实际需求填写，提供复印件，并加盖单位公章）、法人授权书。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5.在《政府采购投标及履约承诺函》作出声明并提交。</w:t>
      </w:r>
    </w:p>
    <w:p>
      <w:pPr>
        <w:ind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6.提供项目团队或者负责人名单的，需与投标人存在隶属关系（提供社保证明材料，且连续参保缴费三个月以上）。</w:t>
      </w:r>
    </w:p>
    <w:p>
      <w:pPr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7.需提供《供应商基本情况表》。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（二）投标时间、地点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1.投标文件接收开始时间：2025年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日上午9：00；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2.投标文件接收截止时间：2025年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日下午6：00；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3.投标文件接收地点：深圳市龙岗区中心城愉龙路30号龙岗区应急管理局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309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室（采购联系人：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吕工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；联系电话：0755-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/>
        </w:rPr>
        <w:t>84872614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（三）投标文件份数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bidi="ar-SA"/>
        </w:rPr>
        <w:t>投标文件一式三份，其中正本一份，副本两份（请密封在同一个文件袋中）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 w:bidi="ar-SA"/>
        </w:rPr>
        <w:t>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6"/>
        <w:numPr>
          <w:ilvl w:val="-1"/>
          <w:numId w:val="0"/>
        </w:numPr>
        <w:ind w:left="1600"/>
        <w:rPr>
          <w:rFonts w:hint="default"/>
          <w:lang w:val="en-US" w:eastAsia="zh-CN"/>
        </w:rPr>
      </w:pPr>
    </w:p>
    <w:p>
      <w:pPr>
        <w:spacing w:line="560" w:lineRule="exact"/>
        <w:ind w:firstLine="2720" w:firstLineChars="85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深圳市龙岗区应急管理局</w:t>
      </w:r>
    </w:p>
    <w:p>
      <w:pPr>
        <w:spacing w:line="560" w:lineRule="exact"/>
        <w:ind w:right="320"/>
        <w:jc w:val="righ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Ll1uVLQAAAABQEA&#10;AA8AAAAAAAAAAQAgAAAAOAAAAGRycy9kb3ducmV2LnhtbFBLAQIUABQAAAAIAIdO4kBWrAzB0wEA&#10;AJ4DAAAOAAAAAAAAAAEAIAAAADU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70FCE"/>
    <w:rsid w:val="132A332F"/>
    <w:rsid w:val="1F55654F"/>
    <w:rsid w:val="334735BF"/>
    <w:rsid w:val="33FE8F05"/>
    <w:rsid w:val="37FDC75F"/>
    <w:rsid w:val="397E388A"/>
    <w:rsid w:val="3EFB0880"/>
    <w:rsid w:val="3FBBD1C2"/>
    <w:rsid w:val="4BF504FA"/>
    <w:rsid w:val="4F4F20B8"/>
    <w:rsid w:val="5C77A56D"/>
    <w:rsid w:val="5D776614"/>
    <w:rsid w:val="5DF50278"/>
    <w:rsid w:val="5FFF129F"/>
    <w:rsid w:val="64AB5B07"/>
    <w:rsid w:val="67B8FE61"/>
    <w:rsid w:val="6BC513B3"/>
    <w:rsid w:val="6DDA1748"/>
    <w:rsid w:val="6DFE995D"/>
    <w:rsid w:val="6F7D757A"/>
    <w:rsid w:val="71E55761"/>
    <w:rsid w:val="773721AD"/>
    <w:rsid w:val="787A05B6"/>
    <w:rsid w:val="7B3B1EE7"/>
    <w:rsid w:val="7BF96B7A"/>
    <w:rsid w:val="7D3E4C55"/>
    <w:rsid w:val="7DB7F111"/>
    <w:rsid w:val="7DFEBF78"/>
    <w:rsid w:val="7DFF6BC9"/>
    <w:rsid w:val="7EFAF23E"/>
    <w:rsid w:val="7F2A9200"/>
    <w:rsid w:val="7F6B6C17"/>
    <w:rsid w:val="7FDFEC69"/>
    <w:rsid w:val="7FFD1022"/>
    <w:rsid w:val="7FFFD20A"/>
    <w:rsid w:val="87BB71DF"/>
    <w:rsid w:val="8996877F"/>
    <w:rsid w:val="8F6E6BA1"/>
    <w:rsid w:val="9FCB43C2"/>
    <w:rsid w:val="ABFF4ED4"/>
    <w:rsid w:val="B9FFD579"/>
    <w:rsid w:val="BE16791C"/>
    <w:rsid w:val="BF4BA45F"/>
    <w:rsid w:val="BFFF2AD4"/>
    <w:rsid w:val="D7FF2354"/>
    <w:rsid w:val="DEF79F9C"/>
    <w:rsid w:val="DF9BC9F3"/>
    <w:rsid w:val="DFD3D284"/>
    <w:rsid w:val="DFFF7FFF"/>
    <w:rsid w:val="E4F6F071"/>
    <w:rsid w:val="E7FF0D5A"/>
    <w:rsid w:val="E7FF810C"/>
    <w:rsid w:val="EBFB1C57"/>
    <w:rsid w:val="EEFFA752"/>
    <w:rsid w:val="EFAEF2BB"/>
    <w:rsid w:val="F3F35E8D"/>
    <w:rsid w:val="F4BCC0B4"/>
    <w:rsid w:val="F6FF89EF"/>
    <w:rsid w:val="F7FFEB20"/>
    <w:rsid w:val="F8CB257B"/>
    <w:rsid w:val="F9E64780"/>
    <w:rsid w:val="FB628A82"/>
    <w:rsid w:val="FDDFFA73"/>
    <w:rsid w:val="FDF14F4A"/>
    <w:rsid w:val="FFBBC9EE"/>
    <w:rsid w:val="FFDF7BAC"/>
    <w:rsid w:val="FFF72732"/>
    <w:rsid w:val="FFFF549F"/>
    <w:rsid w:val="FFFFD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2">
    <w:name w:val="_Style 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1544</Words>
  <Characters>1606</Characters>
  <Paragraphs>66</Paragraphs>
  <TotalTime>2</TotalTime>
  <ScaleCrop>false</ScaleCrop>
  <LinksUpToDate>false</LinksUpToDate>
  <CharactersWithSpaces>1606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2022-04-30T10:31:00Z</dcterms:created>
  <dc:creator>Administrator</dc:creator>
  <cp:lastModifiedBy>吕元洪</cp:lastModifiedBy>
  <cp:lastPrinted>2025-06-15T14:31:00Z</cp:lastPrinted>
  <dcterms:modified xsi:type="dcterms:W3CDTF">2025-11-21T10:10:44Z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7CCF17D9403049E8B8D285B52BBAC838_13</vt:lpwstr>
  </property>
  <property fmtid="{D5CDD505-2E9C-101B-9397-08002B2CF9AE}" pid="4" name="KSOTemplateDocerSaveRecord">
    <vt:lpwstr>eyJoZGlkIjoiZDNhODk0YjRlOGM0MTZkYjE4NTNjNDA2NjdjMWY5NjgiLCJ1c2VySWQiOiIyODU2NzE1MzEifQ==</vt:lpwstr>
  </property>
</Properties>
</file>