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9CFC2">
      <w:pPr>
        <w:widowControl/>
        <w:spacing w:line="288" w:lineRule="auto"/>
        <w:jc w:val="center"/>
        <w:outlineLvl w:val="0"/>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回购保障性租赁住房项目（2025）</w:t>
      </w:r>
    </w:p>
    <w:p w14:paraId="416A2D63">
      <w:pPr>
        <w:widowControl/>
        <w:spacing w:line="288" w:lineRule="auto"/>
        <w:jc w:val="center"/>
        <w:outlineLvl w:val="0"/>
        <w:rPr>
          <w:rFonts w:hint="eastAsia" w:ascii="方正小标宋简体" w:hAnsi="方正小标宋简体" w:eastAsia="方正小标宋简体" w:cs="方正小标宋简体"/>
          <w:color w:val="000000" w:themeColor="text1"/>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可行性研究</w:t>
      </w: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报告编制</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服务需求书</w:t>
      </w:r>
    </w:p>
    <w:p w14:paraId="2A54495D">
      <w:pPr>
        <w:widowControl/>
        <w:spacing w:line="288" w:lineRule="auto"/>
        <w:ind w:firstLine="641" w:firstLineChars="200"/>
        <w:outlineLvl w:val="0"/>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一、项目背景</w:t>
      </w:r>
    </w:p>
    <w:p w14:paraId="18975D27">
      <w:pPr>
        <w:pStyle w:val="2"/>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国家规划纲要及相关文件精神，深圳市制定了明确的保障性租赁住房发展目标。本项目正是在此国家战略指引下，积极响应号召，通过市场化回购方式，筹集和有效扩充保障性租赁住房房源，落实国家“房住不炒”定位、推动建立多主体供给、多渠道保障、租购并举住房制度的重要实践与探索。</w:t>
      </w:r>
    </w:p>
    <w:p w14:paraId="06FF1E27">
      <w:pPr>
        <w:pStyle w:val="2"/>
        <w:spacing w:line="560" w:lineRule="exact"/>
        <w:ind w:firstLine="640" w:firstLineChars="200"/>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本项目旨在通过市场化运作，回购一批区位适宜、价格合理、品质达标的存量商品房，将其转化为权属清晰、管理规范、租金优惠的保障性租赁住房。</w:t>
      </w:r>
    </w:p>
    <w:p w14:paraId="33E7D051">
      <w:pPr>
        <w:pStyle w:val="2"/>
        <w:spacing w:line="560" w:lineRule="exact"/>
        <w:ind w:firstLine="640" w:firstLineChars="200"/>
        <w:rPr>
          <w:rFonts w:hint="eastAsia"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为此，面向社会征集具备专业能力</w:t>
      </w:r>
      <w:r>
        <w:rPr>
          <w:rFonts w:hint="eastAsia" w:ascii="仿宋_GB2312" w:hAnsi="仿宋_GB2312" w:eastAsia="仿宋_GB2312" w:cs="仿宋_GB2312"/>
          <w:color w:val="333333"/>
          <w:kern w:val="0"/>
          <w:sz w:val="32"/>
          <w:szCs w:val="32"/>
        </w:rPr>
        <w:t>和</w:t>
      </w:r>
      <w:r>
        <w:rPr>
          <w:rFonts w:ascii="仿宋_GB2312" w:hAnsi="仿宋_GB2312" w:eastAsia="仿宋_GB2312" w:cs="仿宋_GB2312"/>
          <w:color w:val="333333"/>
          <w:kern w:val="0"/>
          <w:sz w:val="32"/>
          <w:szCs w:val="32"/>
        </w:rPr>
        <w:t>丰富经验的服务机构，</w:t>
      </w:r>
      <w:r>
        <w:rPr>
          <w:rFonts w:hint="eastAsia" w:ascii="仿宋_GB2312" w:hAnsi="仿宋_GB2312" w:eastAsia="仿宋_GB2312" w:cs="仿宋_GB2312"/>
          <w:color w:val="333333"/>
          <w:kern w:val="0"/>
          <w:sz w:val="32"/>
          <w:szCs w:val="32"/>
        </w:rPr>
        <w:t>为本项目提供可行性研究</w:t>
      </w:r>
      <w:r>
        <w:rPr>
          <w:rFonts w:hint="eastAsia" w:ascii="仿宋_GB2312" w:hAnsi="仿宋_GB2312" w:eastAsia="仿宋_GB2312" w:cs="仿宋_GB2312"/>
          <w:color w:val="333333"/>
          <w:kern w:val="0"/>
          <w:sz w:val="32"/>
          <w:szCs w:val="32"/>
          <w:lang w:val="en-US" w:eastAsia="zh-CN"/>
        </w:rPr>
        <w:t>报告编制</w:t>
      </w:r>
      <w:r>
        <w:rPr>
          <w:rFonts w:hint="eastAsia" w:ascii="仿宋_GB2312" w:hAnsi="仿宋_GB2312" w:eastAsia="仿宋_GB2312" w:cs="仿宋_GB2312"/>
          <w:color w:val="333333"/>
          <w:kern w:val="0"/>
          <w:sz w:val="32"/>
          <w:szCs w:val="32"/>
        </w:rPr>
        <w:t>服务</w:t>
      </w:r>
      <w:r>
        <w:rPr>
          <w:rFonts w:ascii="仿宋_GB2312" w:hAnsi="仿宋_GB2312" w:eastAsia="仿宋_GB2312" w:cs="仿宋_GB2312"/>
          <w:color w:val="333333"/>
          <w:kern w:val="0"/>
          <w:sz w:val="32"/>
          <w:szCs w:val="32"/>
        </w:rPr>
        <w:t>。</w:t>
      </w:r>
    </w:p>
    <w:p w14:paraId="58748508">
      <w:pPr>
        <w:widowControl/>
        <w:spacing w:line="288" w:lineRule="auto"/>
        <w:ind w:firstLine="641" w:firstLineChars="200"/>
        <w:outlineLvl w:val="0"/>
        <w:rPr>
          <w:rFonts w:ascii="黑体" w:hAnsi="黑体" w:eastAsia="黑体" w:cs="黑体"/>
          <w:b/>
          <w:bCs/>
          <w:color w:val="333333"/>
          <w:kern w:val="0"/>
          <w:sz w:val="32"/>
          <w:szCs w:val="32"/>
        </w:rPr>
      </w:pPr>
      <w:r>
        <w:rPr>
          <w:rFonts w:hint="eastAsia" w:ascii="黑体" w:hAnsi="黑体" w:eastAsia="黑体" w:cs="黑体"/>
          <w:b/>
          <w:bCs/>
          <w:color w:val="333333"/>
          <w:kern w:val="0"/>
          <w:sz w:val="32"/>
          <w:szCs w:val="32"/>
        </w:rPr>
        <w:t>二、工作内容及要求</w:t>
      </w:r>
    </w:p>
    <w:p w14:paraId="774BA7E3">
      <w:pPr>
        <w:pStyle w:val="2"/>
        <w:spacing w:line="560" w:lineRule="exact"/>
        <w:ind w:firstLine="640" w:firstLineChars="200"/>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本项目共包含4个保障性租赁住房楼盘，总房源数为865套，总面积约43542.36平方米，服务机构需</w:t>
      </w:r>
      <w:r>
        <w:rPr>
          <w:rFonts w:hint="eastAsia" w:ascii="仿宋_GB2312" w:hAnsi="仿宋_GB2312" w:eastAsia="仿宋_GB2312" w:cs="仿宋_GB2312"/>
          <w:color w:val="333333"/>
          <w:kern w:val="0"/>
          <w:sz w:val="32"/>
          <w:szCs w:val="32"/>
        </w:rPr>
        <w:t>通过对</w:t>
      </w:r>
      <w:r>
        <w:rPr>
          <w:rFonts w:hint="eastAsia" w:ascii="仿宋_GB2312" w:hAnsi="仿宋_GB2312" w:eastAsia="仿宋_GB2312" w:cs="仿宋_GB2312"/>
          <w:color w:val="333333"/>
          <w:kern w:val="0"/>
          <w:sz w:val="32"/>
          <w:szCs w:val="32"/>
          <w:lang w:val="en-US" w:eastAsia="zh-CN"/>
        </w:rPr>
        <w:t>4个项目的</w:t>
      </w:r>
      <w:r>
        <w:rPr>
          <w:rFonts w:hint="eastAsia" w:ascii="仿宋_GB2312" w:hAnsi="仿宋_GB2312" w:eastAsia="仿宋_GB2312" w:cs="仿宋_GB2312"/>
          <w:color w:val="333333"/>
          <w:kern w:val="0"/>
          <w:sz w:val="32"/>
          <w:szCs w:val="32"/>
        </w:rPr>
        <w:t>政策环境、市场需求、房源状况、融资方案、财务效益及潜在风险的系统性分析，</w:t>
      </w:r>
      <w:r>
        <w:rPr>
          <w:rFonts w:hint="eastAsia" w:ascii="仿宋_GB2312" w:hAnsi="仿宋_GB2312" w:eastAsia="仿宋_GB2312" w:cs="仿宋_GB2312"/>
          <w:color w:val="333333"/>
          <w:kern w:val="0"/>
          <w:sz w:val="32"/>
          <w:szCs w:val="32"/>
          <w:lang w:val="en-US" w:eastAsia="zh-CN"/>
        </w:rPr>
        <w:t>整体</w:t>
      </w:r>
      <w:r>
        <w:rPr>
          <w:rFonts w:hint="eastAsia" w:ascii="仿宋_GB2312" w:hAnsi="仿宋_GB2312" w:eastAsia="仿宋_GB2312" w:cs="仿宋_GB2312"/>
          <w:color w:val="333333"/>
          <w:kern w:val="0"/>
          <w:sz w:val="32"/>
          <w:szCs w:val="32"/>
        </w:rPr>
        <w:t>论证本项目实施的可行性，为项目决策提供全面、客观、翔实的依据，并最终形成</w:t>
      </w:r>
      <w:r>
        <w:rPr>
          <w:rFonts w:hint="eastAsia" w:ascii="仿宋_GB2312" w:hAnsi="仿宋_GB2312" w:eastAsia="仿宋_GB2312" w:cs="仿宋_GB2312"/>
          <w:color w:val="333333"/>
          <w:kern w:val="0"/>
          <w:sz w:val="32"/>
          <w:szCs w:val="32"/>
          <w:lang w:val="en-US" w:eastAsia="zh-CN"/>
        </w:rPr>
        <w:t>一份</w:t>
      </w:r>
      <w:r>
        <w:rPr>
          <w:rFonts w:hint="eastAsia" w:ascii="仿宋_GB2312" w:hAnsi="仿宋_GB2312" w:eastAsia="仿宋_GB2312" w:cs="仿宋_GB2312"/>
          <w:color w:val="333333"/>
          <w:kern w:val="0"/>
          <w:sz w:val="32"/>
          <w:szCs w:val="32"/>
        </w:rPr>
        <w:t>符合国家相关规定和项目审批要求的《回购保障性租赁住房项目可行性研究报告》</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报告具体内容如下（包括但不限于以下内容）：</w:t>
      </w:r>
    </w:p>
    <w:p w14:paraId="1322652F">
      <w:pPr>
        <w:widowControl/>
        <w:spacing w:line="288" w:lineRule="auto"/>
        <w:ind w:firstLine="640" w:firstLineChars="200"/>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（一）政策合规性</w:t>
      </w:r>
    </w:p>
    <w:p w14:paraId="0FEC781A">
      <w:pPr>
        <w:pStyle w:val="2"/>
        <w:numPr>
          <w:ilvl w:val="0"/>
          <w:numId w:val="1"/>
        </w:numPr>
        <w:spacing w:line="560" w:lineRule="exact"/>
        <w:ind w:left="425" w:leftChars="0" w:firstLine="415" w:firstLineChars="0"/>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全面收集国家、省、市层面关于保障性租赁住房的土地、金融、税收、审批等各项优惠政策，特别是关于通过回购方式筹集房源的具体规定。</w:t>
      </w:r>
    </w:p>
    <w:p w14:paraId="46B23C21">
      <w:pPr>
        <w:pStyle w:val="2"/>
        <w:numPr>
          <w:ilvl w:val="0"/>
          <w:numId w:val="1"/>
        </w:numPr>
        <w:spacing w:line="560" w:lineRule="exact"/>
        <w:ind w:left="425" w:leftChars="0" w:firstLine="415" w:firstLineChars="0"/>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分析“回购”模式与现行法律法规的契合度，明确项目实施的制度依据。</w:t>
      </w:r>
    </w:p>
    <w:p w14:paraId="6C795F1B">
      <w:pPr>
        <w:widowControl/>
        <w:spacing w:line="288" w:lineRule="auto"/>
        <w:ind w:firstLine="640" w:firstLineChars="200"/>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（二）必要性分析</w:t>
      </w:r>
    </w:p>
    <w:p w14:paraId="71066D64">
      <w:pPr>
        <w:pStyle w:val="2"/>
        <w:spacing w:line="560" w:lineRule="exact"/>
        <w:ind w:firstLine="640" w:firstLineChars="200"/>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 结合项目背景，进一步从缓解住房困难、平抑租金、盘活存量资产、促进房地产健康发展等角度，深化论述项目实施的紧迫性和战略意义。</w:t>
      </w:r>
    </w:p>
    <w:p w14:paraId="00925542">
      <w:pPr>
        <w:widowControl/>
        <w:spacing w:line="288" w:lineRule="auto"/>
        <w:ind w:firstLine="640" w:firstLineChars="200"/>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（三）需求分析</w:t>
      </w:r>
    </w:p>
    <w:p w14:paraId="03D49BC0">
      <w:pPr>
        <w:pStyle w:val="2"/>
        <w:spacing w:line="560" w:lineRule="exact"/>
        <w:ind w:firstLine="640" w:firstLineChars="200"/>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基于城市人口数据、产业规划、就业增长趋势等，定量分析与预测目标区域保障性租赁住房的潜在需求总量及未来变化趋势。</w:t>
      </w:r>
    </w:p>
    <w:p w14:paraId="1232A031">
      <w:pPr>
        <w:widowControl/>
        <w:spacing w:line="288" w:lineRule="auto"/>
        <w:ind w:firstLine="640" w:firstLineChars="200"/>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（四）房源调查</w:t>
      </w:r>
    </w:p>
    <w:p w14:paraId="734E503C">
      <w:pPr>
        <w:pStyle w:val="2"/>
        <w:numPr>
          <w:ilvl w:val="0"/>
          <w:numId w:val="2"/>
        </w:numPr>
        <w:spacing w:line="560" w:lineRule="exact"/>
        <w:ind w:left="425" w:leftChars="0" w:firstLine="415" w:firstLineChars="0"/>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对备选房源进行实地勘查，评估其建筑质量、小区环境、配套设施、维修状况等。</w:t>
      </w:r>
    </w:p>
    <w:p w14:paraId="79D6A2F4">
      <w:pPr>
        <w:pStyle w:val="2"/>
        <w:numPr>
          <w:ilvl w:val="0"/>
          <w:numId w:val="2"/>
        </w:numPr>
        <w:spacing w:line="560" w:lineRule="exact"/>
        <w:ind w:left="425" w:leftChars="0" w:firstLine="415" w:firstLineChars="0"/>
        <w:rPr>
          <w:rFonts w:hint="eastAsia"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分析回购房源在户型、结构、设施设备等方面是否符合保障性租赁住房的建设标准和使用要求。</w:t>
      </w:r>
    </w:p>
    <w:p w14:paraId="076AF242">
      <w:pPr>
        <w:widowControl/>
        <w:spacing w:line="288" w:lineRule="auto"/>
        <w:ind w:firstLine="640" w:firstLineChars="200"/>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（五）回购方案及运营管理方案</w:t>
      </w:r>
    </w:p>
    <w:p w14:paraId="25A5BC56">
      <w:pPr>
        <w:pStyle w:val="2"/>
        <w:numPr>
          <w:ilvl w:val="0"/>
          <w:numId w:val="3"/>
        </w:numPr>
        <w:spacing w:line="560" w:lineRule="exact"/>
        <w:ind w:left="425" w:leftChars="0" w:firstLine="415" w:firstLineChars="0"/>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具体的回购操作流程，包括回购价格形成</w:t>
      </w:r>
      <w:r>
        <w:rPr>
          <w:rFonts w:hint="eastAsia" w:ascii="仿宋_GB2312" w:hAnsi="仿宋_GB2312" w:eastAsia="仿宋_GB2312" w:cs="仿宋_GB2312"/>
          <w:color w:val="333333"/>
          <w:kern w:val="0"/>
          <w:sz w:val="32"/>
          <w:szCs w:val="32"/>
        </w:rPr>
        <w:t>、</w:t>
      </w:r>
      <w:r>
        <w:rPr>
          <w:rFonts w:ascii="仿宋_GB2312" w:hAnsi="仿宋_GB2312" w:eastAsia="仿宋_GB2312" w:cs="仿宋_GB2312"/>
          <w:color w:val="333333"/>
          <w:kern w:val="0"/>
          <w:sz w:val="32"/>
          <w:szCs w:val="32"/>
        </w:rPr>
        <w:t>资金支付方式等。</w:t>
      </w:r>
    </w:p>
    <w:p w14:paraId="011AC68B">
      <w:pPr>
        <w:pStyle w:val="2"/>
        <w:numPr>
          <w:ilvl w:val="0"/>
          <w:numId w:val="3"/>
        </w:numPr>
        <w:spacing w:line="560" w:lineRule="exact"/>
        <w:ind w:left="425" w:leftChars="0" w:firstLine="415" w:firstLineChars="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概述项目的运营主体和运营模式。</w:t>
      </w:r>
    </w:p>
    <w:p w14:paraId="282BDADB">
      <w:pPr>
        <w:widowControl/>
        <w:spacing w:line="288" w:lineRule="auto"/>
        <w:ind w:firstLine="640" w:firstLineChars="200"/>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（六）财务评价</w:t>
      </w:r>
    </w:p>
    <w:p w14:paraId="2A673FA6">
      <w:pPr>
        <w:pStyle w:val="2"/>
        <w:numPr>
          <w:ilvl w:val="0"/>
          <w:numId w:val="4"/>
        </w:numPr>
        <w:spacing w:line="560" w:lineRule="exact"/>
        <w:ind w:left="425" w:leftChars="0" w:firstLine="415" w:firstLineChars="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详细估算项目总投资，包括房源回购成本、可能发生的改造装修成本、前期费用等。</w:t>
      </w:r>
    </w:p>
    <w:p w14:paraId="7B953558">
      <w:pPr>
        <w:pStyle w:val="2"/>
        <w:numPr>
          <w:ilvl w:val="0"/>
          <w:numId w:val="4"/>
        </w:numPr>
        <w:spacing w:line="560" w:lineRule="exact"/>
        <w:ind w:left="425" w:leftChars="0" w:firstLine="415" w:firstLineChars="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基于租金定价和出租率预测项目运营收入。</w:t>
      </w:r>
    </w:p>
    <w:p w14:paraId="7297F7CA">
      <w:pPr>
        <w:pStyle w:val="2"/>
        <w:numPr>
          <w:ilvl w:val="0"/>
          <w:numId w:val="4"/>
        </w:numPr>
        <w:spacing w:line="560" w:lineRule="exact"/>
        <w:ind w:left="425" w:leftChars="0" w:firstLine="415" w:firstLineChars="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测算项目运营期的各项成本，包括物业管理费、维修费、税费、资金利息、管理成本等。</w:t>
      </w:r>
    </w:p>
    <w:p w14:paraId="1AD2E08A">
      <w:pPr>
        <w:pStyle w:val="2"/>
        <w:numPr>
          <w:ilvl w:val="0"/>
          <w:numId w:val="4"/>
        </w:numPr>
        <w:spacing w:line="560" w:lineRule="exact"/>
        <w:ind w:left="425" w:leftChars="0" w:firstLine="415" w:firstLineChars="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编制现金流量表，计算项目投资回收期、内部收益率等关键财务指标，进行敏感性分析，评估项目的财务可持续性与偿债能力。</w:t>
      </w:r>
    </w:p>
    <w:p w14:paraId="0A0348E4">
      <w:pPr>
        <w:widowControl/>
        <w:spacing w:line="288" w:lineRule="auto"/>
        <w:ind w:firstLine="640" w:firstLineChars="200"/>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（七）风险分析及对策</w:t>
      </w:r>
    </w:p>
    <w:p w14:paraId="47F246A0">
      <w:pPr>
        <w:pStyle w:val="2"/>
        <w:numPr>
          <w:ilvl w:val="0"/>
          <w:numId w:val="5"/>
        </w:numPr>
        <w:spacing w:line="560" w:lineRule="exact"/>
        <w:ind w:left="425" w:leftChars="0" w:firstLine="415" w:firstLineChars="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全面识别项目各阶段可能面临的风险，如政策风险、房地产市场风险、运营管理风险等。</w:t>
      </w:r>
    </w:p>
    <w:p w14:paraId="7803E8D5">
      <w:pPr>
        <w:pStyle w:val="2"/>
        <w:numPr>
          <w:ilvl w:val="0"/>
          <w:numId w:val="5"/>
        </w:numPr>
        <w:spacing w:line="560" w:lineRule="exact"/>
        <w:ind w:left="425" w:leftChars="0" w:firstLine="415" w:firstLineChars="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对识别出的风险进行影响程度评估，制定具体、可行的规避、转移、缓解和应对措施。</w:t>
      </w:r>
    </w:p>
    <w:p w14:paraId="1BA16FD6">
      <w:pPr>
        <w:widowControl/>
        <w:spacing w:line="288" w:lineRule="auto"/>
        <w:ind w:firstLine="641" w:firstLineChars="200"/>
        <w:outlineLvl w:val="0"/>
        <w:rPr>
          <w:rFonts w:ascii="黑体" w:hAnsi="黑体" w:eastAsia="黑体" w:cs="黑体"/>
          <w:b/>
          <w:bCs/>
          <w:color w:val="333333"/>
          <w:kern w:val="0"/>
          <w:sz w:val="32"/>
          <w:szCs w:val="32"/>
        </w:rPr>
      </w:pPr>
      <w:r>
        <w:rPr>
          <w:rFonts w:hint="eastAsia" w:ascii="黑体" w:hAnsi="黑体" w:eastAsia="黑体" w:cs="黑体"/>
          <w:b/>
          <w:bCs/>
          <w:color w:val="333333"/>
          <w:kern w:val="0"/>
          <w:sz w:val="32"/>
          <w:szCs w:val="32"/>
        </w:rPr>
        <w:t>三、成果要求</w:t>
      </w:r>
    </w:p>
    <w:p w14:paraId="2ED79769">
      <w:pPr>
        <w:pStyle w:val="2"/>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研究需基于大量一手和二手数据，数据来源应权威可靠。分析方法应科学严谨，符合国家关于项目可行性研究的规范。</w:t>
      </w:r>
    </w:p>
    <w:p w14:paraId="23071A6E">
      <w:pPr>
        <w:pStyle w:val="2"/>
        <w:spacing w:line="560" w:lineRule="exact"/>
        <w:ind w:firstLine="640" w:firstLineChars="200"/>
        <w:rPr>
          <w:rFonts w:hint="default" w:ascii="仿宋_GB2312" w:hAnsi="仿宋_GB2312" w:eastAsia="仿宋_GB2312" w:cs="仿宋_GB2312"/>
          <w:color w:val="333333"/>
          <w:kern w:val="0"/>
          <w:sz w:val="32"/>
          <w:szCs w:val="32"/>
          <w:highlight w:val="none"/>
          <w:lang w:val="en-US" w:eastAsia="zh-CN"/>
        </w:rPr>
      </w:pPr>
      <w:bookmarkStart w:id="0" w:name="_GoBack"/>
      <w:r>
        <w:rPr>
          <w:rFonts w:hint="eastAsia" w:ascii="仿宋_GB2312" w:hAnsi="仿宋_GB2312" w:eastAsia="仿宋_GB2312" w:cs="仿宋_GB2312"/>
          <w:color w:val="333333"/>
          <w:kern w:val="0"/>
          <w:sz w:val="32"/>
          <w:szCs w:val="32"/>
          <w:highlight w:val="none"/>
        </w:rPr>
        <w:t>受托机构需在合同签订后</w:t>
      </w:r>
      <w:r>
        <w:rPr>
          <w:rFonts w:hint="eastAsia" w:ascii="仿宋_GB2312" w:hAnsi="仿宋_GB2312" w:eastAsia="仿宋_GB2312" w:cs="仿宋_GB2312"/>
          <w:color w:val="333333"/>
          <w:kern w:val="0"/>
          <w:sz w:val="32"/>
          <w:szCs w:val="32"/>
          <w:highlight w:val="none"/>
          <w:lang w:val="en-US" w:eastAsia="zh-CN"/>
        </w:rPr>
        <w:t>10</w:t>
      </w:r>
      <w:r>
        <w:rPr>
          <w:rFonts w:hint="eastAsia" w:ascii="仿宋_GB2312" w:hAnsi="仿宋_GB2312" w:eastAsia="仿宋_GB2312" w:cs="仿宋_GB2312"/>
          <w:color w:val="333333"/>
          <w:kern w:val="0"/>
          <w:sz w:val="32"/>
          <w:szCs w:val="32"/>
          <w:highlight w:val="none"/>
        </w:rPr>
        <w:t>个自然日内，提交《可行性研究报告》初稿，并根据</w:t>
      </w:r>
      <w:r>
        <w:rPr>
          <w:rFonts w:hint="eastAsia" w:ascii="仿宋_GB2312" w:hAnsi="仿宋_GB2312" w:eastAsia="仿宋_GB2312" w:cs="仿宋_GB2312"/>
          <w:color w:val="333333"/>
          <w:kern w:val="0"/>
          <w:sz w:val="32"/>
          <w:szCs w:val="32"/>
          <w:highlight w:val="none"/>
          <w:lang w:val="en-US" w:eastAsia="zh-CN"/>
        </w:rPr>
        <w:t>审核意见在2个自然日内完成修改，提交专家评审稿。专家评审稿需通过我方组织的专家评审会验收，并根据专家评审</w:t>
      </w:r>
      <w:r>
        <w:rPr>
          <w:rFonts w:hint="eastAsia" w:ascii="仿宋_GB2312" w:hAnsi="仿宋_GB2312" w:eastAsia="仿宋_GB2312" w:cs="仿宋_GB2312"/>
          <w:color w:val="333333"/>
          <w:kern w:val="0"/>
          <w:sz w:val="32"/>
          <w:szCs w:val="32"/>
          <w:highlight w:val="none"/>
        </w:rPr>
        <w:t>意见在</w:t>
      </w:r>
      <w:r>
        <w:rPr>
          <w:rFonts w:hint="eastAsia" w:ascii="仿宋_GB2312" w:hAnsi="仿宋_GB2312" w:eastAsia="仿宋_GB2312" w:cs="仿宋_GB2312"/>
          <w:color w:val="333333"/>
          <w:kern w:val="0"/>
          <w:sz w:val="32"/>
          <w:szCs w:val="32"/>
          <w:highlight w:val="none"/>
          <w:lang w:val="en-US" w:eastAsia="zh-CN"/>
        </w:rPr>
        <w:t>2</w:t>
      </w:r>
      <w:r>
        <w:rPr>
          <w:rFonts w:hint="eastAsia" w:ascii="仿宋_GB2312" w:hAnsi="仿宋_GB2312" w:eastAsia="仿宋_GB2312" w:cs="仿宋_GB2312"/>
          <w:color w:val="333333"/>
          <w:kern w:val="0"/>
          <w:sz w:val="32"/>
          <w:szCs w:val="32"/>
          <w:highlight w:val="none"/>
        </w:rPr>
        <w:t>个自然日内完成修改，</w:t>
      </w:r>
      <w:r>
        <w:rPr>
          <w:rFonts w:hint="eastAsia" w:ascii="仿宋_GB2312" w:hAnsi="仿宋_GB2312" w:eastAsia="仿宋_GB2312" w:cs="仿宋_GB2312"/>
          <w:color w:val="333333"/>
          <w:kern w:val="0"/>
          <w:sz w:val="32"/>
          <w:szCs w:val="32"/>
          <w:highlight w:val="none"/>
          <w:lang w:val="en-US" w:eastAsia="zh-CN"/>
        </w:rPr>
        <w:t>最终提交可行性研究最终成果报告。</w:t>
      </w:r>
    </w:p>
    <w:bookmarkEnd w:id="0"/>
    <w:p w14:paraId="74BBF7AC">
      <w:pPr>
        <w:widowControl/>
        <w:spacing w:line="288" w:lineRule="auto"/>
        <w:ind w:firstLine="641" w:firstLineChars="200"/>
        <w:outlineLvl w:val="0"/>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四、资质要求</w:t>
      </w:r>
    </w:p>
    <w:p w14:paraId="3ED694DF">
      <w:pPr>
        <w:widowControl/>
        <w:numPr>
          <w:ilvl w:val="0"/>
          <w:numId w:val="6"/>
        </w:numPr>
        <w:spacing w:line="288" w:lineRule="auto"/>
        <w:ind w:left="0" w:leftChars="0" w:firstLine="420" w:firstLineChars="0"/>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在中华人民共和国境内注册，具有独立法人资格；</w:t>
      </w:r>
    </w:p>
    <w:p w14:paraId="7B38DC82">
      <w:pPr>
        <w:widowControl/>
        <w:numPr>
          <w:ilvl w:val="0"/>
          <w:numId w:val="6"/>
        </w:numPr>
        <w:spacing w:line="288" w:lineRule="auto"/>
        <w:ind w:left="0" w:leftChars="0" w:firstLine="420" w:firstLineChars="0"/>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rPr>
        <w:t>具有建设行政主管部门颁发的房地产估价机构备案证书（备案等级为壹级）</w:t>
      </w:r>
      <w:r>
        <w:rPr>
          <w:rFonts w:hint="eastAsia" w:ascii="仿宋_GB2312" w:hAnsi="仿宋_GB2312" w:eastAsia="仿宋_GB2312" w:cs="仿宋_GB2312"/>
          <w:color w:val="333333"/>
          <w:kern w:val="0"/>
          <w:sz w:val="32"/>
          <w:szCs w:val="32"/>
          <w:lang w:eastAsia="zh-CN"/>
        </w:rPr>
        <w:t>；</w:t>
      </w:r>
    </w:p>
    <w:p w14:paraId="2002B9C8">
      <w:pPr>
        <w:widowControl/>
        <w:numPr>
          <w:ilvl w:val="0"/>
          <w:numId w:val="6"/>
        </w:numPr>
        <w:spacing w:line="288" w:lineRule="auto"/>
        <w:ind w:left="0" w:leftChars="0" w:firstLine="420" w:firstLineChars="0"/>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rPr>
        <w:t>具有土地评估机构备案与信用等级证书</w:t>
      </w:r>
      <w:r>
        <w:rPr>
          <w:rFonts w:hint="eastAsia" w:ascii="仿宋_GB2312" w:hAnsi="仿宋_GB2312" w:eastAsia="仿宋_GB2312" w:cs="仿宋_GB2312"/>
          <w:color w:val="333333"/>
          <w:kern w:val="0"/>
          <w:sz w:val="32"/>
          <w:szCs w:val="32"/>
          <w:lang w:eastAsia="zh-CN"/>
        </w:rPr>
        <w:t>；</w:t>
      </w:r>
    </w:p>
    <w:p w14:paraId="0DAD4ABF">
      <w:pPr>
        <w:pStyle w:val="2"/>
        <w:numPr>
          <w:ilvl w:val="0"/>
          <w:numId w:val="6"/>
        </w:numPr>
        <w:ind w:left="0" w:leftChars="0" w:firstLine="420" w:firstLineChars="0"/>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具有资产评估机构备案证书；</w:t>
      </w:r>
    </w:p>
    <w:p w14:paraId="4AE4F4DC">
      <w:pPr>
        <w:pStyle w:val="3"/>
        <w:numPr>
          <w:ilvl w:val="0"/>
          <w:numId w:val="6"/>
        </w:numPr>
        <w:ind w:left="0" w:leftChars="0" w:firstLine="420" w:firstLineChars="0"/>
        <w:rPr>
          <w:rFonts w:hint="default"/>
          <w:sz w:val="32"/>
          <w:szCs w:val="32"/>
          <w:lang w:val="en-US" w:eastAsia="zh-CN"/>
        </w:rPr>
      </w:pPr>
      <w:r>
        <w:rPr>
          <w:rFonts w:hint="eastAsia" w:ascii="仿宋_GB2312" w:hAnsi="仿宋_GB2312" w:eastAsia="仿宋_GB2312" w:cs="仿宋_GB2312"/>
          <w:bCs/>
          <w:sz w:val="32"/>
          <w:szCs w:val="32"/>
          <w:lang w:val="en-US" w:eastAsia="zh-CN"/>
        </w:rPr>
        <w:t>公司在全国投资项目在线审批监管平台备案；</w:t>
      </w:r>
    </w:p>
    <w:p w14:paraId="46E39074">
      <w:pPr>
        <w:widowControl/>
        <w:numPr>
          <w:ilvl w:val="0"/>
          <w:numId w:val="6"/>
        </w:numPr>
        <w:spacing w:line="288" w:lineRule="auto"/>
        <w:ind w:left="0" w:leftChars="0" w:firstLine="420" w:firstLineChars="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本项目不接受联合体投标，投标方不得将项目转包或分包给其他单位或个人</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bCs/>
          <w:sz w:val="32"/>
          <w:szCs w:val="32"/>
          <w:lang w:val="en-US" w:eastAsia="zh-CN"/>
        </w:rPr>
        <w:t>且同一法定代表人的公司只允许一家单位投标</w:t>
      </w:r>
      <w:r>
        <w:rPr>
          <w:rFonts w:hint="eastAsia" w:ascii="仿宋_GB2312" w:hAnsi="仿宋_GB2312" w:eastAsia="仿宋_GB2312" w:cs="仿宋_GB2312"/>
          <w:color w:val="333333"/>
          <w:kern w:val="0"/>
          <w:sz w:val="32"/>
          <w:szCs w:val="32"/>
        </w:rPr>
        <w:t>。</w:t>
      </w:r>
    </w:p>
    <w:p w14:paraId="5C2A9370">
      <w:pPr>
        <w:widowControl/>
        <w:spacing w:line="288" w:lineRule="auto"/>
        <w:ind w:firstLine="641" w:firstLineChars="200"/>
        <w:outlineLvl w:val="0"/>
        <w:rPr>
          <w:rFonts w:hint="eastAsia"/>
        </w:rPr>
      </w:pPr>
      <w:r>
        <w:rPr>
          <w:rFonts w:hint="eastAsia" w:ascii="黑体" w:hAnsi="黑体" w:eastAsia="黑体" w:cs="黑体"/>
          <w:b/>
          <w:bCs/>
          <w:color w:val="333333"/>
          <w:kern w:val="0"/>
          <w:sz w:val="32"/>
          <w:szCs w:val="32"/>
        </w:rPr>
        <w:t>五、其他要求</w:t>
      </w:r>
    </w:p>
    <w:p w14:paraId="0C77F1C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具备专业的技术团队和咨询团队，</w:t>
      </w:r>
      <w:r>
        <w:rPr>
          <w:rFonts w:hint="eastAsia" w:ascii="仿宋_GB2312" w:hAnsi="仿宋_GB2312" w:eastAsia="仿宋_GB2312" w:cs="仿宋_GB2312"/>
          <w:sz w:val="32"/>
          <w:szCs w:val="32"/>
        </w:rPr>
        <w:t>拟派团队项目总负责人</w:t>
      </w:r>
      <w:r>
        <w:rPr>
          <w:rFonts w:hint="eastAsia" w:ascii="仿宋_GB2312" w:hAnsi="仿宋_GB2312" w:eastAsia="仿宋_GB2312" w:cs="仿宋_GB2312"/>
          <w:sz w:val="32"/>
          <w:szCs w:val="32"/>
          <w:lang w:eastAsia="zh-CN"/>
        </w:rPr>
        <w:t>、项目技术负责人；</w:t>
      </w:r>
    </w:p>
    <w:p w14:paraId="36D085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333333"/>
          <w:kern w:val="0"/>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lang w:val="en-US" w:eastAsia="zh-CN"/>
        </w:rPr>
        <w:t>二</w:t>
      </w:r>
      <w:r>
        <w:rPr>
          <w:rFonts w:ascii="Times New Roman" w:hAnsi="Times New Roman" w:eastAsia="仿宋_GB2312"/>
          <w:bCs/>
          <w:sz w:val="32"/>
          <w:szCs w:val="32"/>
        </w:rPr>
        <w:t>）</w:t>
      </w:r>
      <w:r>
        <w:rPr>
          <w:rFonts w:hint="eastAsia" w:ascii="仿宋_GB2312" w:hAnsi="仿宋_GB2312" w:eastAsia="仿宋_GB2312" w:cs="仿宋_GB2312"/>
          <w:sz w:val="32"/>
          <w:szCs w:val="32"/>
          <w:lang w:val="en-US" w:eastAsia="zh-CN"/>
        </w:rPr>
        <w:t>团队成员应拥有丰富的可行性研究服务经验，</w:t>
      </w:r>
      <w:r>
        <w:rPr>
          <w:rFonts w:ascii="Times New Roman" w:hAnsi="Times New Roman" w:eastAsia="仿宋_GB2312"/>
          <w:bCs/>
          <w:sz w:val="32"/>
          <w:szCs w:val="32"/>
        </w:rPr>
        <w:t>无执业不良记录。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D25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23C9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B23C9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BA484"/>
    <w:multiLevelType w:val="singleLevel"/>
    <w:tmpl w:val="834BA484"/>
    <w:lvl w:ilvl="0" w:tentative="0">
      <w:start w:val="1"/>
      <w:numFmt w:val="decimal"/>
      <w:lvlText w:val="%1."/>
      <w:lvlJc w:val="left"/>
      <w:pPr>
        <w:ind w:left="425" w:hanging="425"/>
      </w:pPr>
      <w:rPr>
        <w:rFonts w:hint="default"/>
      </w:rPr>
    </w:lvl>
  </w:abstractNum>
  <w:abstractNum w:abstractNumId="1">
    <w:nsid w:val="A9EB75B8"/>
    <w:multiLevelType w:val="singleLevel"/>
    <w:tmpl w:val="A9EB75B8"/>
    <w:lvl w:ilvl="0" w:tentative="0">
      <w:start w:val="1"/>
      <w:numFmt w:val="decimal"/>
      <w:lvlText w:val="%1."/>
      <w:lvlJc w:val="left"/>
      <w:pPr>
        <w:ind w:left="425" w:hanging="425"/>
      </w:pPr>
      <w:rPr>
        <w:rFonts w:hint="default"/>
      </w:rPr>
    </w:lvl>
  </w:abstractNum>
  <w:abstractNum w:abstractNumId="2">
    <w:nsid w:val="C446F584"/>
    <w:multiLevelType w:val="singleLevel"/>
    <w:tmpl w:val="C446F584"/>
    <w:lvl w:ilvl="0" w:tentative="0">
      <w:start w:val="1"/>
      <w:numFmt w:val="decimal"/>
      <w:lvlText w:val="%1."/>
      <w:lvlJc w:val="left"/>
      <w:pPr>
        <w:ind w:left="425" w:hanging="425"/>
      </w:pPr>
      <w:rPr>
        <w:rFonts w:hint="default"/>
      </w:rPr>
    </w:lvl>
  </w:abstractNum>
  <w:abstractNum w:abstractNumId="3">
    <w:nsid w:val="EA0CE01D"/>
    <w:multiLevelType w:val="singleLevel"/>
    <w:tmpl w:val="EA0CE01D"/>
    <w:lvl w:ilvl="0" w:tentative="0">
      <w:start w:val="1"/>
      <w:numFmt w:val="decimal"/>
      <w:lvlText w:val="%1."/>
      <w:lvlJc w:val="left"/>
      <w:pPr>
        <w:ind w:left="425" w:hanging="425"/>
      </w:pPr>
      <w:rPr>
        <w:rFonts w:hint="default"/>
      </w:rPr>
    </w:lvl>
  </w:abstractNum>
  <w:abstractNum w:abstractNumId="4">
    <w:nsid w:val="F875F0F0"/>
    <w:multiLevelType w:val="singleLevel"/>
    <w:tmpl w:val="F875F0F0"/>
    <w:lvl w:ilvl="0" w:tentative="0">
      <w:start w:val="1"/>
      <w:numFmt w:val="decimal"/>
      <w:lvlText w:val="%1."/>
      <w:lvlJc w:val="left"/>
      <w:pPr>
        <w:ind w:left="425" w:hanging="425"/>
      </w:pPr>
      <w:rPr>
        <w:rFonts w:hint="default"/>
      </w:rPr>
    </w:lvl>
  </w:abstractNum>
  <w:abstractNum w:abstractNumId="5">
    <w:nsid w:val="2DFB0802"/>
    <w:multiLevelType w:val="singleLevel"/>
    <w:tmpl w:val="2DFB0802"/>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D5"/>
    <w:rsid w:val="00006A91"/>
    <w:rsid w:val="00081A02"/>
    <w:rsid w:val="000B2B0F"/>
    <w:rsid w:val="000D23EE"/>
    <w:rsid w:val="001A79CC"/>
    <w:rsid w:val="00207E2A"/>
    <w:rsid w:val="00223F4C"/>
    <w:rsid w:val="00245C3F"/>
    <w:rsid w:val="00251504"/>
    <w:rsid w:val="002A2DA2"/>
    <w:rsid w:val="00421F90"/>
    <w:rsid w:val="0042448D"/>
    <w:rsid w:val="004769D5"/>
    <w:rsid w:val="004B6084"/>
    <w:rsid w:val="004D3F80"/>
    <w:rsid w:val="00523A47"/>
    <w:rsid w:val="005409DE"/>
    <w:rsid w:val="005D37C5"/>
    <w:rsid w:val="006B39CA"/>
    <w:rsid w:val="006C3F09"/>
    <w:rsid w:val="00764221"/>
    <w:rsid w:val="00921F07"/>
    <w:rsid w:val="00A15418"/>
    <w:rsid w:val="00A55EED"/>
    <w:rsid w:val="00AD6A9C"/>
    <w:rsid w:val="00B10965"/>
    <w:rsid w:val="00B11B60"/>
    <w:rsid w:val="00B24CD1"/>
    <w:rsid w:val="00B66319"/>
    <w:rsid w:val="00BA61FF"/>
    <w:rsid w:val="00BB04A4"/>
    <w:rsid w:val="00BD5DFC"/>
    <w:rsid w:val="00C14435"/>
    <w:rsid w:val="00C9228A"/>
    <w:rsid w:val="00CC0108"/>
    <w:rsid w:val="00CC3CE0"/>
    <w:rsid w:val="00DB5FF5"/>
    <w:rsid w:val="00E458C0"/>
    <w:rsid w:val="00EC45D5"/>
    <w:rsid w:val="00F110D5"/>
    <w:rsid w:val="00F27782"/>
    <w:rsid w:val="02ED39AA"/>
    <w:rsid w:val="05626226"/>
    <w:rsid w:val="05AC4007"/>
    <w:rsid w:val="05E33C6C"/>
    <w:rsid w:val="07AC5D2A"/>
    <w:rsid w:val="07DA4754"/>
    <w:rsid w:val="082F1B08"/>
    <w:rsid w:val="09304FAA"/>
    <w:rsid w:val="09A36444"/>
    <w:rsid w:val="09D60752"/>
    <w:rsid w:val="0A2B53A7"/>
    <w:rsid w:val="0D3E455D"/>
    <w:rsid w:val="0DC9777B"/>
    <w:rsid w:val="0F3A0931"/>
    <w:rsid w:val="0FE02CB4"/>
    <w:rsid w:val="10482120"/>
    <w:rsid w:val="11FF3DF6"/>
    <w:rsid w:val="126F7470"/>
    <w:rsid w:val="17C82B68"/>
    <w:rsid w:val="17F15535"/>
    <w:rsid w:val="19BE21E6"/>
    <w:rsid w:val="1BFF1D3F"/>
    <w:rsid w:val="1CFC61EE"/>
    <w:rsid w:val="1F147B6E"/>
    <w:rsid w:val="1F5F3C69"/>
    <w:rsid w:val="23563129"/>
    <w:rsid w:val="24B506AB"/>
    <w:rsid w:val="256259C1"/>
    <w:rsid w:val="26651A12"/>
    <w:rsid w:val="26925551"/>
    <w:rsid w:val="2C7437FB"/>
    <w:rsid w:val="2D87063D"/>
    <w:rsid w:val="2DA4F209"/>
    <w:rsid w:val="2E8111CD"/>
    <w:rsid w:val="2EFA558F"/>
    <w:rsid w:val="2F2253F3"/>
    <w:rsid w:val="2F302D5E"/>
    <w:rsid w:val="306804F6"/>
    <w:rsid w:val="30DE336E"/>
    <w:rsid w:val="31397107"/>
    <w:rsid w:val="322B13AD"/>
    <w:rsid w:val="33DC1D1A"/>
    <w:rsid w:val="35D15DB9"/>
    <w:rsid w:val="3756462F"/>
    <w:rsid w:val="382417F2"/>
    <w:rsid w:val="38896AA4"/>
    <w:rsid w:val="3BEB0216"/>
    <w:rsid w:val="3D785FFC"/>
    <w:rsid w:val="3ECB5284"/>
    <w:rsid w:val="405456E0"/>
    <w:rsid w:val="40B566E5"/>
    <w:rsid w:val="42176C30"/>
    <w:rsid w:val="432612D7"/>
    <w:rsid w:val="460C7565"/>
    <w:rsid w:val="46470361"/>
    <w:rsid w:val="47910BD8"/>
    <w:rsid w:val="47981D85"/>
    <w:rsid w:val="48987ECE"/>
    <w:rsid w:val="4A050C18"/>
    <w:rsid w:val="4AD2445C"/>
    <w:rsid w:val="4B645E12"/>
    <w:rsid w:val="4C0E095C"/>
    <w:rsid w:val="4CAE1A3B"/>
    <w:rsid w:val="4CC007A8"/>
    <w:rsid w:val="4D5A04CE"/>
    <w:rsid w:val="54330A77"/>
    <w:rsid w:val="543E0EFD"/>
    <w:rsid w:val="553005F3"/>
    <w:rsid w:val="565C3CA9"/>
    <w:rsid w:val="56D91FB1"/>
    <w:rsid w:val="57D76345"/>
    <w:rsid w:val="58A51CBC"/>
    <w:rsid w:val="58C3750C"/>
    <w:rsid w:val="5BB35BFD"/>
    <w:rsid w:val="5C5773BA"/>
    <w:rsid w:val="5F024D48"/>
    <w:rsid w:val="5FFFD10F"/>
    <w:rsid w:val="607D37A6"/>
    <w:rsid w:val="612956DC"/>
    <w:rsid w:val="6246224E"/>
    <w:rsid w:val="63840988"/>
    <w:rsid w:val="663B00BC"/>
    <w:rsid w:val="673D1AA0"/>
    <w:rsid w:val="674F5770"/>
    <w:rsid w:val="68E51454"/>
    <w:rsid w:val="6CEB5321"/>
    <w:rsid w:val="6E7D3DC0"/>
    <w:rsid w:val="6F20011E"/>
    <w:rsid w:val="70D71698"/>
    <w:rsid w:val="71371ABC"/>
    <w:rsid w:val="74CA3328"/>
    <w:rsid w:val="75574AD1"/>
    <w:rsid w:val="75C24B8E"/>
    <w:rsid w:val="774A1BE7"/>
    <w:rsid w:val="78D7D08E"/>
    <w:rsid w:val="79200571"/>
    <w:rsid w:val="793574C5"/>
    <w:rsid w:val="7B277CDE"/>
    <w:rsid w:val="7CDFCCFA"/>
    <w:rsid w:val="7D868F39"/>
    <w:rsid w:val="7E0237F7"/>
    <w:rsid w:val="7E6B28C4"/>
    <w:rsid w:val="7EADCD5F"/>
    <w:rsid w:val="7FDD9D46"/>
    <w:rsid w:val="7FDFB224"/>
    <w:rsid w:val="B75F4345"/>
    <w:rsid w:val="BBFD2E0A"/>
    <w:rsid w:val="D6FF3FCD"/>
    <w:rsid w:val="DBFF7B3F"/>
    <w:rsid w:val="EDFF14D2"/>
    <w:rsid w:val="EE79A749"/>
    <w:rsid w:val="F2ED0D21"/>
    <w:rsid w:val="F34F3A9B"/>
    <w:rsid w:val="FBF28C73"/>
    <w:rsid w:val="FFE25828"/>
    <w:rsid w:val="FFFD2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8"/>
    <w:basedOn w:val="1"/>
    <w:next w:val="1"/>
    <w:unhideWhenUsed/>
    <w:qFormat/>
    <w:uiPriority w:val="99"/>
    <w:pPr>
      <w:ind w:left="1400" w:leftChars="1400"/>
    </w:pPr>
  </w:style>
  <w:style w:type="paragraph" w:styleId="4">
    <w:name w:val="annotation text"/>
    <w:basedOn w:val="1"/>
    <w:uiPriority w:val="0"/>
    <w:pPr>
      <w:jc w:val="left"/>
    </w:pPr>
  </w:style>
  <w:style w:type="paragraph" w:styleId="5">
    <w:name w:val="Body Text"/>
    <w:basedOn w:val="1"/>
    <w:next w:val="1"/>
    <w:unhideWhenUsed/>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1310</Words>
  <Characters>1313</Characters>
  <Lines>9</Lines>
  <Paragraphs>2</Paragraphs>
  <TotalTime>21</TotalTime>
  <ScaleCrop>false</ScaleCrop>
  <LinksUpToDate>false</LinksUpToDate>
  <CharactersWithSpaces>1324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2025-11-08T15:05:00Z</dcterms:created>
  <dc:creator>zhang</dc:creator>
  <cp:lastModifiedBy>YeeVV</cp:lastModifiedBy>
  <cp:lastPrinted>2025-09-30T22:42:00Z</cp:lastPrinted>
  <dcterms:modified xsi:type="dcterms:W3CDTF">2025-11-14T21:18:17Z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KSOTemplateDocerSaveRecord">
    <vt:lpwstr>eyJoZGlkIjoiZjVjMDU2NWY0MThjNTlmOGYzYjRjZmVmNTc0ZjBkZDgiLCJ1c2VySWQiOiI0NDA2NjM1MjEifQ==</vt:lpwstr>
  </property>
  <property fmtid="{D5CDD505-2E9C-101B-9397-08002B2CF9AE}" pid="4" name="ICV">
    <vt:lpwstr>A37060AF4D20C93631D70E6958E836BB</vt:lpwstr>
  </property>
</Properties>
</file>