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lang w:eastAsia="zh-CN"/>
        </w:rPr>
        <w:t>附件四：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承诺函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深圳市龙岗区城投置地开发有限公司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为了确保本项目工作顺利进行，我方将严格执行招标投标管理的法</w:t>
      </w:r>
      <w:bookmarkStart w:id="0" w:name="_GoBack"/>
      <w:bookmarkEnd w:id="0"/>
      <w:r>
        <w:rPr>
          <w:rFonts w:hint="eastAsia" w:hAnsi="宋体"/>
          <w:bCs/>
          <w:color w:val="auto"/>
          <w:sz w:val="24"/>
          <w:szCs w:val="24"/>
        </w:rPr>
        <w:t>律法规，并完全接受</w:t>
      </w:r>
      <w:r>
        <w:rPr>
          <w:rFonts w:hint="eastAsia" w:hAnsi="宋体"/>
          <w:b/>
          <w:bCs w:val="0"/>
          <w:color w:val="auto"/>
          <w:sz w:val="24"/>
          <w:szCs w:val="24"/>
          <w:u w:val="single"/>
          <w:lang w:val="en-US" w:eastAsia="zh-CN"/>
        </w:rPr>
        <w:t>深圳龙岗存量资产盘活咨询服务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根据企业自身情况，理性报价，不会以低于成本的报价竞标，并愿以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万元，按照采购人要求承包本项目工作，并签署服务合同。否则，我方愿意承担任何风险。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hAnsi="宋体"/>
          <w:bCs/>
          <w:color w:val="auto"/>
          <w:sz w:val="24"/>
          <w:szCs w:val="24"/>
        </w:rPr>
        <w:t>我方承诺履行项目管理班子配备义务，不擅自更换招标时的项目团队（注册执业人员），如不能继续履行职责确需更换的，所更换人员为我单位职工，其从业资格不低于公开招标(自主)时承诺条件。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4.</w:t>
      </w: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（4）相关主管部门的不良行为记录、行政处罚。</w:t>
      </w:r>
    </w:p>
    <w:p>
      <w:pPr>
        <w:pStyle w:val="2"/>
        <w:rPr>
          <w:rFonts w:hint="eastAsia" w:hAnsi="宋体"/>
          <w:bCs/>
          <w:color w:val="auto"/>
          <w:sz w:val="24"/>
          <w:szCs w:val="24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签署日期：   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5AB60"/>
    <w:rsid w:val="5A45AB60"/>
    <w:rsid w:val="DF1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2025-11-10T14:27:00Z</dcterms:created>
  <dc:creator>陈泓睿</dc:creator>
  <cp:lastModifiedBy>陈泓睿</cp:lastModifiedBy>
  <dcterms:modified xsi:type="dcterms:W3CDTF">2025-11-10T16:01:05Z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23A589E1B6636135EC851169B9745ECD</vt:lpwstr>
  </property>
</Properties>
</file>