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BA69">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hAnsi="仿宋_GB2312" w:eastAsia="仿宋_GB2312" w:cs="仿宋_GB2312"/>
          <w:b w:val="0"/>
          <w:bCs w:val="0"/>
          <w:kern w:val="0"/>
          <w:sz w:val="32"/>
          <w:szCs w:val="32"/>
          <w:lang w:val="en-US" w:eastAsia="zh-CN" w:bidi="ar-SA"/>
        </w:rPr>
      </w:pPr>
      <w:bookmarkStart w:id="0" w:name="_GoBack"/>
      <w:r>
        <w:rPr>
          <w:rFonts w:hint="eastAsia" w:ascii="仿宋_GB2312" w:hAnsi="仿宋_GB2312" w:eastAsia="仿宋_GB2312" w:cs="仿宋_GB2312"/>
          <w:b w:val="0"/>
          <w:bCs w:val="0"/>
          <w:sz w:val="32"/>
          <w:szCs w:val="32"/>
          <w:lang w:val="en-US" w:eastAsia="zh-CN"/>
        </w:rPr>
        <w:t>附件2：</w:t>
      </w:r>
      <w:r>
        <w:rPr>
          <w:rFonts w:hint="eastAsia" w:ascii="仿宋_GB2312" w:hAnsi="仿宋_GB2312" w:eastAsia="仿宋_GB2312" w:cs="仿宋_GB2312"/>
          <w:b w:val="0"/>
          <w:bCs w:val="0"/>
          <w:kern w:val="0"/>
          <w:sz w:val="32"/>
          <w:szCs w:val="32"/>
          <w:lang w:val="zh-CN" w:eastAsia="zh-CN" w:bidi="ar-SA"/>
        </w:rPr>
        <w:t>海科兴战略新兴产业园沙盘制作服务</w:t>
      </w:r>
      <w:r>
        <w:rPr>
          <w:rFonts w:hint="eastAsia" w:ascii="仿宋_GB2312" w:hAnsi="仿宋_GB2312" w:eastAsia="仿宋_GB2312" w:cs="仿宋_GB2312"/>
          <w:b w:val="0"/>
          <w:bCs w:val="0"/>
          <w:kern w:val="0"/>
          <w:sz w:val="32"/>
          <w:szCs w:val="32"/>
          <w:lang w:val="en-US" w:eastAsia="zh-CN" w:bidi="ar-SA"/>
        </w:rPr>
        <w:t>综合评分表</w:t>
      </w:r>
    </w:p>
    <w:bookmarkEnd w:id="0"/>
    <w:tbl>
      <w:tblPr>
        <w:tblStyle w:val="6"/>
        <w:tblW w:w="1069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655"/>
        <w:gridCol w:w="4096"/>
        <w:gridCol w:w="1703"/>
        <w:gridCol w:w="750"/>
        <w:gridCol w:w="731"/>
        <w:gridCol w:w="797"/>
        <w:gridCol w:w="773"/>
        <w:gridCol w:w="632"/>
      </w:tblGrid>
      <w:tr w14:paraId="460F93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573"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058E287E">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序号</w:t>
            </w:r>
          </w:p>
        </w:tc>
        <w:tc>
          <w:tcPr>
            <w:tcW w:w="655"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3E444B5D">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b/>
                <w:bCs/>
                <w:kern w:val="2"/>
                <w:sz w:val="21"/>
                <w:szCs w:val="21"/>
              </w:rPr>
            </w:pPr>
            <w:r>
              <w:rPr>
                <w:rFonts w:ascii="仿宋" w:hAnsi="仿宋" w:eastAsia="仿宋" w:cs="仿宋"/>
                <w:b/>
                <w:bCs/>
                <w:kern w:val="2"/>
                <w:sz w:val="21"/>
                <w:szCs w:val="21"/>
              </w:rPr>
              <w:t>评审</w:t>
            </w:r>
          </w:p>
          <w:p w14:paraId="127A5F8C">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项目</w:t>
            </w:r>
          </w:p>
        </w:tc>
        <w:tc>
          <w:tcPr>
            <w:tcW w:w="4096"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65D54952">
            <w:pPr>
              <w:keepNext w:val="0"/>
              <w:keepLines w:val="0"/>
              <w:pageBreakBefore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评审标准</w:t>
            </w:r>
          </w:p>
        </w:tc>
        <w:tc>
          <w:tcPr>
            <w:tcW w:w="1703"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1514097B">
            <w:pPr>
              <w:keepNext w:val="0"/>
              <w:keepLines w:val="0"/>
              <w:pageBreakBefore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证明材料</w:t>
            </w:r>
          </w:p>
        </w:tc>
        <w:tc>
          <w:tcPr>
            <w:tcW w:w="750"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51B7D861">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分值</w:t>
            </w:r>
          </w:p>
        </w:tc>
        <w:tc>
          <w:tcPr>
            <w:tcW w:w="731"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0C3F5C69">
            <w:pPr>
              <w:keepNext w:val="0"/>
              <w:keepLines w:val="0"/>
              <w:pageBreakBefore w:val="0"/>
              <w:tabs>
                <w:tab w:val="left" w:pos="420"/>
                <w:tab w:val="left" w:pos="84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单位</w:t>
            </w:r>
            <w:r>
              <w:rPr>
                <w:rFonts w:ascii="仿宋" w:hAnsi="仿宋" w:eastAsia="仿宋" w:cs="仿宋"/>
                <w:b/>
                <w:bCs/>
                <w:kern w:val="2"/>
                <w:sz w:val="21"/>
                <w:szCs w:val="21"/>
                <w:lang w:val="en-US"/>
              </w:rPr>
              <w:t>A</w:t>
            </w:r>
          </w:p>
        </w:tc>
        <w:tc>
          <w:tcPr>
            <w:tcW w:w="797" w:type="dxa"/>
            <w:tcBorders>
              <w:top w:val="single" w:color="000000" w:sz="12" w:space="0"/>
              <w:left w:val="single" w:color="000000" w:sz="4" w:space="0"/>
              <w:bottom w:val="single" w:color="000000" w:sz="4" w:space="0"/>
              <w:right w:val="single" w:color="000000" w:sz="4" w:space="0"/>
            </w:tcBorders>
            <w:shd w:val="clear" w:color="auto" w:fill="DEEAF6"/>
            <w:noWrap w:val="0"/>
            <w:tcMar>
              <w:top w:w="80" w:type="dxa"/>
              <w:left w:w="80" w:type="dxa"/>
              <w:bottom w:w="80" w:type="dxa"/>
              <w:right w:w="80" w:type="dxa"/>
            </w:tcMar>
            <w:vAlign w:val="center"/>
          </w:tcPr>
          <w:p w14:paraId="25C87BE8">
            <w:pPr>
              <w:keepNext w:val="0"/>
              <w:keepLines w:val="0"/>
              <w:pageBreakBefore w:val="0"/>
              <w:tabs>
                <w:tab w:val="left" w:pos="420"/>
                <w:tab w:val="left" w:pos="84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单位</w:t>
            </w:r>
            <w:r>
              <w:rPr>
                <w:rFonts w:ascii="仿宋" w:hAnsi="仿宋" w:eastAsia="仿宋" w:cs="仿宋"/>
                <w:b/>
                <w:bCs/>
                <w:kern w:val="2"/>
                <w:sz w:val="21"/>
                <w:szCs w:val="21"/>
                <w:lang w:val="en-US"/>
              </w:rPr>
              <w:t>B</w:t>
            </w:r>
          </w:p>
        </w:tc>
        <w:tc>
          <w:tcPr>
            <w:tcW w:w="773" w:type="dxa"/>
            <w:tcBorders>
              <w:top w:val="single" w:color="000000" w:sz="12" w:space="0"/>
              <w:left w:val="single" w:color="000000" w:sz="4" w:space="0"/>
              <w:bottom w:val="single" w:color="000000" w:sz="4" w:space="0"/>
              <w:right w:val="single" w:color="000000" w:sz="12" w:space="0"/>
            </w:tcBorders>
            <w:shd w:val="clear" w:color="auto" w:fill="DEEAF6"/>
            <w:noWrap w:val="0"/>
            <w:tcMar>
              <w:top w:w="80" w:type="dxa"/>
              <w:left w:w="80" w:type="dxa"/>
              <w:bottom w:w="80" w:type="dxa"/>
              <w:right w:w="80" w:type="dxa"/>
            </w:tcMar>
            <w:vAlign w:val="center"/>
          </w:tcPr>
          <w:p w14:paraId="4FEEB2FD">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b/>
                <w:bCs/>
                <w:kern w:val="2"/>
                <w:sz w:val="21"/>
                <w:szCs w:val="21"/>
              </w:rPr>
              <w:t>单位</w:t>
            </w:r>
            <w:r>
              <w:rPr>
                <w:rFonts w:ascii="仿宋" w:hAnsi="仿宋" w:eastAsia="仿宋" w:cs="仿宋"/>
                <w:b/>
                <w:bCs/>
                <w:kern w:val="2"/>
                <w:sz w:val="21"/>
                <w:szCs w:val="21"/>
                <w:lang w:val="en-US"/>
              </w:rPr>
              <w:t>C</w:t>
            </w:r>
          </w:p>
        </w:tc>
        <w:tc>
          <w:tcPr>
            <w:tcW w:w="632" w:type="dxa"/>
            <w:tcBorders>
              <w:top w:val="single" w:color="000000" w:sz="12" w:space="0"/>
              <w:left w:val="single" w:color="000000" w:sz="4" w:space="0"/>
              <w:bottom w:val="single" w:color="000000" w:sz="4" w:space="0"/>
              <w:right w:val="single" w:color="000000" w:sz="12" w:space="0"/>
            </w:tcBorders>
            <w:shd w:val="clear" w:color="auto" w:fill="DEEAF6"/>
            <w:noWrap w:val="0"/>
            <w:tcMar>
              <w:top w:w="80" w:type="dxa"/>
              <w:left w:w="80" w:type="dxa"/>
              <w:bottom w:w="80" w:type="dxa"/>
              <w:right w:w="80" w:type="dxa"/>
            </w:tcMar>
            <w:vAlign w:val="center"/>
          </w:tcPr>
          <w:p w14:paraId="01C3E598">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w:t>
            </w:r>
          </w:p>
        </w:tc>
      </w:tr>
      <w:tr w14:paraId="21BB4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334"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470424">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A5295F">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rPr>
            </w:pPr>
            <w:r>
              <w:rPr>
                <w:rFonts w:ascii="仿宋" w:hAnsi="仿宋" w:eastAsia="仿宋" w:cs="仿宋"/>
                <w:kern w:val="2"/>
                <w:sz w:val="21"/>
                <w:szCs w:val="21"/>
                <w:lang w:val="en-US"/>
              </w:rPr>
              <w:t>报价</w:t>
            </w:r>
          </w:p>
          <w:p w14:paraId="7B9F3DDD">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color w:val="000000"/>
                <w:kern w:val="2"/>
                <w:sz w:val="21"/>
                <w:szCs w:val="21"/>
                <w:lang w:val="en-US" w:eastAsia="zh-CN" w:bidi="ar-SA"/>
              </w:rPr>
            </w:pPr>
            <w:r>
              <w:rPr>
                <w:rFonts w:ascii="仿宋" w:hAnsi="仿宋" w:eastAsia="仿宋" w:cs="仿宋"/>
                <w:kern w:val="2"/>
                <w:sz w:val="21"/>
                <w:szCs w:val="21"/>
                <w:lang w:val="en-US"/>
              </w:rPr>
              <w:t>得分</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3E7959">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left"/>
              <w:textAlignment w:val="auto"/>
              <w:rPr>
                <w:rFonts w:hint="eastAsia" w:ascii="仿宋" w:hAnsi="仿宋" w:eastAsia="仿宋" w:cs="仿宋"/>
                <w:kern w:val="2"/>
                <w:sz w:val="21"/>
                <w:szCs w:val="21"/>
                <w:lang w:val="en-US"/>
              </w:rPr>
            </w:pPr>
            <w:r>
              <w:rPr>
                <w:rFonts w:ascii="仿宋" w:hAnsi="仿宋" w:eastAsia="仿宋" w:cs="仿宋"/>
                <w:kern w:val="2"/>
                <w:sz w:val="21"/>
                <w:szCs w:val="21"/>
                <w:lang w:val="en-US"/>
              </w:rPr>
              <w:t>符合要求且最低的响应报价为基准价，其价格分为满分。</w:t>
            </w:r>
          </w:p>
          <w:p w14:paraId="1495B844">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left"/>
              <w:textAlignment w:val="auto"/>
              <w:rPr>
                <w:rFonts w:hint="eastAsia" w:ascii="仿宋" w:hAnsi="仿宋" w:eastAsia="仿宋" w:cs="仿宋"/>
                <w:color w:val="000000"/>
                <w:kern w:val="2"/>
                <w:sz w:val="21"/>
                <w:szCs w:val="21"/>
                <w:lang w:val="en-US" w:eastAsia="zh-CN" w:bidi="ar-SA"/>
              </w:rPr>
            </w:pPr>
            <w:r>
              <w:rPr>
                <w:rFonts w:ascii="仿宋" w:hAnsi="仿宋" w:eastAsia="仿宋" w:cs="仿宋"/>
                <w:kern w:val="2"/>
                <w:sz w:val="21"/>
                <w:szCs w:val="21"/>
                <w:lang w:val="en-US"/>
              </w:rPr>
              <w:t>其他响应</w:t>
            </w:r>
            <w:r>
              <w:rPr>
                <w:rFonts w:hint="eastAsia" w:ascii="仿宋" w:hAnsi="仿宋" w:eastAsia="仿宋" w:cs="仿宋"/>
                <w:kern w:val="2"/>
                <w:sz w:val="21"/>
                <w:szCs w:val="21"/>
                <w:lang w:val="en-US" w:eastAsia="zh-CN"/>
              </w:rPr>
              <w:t>单位</w:t>
            </w:r>
            <w:r>
              <w:rPr>
                <w:rFonts w:ascii="仿宋" w:hAnsi="仿宋" w:eastAsia="仿宋" w:cs="仿宋"/>
                <w:kern w:val="2"/>
                <w:sz w:val="21"/>
                <w:szCs w:val="21"/>
                <w:lang w:val="en-US"/>
              </w:rPr>
              <w:t>的价格分统一按照报价得分=(基准价/响应报价)×</w:t>
            </w:r>
            <w:r>
              <w:rPr>
                <w:rFonts w:hint="eastAsia" w:ascii="仿宋" w:hAnsi="仿宋" w:eastAsia="仿宋" w:cs="仿宋"/>
                <w:kern w:val="2"/>
                <w:sz w:val="21"/>
                <w:szCs w:val="21"/>
                <w:lang w:val="en-US" w:eastAsia="zh-CN"/>
              </w:rPr>
              <w:t>20分</w:t>
            </w:r>
            <w:r>
              <w:rPr>
                <w:rFonts w:ascii="仿宋" w:hAnsi="仿宋" w:eastAsia="仿宋" w:cs="仿宋"/>
                <w:kern w:val="2"/>
                <w:sz w:val="21"/>
                <w:szCs w:val="21"/>
                <w:lang w:val="en-US"/>
              </w:rPr>
              <w:t>计算。</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0E38424">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color w:val="000000"/>
                <w:sz w:val="21"/>
                <w:szCs w:val="21"/>
                <w:lang w:val="en-US" w:eastAsia="zh-CN" w:bidi="ar-SA"/>
              </w:rPr>
            </w:pPr>
            <w:r>
              <w:rPr>
                <w:rFonts w:ascii="仿宋" w:hAnsi="仿宋" w:eastAsia="仿宋" w:cs="仿宋"/>
                <w:kern w:val="2"/>
                <w:sz w:val="21"/>
                <w:szCs w:val="21"/>
              </w:rPr>
              <w:t>提供响应报价，并加盖公章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F427FA4">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kern w:val="2"/>
                <w:sz w:val="21"/>
                <w:szCs w:val="21"/>
                <w:lang w:val="en-US" w:eastAsia="zh-CN"/>
              </w:rPr>
              <w:t>20</w:t>
            </w:r>
            <w:r>
              <w:rPr>
                <w:rFonts w:ascii="仿宋" w:hAnsi="仿宋" w:eastAsia="仿宋" w:cs="仿宋"/>
                <w:kern w:val="2"/>
                <w:sz w:val="21"/>
                <w:szCs w:val="21"/>
              </w:rPr>
              <w:t>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A2182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1"/>
                <w:szCs w:val="21"/>
                <w:lang w:val="zh-TW" w:eastAsia="zh-TW" w:bidi="ar-SA"/>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409F91">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1"/>
                <w:szCs w:val="21"/>
                <w:lang w:val="zh-TW" w:eastAsia="zh-TW" w:bidi="ar-SA"/>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50B95089">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1"/>
                <w:szCs w:val="21"/>
                <w:lang w:val="zh-TW" w:eastAsia="zh-TW" w:bidi="ar-SA"/>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5C12110D">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1"/>
                <w:szCs w:val="21"/>
                <w:lang w:val="zh-TW" w:eastAsia="zh-TW" w:bidi="ar-SA"/>
              </w:rPr>
            </w:pPr>
          </w:p>
        </w:tc>
      </w:tr>
      <w:tr w14:paraId="242845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9"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C2CBF9F">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996C06">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项目业绩</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DECCE9">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eastAsia="zh-CN"/>
              </w:rPr>
              <w:t>近</w:t>
            </w:r>
            <w:r>
              <w:rPr>
                <w:rFonts w:hint="eastAsia" w:ascii="仿宋" w:hAnsi="仿宋" w:eastAsia="仿宋" w:cs="仿宋"/>
                <w:kern w:val="2"/>
                <w:sz w:val="21"/>
                <w:szCs w:val="21"/>
                <w:lang w:val="en-US" w:eastAsia="zh-CN"/>
              </w:rPr>
              <w:t>三</w:t>
            </w:r>
            <w:r>
              <w:rPr>
                <w:rFonts w:hint="eastAsia" w:ascii="仿宋" w:hAnsi="仿宋" w:eastAsia="仿宋" w:cs="仿宋"/>
                <w:kern w:val="2"/>
                <w:sz w:val="21"/>
                <w:szCs w:val="21"/>
                <w:lang w:eastAsia="zh-CN"/>
              </w:rPr>
              <w:t>年（合同公告日倒算）完成过单项合同金额不低于</w:t>
            </w:r>
            <w:r>
              <w:rPr>
                <w:rFonts w:hint="eastAsia" w:ascii="仿宋" w:hAnsi="仿宋" w:eastAsia="仿宋" w:cs="仿宋"/>
                <w:kern w:val="2"/>
                <w:sz w:val="21"/>
                <w:szCs w:val="21"/>
                <w:lang w:val="en-US" w:eastAsia="zh-CN"/>
              </w:rPr>
              <w:t>2</w:t>
            </w:r>
            <w:r>
              <w:rPr>
                <w:rFonts w:hint="eastAsia" w:ascii="仿宋" w:hAnsi="仿宋" w:eastAsia="仿宋" w:cs="仿宋"/>
                <w:kern w:val="2"/>
                <w:sz w:val="21"/>
                <w:szCs w:val="21"/>
                <w:lang w:eastAsia="zh-CN"/>
              </w:rPr>
              <w:t>0万元的沙盘或模型制作项目，每有1个业绩得</w:t>
            </w:r>
            <w:r>
              <w:rPr>
                <w:rFonts w:hint="eastAsia" w:ascii="仿宋" w:hAnsi="仿宋" w:eastAsia="仿宋" w:cs="仿宋"/>
                <w:kern w:val="2"/>
                <w:sz w:val="21"/>
                <w:szCs w:val="21"/>
                <w:lang w:val="en-US" w:eastAsia="zh-CN"/>
              </w:rPr>
              <w:t>5</w:t>
            </w:r>
            <w:r>
              <w:rPr>
                <w:rFonts w:hint="eastAsia" w:ascii="仿宋" w:hAnsi="仿宋" w:eastAsia="仿宋" w:cs="仿宋"/>
                <w:kern w:val="2"/>
                <w:sz w:val="21"/>
                <w:szCs w:val="21"/>
                <w:lang w:eastAsia="zh-CN"/>
              </w:rPr>
              <w:t>分，最高得</w:t>
            </w:r>
            <w:r>
              <w:rPr>
                <w:rFonts w:hint="eastAsia" w:ascii="仿宋" w:hAnsi="仿宋" w:eastAsia="仿宋" w:cs="仿宋"/>
                <w:kern w:val="2"/>
                <w:sz w:val="21"/>
                <w:szCs w:val="21"/>
                <w:lang w:val="en-US" w:eastAsia="zh-CN"/>
              </w:rPr>
              <w:t>25</w:t>
            </w:r>
            <w:r>
              <w:rPr>
                <w:rFonts w:hint="eastAsia" w:ascii="仿宋" w:hAnsi="仿宋" w:eastAsia="仿宋" w:cs="仿宋"/>
                <w:kern w:val="2"/>
                <w:sz w:val="21"/>
                <w:szCs w:val="21"/>
                <w:lang w:eastAsia="zh-CN"/>
              </w:rPr>
              <w:t>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E3DD16">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 xml:space="preserve"> 提供合同关键页或验收证明复印件加盖公章。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809C93A">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25分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246A6F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A61375">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33BC029A">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1DDBE5E1">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3B3DB5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4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7A4310">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DA5EC1">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设计方案</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8FD3C4">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根据响应单位提供的沙盘初步设计方案进行评审：</w:t>
            </w:r>
          </w:p>
          <w:p w14:paraId="02D07A4E">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1、方案完整、创意突出、细节精细、符合产业园展示需求的，得20分；</w:t>
            </w:r>
          </w:p>
          <w:p w14:paraId="3742A7D8">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2、方案较完整、有一定创意、细节一般，得10-20分；</w:t>
            </w:r>
          </w:p>
          <w:p w14:paraId="260A445C">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3、方案简单、缺乏创意、细节粗糙，得0-10分；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FD19">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提供沙盘设计方案（图文说明）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D6EAD73">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CD4060">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2D85B8">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6FDEC31C">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67DF2EA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5982E3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B12A53">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A8F3C8">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材料与工艺</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71786E">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响应单位承诺使用环保、耐用、高精度材料，并采用先进制作工艺（如3D打印、激光雕刻等），优的得10分，一般的得5分，差的不得分。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2A7057">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zh-TW" w:eastAsia="zh-TW"/>
              </w:rPr>
            </w:pPr>
            <w:r>
              <w:rPr>
                <w:rFonts w:hint="eastAsia" w:ascii="仿宋" w:hAnsi="仿宋" w:eastAsia="仿宋" w:cs="仿宋"/>
                <w:kern w:val="2"/>
                <w:sz w:val="21"/>
                <w:szCs w:val="21"/>
                <w:lang w:val="zh-TW" w:eastAsia="zh-TW"/>
              </w:rPr>
              <w:t>提供材料清单与工艺说明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48D9AD6">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233F5D">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8FA478">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1236F495">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08F9ACA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13F817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26"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922061">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F2B36E">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技术团队</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47AE3D">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项目负责人具有5年以上模型制作经验，团队成员具备相关专业背景或认证，优得6-10分，中得1-5分，差的不得分。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11F65F6">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default" w:ascii="仿宋" w:hAnsi="仿宋" w:eastAsia="仿宋" w:cs="仿宋"/>
                <w:kern w:val="2"/>
                <w:sz w:val="21"/>
                <w:szCs w:val="21"/>
                <w:lang w:val="en-US" w:eastAsia="zh-CN"/>
              </w:rPr>
            </w:pPr>
            <w:r>
              <w:rPr>
                <w:rFonts w:hint="default" w:ascii="仿宋" w:hAnsi="仿宋" w:eastAsia="仿宋" w:cs="仿宋"/>
                <w:kern w:val="2"/>
                <w:sz w:val="21"/>
                <w:szCs w:val="21"/>
                <w:lang w:val="en-US" w:eastAsia="zh-CN"/>
              </w:rPr>
              <w:t>提供团队成员简历及相关证书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5229B9">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C7B5B3">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11E2588">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05EEFB8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5178EB60">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4FE484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312"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64C5FA">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6B0AAC">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样品展示</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084257E">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left"/>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提供过往沙盘或模型样品图片，由评审小组根据样品制作水平进行打分：优得6-10分，中得1-5分，未提供或差的不得分。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F824D2">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eastAsia="zh-CN"/>
              </w:rPr>
              <w:t>提供样品</w:t>
            </w:r>
            <w:r>
              <w:rPr>
                <w:rFonts w:hint="eastAsia" w:ascii="仿宋" w:hAnsi="仿宋" w:eastAsia="仿宋" w:cs="仿宋"/>
                <w:kern w:val="2"/>
                <w:sz w:val="21"/>
                <w:szCs w:val="21"/>
                <w:lang w:val="en-US" w:eastAsia="zh-CN"/>
              </w:rPr>
              <w:t>高清图片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0A8FC29">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7A05">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3E77844">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7596750A">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7DB6FF69">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4DB50C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9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9EE787">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center"/>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97ADCEE">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kern w:val="2"/>
                <w:sz w:val="21"/>
                <w:szCs w:val="21"/>
                <w:lang w:eastAsia="zh-CN"/>
              </w:rPr>
            </w:pPr>
            <w:r>
              <w:rPr>
                <w:rFonts w:hint="eastAsia" w:ascii="仿宋" w:hAnsi="仿宋" w:eastAsia="仿宋" w:cs="仿宋"/>
                <w:sz w:val="21"/>
                <w:szCs w:val="21"/>
                <w:highlight w:val="none"/>
                <w:lang w:eastAsia="zh-CN"/>
              </w:rPr>
              <w:t>服务便利性</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7628E2B">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60" w:lineRule="auto"/>
              <w:jc w:val="left"/>
              <w:textAlignment w:val="auto"/>
              <w:rPr>
                <w:rFonts w:hint="default" w:ascii="仿宋" w:hAnsi="仿宋" w:eastAsia="仿宋" w:cs="仿宋"/>
                <w:kern w:val="2"/>
                <w:sz w:val="21"/>
                <w:szCs w:val="21"/>
                <w:lang w:val="en-US" w:eastAsia="zh-CN"/>
              </w:rPr>
            </w:pPr>
            <w:r>
              <w:rPr>
                <w:rFonts w:hint="eastAsia" w:ascii="仿宋" w:hAnsi="仿宋" w:eastAsia="仿宋" w:cs="仿宋"/>
                <w:color w:val="auto"/>
                <w:sz w:val="21"/>
                <w:szCs w:val="21"/>
                <w:highlight w:val="none"/>
                <w:lang w:eastAsia="zh-CN"/>
              </w:rPr>
              <w:t>响应单位在</w:t>
            </w:r>
            <w:r>
              <w:rPr>
                <w:rFonts w:hint="eastAsia" w:ascii="仿宋" w:hAnsi="仿宋" w:eastAsia="仿宋" w:cs="仿宋"/>
                <w:color w:val="auto"/>
                <w:sz w:val="21"/>
                <w:szCs w:val="21"/>
                <w:highlight w:val="none"/>
                <w:lang w:val="en-US" w:eastAsia="zh-CN"/>
              </w:rPr>
              <w:t>深圳市</w:t>
            </w:r>
            <w:r>
              <w:rPr>
                <w:rFonts w:hint="eastAsia" w:ascii="仿宋" w:hAnsi="仿宋" w:eastAsia="仿宋" w:cs="仿宋"/>
                <w:color w:val="auto"/>
                <w:sz w:val="21"/>
                <w:szCs w:val="21"/>
                <w:highlight w:val="none"/>
                <w:lang w:eastAsia="zh-CN"/>
              </w:rPr>
              <w:t>范围内设有固定办公或制作场地，便于沟通与后期维护，按照服务团队到达</w:t>
            </w:r>
            <w:r>
              <w:rPr>
                <w:rFonts w:hint="eastAsia" w:ascii="仿宋" w:hAnsi="仿宋" w:eastAsia="仿宋" w:cs="仿宋"/>
                <w:color w:val="auto"/>
                <w:sz w:val="21"/>
                <w:szCs w:val="21"/>
                <w:highlight w:val="none"/>
                <w:lang w:val="en-US" w:eastAsia="zh-CN"/>
              </w:rPr>
              <w:t>海科兴战略新兴产业园</w:t>
            </w:r>
            <w:r>
              <w:rPr>
                <w:rFonts w:hint="eastAsia" w:ascii="仿宋" w:hAnsi="仿宋" w:eastAsia="仿宋" w:cs="仿宋"/>
                <w:color w:val="auto"/>
                <w:sz w:val="21"/>
                <w:szCs w:val="21"/>
                <w:highlight w:val="none"/>
                <w:lang w:eastAsia="zh-CN"/>
              </w:rPr>
              <w:t>的时间进行横向比较，优：得</w:t>
            </w:r>
            <w:r>
              <w:rPr>
                <w:rFonts w:hint="eastAsia" w:ascii="仿宋" w:hAnsi="仿宋" w:eastAsia="仿宋" w:cs="仿宋"/>
                <w:color w:val="auto"/>
                <w:sz w:val="21"/>
                <w:szCs w:val="21"/>
                <w:highlight w:val="none"/>
                <w:lang w:val="en-US" w:eastAsia="zh-CN"/>
              </w:rPr>
              <w:t>4-5分；中：得1-3分；差：不得分。</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637F9B">
            <w:pPr>
              <w:keepNext w:val="0"/>
              <w:keepLines w:val="0"/>
              <w:pageBreakBefore w:val="0"/>
              <w:widowControl w:val="0"/>
              <w:tabs>
                <w:tab w:val="left" w:pos="420"/>
                <w:tab w:val="left" w:pos="840"/>
                <w:tab w:val="left" w:pos="126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提供办公场地证明（租赁合同或房产证）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63342F">
            <w:pPr>
              <w:keepNext w:val="0"/>
              <w:keepLines w:val="0"/>
              <w:pageBreakBefore w:val="0"/>
              <w:widowControl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EF8397">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F0C01">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0B306D40">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14:paraId="3C546F69">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r w14:paraId="7FC79A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1" w:hRule="atLeast"/>
          <w:jc w:val="center"/>
        </w:trPr>
        <w:tc>
          <w:tcPr>
            <w:tcW w:w="7010" w:type="dxa"/>
            <w:gridSpan w:val="4"/>
            <w:tcBorders>
              <w:top w:val="single" w:color="000000" w:sz="4" w:space="0"/>
              <w:left w:val="single" w:color="000000" w:sz="12" w:space="0"/>
              <w:bottom w:val="single" w:color="000000" w:sz="4" w:space="0"/>
              <w:right w:val="single" w:color="000000" w:sz="4" w:space="0"/>
            </w:tcBorders>
            <w:shd w:val="clear" w:color="auto" w:fill="DBE5F1"/>
            <w:noWrap w:val="0"/>
            <w:tcMar>
              <w:top w:w="80" w:type="dxa"/>
              <w:left w:w="80" w:type="dxa"/>
              <w:bottom w:w="80" w:type="dxa"/>
              <w:right w:w="80" w:type="dxa"/>
            </w:tcMar>
            <w:vAlign w:val="center"/>
          </w:tcPr>
          <w:p w14:paraId="5704097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kern w:val="2"/>
                <w:sz w:val="21"/>
                <w:szCs w:val="21"/>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DBE5F1"/>
            <w:noWrap w:val="0"/>
            <w:tcMar>
              <w:top w:w="80" w:type="dxa"/>
              <w:left w:w="80" w:type="dxa"/>
              <w:bottom w:w="80" w:type="dxa"/>
              <w:right w:w="80" w:type="dxa"/>
            </w:tcMar>
            <w:vAlign w:val="center"/>
          </w:tcPr>
          <w:p w14:paraId="4C2CB113">
            <w:pPr>
              <w:keepNext w:val="0"/>
              <w:keepLines w:val="0"/>
              <w:pageBreakBefore w:val="0"/>
              <w:tabs>
                <w:tab w:val="left" w:pos="420"/>
              </w:tabs>
              <w:kinsoku/>
              <w:wordWrap/>
              <w:overflowPunct/>
              <w:topLinePunct w:val="0"/>
              <w:autoSpaceDE/>
              <w:autoSpaceDN/>
              <w:bidi w:val="0"/>
              <w:adjustRightInd/>
              <w:snapToGrid/>
              <w:spacing w:before="0" w:line="20" w:lineRule="atLeast"/>
              <w:jc w:val="center"/>
              <w:textAlignment w:val="auto"/>
              <w:rPr>
                <w:rFonts w:hint="eastAsia" w:ascii="仿宋" w:hAnsi="仿宋" w:eastAsia="仿宋" w:cs="仿宋"/>
                <w:sz w:val="21"/>
                <w:szCs w:val="21"/>
              </w:rPr>
            </w:pPr>
            <w:r>
              <w:rPr>
                <w:rFonts w:ascii="仿宋" w:hAnsi="仿宋" w:eastAsia="仿宋" w:cs="仿宋"/>
                <w:kern w:val="2"/>
                <w:sz w:val="21"/>
                <w:szCs w:val="21"/>
                <w:lang w:val="en-US"/>
              </w:rPr>
              <w:t>100</w:t>
            </w:r>
            <w:r>
              <w:rPr>
                <w:rFonts w:ascii="仿宋" w:hAnsi="仿宋" w:eastAsia="仿宋" w:cs="仿宋"/>
                <w:kern w:val="2"/>
                <w:sz w:val="21"/>
                <w:szCs w:val="21"/>
              </w:rPr>
              <w:t>分</w:t>
            </w:r>
          </w:p>
        </w:tc>
        <w:tc>
          <w:tcPr>
            <w:tcW w:w="731" w:type="dxa"/>
            <w:tcBorders>
              <w:top w:val="single" w:color="000000" w:sz="4" w:space="0"/>
              <w:left w:val="single" w:color="000000" w:sz="4" w:space="0"/>
              <w:bottom w:val="single" w:color="000000" w:sz="4" w:space="0"/>
              <w:right w:val="single" w:color="000000" w:sz="4" w:space="0"/>
            </w:tcBorders>
            <w:shd w:val="clear" w:color="auto" w:fill="DBE5F1"/>
            <w:noWrap w:val="0"/>
            <w:tcMar>
              <w:top w:w="80" w:type="dxa"/>
              <w:left w:w="80" w:type="dxa"/>
              <w:bottom w:w="80" w:type="dxa"/>
              <w:right w:w="80" w:type="dxa"/>
            </w:tcMar>
            <w:vAlign w:val="center"/>
          </w:tcPr>
          <w:p w14:paraId="40C1B737">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97" w:type="dxa"/>
            <w:tcBorders>
              <w:top w:val="single" w:color="000000" w:sz="4" w:space="0"/>
              <w:left w:val="single" w:color="000000" w:sz="4" w:space="0"/>
              <w:bottom w:val="single" w:color="000000" w:sz="4" w:space="0"/>
              <w:right w:val="single" w:color="000000" w:sz="4" w:space="0"/>
            </w:tcBorders>
            <w:shd w:val="clear" w:color="auto" w:fill="DBE5F1"/>
            <w:noWrap w:val="0"/>
            <w:tcMar>
              <w:top w:w="80" w:type="dxa"/>
              <w:left w:w="80" w:type="dxa"/>
              <w:bottom w:w="80" w:type="dxa"/>
              <w:right w:w="80" w:type="dxa"/>
            </w:tcMar>
            <w:vAlign w:val="center"/>
          </w:tcPr>
          <w:p w14:paraId="31C944E0">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773" w:type="dxa"/>
            <w:tcBorders>
              <w:top w:val="single" w:color="000000" w:sz="4" w:space="0"/>
              <w:left w:val="single" w:color="000000" w:sz="4" w:space="0"/>
              <w:bottom w:val="single" w:color="000000" w:sz="4" w:space="0"/>
              <w:right w:val="single" w:color="000000" w:sz="12" w:space="0"/>
            </w:tcBorders>
            <w:shd w:val="clear" w:color="auto" w:fill="DBE5F1"/>
            <w:noWrap w:val="0"/>
            <w:tcMar>
              <w:top w:w="80" w:type="dxa"/>
              <w:left w:w="80" w:type="dxa"/>
              <w:bottom w:w="80" w:type="dxa"/>
              <w:right w:w="80" w:type="dxa"/>
            </w:tcMar>
            <w:vAlign w:val="center"/>
          </w:tcPr>
          <w:p w14:paraId="2F02F04E">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c>
          <w:tcPr>
            <w:tcW w:w="632" w:type="dxa"/>
            <w:tcBorders>
              <w:top w:val="single" w:color="000000" w:sz="4" w:space="0"/>
              <w:left w:val="single" w:color="000000" w:sz="4" w:space="0"/>
              <w:bottom w:val="single" w:color="000000" w:sz="4" w:space="0"/>
              <w:right w:val="single" w:color="000000" w:sz="12" w:space="0"/>
            </w:tcBorders>
            <w:shd w:val="clear" w:color="auto" w:fill="DBE5F1"/>
            <w:noWrap w:val="0"/>
            <w:tcMar>
              <w:top w:w="80" w:type="dxa"/>
              <w:left w:w="80" w:type="dxa"/>
              <w:bottom w:w="80" w:type="dxa"/>
              <w:right w:w="80" w:type="dxa"/>
            </w:tcMar>
            <w:vAlign w:val="center"/>
          </w:tcPr>
          <w:p w14:paraId="5CD838A6">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1"/>
                <w:szCs w:val="21"/>
              </w:rPr>
            </w:pPr>
          </w:p>
        </w:tc>
      </w:tr>
    </w:tbl>
    <w:p w14:paraId="4A0D190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60D1D0D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108686E6">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14:paraId="32E83E6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10CAC"/>
    <w:rsid w:val="60B5557B"/>
    <w:rsid w:val="717D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3"/>
    <w:basedOn w:val="1"/>
    <w:uiPriority w:val="0"/>
    <w:pPr>
      <w:spacing w:line="30" w:lineRule="atLeast"/>
      <w:jc w:val="center"/>
    </w:pPr>
    <w:rPr>
      <w:rFonts w:hint="eastAsia" w:ascii="宋体" w:hAnsi="宋体" w:cs="宋体"/>
      <w:kern w:val="0"/>
      <w:sz w:val="36"/>
      <w:szCs w:val="36"/>
    </w:rPr>
  </w:style>
  <w:style w:type="paragraph" w:styleId="5">
    <w:name w:val="List Paragraph"/>
    <w:basedOn w:val="1"/>
    <w:qFormat/>
    <w:uiPriority w:val="34"/>
    <w:pPr>
      <w:ind w:firstLine="420" w:firstLineChars="200"/>
    </w:p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2025-11-07T06:21:19Z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A9E08B337EBC4D399CA74FF3CD677F9C_13</vt:lpwstr>
  </property>
  <property fmtid="{D5CDD505-2E9C-101B-9397-08002B2CF9AE}" pid="4" name="KSOTemplateDocerSaveRecord">
    <vt:lpwstr>eyJoZGlkIjoiZjYxZTUyYjc1MzQwNWRmNjlmMWQyYmQ2NmM1M2U4MmMiLCJ1c2VySWQiOiI2OTk3NTA5NDAifQ==</vt:lpwstr>
  </property>
</Properties>
</file>