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0D718">
      <w:pPr>
        <w:rPr>
          <w:rFonts w:hint="eastAsia" w:ascii="仿宋_GB2312" w:hAnsi="Times New Roman" w:eastAsia="仿宋_GB2312" w:cs="Times New Roman"/>
          <w:b/>
          <w:bCs/>
          <w:color w:val="auto"/>
          <w:sz w:val="30"/>
          <w:szCs w:val="30"/>
          <w:lang w:val="en-US" w:eastAsia="zh-CN"/>
        </w:rPr>
      </w:pPr>
      <w:bookmarkStart w:id="0" w:name="_GoBack"/>
      <w:r>
        <w:rPr>
          <w:rFonts w:hint="eastAsia" w:ascii="仿宋_GB2312" w:hAnsi="Times New Roman" w:eastAsia="仿宋_GB2312" w:cs="Times New Roman"/>
          <w:b/>
          <w:bCs/>
          <w:color w:val="auto"/>
          <w:sz w:val="30"/>
          <w:szCs w:val="30"/>
          <w:lang w:val="en-US" w:eastAsia="zh-CN"/>
        </w:rPr>
        <w:t>附件五：项目需求任务书</w:t>
      </w:r>
    </w:p>
    <w:bookmarkEnd w:id="0"/>
    <w:p w14:paraId="0A3D811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一、项目背景与目标</w:t>
      </w:r>
    </w:p>
    <w:p w14:paraId="3F8CB68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系统响应国家“双碳”战略部署及深圳市政府关于推动高质量发展、加强国有企业可持续治理能力的要求，深圳市龙岗区城市建设投资集团有限公司（以下简称“龙岗区城投集团”）作为龙岗区产业空间建设运营的重要国有平台，亟需将ESG（环境、社会及治理）理念深度融入产业园区发展战略与日常运营。深圳市海科兴留学生产业基地投资有限公司作为龙岗区城投集团负责产业园区运营管理的重要子公司，现发起“深圳龙岗产业园区ESG治理体系构建咨询服务”项目，旨在通过引入国内领先的专业咨询机构，构建一套既符合国际主流标准、又紧密结合龙岗区城投集团产业园区实际的ESG治理体系。核心目标包括：</w:t>
      </w:r>
    </w:p>
    <w:p w14:paraId="47A936CD">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建立体系：</w:t>
      </w:r>
      <w:r>
        <w:rPr>
          <w:rFonts w:hint="eastAsia" w:ascii="仿宋_GB2312" w:hAnsi="仿宋_GB2312" w:eastAsia="仿宋_GB2312" w:cs="仿宋_GB2312"/>
          <w:sz w:val="32"/>
          <w:szCs w:val="32"/>
          <w:lang w:eastAsia="zh-CN"/>
        </w:rPr>
        <w:t>搭建科学、系统、可落地的产业园区ESG治理组织架构，制定</w:t>
      </w:r>
      <w:r>
        <w:rPr>
          <w:rFonts w:hint="eastAsia" w:ascii="仿宋_GB2312" w:hAnsi="仿宋_GB2312" w:eastAsia="仿宋_GB2312" w:cs="仿宋_GB2312"/>
          <w:sz w:val="32"/>
          <w:szCs w:val="32"/>
          <w:lang w:val="en-US" w:eastAsia="zh-CN"/>
        </w:rPr>
        <w:t>ESG</w:t>
      </w:r>
      <w:r>
        <w:rPr>
          <w:rFonts w:hint="eastAsia" w:ascii="仿宋_GB2312" w:hAnsi="仿宋_GB2312" w:eastAsia="仿宋_GB2312" w:cs="仿宋_GB2312"/>
          <w:sz w:val="32"/>
          <w:szCs w:val="32"/>
          <w:lang w:eastAsia="zh-CN"/>
        </w:rPr>
        <w:t>决策流程和管理制度框架，交付指标体系。</w:t>
      </w:r>
    </w:p>
    <w:p w14:paraId="73489457">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提升能力：</w:t>
      </w:r>
      <w:r>
        <w:rPr>
          <w:rFonts w:hint="eastAsia" w:ascii="仿宋_GB2312" w:hAnsi="仿宋_GB2312" w:eastAsia="仿宋_GB2312" w:cs="仿宋_GB2312"/>
          <w:sz w:val="32"/>
          <w:szCs w:val="32"/>
          <w:lang w:eastAsia="zh-CN"/>
        </w:rPr>
        <w:t>通过全过程的知识转移与培训，提升内部团队对产业园区ESG的理解、管理与披露能力。</w:t>
      </w:r>
    </w:p>
    <w:p w14:paraId="509702F4">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创造价值：</w:t>
      </w:r>
      <w:r>
        <w:rPr>
          <w:rFonts w:hint="eastAsia" w:ascii="仿宋_GB2312" w:hAnsi="仿宋_GB2312" w:eastAsia="仿宋_GB2312" w:cs="仿宋_GB2312"/>
          <w:sz w:val="32"/>
          <w:szCs w:val="32"/>
          <w:lang w:eastAsia="zh-CN"/>
        </w:rPr>
        <w:t>强化风险管理，塑造负责任的企业产业园区品牌形象，提升企业在资本市场、政府监管及公众心中的综合价值，为未来可能的ESG评级、绿色融资等奠定坚实基础。</w:t>
      </w:r>
    </w:p>
    <w:p w14:paraId="678052E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二、服务内容与要求</w:t>
      </w:r>
    </w:p>
    <w:p w14:paraId="0E4CEDDF">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投标人须提供以下全部咨询服务，并确保服务的系统性、专业性与可操作性：</w:t>
      </w:r>
    </w:p>
    <w:p w14:paraId="77E274F0">
      <w:pPr>
        <w:numPr>
          <w:ilvl w:val="0"/>
          <w:numId w:val="0"/>
        </w:numPr>
        <w:spacing w:after="0" w:line="560" w:lineRule="exact"/>
        <w:ind w:firstLine="643" w:firstLineChars="200"/>
        <w:rPr>
          <w:rFonts w:hint="eastAsia" w:ascii="仿宋_GB2312" w:hAnsi="Calibri" w:eastAsia="仿宋_GB2312" w:cs="Times New Roman"/>
          <w:b/>
          <w:bCs/>
          <w:sz w:val="32"/>
          <w:szCs w:val="32"/>
          <w:lang w:eastAsia="zh-CN"/>
        </w:rPr>
      </w:pPr>
      <w:r>
        <w:rPr>
          <w:rFonts w:hint="eastAsia" w:ascii="仿宋_GB2312" w:hAnsi="Calibri" w:eastAsia="仿宋_GB2312" w:cs="Times New Roman"/>
          <w:b/>
          <w:bCs/>
          <w:sz w:val="32"/>
          <w:szCs w:val="32"/>
          <w:lang w:eastAsia="zh-CN"/>
        </w:rPr>
        <w:t>（一）组建服务团队</w:t>
      </w:r>
    </w:p>
    <w:p w14:paraId="67C4DAA9">
      <w:pPr>
        <w:numPr>
          <w:ilvl w:val="0"/>
          <w:numId w:val="0"/>
        </w:numPr>
        <w:spacing w:after="0" w:line="560" w:lineRule="exact"/>
        <w:ind w:firstLine="640" w:firstLineChars="200"/>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eastAsia="zh-CN"/>
        </w:rPr>
        <w:t>组建本项目的专业咨询服务团队，其中项目负责人1人，团队成员（除负责人外）不少于3人。</w:t>
      </w:r>
    </w:p>
    <w:p w14:paraId="58699523">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（二）全面诊断与战略分析</w:t>
      </w:r>
    </w:p>
    <w:p w14:paraId="58E9A6B1">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资料研读与需求对接：全面收集并研读企业战略规划、组织架构、年度报告、重要管理制度、环境与社会风险管控记录等基础资料。</w:t>
      </w:r>
    </w:p>
    <w:p w14:paraId="3EBDF3B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对标分析与差距评估：深入研究国际（如GRI、TCFD、SASB）、国内（如CASS-ESG、国资委相关指引）及同行业优秀企业的ESG实践，进行对标分析，识别差距与改进机会。</w:t>
      </w:r>
    </w:p>
    <w:p w14:paraId="68BDCF0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深度访谈与调研：组织咨询团队对集团高层、产业园区建设和运营的核心职能部门（如投资、财务、人事、资产经营等）及重要下属单位进行访谈，全面评估产业园区ESG管理现状。</w:t>
      </w:r>
    </w:p>
    <w:p w14:paraId="3E360E15">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确定战略方向：</w:t>
      </w:r>
      <w:r>
        <w:rPr>
          <w:rFonts w:hint="eastAsia" w:ascii="仿宋_GB2312" w:hAnsi="仿宋_GB2312" w:eastAsia="仿宋_GB2312" w:cs="仿宋_GB2312"/>
          <w:b w:val="0"/>
          <w:bCs w:val="0"/>
          <w:sz w:val="32"/>
          <w:szCs w:val="32"/>
          <w:lang w:eastAsia="zh-CN"/>
        </w:rPr>
        <w:t>通过全面诊断和战略分析，确定产业园区</w:t>
      </w:r>
      <w:r>
        <w:rPr>
          <w:rFonts w:hint="eastAsia" w:ascii="仿宋_GB2312" w:hAnsi="仿宋_GB2312" w:eastAsia="仿宋_GB2312" w:cs="仿宋_GB2312"/>
          <w:b w:val="0"/>
          <w:bCs w:val="0"/>
          <w:sz w:val="32"/>
          <w:szCs w:val="32"/>
          <w:lang w:val="en-US" w:eastAsia="zh-CN"/>
        </w:rPr>
        <w:t>ESG建设的优先级与战略方向。</w:t>
      </w:r>
    </w:p>
    <w:p w14:paraId="156DE6CA">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（三）产业园区ESG治理架构与制度体系设计</w:t>
      </w:r>
    </w:p>
    <w:p w14:paraId="797A103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治理组织架构设计：设计产业园区多层次ESG治理组织架构，清晰界定各层级的职责、权限；编制龙岗区城投集团产业园区ESG职责分工表，将ESG关键任务分解至各职能部门，确保责任到人。</w:t>
      </w:r>
    </w:p>
    <w:p w14:paraId="0D788FAE">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制度流程构建：制定产业园区</w:t>
      </w:r>
      <w:r>
        <w:rPr>
          <w:rFonts w:hint="eastAsia" w:ascii="仿宋_GB2312" w:hAnsi="仿宋_GB2312" w:eastAsia="仿宋_GB2312" w:cs="仿宋_GB2312"/>
          <w:sz w:val="32"/>
          <w:szCs w:val="32"/>
        </w:rPr>
        <w:t>ESG 决策流程与管理制度框架</w:t>
      </w:r>
      <w:r>
        <w:rPr>
          <w:rFonts w:hint="eastAsia" w:ascii="仿宋_GB2312" w:hAnsi="仿宋_GB2312" w:eastAsia="仿宋_GB2312" w:cs="仿宋_GB2312"/>
          <w:sz w:val="32"/>
          <w:szCs w:val="32"/>
          <w:lang w:eastAsia="zh-CN"/>
        </w:rPr>
        <w:t>，明确ESG议题的识别、决策、执行、考核与报告的全流程管理机制。</w:t>
      </w:r>
    </w:p>
    <w:p w14:paraId="3716FCA4">
      <w:pPr>
        <w:keepNext w:val="0"/>
        <w:keepLines w:val="0"/>
        <w:pageBreakBefore w:val="0"/>
        <w:widowControl w:val="0"/>
        <w:kinsoku/>
        <w:wordWrap/>
        <w:overflowPunct/>
        <w:topLinePunct w:val="0"/>
        <w:autoSpaceDE/>
        <w:autoSpaceDN/>
        <w:bidi w:val="0"/>
        <w:adjustRightInd/>
        <w:snapToGrid/>
        <w:spacing w:after="0" w:line="560"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（四）定制化产业园区ESG指标体系开发</w:t>
      </w:r>
    </w:p>
    <w:p w14:paraId="371F0317">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议题重要性评估：协助企业开展内外部利益相关方调研，进行产业园区ESG议题重要性评估，确定核心议题。</w:t>
      </w:r>
    </w:p>
    <w:p w14:paraId="7944F018">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指标体系构建：基于核心议题，结合产业园区建设、运营的业务特性，构建覆盖环境（E）、社会（S）、治理（G）三大维度的、分级（如核心指标、基础指标）的量化指标体系。</w:t>
      </w:r>
    </w:p>
    <w:p w14:paraId="6EF3F2F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指标定义与释义：为每个指标明确其定义、计算方法、数据来源、统计频率及责任部门，确保指标可测量、可追溯。</w:t>
      </w:r>
    </w:p>
    <w:p w14:paraId="2D662FEA">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三、资格要求</w:t>
      </w:r>
    </w:p>
    <w:p w14:paraId="677F97F3">
      <w:pPr>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（一）</w:t>
      </w:r>
      <w:r>
        <w:rPr>
          <w:rFonts w:hint="eastAsia" w:ascii="仿宋_GB2312" w:eastAsia="仿宋_GB2312"/>
          <w:color w:val="auto"/>
          <w:sz w:val="32"/>
          <w:szCs w:val="32"/>
          <w:highlight w:val="none"/>
          <w:lang w:eastAsia="zh-CN"/>
        </w:rPr>
        <w:t>具有</w:t>
      </w:r>
      <w:r>
        <w:rPr>
          <w:rFonts w:hint="eastAsia" w:ascii="仿宋_GB2312" w:eastAsia="仿宋_GB2312"/>
          <w:color w:val="auto"/>
          <w:sz w:val="32"/>
          <w:szCs w:val="32"/>
          <w:highlight w:val="none"/>
        </w:rPr>
        <w:t>独立法人资格或是具有独立承担民事责任能力的其他组织，不接受分公司或者分支机构参与投标（提供营业执照或事业单位法人证书等证明资料扫描件，原件备查）。</w:t>
      </w:r>
    </w:p>
    <w:p w14:paraId="385932E4">
      <w:pPr>
        <w:keepNext w:val="0"/>
        <w:keepLines w:val="0"/>
        <w:pageBreakBefore w:val="0"/>
        <w:widowControl/>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b w:val="0"/>
          <w:bCs w:val="0"/>
          <w:sz w:val="32"/>
          <w:szCs w:val="32"/>
          <w:lang w:eastAsia="zh-CN"/>
        </w:rPr>
      </w:pPr>
      <w:r>
        <w:rPr>
          <w:rFonts w:hint="eastAsia" w:ascii="仿宋_GB2312" w:hAnsi="仿宋_GB2312" w:eastAsia="仿宋_GB2312" w:cs="仿宋_GB2312"/>
          <w:color w:val="333333"/>
          <w:kern w:val="0"/>
          <w:sz w:val="32"/>
          <w:szCs w:val="32"/>
          <w:lang w:eastAsia="zh-CN"/>
        </w:rPr>
        <w:t>（二）</w:t>
      </w:r>
      <w:r>
        <w:rPr>
          <w:rFonts w:hint="eastAsia" w:ascii="仿宋_GB2312" w:eastAsia="仿宋_GB2312"/>
          <w:color w:val="auto"/>
          <w:sz w:val="32"/>
          <w:szCs w:val="32"/>
        </w:rPr>
        <w:t>本项目不接受联合体投标，投标方不得将项目转包或分包给其他单位或个人。</w:t>
      </w:r>
    </w:p>
    <w:p w14:paraId="1EA74512">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四、项目进度要求</w:t>
      </w:r>
    </w:p>
    <w:p w14:paraId="29BF8F73">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投标方须制定详细的项目计划，并严格遵循以下关键节点：</w:t>
      </w:r>
    </w:p>
    <w:p w14:paraId="60DEE0BB">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在咨询服务合同签订六个月内，设计产业园区 ESG 治理组织架构，制定 ESG 决策流程与管理制度框架，向采购方交付《产业园区ESG 指标体系》。</w:t>
      </w:r>
    </w:p>
    <w:p w14:paraId="034BA229">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五、交付成果</w:t>
      </w:r>
      <w:r>
        <w:rPr>
          <w:rFonts w:hint="eastAsia" w:ascii="黑体" w:hAnsi="黑体" w:eastAsia="黑体" w:cs="黑体"/>
          <w:b w:val="0"/>
          <w:bCs w:val="0"/>
          <w:sz w:val="32"/>
          <w:szCs w:val="32"/>
          <w:lang w:val="en-US" w:eastAsia="zh-CN"/>
        </w:rPr>
        <w:t>要求</w:t>
      </w:r>
    </w:p>
    <w:p w14:paraId="324F5ACD">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（一）交付物形式：向采购方交付书面形式的指标体系报告。</w:t>
      </w:r>
    </w:p>
    <w:p w14:paraId="07C0EF4B">
      <w:r>
        <w:rPr>
          <w:rFonts w:hint="eastAsia" w:ascii="仿宋_GB2312" w:hAnsi="仿宋_GB2312" w:eastAsia="仿宋_GB2312" w:cs="仿宋_GB2312"/>
          <w:sz w:val="32"/>
          <w:szCs w:val="32"/>
          <w:lang w:eastAsia="zh-CN"/>
        </w:rPr>
        <w:t>（二）验收标准：以采购方通过成果验收确认为准。</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ingFang SC Regular">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8E3883"/>
    <w:rsid w:val="303654A5"/>
    <w:rsid w:val="3A2D6380"/>
    <w:rsid w:val="3C6F7834"/>
    <w:rsid w:val="4D9329DF"/>
    <w:rsid w:val="60B5557B"/>
    <w:rsid w:val="61E21F20"/>
    <w:rsid w:val="70682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eastAsia="仿宋_GB2312"/>
      <w:sz w:val="32"/>
    </w:rPr>
  </w:style>
  <w:style w:type="paragraph" w:styleId="3">
    <w:name w:val="index 8"/>
    <w:basedOn w:val="1"/>
    <w:next w:val="1"/>
    <w:unhideWhenUsed/>
    <w:qFormat/>
    <w:uiPriority w:val="99"/>
    <w:pPr>
      <w:ind w:left="1400" w:leftChars="1400"/>
    </w:pPr>
  </w:style>
  <w:style w:type="paragraph" w:styleId="4">
    <w:name w:val="Body Text"/>
    <w:basedOn w:val="1"/>
    <w:next w:val="1"/>
    <w:qFormat/>
    <w:uiPriority w:val="1"/>
    <w:rPr>
      <w:rFonts w:ascii="仿宋" w:hAnsi="仿宋" w:eastAsia="仿宋" w:cs="仿宋"/>
      <w:sz w:val="28"/>
      <w:szCs w:val="28"/>
    </w:rPr>
  </w:style>
  <w:style w:type="paragraph" w:styleId="5">
    <w:name w:val="Plain Text"/>
    <w:basedOn w:val="1"/>
    <w:next w:val="3"/>
    <w:qFormat/>
    <w:uiPriority w:val="0"/>
    <w:rPr>
      <w:rFonts w:ascii="宋体" w:hAnsi="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paragraph" w:customStyle="1" w:styleId="12">
    <w:name w:val="p3"/>
    <w:basedOn w:val="1"/>
    <w:qFormat/>
    <w:uiPriority w:val="0"/>
    <w:pPr>
      <w:spacing w:line="30" w:lineRule="atLeast"/>
      <w:jc w:val="center"/>
    </w:pPr>
    <w:rPr>
      <w:rFonts w:hint="eastAsia" w:ascii="宋体" w:hAnsi="宋体" w:cs="宋体"/>
      <w:kern w:val="0"/>
      <w:sz w:val="36"/>
      <w:szCs w:val="36"/>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2025-05-20T07:02:00Z</dcterms:created>
  <dc:creator>Administrator</dc:creator>
  <cp:lastModifiedBy>實誠</cp:lastModifiedBy>
  <dcterms:modified xsi:type="dcterms:W3CDTF">2025-11-07T01:35:49Z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4FB856FF32DE4B1EA47D232443229F2A_13</vt:lpwstr>
  </property>
  <property fmtid="{D5CDD505-2E9C-101B-9397-08002B2CF9AE}" pid="4" name="KSOTemplateDocerSaveRecord">
    <vt:lpwstr>eyJoZGlkIjoiZjYxZTUyYjc1MzQwNWRmNjlmMWQyYmQ2NmM1M2U4MmMiLCJ1c2VySWQiOiI2OTk3NTA5NDAifQ==</vt:lpwstr>
  </property>
</Properties>
</file>