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8"/>
          <w:position w:val="-1"/>
          <w:sz w:val="44"/>
          <w:szCs w:val="44"/>
        </w:rPr>
        <w:t>深圳市龙岗区</w:t>
      </w:r>
      <w:r>
        <w:rPr>
          <w:rFonts w:hint="eastAsia" w:ascii="方正小标宋简体" w:hAnsi="方正小标宋简体" w:eastAsia="方正小标宋简体" w:cs="方正小标宋简体"/>
          <w:spacing w:val="18"/>
          <w:position w:val="-1"/>
          <w:sz w:val="44"/>
          <w:szCs w:val="44"/>
          <w:lang w:val="en-US" w:eastAsia="zh-CN"/>
        </w:rPr>
        <w:t>民政局</w:t>
      </w:r>
      <w:r>
        <w:rPr>
          <w:rFonts w:hint="eastAsia" w:ascii="方正小标宋简体" w:hAnsi="方正小标宋简体" w:eastAsia="方正小标宋简体" w:cs="方正小标宋简体"/>
          <w:spacing w:val="18"/>
          <w:position w:val="-1"/>
          <w:sz w:val="44"/>
          <w:szCs w:val="44"/>
        </w:rPr>
        <w:t>20</w:t>
      </w:r>
      <w:r>
        <w:rPr>
          <w:rFonts w:hint="eastAsia" w:ascii="方正小标宋简体" w:hAnsi="方正小标宋简体" w:eastAsia="方正小标宋简体" w:cs="方正小标宋简体"/>
          <w:spacing w:val="18"/>
          <w:position w:val="-1"/>
          <w:sz w:val="44"/>
          <w:szCs w:val="44"/>
          <w:lang w:val="en-US" w:eastAsia="zh-CN"/>
        </w:rPr>
        <w:t>24</w:t>
      </w:r>
      <w:r>
        <w:rPr>
          <w:rFonts w:hint="eastAsia" w:ascii="方正小标宋简体" w:hAnsi="方正小标宋简体" w:eastAsia="方正小标宋简体" w:cs="方正小标宋简体"/>
          <w:spacing w:val="18"/>
          <w:position w:val="-1"/>
          <w:sz w:val="44"/>
          <w:szCs w:val="44"/>
        </w:rPr>
        <w:t>年度</w:t>
      </w:r>
    </w:p>
    <w:p>
      <w:pPr>
        <w:pStyle w:val="2"/>
        <w:spacing w:before="116" w:line="445"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lang w:val="en-US" w:eastAsia="zh-CN"/>
        </w:rPr>
        <w:t>支持行业协会发展专项资金</w:t>
      </w:r>
      <w:r>
        <w:rPr>
          <w:rFonts w:hint="eastAsia" w:ascii="方正小标宋简体" w:hAnsi="方正小标宋简体" w:eastAsia="方正小标宋简体" w:cs="方正小标宋简体"/>
          <w:spacing w:val="-5"/>
          <w:position w:val="-2"/>
          <w:sz w:val="44"/>
          <w:szCs w:val="44"/>
        </w:rPr>
        <w:t>绩效评价报告</w:t>
      </w: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rPr>
          <w:rFonts w:hint="eastAsia" w:ascii="仿宋_GB2312" w:hAnsi="仿宋_GB2312" w:eastAsia="仿宋_GB2312" w:cs="仿宋_GB2312"/>
          <w:sz w:val="32"/>
          <w:szCs w:val="32"/>
        </w:rPr>
      </w:pPr>
    </w:p>
    <w:p>
      <w:pPr>
        <w:spacing w:before="187" w:line="220" w:lineRule="auto"/>
        <w:ind w:left="708" w:firstLine="2366" w:firstLineChars="700"/>
        <w:jc w:val="both"/>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eastAsia="zh-CN"/>
        </w:rPr>
        <w:t>龙岗区民政局</w:t>
      </w:r>
    </w:p>
    <w:p>
      <w:pPr>
        <w:spacing w:before="190" w:line="222" w:lineRule="auto"/>
        <w:ind w:left="3408"/>
        <w:rPr>
          <w:rFonts w:ascii="楷体" w:hAnsi="楷体" w:eastAsia="楷体" w:cs="楷体"/>
          <w:sz w:val="31"/>
          <w:szCs w:val="31"/>
        </w:rPr>
        <w:sectPr>
          <w:pgSz w:w="11906" w:h="16839"/>
          <w:pgMar w:top="1431" w:right="1477" w:bottom="1194" w:left="1785" w:header="0" w:footer="962" w:gutter="0"/>
          <w:pgNumType w:fmt="decimal"/>
          <w:cols w:space="720" w:num="1"/>
        </w:sect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52"/>
          <w:sz w:val="32"/>
          <w:szCs w:val="32"/>
          <w:lang w:val="en-US" w:eastAsia="zh-CN"/>
        </w:rPr>
        <w:t>10</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4"/>
          <w:sz w:val="32"/>
          <w:szCs w:val="32"/>
        </w:rPr>
        <w:t>月</w:t>
      </w:r>
    </w:p>
    <w:p>
      <w:pPr>
        <w:pStyle w:val="2"/>
        <w:keepNext w:val="0"/>
        <w:keepLines w:val="0"/>
        <w:pageBreakBefore w:val="0"/>
        <w:wordWrap/>
        <w:overflowPunct/>
        <w:topLinePunct w:val="0"/>
        <w:bidi w:val="0"/>
        <w:spacing w:line="560" w:lineRule="exact"/>
        <w:ind w:firstLine="67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根据《深圳市龙岗区区级财政专项资金管理办法（修订）》（深龙府规〔2024〕4 号）、《深圳市龙岗区民政专项资金管理办法》（深龙民规〔2023〕3号）及《深圳市龙岗区民政专项资金支持行业协会发展实施细则》(深龙民规〔2023〕4号)等相关规定要求，为依法实施对专项资金绩效管理职责，</w:t>
      </w:r>
      <w:r>
        <w:rPr>
          <w:rFonts w:hint="eastAsia" w:ascii="仿宋_GB2312" w:hAnsi="仿宋_GB2312" w:eastAsia="仿宋_GB2312" w:cs="仿宋_GB2312"/>
          <w:color w:val="auto"/>
          <w:spacing w:val="9"/>
          <w:sz w:val="32"/>
          <w:szCs w:val="32"/>
          <w:lang w:val="en-US" w:eastAsia="zh-CN"/>
        </w:rPr>
        <w:t>综合评估龙岗区民政局2024年度“支持行业协会发展专项资金”</w:t>
      </w:r>
      <w:r>
        <w:rPr>
          <w:rFonts w:hint="eastAsia" w:ascii="仿宋_GB2312" w:hAnsi="仿宋_GB2312" w:eastAsia="仿宋_GB2312" w:cs="仿宋_GB2312"/>
          <w:color w:val="auto"/>
          <w:spacing w:val="-1"/>
          <w:sz w:val="32"/>
          <w:szCs w:val="32"/>
        </w:rPr>
        <w:t>项目绩效</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落实</w:t>
      </w:r>
      <w:r>
        <w:rPr>
          <w:rFonts w:hint="eastAsia" w:ascii="仿宋_GB2312" w:hAnsi="仿宋_GB2312" w:eastAsia="仿宋_GB2312" w:cs="仿宋_GB2312"/>
          <w:color w:val="auto"/>
          <w:spacing w:val="5"/>
          <w:sz w:val="32"/>
          <w:szCs w:val="32"/>
        </w:rPr>
        <w:t>预算执行和绩效管理主体责任，提高财政资金使用效能，</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spacing w:val="5"/>
          <w:sz w:val="32"/>
          <w:szCs w:val="32"/>
          <w:lang w:val="en-US" w:eastAsia="zh-CN"/>
        </w:rPr>
        <w:t>永信瑞和（深圳）会计师事务所（特殊普通合伙）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
          <w:sz w:val="32"/>
          <w:szCs w:val="32"/>
          <w:lang w:val="en-US" w:eastAsia="zh-CN"/>
        </w:rPr>
        <w:t>组建绩效评价工作小组（ 以下简称“评价小组” ）对2024年度“支持行业协会发展专项资金”项</w:t>
      </w:r>
      <w:r>
        <w:rPr>
          <w:rFonts w:hint="eastAsia" w:ascii="仿宋_GB2312" w:hAnsi="仿宋_GB2312" w:eastAsia="仿宋_GB2312" w:cs="仿宋_GB2312"/>
          <w:color w:val="auto"/>
          <w:spacing w:val="-48"/>
          <w:sz w:val="32"/>
          <w:szCs w:val="32"/>
        </w:rPr>
        <w:t>目</w:t>
      </w:r>
      <w:r>
        <w:rPr>
          <w:rFonts w:hint="eastAsia" w:ascii="仿宋_GB2312" w:hAnsi="仿宋_GB2312" w:eastAsia="仿宋_GB2312" w:cs="仿宋_GB2312"/>
          <w:color w:val="auto"/>
          <w:spacing w:val="-3"/>
          <w:sz w:val="32"/>
          <w:szCs w:val="32"/>
        </w:rPr>
        <w:t>进行了</w:t>
      </w:r>
      <w:r>
        <w:rPr>
          <w:rFonts w:hint="eastAsia" w:ascii="仿宋_GB2312" w:hAnsi="仿宋_GB2312" w:eastAsia="仿宋_GB2312" w:cs="仿宋_GB2312"/>
          <w:color w:val="auto"/>
          <w:spacing w:val="8"/>
          <w:sz w:val="32"/>
          <w:szCs w:val="32"/>
        </w:rPr>
        <w:t>绩效评价，形成本绩效评价报告。</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z w:val="32"/>
          <w:szCs w:val="32"/>
        </w:rPr>
      </w:pPr>
      <w:bookmarkStart w:id="0" w:name="bookmark1"/>
      <w:bookmarkEnd w:id="0"/>
      <w:r>
        <w:rPr>
          <w:rFonts w:hint="eastAsia" w:ascii="黑体" w:hAnsi="黑体" w:eastAsia="黑体" w:cs="黑体"/>
          <w:color w:val="auto"/>
          <w:spacing w:val="7"/>
          <w:sz w:val="32"/>
          <w:szCs w:val="32"/>
        </w:rPr>
        <w:t>一、基本情况</w:t>
      </w:r>
    </w:p>
    <w:p>
      <w:pPr>
        <w:keepNext w:val="0"/>
        <w:keepLines w:val="0"/>
        <w:pageBreakBefore w:val="0"/>
        <w:wordWrap/>
        <w:overflowPunct/>
        <w:topLinePunct w:val="0"/>
        <w:bidi w:val="0"/>
        <w:spacing w:before="101" w:line="560" w:lineRule="exact"/>
        <w:ind w:firstLine="676" w:firstLineChars="200"/>
        <w:outlineLvl w:val="0"/>
        <w:rPr>
          <w:rFonts w:hint="eastAsia" w:ascii="楷体" w:hAnsi="楷体" w:eastAsia="楷体" w:cs="楷体"/>
          <w:color w:val="auto"/>
          <w:spacing w:val="9"/>
          <w:sz w:val="32"/>
          <w:szCs w:val="32"/>
        </w:rPr>
      </w:pPr>
      <w:bookmarkStart w:id="1" w:name="bookmark2"/>
      <w:bookmarkEnd w:id="1"/>
      <w:r>
        <w:rPr>
          <w:rFonts w:hint="eastAsia" w:ascii="楷体" w:hAnsi="楷体" w:eastAsia="楷体" w:cs="楷体"/>
          <w:color w:val="auto"/>
          <w:spacing w:val="9"/>
          <w:sz w:val="32"/>
          <w:szCs w:val="32"/>
        </w:rPr>
        <w:t>（一）项目背景</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lang w:val="en-US" w:eastAsia="en-US"/>
        </w:rPr>
      </w:pPr>
      <w:r>
        <w:rPr>
          <w:rFonts w:hint="eastAsia" w:ascii="仿宋_GB2312" w:hAnsi="仿宋_GB2312" w:eastAsia="仿宋_GB2312" w:cs="仿宋_GB2312"/>
          <w:b/>
          <w:bCs/>
          <w:color w:val="auto"/>
          <w:spacing w:val="9"/>
          <w:sz w:val="32"/>
          <w:szCs w:val="32"/>
          <w:lang w:val="en-US" w:eastAsia="zh-CN"/>
        </w:rPr>
        <w:t>1.</w:t>
      </w:r>
      <w:r>
        <w:rPr>
          <w:rFonts w:hint="eastAsia" w:ascii="仿宋_GB2312" w:hAnsi="仿宋_GB2312" w:eastAsia="仿宋_GB2312" w:cs="仿宋_GB2312"/>
          <w:b/>
          <w:bCs/>
          <w:color w:val="auto"/>
          <w:spacing w:val="9"/>
          <w:sz w:val="32"/>
          <w:szCs w:val="32"/>
          <w:lang w:val="en-US" w:eastAsia="en-US"/>
        </w:rPr>
        <w:t>落实上级有关文件精神</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5月11日，广东省民政厅发布了《广东省民政厅关于进一步发挥行业协会商会作用助力广东高质量发展的通知》（粤民发〔2023〕48号），要求以习近平新时代中国特色社会主义思想为指导，深入贯彻党的二十大精神和习近平总书记对广东系列重要讲话和重要指示批示精神，围绕高质量发展这个首要任务，完整、准确、全面贯彻新发展理念，积极研究新政策、新路径、新举措、新载体，强化部门配合和政社协同，充分调动行业协会商会的积极性、主动性和创造性，进一步发挥行业协会商会的资源对接平台、服务引领功能和专业协调优势，为广东高质量发展服务。</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en-US"/>
        </w:rPr>
      </w:pPr>
      <w:r>
        <w:rPr>
          <w:rFonts w:hint="eastAsia" w:ascii="仿宋_GB2312" w:hAnsi="仿宋_GB2312" w:eastAsia="仿宋_GB2312" w:cs="仿宋_GB2312"/>
          <w:color w:val="auto"/>
          <w:spacing w:val="5"/>
          <w:sz w:val="32"/>
          <w:szCs w:val="32"/>
          <w:lang w:val="en-US" w:eastAsia="en-US"/>
        </w:rPr>
        <w:t>2013年12月25日，深圳市第五届人民代表大会常务委员会第二十六次会议通过了《深圳经济特区行业协会条例》(以下简称《条例》)，《条例》第五十四条规定:“行业协会从事推动相关产业技术改造、产业升级等工作的，市、区政府应当依据有关产业政策规定，使用产业专项资金给予财政奖励。行业协会起草的行业标准、产业规划和产业政策等被国家、广东省和市、区政府及相关部门采纳的，市、区政府或者采纳草案的部门可以根据标准化战略政策等相关规定给予奖励</w:t>
      </w: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lang w:val="en-US" w:eastAsia="en-US"/>
        </w:rPr>
        <w:t>《条例</w:t>
      </w: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lang w:val="en-US" w:eastAsia="en-US"/>
        </w:rPr>
        <w:t>对区级政府部门在培育行业协会发展方面指出了明确的工作方向和可操作性指南。</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11月6日，为规范龙岗区民政专项资金管理，加强资金监管，提高资金使用效益，根据《深圳市龙岗区区级财政专项资金管理办法》(深龙府规〔2021〕1号)有关规定，结合工作实际，龙岗区民政局和龙岗区财政局共同制定了《深圳市龙岗区民政专项资金管理办法》（深龙民规〔2023〕3号）。</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11月8日，为优化龙岗营商环境,重点培育和优先发展服务经济、服务产业的行业协会，根据《深圳经济特区行业协会条例》、《深圳市龙岗区区级财政专项资金管理办法》(深龙府规〔2021〕1号)，结合工作实际，龙岗区民政局和龙岗区工业和信息化局共同制定了《深圳市龙岗区民政专项资金支持行业协会发展实施细则》（深龙民规〔2023〕4 号）。</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lang w:val="en-US" w:eastAsia="en-US"/>
        </w:rPr>
      </w:pPr>
      <w:r>
        <w:rPr>
          <w:rFonts w:hint="eastAsia" w:ascii="仿宋_GB2312" w:hAnsi="仿宋_GB2312" w:eastAsia="仿宋_GB2312" w:cs="仿宋_GB2312"/>
          <w:b/>
          <w:bCs/>
          <w:color w:val="auto"/>
          <w:spacing w:val="9"/>
          <w:sz w:val="32"/>
          <w:szCs w:val="32"/>
          <w:lang w:val="en-US" w:eastAsia="zh-CN"/>
        </w:rPr>
        <w:t>2.</w:t>
      </w:r>
      <w:r>
        <w:rPr>
          <w:rFonts w:hint="eastAsia" w:ascii="仿宋_GB2312" w:hAnsi="仿宋_GB2312" w:eastAsia="仿宋_GB2312" w:cs="仿宋_GB2312"/>
          <w:b/>
          <w:bCs/>
          <w:color w:val="auto"/>
          <w:spacing w:val="9"/>
          <w:sz w:val="32"/>
          <w:szCs w:val="32"/>
          <w:lang w:val="en-US" w:eastAsia="en-US"/>
        </w:rPr>
        <w:t>龙岗区行业协会现状</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行业协会是市场经济关系深化发展和社会管理及其分工在市场领域细化的必然产物，其所发挥的“行业服务、反映诉求、规范行为”等行业管理职能是社会管理的重要组成部分，同时行业协会作为政府、企业、市场之间联系的纽带和桥梁，既是企业走向市场的向导，也是企业权益和社会经济秩序的维护者，在发展社会主义市场经济中，发挥了不可替代的重要作用。目前，龙岗区行业协会共有</w:t>
      </w:r>
      <w:r>
        <w:rPr>
          <w:rFonts w:hint="eastAsia" w:ascii="仿宋_GB2312" w:hAnsi="仿宋_GB2312" w:eastAsia="仿宋_GB2312" w:cs="仿宋_GB2312"/>
          <w:color w:val="auto"/>
          <w:spacing w:val="5"/>
          <w:sz w:val="32"/>
          <w:szCs w:val="32"/>
          <w:lang w:val="en-US" w:eastAsia="zh-CN"/>
        </w:rPr>
        <w:t>50</w:t>
      </w:r>
      <w:r>
        <w:rPr>
          <w:rFonts w:hint="eastAsia" w:ascii="仿宋_GB2312" w:hAnsi="仿宋_GB2312" w:eastAsia="仿宋_GB2312" w:cs="仿宋_GB2312"/>
          <w:color w:val="auto"/>
          <w:spacing w:val="5"/>
          <w:sz w:val="32"/>
          <w:szCs w:val="32"/>
          <w:lang w:val="en-US" w:eastAsia="en-US"/>
        </w:rPr>
        <w:t>家，覆盖</w:t>
      </w:r>
      <w:r>
        <w:rPr>
          <w:rFonts w:hint="eastAsia" w:ascii="仿宋_GB2312" w:hAnsi="仿宋_GB2312" w:eastAsia="仿宋_GB2312" w:cs="仿宋_GB2312"/>
          <w:color w:val="auto"/>
          <w:spacing w:val="5"/>
          <w:sz w:val="32"/>
          <w:szCs w:val="32"/>
          <w:lang w:val="en-US" w:eastAsia="zh-CN"/>
        </w:rPr>
        <w:t>6000</w:t>
      </w:r>
      <w:r>
        <w:rPr>
          <w:rFonts w:hint="eastAsia" w:ascii="仿宋_GB2312" w:hAnsi="仿宋_GB2312" w:eastAsia="仿宋_GB2312" w:cs="仿宋_GB2312"/>
          <w:color w:val="auto"/>
          <w:spacing w:val="5"/>
          <w:sz w:val="32"/>
          <w:szCs w:val="32"/>
          <w:lang w:val="en-US" w:eastAsia="en-US"/>
        </w:rPr>
        <w:t xml:space="preserve"> 多家企业。随着行业协会的发展壮大，其在强化统战工作、推动行业自律、产业转型升级、参与社会治理等方面发挥着日益重要的作用</w:t>
      </w:r>
      <w:r>
        <w:rPr>
          <w:rFonts w:hint="eastAsia" w:ascii="仿宋_GB2312" w:hAnsi="仿宋_GB2312" w:eastAsia="仿宋_GB2312" w:cs="仿宋_GB2312"/>
          <w:color w:val="auto"/>
          <w:spacing w:val="5"/>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01" w:line="560" w:lineRule="exact"/>
        <w:ind w:left="637"/>
        <w:textAlignment w:val="auto"/>
        <w:outlineLvl w:val="0"/>
        <w:rPr>
          <w:rFonts w:hint="eastAsia" w:ascii="楷体" w:hAnsi="楷体" w:eastAsia="楷体" w:cs="楷体"/>
          <w:color w:val="auto"/>
          <w:spacing w:val="9"/>
          <w:sz w:val="32"/>
          <w:szCs w:val="32"/>
        </w:rPr>
      </w:pPr>
      <w:bookmarkStart w:id="2" w:name="bookmark29"/>
      <w:bookmarkEnd w:id="2"/>
      <w:r>
        <w:rPr>
          <w:rFonts w:hint="eastAsia" w:ascii="楷体" w:hAnsi="楷体" w:eastAsia="楷体" w:cs="楷体"/>
          <w:color w:val="auto"/>
          <w:spacing w:val="9"/>
          <w:sz w:val="32"/>
          <w:szCs w:val="32"/>
        </w:rPr>
        <w:t>（二）项目内容</w:t>
      </w:r>
    </w:p>
    <w:p>
      <w:pPr>
        <w:keepNext w:val="0"/>
        <w:keepLines w:val="0"/>
        <w:pageBreakBefore w:val="0"/>
        <w:widowControl w:val="0"/>
        <w:kinsoku/>
        <w:wordWrap/>
        <w:overflowPunct/>
        <w:topLinePunct w:val="0"/>
        <w:autoSpaceDE/>
        <w:autoSpaceDN/>
        <w:bidi w:val="0"/>
        <w:adjustRightInd/>
        <w:snapToGrid/>
        <w:spacing w:before="101" w:line="560" w:lineRule="exact"/>
        <w:ind w:right="15" w:firstLine="656"/>
        <w:jc w:val="both"/>
        <w:textAlignment w:val="auto"/>
        <w:rPr>
          <w:rFonts w:hint="eastAsia" w:ascii="仿宋_GB2312" w:hAnsi="仿宋_GB2312" w:eastAsia="仿宋_GB2312" w:cs="仿宋_GB2312"/>
          <w:b/>
          <w:bCs/>
          <w:color w:val="auto"/>
          <w:spacing w:val="5"/>
          <w:sz w:val="32"/>
          <w:szCs w:val="32"/>
          <w:lang w:val="en-US" w:eastAsia="zh-CN"/>
        </w:rPr>
      </w:pPr>
      <w:bookmarkStart w:id="3" w:name="bookmark30"/>
      <w:bookmarkEnd w:id="3"/>
      <w:r>
        <w:rPr>
          <w:rFonts w:hint="eastAsia" w:ascii="仿宋_GB2312" w:hAnsi="仿宋_GB2312" w:eastAsia="仿宋_GB2312" w:cs="仿宋_GB2312"/>
          <w:b/>
          <w:bCs/>
          <w:color w:val="auto"/>
          <w:spacing w:val="5"/>
          <w:sz w:val="32"/>
          <w:szCs w:val="32"/>
          <w:lang w:val="en-US" w:eastAsia="en-US"/>
        </w:rPr>
        <w:t>1</w:t>
      </w:r>
      <w:r>
        <w:rPr>
          <w:rFonts w:hint="eastAsia" w:ascii="仿宋_GB2312" w:hAnsi="仿宋_GB2312" w:eastAsia="仿宋_GB2312" w:cs="仿宋_GB2312"/>
          <w:b/>
          <w:bCs/>
          <w:color w:val="auto"/>
          <w:spacing w:val="5"/>
          <w:sz w:val="32"/>
          <w:szCs w:val="32"/>
          <w:lang w:val="en-US" w:eastAsia="zh-CN"/>
        </w:rPr>
        <w:t>.支持行业协会助力产业发展</w:t>
      </w:r>
    </w:p>
    <w:p>
      <w:pPr>
        <w:keepNext w:val="0"/>
        <w:keepLines w:val="0"/>
        <w:pageBreakBefore w:val="0"/>
        <w:widowControl w:val="0"/>
        <w:kinsoku/>
        <w:wordWrap/>
        <w:overflowPunct/>
        <w:topLinePunct w:val="0"/>
        <w:autoSpaceDE/>
        <w:autoSpaceDN/>
        <w:bidi w:val="0"/>
        <w:adjustRightInd/>
        <w:snapToGrid/>
        <w:spacing w:before="101" w:line="560" w:lineRule="exact"/>
        <w:ind w:right="15" w:firstLine="656"/>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行业协会在本区主办或承办的营商推介、品牌活动、技能技术大赛、产业研讨会等对行业发展具有积极影响的活动，按其活动实际支出的50%给予补贴，每次补贴不超过5万元</w:t>
      </w:r>
      <w:r>
        <w:rPr>
          <w:rFonts w:hint="eastAsia" w:ascii="仿宋_GB2312" w:hAnsi="仿宋_GB2312" w:eastAsia="仿宋_GB2312" w:cs="仿宋_GB2312"/>
          <w:color w:val="auto"/>
          <w:spacing w:val="5"/>
          <w:sz w:val="32"/>
          <w:szCs w:val="32"/>
          <w:lang w:val="en-US" w:eastAsia="zh-CN"/>
        </w:rPr>
        <w:t>。因年底财政冻结35万，未资助行业协会开展产业活动。</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b/>
          <w:bCs/>
          <w:color w:val="auto"/>
          <w:spacing w:val="5"/>
          <w:sz w:val="32"/>
          <w:szCs w:val="32"/>
          <w:lang w:val="en-US" w:eastAsia="en-US"/>
        </w:rPr>
      </w:pPr>
      <w:r>
        <w:rPr>
          <w:rFonts w:hint="eastAsia" w:ascii="仿宋_GB2312" w:hAnsi="仿宋_GB2312" w:eastAsia="仿宋_GB2312" w:cs="仿宋_GB2312"/>
          <w:b/>
          <w:bCs/>
          <w:color w:val="auto"/>
          <w:spacing w:val="5"/>
          <w:sz w:val="32"/>
          <w:szCs w:val="32"/>
          <w:lang w:val="en-US" w:eastAsia="en-US"/>
        </w:rPr>
        <w:t>2.支持行业协会规范内部建设</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符合龙岗产业发展定位和方向，服务于龙岗产业发展，获评民政部门社会组织评估 5A、4A、3A 等级并在有效期内的行业协会</w:t>
      </w:r>
      <w:r>
        <w:rPr>
          <w:rFonts w:hint="eastAsia" w:ascii="仿宋_GB2312" w:hAnsi="仿宋_GB2312" w:eastAsia="仿宋_GB2312" w:cs="仿宋_GB2312"/>
          <w:color w:val="auto"/>
          <w:spacing w:val="5"/>
          <w:sz w:val="32"/>
          <w:szCs w:val="32"/>
          <w:lang w:val="en-US" w:eastAsia="zh-CN"/>
        </w:rPr>
        <w:t>，分别给予 5A 级 15 万元、4A 级 10万元、3A 级 5 万元的一次性奖励。2024年度资助总金额为55万元。</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r>
        <w:rPr>
          <w:rFonts w:hint="eastAsia" w:ascii="楷体" w:hAnsi="楷体" w:eastAsia="楷体" w:cs="楷体"/>
          <w:color w:val="auto"/>
          <w:spacing w:val="9"/>
          <w:sz w:val="32"/>
          <w:szCs w:val="32"/>
        </w:rPr>
        <w:t>（ 三）项目组织实施管理</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rPr>
      </w:pPr>
      <w:r>
        <w:rPr>
          <w:rFonts w:hint="eastAsia" w:ascii="仿宋_GB2312" w:hAnsi="仿宋_GB2312" w:eastAsia="仿宋_GB2312" w:cs="仿宋_GB2312"/>
          <w:b/>
          <w:bCs/>
          <w:color w:val="auto"/>
          <w:spacing w:val="9"/>
          <w:sz w:val="32"/>
          <w:szCs w:val="32"/>
        </w:rPr>
        <w:t>1.相关责任主体</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根据《实施</w:t>
      </w:r>
      <w:r>
        <w:rPr>
          <w:rFonts w:hint="eastAsia" w:ascii="仿宋_GB2312" w:hAnsi="仿宋_GB2312" w:eastAsia="仿宋_GB2312" w:cs="仿宋_GB2312"/>
          <w:color w:val="auto"/>
          <w:spacing w:val="5"/>
          <w:sz w:val="32"/>
          <w:szCs w:val="32"/>
          <w:lang w:val="en-US" w:eastAsia="zh-CN"/>
        </w:rPr>
        <w:t>细则</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龙岗</w:t>
      </w:r>
      <w:r>
        <w:rPr>
          <w:rFonts w:hint="eastAsia" w:ascii="仿宋_GB2312" w:hAnsi="仿宋_GB2312" w:eastAsia="仿宋_GB2312" w:cs="仿宋_GB2312"/>
          <w:color w:val="auto"/>
          <w:spacing w:val="5"/>
          <w:sz w:val="32"/>
          <w:szCs w:val="32"/>
        </w:rPr>
        <w:t>区民政局、</w:t>
      </w:r>
      <w:r>
        <w:rPr>
          <w:rFonts w:hint="eastAsia" w:ascii="仿宋_GB2312" w:hAnsi="仿宋_GB2312" w:eastAsia="仿宋_GB2312" w:cs="仿宋_GB2312"/>
          <w:color w:val="auto"/>
          <w:spacing w:val="5"/>
          <w:sz w:val="32"/>
          <w:szCs w:val="32"/>
          <w:lang w:val="en-US" w:eastAsia="zh-CN"/>
        </w:rPr>
        <w:t>龙岗区工业和信息化局、龙岗区工商联、龙岗</w:t>
      </w:r>
      <w:r>
        <w:rPr>
          <w:rFonts w:hint="eastAsia" w:ascii="仿宋_GB2312" w:hAnsi="仿宋_GB2312" w:eastAsia="仿宋_GB2312" w:cs="仿宋_GB2312"/>
          <w:color w:val="auto"/>
          <w:spacing w:val="5"/>
          <w:sz w:val="32"/>
          <w:szCs w:val="32"/>
        </w:rPr>
        <w:t>区财政局是“</w:t>
      </w:r>
      <w:r>
        <w:rPr>
          <w:rFonts w:hint="eastAsia" w:ascii="仿宋_GB2312" w:hAnsi="仿宋_GB2312" w:eastAsia="仿宋_GB2312" w:cs="仿宋_GB2312"/>
          <w:color w:val="auto"/>
          <w:spacing w:val="5"/>
          <w:sz w:val="32"/>
          <w:szCs w:val="32"/>
          <w:lang w:val="en-US" w:eastAsia="zh-CN"/>
        </w:rPr>
        <w:t>支持行业协会发展专项</w:t>
      </w:r>
      <w:r>
        <w:rPr>
          <w:rFonts w:hint="eastAsia" w:ascii="仿宋_GB2312" w:hAnsi="仿宋_GB2312" w:eastAsia="仿宋_GB2312" w:cs="仿宋_GB2312"/>
          <w:color w:val="auto"/>
          <w:spacing w:val="5"/>
          <w:sz w:val="32"/>
          <w:szCs w:val="32"/>
        </w:rPr>
        <w:t>”的指导、协调和监督单位；</w:t>
      </w:r>
      <w:r>
        <w:rPr>
          <w:rFonts w:hint="eastAsia" w:ascii="仿宋_GB2312" w:hAnsi="仿宋_GB2312" w:eastAsia="仿宋_GB2312" w:cs="仿宋_GB2312"/>
          <w:color w:val="auto"/>
          <w:spacing w:val="5"/>
          <w:sz w:val="32"/>
          <w:szCs w:val="32"/>
          <w:lang w:val="en-US" w:eastAsia="zh-CN"/>
        </w:rPr>
        <w:t>受资助的行业协会是</w:t>
      </w:r>
      <w:r>
        <w:rPr>
          <w:rFonts w:hint="eastAsia" w:ascii="仿宋_GB2312" w:hAnsi="仿宋_GB2312" w:eastAsia="仿宋_GB2312" w:cs="仿宋_GB2312"/>
          <w:color w:val="auto"/>
          <w:spacing w:val="5"/>
          <w:sz w:val="32"/>
          <w:szCs w:val="32"/>
        </w:rPr>
        <w:t>项目的具体实施主体</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承担专项资金使用责任</w:t>
      </w:r>
      <w:r>
        <w:rPr>
          <w:rFonts w:hint="eastAsia" w:ascii="仿宋_GB2312" w:hAnsi="仿宋_GB2312" w:eastAsia="仿宋_GB2312" w:cs="仿宋_GB2312"/>
          <w:color w:val="auto"/>
          <w:spacing w:val="5"/>
          <w:sz w:val="32"/>
          <w:szCs w:val="32"/>
        </w:rPr>
        <w:t>。</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rPr>
      </w:pPr>
      <w:r>
        <w:rPr>
          <w:rFonts w:hint="eastAsia" w:ascii="仿宋_GB2312" w:hAnsi="仿宋_GB2312" w:eastAsia="仿宋_GB2312" w:cs="仿宋_GB2312"/>
          <w:b/>
          <w:bCs/>
          <w:color w:val="auto"/>
          <w:spacing w:val="9"/>
          <w:sz w:val="32"/>
          <w:szCs w:val="32"/>
          <w:lang w:val="en-US" w:eastAsia="zh-CN"/>
        </w:rPr>
        <w:t>2.</w:t>
      </w:r>
      <w:r>
        <w:rPr>
          <w:rFonts w:hint="eastAsia" w:ascii="仿宋_GB2312" w:hAnsi="仿宋_GB2312" w:eastAsia="仿宋_GB2312" w:cs="仿宋_GB2312"/>
          <w:b/>
          <w:bCs/>
          <w:color w:val="auto"/>
          <w:spacing w:val="9"/>
          <w:sz w:val="32"/>
          <w:szCs w:val="32"/>
        </w:rPr>
        <w:t>实施流程</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根据《深圳市龙岗区民政专项资金管理办法》(深龙民规〔2023〕3号)、《深圳市龙岗区民政专项资金支持行业协会发展实施细则》(深龙民规〔2023〕4号)相关规定，2024年3月1日，民政局发布了《2024年龙岗区民政专项资金支持行业协会发展扶持项目申报指南》，启动2024年度首次申报受理工作。截至2024年4月1日，共收到深圳市龙岗区民营企业商会、龙岗交通运输协会、龙岗区横岗街道商会、龙岗区电子行业联合会4家行业协会的专项资助申请。经行业主管单位初审、征求相关单位意见、专家评审、公示等环节，以上4家协会申请事项均符合《深圳市龙岗区民政专项资金文持行业协会发展实施细则》资助条件，资助总金额为 55 万元。其中，龙岗区民营企业商会、龙岗交通运输协会、龙岗区横岗街道商会(5A社会组织)各资助15万元，龙岗区电子行业联合会(4A社会组织)资助10万元，从民政专项资金列支，并于2024年6月发放。</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bookmarkStart w:id="4" w:name="bookmark31"/>
      <w:bookmarkEnd w:id="4"/>
      <w:r>
        <w:rPr>
          <w:rFonts w:hint="eastAsia" w:ascii="楷体" w:hAnsi="楷体" w:eastAsia="楷体" w:cs="楷体"/>
          <w:color w:val="auto"/>
          <w:spacing w:val="9"/>
          <w:sz w:val="32"/>
          <w:szCs w:val="32"/>
        </w:rPr>
        <w:t>（ 四）预算安排与执行情况</w:t>
      </w:r>
    </w:p>
    <w:p>
      <w:pPr>
        <w:keepNext w:val="0"/>
        <w:keepLines w:val="0"/>
        <w:pageBreakBefore w:val="0"/>
        <w:wordWrap/>
        <w:overflowPunct/>
        <w:topLinePunct w:val="0"/>
        <w:bidi w:val="0"/>
        <w:spacing w:before="53" w:line="560" w:lineRule="exact"/>
        <w:ind w:left="153" w:right="195" w:hanging="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lang w:val="en-US" w:eastAsia="zh-CN"/>
        </w:rPr>
        <w:t>龙岗区“支持行业协会发展专项”项目全年预算数为90万元，因年底财政冻结35万，全年执行数为55万元。</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z w:val="32"/>
          <w:szCs w:val="32"/>
        </w:rPr>
      </w:pPr>
      <w:bookmarkStart w:id="5" w:name="bookmark32"/>
      <w:bookmarkEnd w:id="5"/>
      <w:r>
        <w:rPr>
          <w:rFonts w:hint="eastAsia" w:ascii="楷体" w:hAnsi="楷体" w:eastAsia="楷体" w:cs="楷体"/>
          <w:color w:val="auto"/>
          <w:spacing w:val="9"/>
          <w:sz w:val="32"/>
          <w:szCs w:val="32"/>
        </w:rPr>
        <w:t>（五）项目绩效目标</w:t>
      </w:r>
    </w:p>
    <w:p>
      <w:pPr>
        <w:keepNext w:val="0"/>
        <w:keepLines w:val="0"/>
        <w:pageBreakBefore w:val="0"/>
        <w:wordWrap/>
        <w:overflowPunct/>
        <w:topLinePunct w:val="0"/>
        <w:bidi w:val="0"/>
        <w:spacing w:before="193" w:line="560" w:lineRule="exact"/>
        <w:ind w:firstLine="658"/>
        <w:jc w:val="both"/>
        <w:rPr>
          <w:rFonts w:hint="eastAsia" w:ascii="仿宋_GB2312" w:hAnsi="仿宋_GB2312" w:eastAsia="仿宋_GB2312" w:cs="仿宋_GB2312"/>
          <w:color w:val="auto"/>
          <w:sz w:val="32"/>
          <w:szCs w:val="32"/>
        </w:rPr>
      </w:pPr>
      <w:bookmarkStart w:id="6" w:name="bookmark6"/>
      <w:bookmarkEnd w:id="6"/>
      <w:r>
        <w:rPr>
          <w:rFonts w:hint="eastAsia" w:ascii="仿宋_GB2312" w:hAnsi="仿宋_GB2312" w:eastAsia="仿宋_GB2312" w:cs="仿宋_GB2312"/>
          <w:color w:val="auto"/>
          <w:spacing w:val="7"/>
          <w:sz w:val="32"/>
          <w:szCs w:val="32"/>
          <w:lang w:val="en-US" w:eastAsia="zh-CN"/>
        </w:rPr>
        <w:t>2024</w:t>
      </w:r>
      <w:r>
        <w:rPr>
          <w:rFonts w:hint="eastAsia" w:ascii="仿宋_GB2312" w:hAnsi="仿宋_GB2312" w:eastAsia="仿宋_GB2312" w:cs="仿宋_GB2312"/>
          <w:color w:val="auto"/>
          <w:spacing w:val="7"/>
          <w:sz w:val="32"/>
          <w:szCs w:val="32"/>
        </w:rPr>
        <w:t>年</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支持行业协会发展专项</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资金</w:t>
      </w:r>
      <w:r>
        <w:rPr>
          <w:rFonts w:hint="eastAsia" w:ascii="仿宋_GB2312" w:hAnsi="仿宋_GB2312" w:eastAsia="仿宋_GB2312" w:cs="仿宋_GB2312"/>
          <w:color w:val="auto"/>
          <w:spacing w:val="7"/>
          <w:sz w:val="32"/>
          <w:szCs w:val="32"/>
          <w:lang w:val="en-US" w:eastAsia="zh-CN"/>
        </w:rPr>
        <w:t>由龙岗区民政局</w:t>
      </w:r>
      <w:r>
        <w:rPr>
          <w:rFonts w:hint="eastAsia" w:ascii="仿宋_GB2312" w:hAnsi="仿宋_GB2312" w:eastAsia="仿宋_GB2312" w:cs="仿宋_GB2312"/>
          <w:color w:val="auto"/>
          <w:spacing w:val="7"/>
          <w:sz w:val="32"/>
          <w:szCs w:val="32"/>
        </w:rPr>
        <w:t>直接</w:t>
      </w:r>
      <w:r>
        <w:rPr>
          <w:rFonts w:hint="eastAsia" w:ascii="仿宋_GB2312" w:hAnsi="仿宋_GB2312" w:eastAsia="仿宋_GB2312" w:cs="仿宋_GB2312"/>
          <w:color w:val="auto"/>
          <w:spacing w:val="6"/>
          <w:sz w:val="32"/>
          <w:szCs w:val="32"/>
          <w:lang w:val="en-US" w:eastAsia="zh-CN"/>
        </w:rPr>
        <w:t>拨付给</w:t>
      </w:r>
      <w:r>
        <w:rPr>
          <w:rFonts w:hint="eastAsia" w:ascii="仿宋_GB2312" w:hAnsi="仿宋_GB2312" w:eastAsia="仿宋_GB2312" w:cs="仿宋_GB2312"/>
          <w:color w:val="auto"/>
          <w:spacing w:val="6"/>
          <w:sz w:val="32"/>
          <w:szCs w:val="32"/>
        </w:rPr>
        <w:t>各</w:t>
      </w:r>
      <w:r>
        <w:rPr>
          <w:rFonts w:hint="eastAsia" w:ascii="仿宋_GB2312" w:hAnsi="仿宋_GB2312" w:eastAsia="仿宋_GB2312" w:cs="仿宋_GB2312"/>
          <w:color w:val="auto"/>
          <w:spacing w:val="6"/>
          <w:sz w:val="32"/>
          <w:szCs w:val="32"/>
          <w:lang w:val="en-US" w:eastAsia="zh-CN"/>
        </w:rPr>
        <w:t>行业协会</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5"/>
          <w:sz w:val="32"/>
          <w:szCs w:val="32"/>
        </w:rPr>
        <w:t>实际使用单位为</w:t>
      </w:r>
      <w:r>
        <w:rPr>
          <w:rFonts w:hint="eastAsia" w:ascii="仿宋_GB2312" w:hAnsi="仿宋_GB2312" w:eastAsia="仿宋_GB2312" w:cs="仿宋_GB2312"/>
          <w:color w:val="auto"/>
          <w:spacing w:val="5"/>
          <w:sz w:val="32"/>
          <w:szCs w:val="32"/>
          <w:lang w:val="en-US" w:eastAsia="zh-CN"/>
        </w:rPr>
        <w:t>受资助的各行业协会</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龙岗</w:t>
      </w:r>
      <w:r>
        <w:rPr>
          <w:rFonts w:hint="eastAsia" w:ascii="仿宋_GB2312" w:hAnsi="仿宋_GB2312" w:eastAsia="仿宋_GB2312" w:cs="仿宋_GB2312"/>
          <w:color w:val="auto"/>
          <w:spacing w:val="5"/>
          <w:sz w:val="32"/>
          <w:szCs w:val="32"/>
        </w:rPr>
        <w:t>区民政局按照要求对支持行业协会发展专项项目申报专项资金绩效目标和开展专项资金绩效评价。根据</w:t>
      </w:r>
      <w:r>
        <w:rPr>
          <w:rFonts w:hint="eastAsia" w:ascii="仿宋_GB2312" w:hAnsi="仿宋_GB2312" w:eastAsia="仿宋_GB2312" w:cs="仿宋_GB2312"/>
          <w:color w:val="auto"/>
          <w:spacing w:val="5"/>
          <w:sz w:val="32"/>
          <w:szCs w:val="32"/>
          <w:lang w:val="en-US" w:eastAsia="zh-CN"/>
        </w:rPr>
        <w:t>二级项目支出</w:t>
      </w:r>
      <w:r>
        <w:rPr>
          <w:rFonts w:hint="eastAsia" w:ascii="仿宋_GB2312" w:hAnsi="仿宋_GB2312" w:eastAsia="仿宋_GB2312" w:cs="仿宋_GB2312"/>
          <w:color w:val="auto"/>
          <w:spacing w:val="5"/>
          <w:sz w:val="32"/>
          <w:szCs w:val="32"/>
        </w:rPr>
        <w:t>绩效目标申报表，被评价项目设定的</w:t>
      </w:r>
      <w:r>
        <w:rPr>
          <w:rFonts w:hint="eastAsia" w:ascii="仿宋_GB2312" w:hAnsi="仿宋_GB2312" w:eastAsia="仿宋_GB2312" w:cs="仿宋_GB2312"/>
          <w:color w:val="auto"/>
          <w:spacing w:val="5"/>
          <w:sz w:val="32"/>
          <w:szCs w:val="32"/>
          <w:lang w:val="en-US" w:eastAsia="zh-CN"/>
        </w:rPr>
        <w:t>年度</w:t>
      </w:r>
      <w:r>
        <w:rPr>
          <w:rFonts w:hint="eastAsia" w:ascii="仿宋_GB2312" w:hAnsi="仿宋_GB2312" w:eastAsia="仿宋_GB2312" w:cs="仿宋_GB2312"/>
          <w:color w:val="auto"/>
          <w:spacing w:val="5"/>
          <w:sz w:val="32"/>
          <w:szCs w:val="32"/>
        </w:rPr>
        <w:t>目标为</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支持新设立行业协会发展、支持行业协会助力产业发展、开展产业研究、开展招商引资、规范内部建设、创先争优等六方面，对行业协会予以扶持</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被评价项目设定的</w:t>
      </w:r>
      <w:r>
        <w:rPr>
          <w:rFonts w:hint="eastAsia" w:ascii="仿宋_GB2312" w:hAnsi="仿宋_GB2312" w:eastAsia="仿宋_GB2312" w:cs="仿宋_GB2312"/>
          <w:color w:val="auto"/>
          <w:spacing w:val="5"/>
          <w:sz w:val="32"/>
          <w:szCs w:val="32"/>
          <w:lang w:val="en-US" w:eastAsia="zh-CN"/>
        </w:rPr>
        <w:t>长期</w:t>
      </w:r>
      <w:r>
        <w:rPr>
          <w:rFonts w:hint="eastAsia" w:ascii="仿宋_GB2312" w:hAnsi="仿宋_GB2312" w:eastAsia="仿宋_GB2312" w:cs="仿宋_GB2312"/>
          <w:color w:val="auto"/>
          <w:spacing w:val="5"/>
          <w:sz w:val="32"/>
          <w:szCs w:val="32"/>
        </w:rPr>
        <w:t>目标为</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培育对龙岗的产业聚集、品牌推广、行业规范、人才服务等方面具有引领带动作用的行业协会，支持行业协会活动，优化营商环境</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8"/>
          <w:sz w:val="32"/>
          <w:szCs w:val="32"/>
        </w:rPr>
        <w:t>。</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rPr>
      </w:pPr>
      <w:bookmarkStart w:id="7" w:name="bookmark33"/>
      <w:bookmarkEnd w:id="7"/>
      <w:r>
        <w:rPr>
          <w:rFonts w:hint="eastAsia" w:ascii="黑体" w:hAnsi="黑体" w:eastAsia="黑体" w:cs="黑体"/>
          <w:color w:val="auto"/>
          <w:spacing w:val="7"/>
          <w:sz w:val="32"/>
          <w:szCs w:val="32"/>
        </w:rPr>
        <w:t>二、评价工作开展情况</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z w:val="32"/>
          <w:szCs w:val="32"/>
        </w:rPr>
      </w:pPr>
      <w:bookmarkStart w:id="8" w:name="bookmark8"/>
      <w:bookmarkEnd w:id="8"/>
      <w:r>
        <w:rPr>
          <w:rFonts w:hint="eastAsia" w:ascii="楷体" w:hAnsi="楷体" w:eastAsia="楷体" w:cs="楷体"/>
          <w:color w:val="auto"/>
          <w:spacing w:val="9"/>
          <w:sz w:val="32"/>
          <w:szCs w:val="32"/>
        </w:rPr>
        <w:t>（一）绩效评价目的、对象和范围</w:t>
      </w:r>
    </w:p>
    <w:p>
      <w:pPr>
        <w:keepNext w:val="0"/>
        <w:keepLines w:val="0"/>
        <w:pageBreakBefore w:val="0"/>
        <w:wordWrap/>
        <w:overflowPunct/>
        <w:topLinePunct w:val="0"/>
        <w:bidi w:val="0"/>
        <w:spacing w:before="183" w:line="560" w:lineRule="exact"/>
        <w:ind w:firstLine="638"/>
        <w:jc w:val="both"/>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rPr>
        <w:t>本次绩效评价的目的为：以科学的评价体系，对“</w:t>
      </w:r>
      <w:r>
        <w:rPr>
          <w:rFonts w:hint="eastAsia" w:ascii="仿宋_GB2312" w:hAnsi="仿宋_GB2312" w:eastAsia="仿宋_GB2312" w:cs="仿宋_GB2312"/>
          <w:color w:val="auto"/>
          <w:spacing w:val="5"/>
          <w:sz w:val="32"/>
          <w:szCs w:val="32"/>
          <w:lang w:val="en-US" w:eastAsia="zh-CN"/>
        </w:rPr>
        <w:t>2024年度</w:t>
      </w:r>
      <w:r>
        <w:rPr>
          <w:rFonts w:hint="eastAsia" w:ascii="仿宋_GB2312" w:hAnsi="仿宋_GB2312" w:eastAsia="仿宋_GB2312" w:cs="仿宋_GB2312"/>
          <w:color w:val="auto"/>
          <w:spacing w:val="5"/>
          <w:sz w:val="32"/>
          <w:szCs w:val="32"/>
        </w:rPr>
        <w:t>支持行业协会发展专项”资金使用情况进行评价，全面总结项目取得的绩效及存在的问题，在此基础上提出优化资金使用效益的建议，为以后实施</w:t>
      </w:r>
      <w:r>
        <w:rPr>
          <w:rFonts w:hint="eastAsia" w:ascii="仿宋_GB2312" w:hAnsi="仿宋_GB2312" w:eastAsia="仿宋_GB2312" w:cs="仿宋_GB2312"/>
          <w:color w:val="auto"/>
          <w:spacing w:val="5"/>
          <w:sz w:val="32"/>
          <w:szCs w:val="32"/>
          <w:lang w:val="en-US" w:eastAsia="zh-CN"/>
        </w:rPr>
        <w:t>支持行业协会发展专项</w:t>
      </w:r>
      <w:r>
        <w:rPr>
          <w:rFonts w:hint="eastAsia" w:ascii="仿宋_GB2312" w:hAnsi="仿宋_GB2312" w:eastAsia="仿宋_GB2312" w:cs="仿宋_GB2312"/>
          <w:color w:val="auto"/>
          <w:spacing w:val="5"/>
          <w:sz w:val="32"/>
          <w:szCs w:val="32"/>
        </w:rPr>
        <w:t>项目提供参考思路</w:t>
      </w:r>
      <w:r>
        <w:rPr>
          <w:rFonts w:hint="eastAsia" w:ascii="仿宋_GB2312" w:hAnsi="仿宋_GB2312" w:eastAsia="仿宋_GB2312" w:cs="仿宋_GB2312"/>
          <w:color w:val="auto"/>
          <w:spacing w:val="5"/>
          <w:sz w:val="32"/>
          <w:szCs w:val="32"/>
          <w:lang w:eastAsia="zh-CN"/>
        </w:rPr>
        <w:t>。</w:t>
      </w:r>
    </w:p>
    <w:p>
      <w:pPr>
        <w:keepNext w:val="0"/>
        <w:keepLines w:val="0"/>
        <w:pageBreakBefore w:val="0"/>
        <w:wordWrap/>
        <w:overflowPunct/>
        <w:topLinePunct w:val="0"/>
        <w:bidi w:val="0"/>
        <w:spacing w:before="4" w:line="560" w:lineRule="exact"/>
        <w:ind w:left="14" w:right="82" w:firstLine="62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本次评价对象为</w:t>
      </w:r>
      <w:r>
        <w:rPr>
          <w:rFonts w:hint="eastAsia" w:ascii="仿宋_GB2312" w:hAnsi="仿宋_GB2312" w:eastAsia="仿宋_GB2312" w:cs="仿宋_GB2312"/>
          <w:color w:val="auto"/>
          <w:spacing w:val="13"/>
          <w:sz w:val="32"/>
          <w:szCs w:val="32"/>
          <w:lang w:val="en-US" w:eastAsia="zh-CN"/>
        </w:rPr>
        <w:t>龙岗区民政局“2024年度支持行业协会发展专项”，评价资金量合计55万元，评价期间为 2024 年1 月1日至 2025 年 5月 31日。</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bookmarkStart w:id="9" w:name="bookmark9"/>
      <w:bookmarkEnd w:id="9"/>
      <w:r>
        <w:rPr>
          <w:rFonts w:hint="eastAsia" w:ascii="楷体" w:hAnsi="楷体" w:eastAsia="楷体" w:cs="楷体"/>
          <w:color w:val="auto"/>
          <w:spacing w:val="9"/>
          <w:sz w:val="32"/>
          <w:szCs w:val="32"/>
        </w:rPr>
        <w:t>（ 二）绩效评价思路与评价重点</w:t>
      </w:r>
    </w:p>
    <w:p>
      <w:pPr>
        <w:keepNext w:val="0"/>
        <w:keepLines w:val="0"/>
        <w:pageBreakBefore w:val="0"/>
        <w:wordWrap/>
        <w:overflowPunct/>
        <w:topLinePunct w:val="0"/>
        <w:bidi w:val="0"/>
        <w:spacing w:before="101" w:line="560" w:lineRule="exact"/>
        <w:ind w:firstLine="660" w:firstLineChars="200"/>
        <w:outlineLvl w:val="0"/>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color w:val="auto"/>
          <w:spacing w:val="5"/>
          <w:sz w:val="32"/>
          <w:szCs w:val="32"/>
        </w:rPr>
        <w:t>依据《深圳市龙岗区民政专项资金支持行业协会发展实施细则》的相关要求，本次绩效评价的内容主要包括投入、过程、产出及效益等方面。结合项目的特色，本次评价的重点主要有</w:t>
      </w:r>
      <w:r>
        <w:rPr>
          <w:rFonts w:hint="eastAsia" w:ascii="仿宋_GB2312" w:hAnsi="仿宋_GB2312" w:eastAsia="仿宋_GB2312" w:cs="仿宋_GB2312"/>
          <w:color w:val="auto"/>
          <w:spacing w:val="5"/>
          <w:sz w:val="32"/>
          <w:szCs w:val="32"/>
          <w:lang w:val="en-US" w:eastAsia="zh-CN"/>
        </w:rPr>
        <w:t>以下</w:t>
      </w:r>
      <w:r>
        <w:rPr>
          <w:rFonts w:hint="eastAsia" w:ascii="仿宋_GB2312" w:hAnsi="仿宋_GB2312" w:eastAsia="仿宋_GB2312" w:cs="仿宋_GB2312"/>
          <w:color w:val="auto"/>
          <w:spacing w:val="5"/>
          <w:sz w:val="32"/>
          <w:szCs w:val="32"/>
        </w:rPr>
        <w:t>方面：</w:t>
      </w:r>
      <w:r>
        <w:rPr>
          <w:rFonts w:hint="eastAsia" w:ascii="仿宋_GB2312" w:hAnsi="仿宋_GB2312" w:eastAsia="仿宋_GB2312" w:cs="仿宋_GB2312"/>
          <w:b w:val="0"/>
          <w:bCs w:val="0"/>
          <w:color w:val="auto"/>
          <w:spacing w:val="5"/>
          <w:sz w:val="32"/>
          <w:szCs w:val="32"/>
          <w:lang w:val="en-US" w:eastAsia="zh-CN"/>
        </w:rPr>
        <w:t>一是项目立项，包含立项依据是否充分、立项程序是否规范；二</w:t>
      </w:r>
      <w:r>
        <w:rPr>
          <w:rFonts w:hint="eastAsia" w:ascii="仿宋_GB2312" w:hAnsi="仿宋_GB2312" w:eastAsia="仿宋_GB2312" w:cs="仿宋_GB2312"/>
          <w:b w:val="0"/>
          <w:bCs w:val="0"/>
          <w:color w:val="auto"/>
          <w:spacing w:val="5"/>
          <w:sz w:val="32"/>
          <w:szCs w:val="32"/>
        </w:rPr>
        <w:t>是项目设定的绩效目标是否明确，有无体现政策意图；</w:t>
      </w:r>
      <w:r>
        <w:rPr>
          <w:rFonts w:hint="eastAsia" w:ascii="仿宋_GB2312" w:hAnsi="仿宋_GB2312" w:eastAsia="仿宋_GB2312" w:cs="仿宋_GB2312"/>
          <w:b w:val="0"/>
          <w:bCs w:val="0"/>
          <w:color w:val="auto"/>
          <w:spacing w:val="5"/>
          <w:sz w:val="32"/>
          <w:szCs w:val="32"/>
          <w:lang w:val="en-US" w:eastAsia="zh-CN"/>
        </w:rPr>
        <w:t>三</w:t>
      </w:r>
      <w:r>
        <w:rPr>
          <w:rFonts w:hint="eastAsia" w:ascii="仿宋_GB2312" w:hAnsi="仿宋_GB2312" w:eastAsia="仿宋_GB2312" w:cs="仿宋_GB2312"/>
          <w:b w:val="0"/>
          <w:bCs w:val="0"/>
          <w:color w:val="auto"/>
          <w:spacing w:val="5"/>
          <w:sz w:val="32"/>
          <w:szCs w:val="32"/>
        </w:rPr>
        <w:t>是资金投入</w:t>
      </w:r>
      <w:r>
        <w:rPr>
          <w:rFonts w:hint="eastAsia" w:ascii="仿宋_GB2312" w:hAnsi="仿宋_GB2312" w:eastAsia="仿宋_GB2312" w:cs="仿宋_GB2312"/>
          <w:b w:val="0"/>
          <w:bCs w:val="0"/>
          <w:color w:val="auto"/>
          <w:spacing w:val="5"/>
          <w:sz w:val="32"/>
          <w:szCs w:val="32"/>
          <w:lang w:val="en-US" w:eastAsia="zh-CN"/>
        </w:rPr>
        <w:t>预算编制</w:t>
      </w:r>
      <w:r>
        <w:rPr>
          <w:rFonts w:hint="eastAsia" w:ascii="仿宋_GB2312" w:hAnsi="仿宋_GB2312" w:eastAsia="仿宋_GB2312" w:cs="仿宋_GB2312"/>
          <w:b w:val="0"/>
          <w:bCs w:val="0"/>
          <w:color w:val="auto"/>
          <w:spacing w:val="5"/>
          <w:sz w:val="32"/>
          <w:szCs w:val="32"/>
        </w:rPr>
        <w:t>是否</w:t>
      </w:r>
      <w:r>
        <w:rPr>
          <w:rFonts w:hint="eastAsia" w:ascii="仿宋_GB2312" w:hAnsi="仿宋_GB2312" w:eastAsia="仿宋_GB2312" w:cs="仿宋_GB2312"/>
          <w:b w:val="0"/>
          <w:bCs w:val="0"/>
          <w:color w:val="auto"/>
          <w:spacing w:val="5"/>
          <w:sz w:val="32"/>
          <w:szCs w:val="32"/>
          <w:lang w:val="en-US" w:eastAsia="zh-CN"/>
        </w:rPr>
        <w:t>科学</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预算执行是否及时</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四</w:t>
      </w:r>
      <w:r>
        <w:rPr>
          <w:rFonts w:hint="eastAsia" w:ascii="仿宋_GB2312" w:hAnsi="仿宋_GB2312" w:eastAsia="仿宋_GB2312" w:cs="仿宋_GB2312"/>
          <w:b w:val="0"/>
          <w:bCs w:val="0"/>
          <w:color w:val="auto"/>
          <w:spacing w:val="5"/>
          <w:sz w:val="32"/>
          <w:szCs w:val="32"/>
        </w:rPr>
        <w:t>是</w:t>
      </w:r>
      <w:r>
        <w:rPr>
          <w:rFonts w:hint="eastAsia" w:ascii="仿宋_GB2312" w:hAnsi="仿宋_GB2312" w:eastAsia="仿宋_GB2312" w:cs="仿宋_GB2312"/>
          <w:b w:val="0"/>
          <w:bCs w:val="0"/>
          <w:color w:val="auto"/>
          <w:spacing w:val="5"/>
          <w:sz w:val="32"/>
          <w:szCs w:val="32"/>
          <w:lang w:val="en-US" w:eastAsia="zh-CN"/>
        </w:rPr>
        <w:t>资金管理，包括：财务制度是否健全、资金使用是否合规</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val="en-US" w:eastAsia="zh-CN"/>
        </w:rPr>
        <w:t>五</w:t>
      </w:r>
      <w:r>
        <w:rPr>
          <w:rFonts w:hint="eastAsia" w:ascii="仿宋_GB2312" w:hAnsi="仿宋_GB2312" w:eastAsia="仿宋_GB2312" w:cs="仿宋_GB2312"/>
          <w:b w:val="0"/>
          <w:bCs w:val="0"/>
          <w:color w:val="auto"/>
          <w:spacing w:val="-3"/>
          <w:sz w:val="32"/>
          <w:szCs w:val="32"/>
        </w:rPr>
        <w:t>是项目</w:t>
      </w:r>
      <w:r>
        <w:rPr>
          <w:rFonts w:hint="eastAsia" w:ascii="仿宋_GB2312" w:hAnsi="仿宋_GB2312" w:eastAsia="仿宋_GB2312" w:cs="仿宋_GB2312"/>
          <w:b w:val="0"/>
          <w:bCs w:val="0"/>
          <w:color w:val="auto"/>
          <w:spacing w:val="-3"/>
          <w:sz w:val="32"/>
          <w:szCs w:val="32"/>
          <w:lang w:val="en-US" w:eastAsia="zh-CN"/>
        </w:rPr>
        <w:t>组织</w:t>
      </w:r>
      <w:r>
        <w:rPr>
          <w:rFonts w:hint="eastAsia" w:ascii="仿宋_GB2312" w:hAnsi="仿宋_GB2312" w:eastAsia="仿宋_GB2312" w:cs="仿宋_GB2312"/>
          <w:b w:val="0"/>
          <w:bCs w:val="0"/>
          <w:color w:val="auto"/>
          <w:spacing w:val="-3"/>
          <w:sz w:val="32"/>
          <w:szCs w:val="32"/>
        </w:rPr>
        <w:t>实施，</w:t>
      </w:r>
      <w:r>
        <w:rPr>
          <w:rFonts w:hint="eastAsia" w:ascii="仿宋_GB2312" w:hAnsi="仿宋_GB2312" w:eastAsia="仿宋_GB2312" w:cs="仿宋_GB2312"/>
          <w:b w:val="0"/>
          <w:bCs w:val="0"/>
          <w:color w:val="auto"/>
          <w:spacing w:val="9"/>
          <w:sz w:val="32"/>
          <w:szCs w:val="32"/>
        </w:rPr>
        <w:t>包括</w:t>
      </w:r>
      <w:r>
        <w:rPr>
          <w:rFonts w:hint="eastAsia" w:ascii="仿宋_GB2312" w:hAnsi="仿宋_GB2312" w:eastAsia="仿宋_GB2312" w:cs="仿宋_GB2312"/>
          <w:b w:val="0"/>
          <w:bCs w:val="0"/>
          <w:color w:val="auto"/>
          <w:spacing w:val="9"/>
          <w:sz w:val="32"/>
          <w:szCs w:val="32"/>
          <w:lang w:val="en-US" w:eastAsia="zh-CN"/>
        </w:rPr>
        <w:t>业务管理制度是否健全、实施过程是否规范、过程监督管理是否有效、项目结项是否规范</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六</w:t>
      </w:r>
      <w:r>
        <w:rPr>
          <w:rFonts w:hint="eastAsia" w:ascii="仿宋_GB2312" w:hAnsi="仿宋_GB2312" w:eastAsia="仿宋_GB2312" w:cs="仿宋_GB2312"/>
          <w:b w:val="0"/>
          <w:bCs w:val="0"/>
          <w:color w:val="auto"/>
          <w:spacing w:val="5"/>
          <w:sz w:val="32"/>
          <w:szCs w:val="32"/>
        </w:rPr>
        <w:t>是项目</w:t>
      </w:r>
      <w:r>
        <w:rPr>
          <w:rFonts w:hint="eastAsia" w:ascii="仿宋_GB2312" w:hAnsi="仿宋_GB2312" w:eastAsia="仿宋_GB2312" w:cs="仿宋_GB2312"/>
          <w:b w:val="0"/>
          <w:bCs w:val="0"/>
          <w:color w:val="auto"/>
          <w:spacing w:val="5"/>
          <w:sz w:val="32"/>
          <w:szCs w:val="32"/>
          <w:lang w:val="en-US" w:eastAsia="zh-CN"/>
        </w:rPr>
        <w:t>产出，包括产出数量和质量是否达标、项目完成是否及时、验收是否及时、成本是否控制；七是项目效益，包括社会效益是否有效、项目效果是否可持续、受益对象是否满意。</w:t>
      </w:r>
      <w:bookmarkStart w:id="10" w:name="bookmark34"/>
      <w:bookmarkEnd w:id="10"/>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r>
        <w:rPr>
          <w:rFonts w:hint="eastAsia" w:ascii="楷体" w:hAnsi="楷体" w:eastAsia="楷体" w:cs="楷体"/>
          <w:color w:val="auto"/>
          <w:spacing w:val="9"/>
          <w:sz w:val="32"/>
          <w:szCs w:val="32"/>
        </w:rPr>
        <w:t>（ 三）评价指标体系、评价方法、评价标准等</w:t>
      </w:r>
    </w:p>
    <w:p>
      <w:pPr>
        <w:keepNext w:val="0"/>
        <w:keepLines w:val="0"/>
        <w:pageBreakBefore w:val="0"/>
        <w:widowControl w:val="0"/>
        <w:kinsoku/>
        <w:wordWrap/>
        <w:overflowPunct/>
        <w:topLinePunct w:val="0"/>
        <w:autoSpaceDE/>
        <w:autoSpaceDN/>
        <w:bidi w:val="0"/>
        <w:adjustRightInd/>
        <w:snapToGrid/>
        <w:spacing w:before="193" w:line="560" w:lineRule="exact"/>
        <w:ind w:left="666"/>
        <w:textAlignment w:val="auto"/>
        <w:outlineLvl w:val="2"/>
        <w:rPr>
          <w:rFonts w:hint="eastAsia" w:ascii="仿宋_GB2312" w:hAnsi="仿宋_GB2312" w:eastAsia="仿宋_GB2312" w:cs="仿宋_GB2312"/>
          <w:color w:val="auto"/>
          <w:sz w:val="32"/>
          <w:szCs w:val="32"/>
        </w:rPr>
      </w:pPr>
      <w:bookmarkStart w:id="11" w:name="bookmark10"/>
      <w:bookmarkEnd w:id="11"/>
      <w:bookmarkStart w:id="12" w:name="bookmark11"/>
      <w:bookmarkEnd w:id="12"/>
      <w:r>
        <w:rPr>
          <w:rFonts w:hint="eastAsia" w:ascii="仿宋_GB2312" w:hAnsi="仿宋_GB2312" w:eastAsia="仿宋_GB2312" w:cs="仿宋_GB2312"/>
          <w:b/>
          <w:bCs/>
          <w:color w:val="auto"/>
          <w:spacing w:val="2"/>
          <w:sz w:val="32"/>
          <w:szCs w:val="32"/>
        </w:rPr>
        <w:t>1.评价指标体系</w:t>
      </w:r>
    </w:p>
    <w:p>
      <w:pPr>
        <w:keepNext w:val="0"/>
        <w:keepLines w:val="0"/>
        <w:pageBreakBefore w:val="0"/>
        <w:widowControl w:val="0"/>
        <w:kinsoku/>
        <w:wordWrap/>
        <w:overflowPunct/>
        <w:topLinePunct w:val="0"/>
        <w:autoSpaceDE/>
        <w:autoSpaceDN/>
        <w:bidi w:val="0"/>
        <w:adjustRightInd/>
        <w:snapToGrid/>
        <w:spacing w:before="188" w:line="560" w:lineRule="exact"/>
        <w:ind w:left="11" w:right="244" w:firstLine="63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本次绩效评价指标体系包含决策、过程、产出和效益</w:t>
      </w:r>
      <w:r>
        <w:rPr>
          <w:rFonts w:hint="eastAsia" w:ascii="仿宋_GB2312" w:hAnsi="仿宋_GB2312" w:eastAsia="仿宋_GB2312" w:cs="仿宋_GB2312"/>
          <w:color w:val="auto"/>
          <w:spacing w:val="-44"/>
          <w:sz w:val="32"/>
          <w:szCs w:val="32"/>
        </w:rPr>
        <w:t xml:space="preserve"> </w:t>
      </w:r>
      <w:r>
        <w:rPr>
          <w:rFonts w:hint="eastAsia" w:ascii="仿宋_GB2312" w:hAnsi="仿宋_GB2312" w:eastAsia="仿宋_GB2312" w:cs="仿宋_GB2312"/>
          <w:color w:val="auto"/>
          <w:spacing w:val="3"/>
          <w:sz w:val="32"/>
          <w:szCs w:val="32"/>
        </w:rPr>
        <w:t>4</w:t>
      </w:r>
      <w:r>
        <w:rPr>
          <w:rFonts w:hint="eastAsia" w:ascii="仿宋_GB2312" w:hAnsi="仿宋_GB2312" w:eastAsia="仿宋_GB2312" w:cs="仿宋_GB2312"/>
          <w:color w:val="auto"/>
          <w:spacing w:val="-60"/>
          <w:sz w:val="32"/>
          <w:szCs w:val="32"/>
        </w:rPr>
        <w:t xml:space="preserve"> </w:t>
      </w:r>
      <w:r>
        <w:rPr>
          <w:rFonts w:hint="eastAsia" w:ascii="仿宋_GB2312" w:hAnsi="仿宋_GB2312" w:eastAsia="仿宋_GB2312" w:cs="仿宋_GB2312"/>
          <w:color w:val="auto"/>
          <w:spacing w:val="3"/>
          <w:sz w:val="32"/>
          <w:szCs w:val="32"/>
        </w:rPr>
        <w:t>个一</w:t>
      </w:r>
      <w:r>
        <w:rPr>
          <w:rFonts w:hint="eastAsia" w:ascii="仿宋_GB2312" w:hAnsi="仿宋_GB2312" w:eastAsia="仿宋_GB2312" w:cs="仿宋_GB2312"/>
          <w:color w:val="auto"/>
          <w:spacing w:val="9"/>
          <w:sz w:val="32"/>
          <w:szCs w:val="32"/>
        </w:rPr>
        <w:t>级指标，项目立项、绩效目标、资金投入等</w:t>
      </w:r>
      <w:r>
        <w:rPr>
          <w:rFonts w:hint="eastAsia" w:ascii="仿宋_GB2312" w:hAnsi="仿宋_GB2312" w:eastAsia="仿宋_GB2312" w:cs="仿宋_GB2312"/>
          <w:color w:val="auto"/>
          <w:spacing w:val="-41"/>
          <w:sz w:val="32"/>
          <w:szCs w:val="32"/>
        </w:rPr>
        <w:t xml:space="preserve"> </w:t>
      </w:r>
      <w:r>
        <w:rPr>
          <w:rFonts w:hint="eastAsia" w:ascii="仿宋_GB2312" w:hAnsi="仿宋_GB2312" w:eastAsia="仿宋_GB2312" w:cs="仿宋_GB2312"/>
          <w:color w:val="auto"/>
          <w:spacing w:val="9"/>
          <w:sz w:val="32"/>
          <w:szCs w:val="32"/>
        </w:rPr>
        <w:t>1</w:t>
      </w:r>
      <w:r>
        <w:rPr>
          <w:rFonts w:hint="eastAsia" w:ascii="仿宋_GB2312" w:hAnsi="仿宋_GB2312" w:eastAsia="仿宋_GB2312" w:cs="仿宋_GB2312"/>
          <w:color w:val="auto"/>
          <w:spacing w:val="8"/>
          <w:sz w:val="32"/>
          <w:szCs w:val="32"/>
          <w:lang w:val="en-US" w:eastAsia="zh-CN"/>
        </w:rPr>
        <w:t>1</w:t>
      </w:r>
      <w:r>
        <w:rPr>
          <w:rFonts w:hint="eastAsia" w:ascii="仿宋_GB2312" w:hAnsi="仿宋_GB2312" w:eastAsia="仿宋_GB2312" w:cs="仿宋_GB2312"/>
          <w:color w:val="auto"/>
          <w:spacing w:val="8"/>
          <w:sz w:val="32"/>
          <w:szCs w:val="32"/>
        </w:rPr>
        <w:t>个二级指标，立</w:t>
      </w:r>
      <w:r>
        <w:rPr>
          <w:rFonts w:hint="eastAsia" w:ascii="仿宋_GB2312" w:hAnsi="仿宋_GB2312" w:eastAsia="仿宋_GB2312" w:cs="仿宋_GB2312"/>
          <w:color w:val="auto"/>
          <w:spacing w:val="9"/>
          <w:sz w:val="32"/>
          <w:szCs w:val="32"/>
        </w:rPr>
        <w:t>项依据充分性、绩效目标合理性、受益对象满意度等</w:t>
      </w:r>
      <w:r>
        <w:rPr>
          <w:rFonts w:hint="eastAsia" w:ascii="仿宋_GB2312" w:hAnsi="仿宋_GB2312" w:eastAsia="仿宋_GB2312" w:cs="仿宋_GB2312"/>
          <w:color w:val="auto"/>
          <w:spacing w:val="-51"/>
          <w:sz w:val="32"/>
          <w:szCs w:val="32"/>
        </w:rPr>
        <w:t xml:space="preserve"> </w:t>
      </w:r>
      <w:r>
        <w:rPr>
          <w:rFonts w:hint="eastAsia" w:ascii="仿宋_GB2312" w:hAnsi="仿宋_GB2312" w:eastAsia="仿宋_GB2312" w:cs="仿宋_GB2312"/>
          <w:color w:val="auto"/>
          <w:spacing w:val="9"/>
          <w:sz w:val="32"/>
          <w:szCs w:val="32"/>
          <w:lang w:val="en-US" w:eastAsia="zh-CN"/>
        </w:rPr>
        <w:t>19</w:t>
      </w:r>
      <w:r>
        <w:rPr>
          <w:rFonts w:hint="eastAsia" w:ascii="仿宋_GB2312" w:hAnsi="仿宋_GB2312" w:eastAsia="仿宋_GB2312" w:cs="仿宋_GB2312"/>
          <w:color w:val="auto"/>
          <w:spacing w:val="9"/>
          <w:sz w:val="32"/>
          <w:szCs w:val="32"/>
        </w:rPr>
        <w:t>个三级</w:t>
      </w:r>
      <w:r>
        <w:rPr>
          <w:rFonts w:hint="eastAsia" w:ascii="仿宋_GB2312" w:hAnsi="仿宋_GB2312" w:eastAsia="仿宋_GB2312" w:cs="仿宋_GB2312"/>
          <w:color w:val="auto"/>
          <w:spacing w:val="-2"/>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left="658"/>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2.评价方法</w:t>
      </w:r>
    </w:p>
    <w:p>
      <w:pPr>
        <w:keepNext w:val="0"/>
        <w:keepLines w:val="0"/>
        <w:pageBreakBefore w:val="0"/>
        <w:widowControl w:val="0"/>
        <w:kinsoku/>
        <w:wordWrap/>
        <w:overflowPunct/>
        <w:topLinePunct w:val="0"/>
        <w:autoSpaceDE/>
        <w:autoSpaceDN/>
        <w:bidi w:val="0"/>
        <w:adjustRightInd/>
        <w:snapToGrid/>
        <w:spacing w:before="189" w:line="560" w:lineRule="exact"/>
        <w:ind w:left="14" w:right="242" w:firstLine="64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绩效评价的方法主要包括成本效益分析法、比较法、因素分</w:t>
      </w:r>
      <w:r>
        <w:rPr>
          <w:rFonts w:hint="eastAsia" w:ascii="仿宋_GB2312" w:hAnsi="仿宋_GB2312" w:eastAsia="仿宋_GB2312" w:cs="仿宋_GB2312"/>
          <w:color w:val="auto"/>
          <w:spacing w:val="5"/>
          <w:sz w:val="32"/>
          <w:szCs w:val="32"/>
        </w:rPr>
        <w:t>析法、最低成本法、公众评判法、标杆管理法等。本次主要运用</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6"/>
          <w:sz w:val="32"/>
          <w:szCs w:val="32"/>
        </w:rPr>
        <w:t>到以下几种方法：</w:t>
      </w:r>
    </w:p>
    <w:p>
      <w:pPr>
        <w:keepNext w:val="0"/>
        <w:keepLines w:val="0"/>
        <w:pageBreakBefore w:val="0"/>
        <w:widowControl w:val="0"/>
        <w:kinsoku/>
        <w:wordWrap/>
        <w:overflowPunct/>
        <w:topLinePunct w:val="0"/>
        <w:autoSpaceDE/>
        <w:autoSpaceDN/>
        <w:bidi w:val="0"/>
        <w:adjustRightInd/>
        <w:snapToGrid/>
        <w:spacing w:before="3" w:line="560" w:lineRule="exact"/>
        <w:ind w:left="7"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0"/>
          <w:sz w:val="32"/>
          <w:szCs w:val="32"/>
        </w:rPr>
        <w:t xml:space="preserve"> </w:t>
      </w:r>
      <w:r>
        <w:rPr>
          <w:rFonts w:hint="eastAsia" w:ascii="仿宋_GB2312" w:hAnsi="仿宋_GB2312" w:eastAsia="仿宋_GB2312" w:cs="仿宋_GB2312"/>
          <w:b/>
          <w:bCs/>
          <w:color w:val="auto"/>
          <w:spacing w:val="7"/>
          <w:sz w:val="32"/>
          <w:szCs w:val="32"/>
        </w:rPr>
        <w:t>1）比较法。</w:t>
      </w:r>
      <w:r>
        <w:rPr>
          <w:rFonts w:hint="eastAsia" w:ascii="仿宋_GB2312" w:hAnsi="仿宋_GB2312" w:eastAsia="仿宋_GB2312" w:cs="仿宋_GB2312"/>
          <w:color w:val="auto"/>
          <w:spacing w:val="7"/>
          <w:sz w:val="32"/>
          <w:szCs w:val="32"/>
        </w:rPr>
        <w:t>是指通过对绩效目标与实施效果、历史与当</w:t>
      </w:r>
      <w:r>
        <w:rPr>
          <w:rFonts w:hint="eastAsia" w:ascii="仿宋_GB2312" w:hAnsi="仿宋_GB2312" w:eastAsia="仿宋_GB2312" w:cs="仿宋_GB2312"/>
          <w:color w:val="auto"/>
          <w:spacing w:val="5"/>
          <w:sz w:val="32"/>
          <w:szCs w:val="32"/>
        </w:rPr>
        <w:t>期情况、不同部门和地区同类支出的比较，综合分析绩效目标实</w:t>
      </w:r>
      <w:r>
        <w:rPr>
          <w:rFonts w:hint="eastAsia" w:ascii="仿宋_GB2312" w:hAnsi="仿宋_GB2312" w:eastAsia="仿宋_GB2312" w:cs="仿宋_GB2312"/>
          <w:color w:val="auto"/>
          <w:spacing w:val="3"/>
          <w:sz w:val="32"/>
          <w:szCs w:val="32"/>
        </w:rPr>
        <w:t>现程度。本次评价将通过对实际效果与年初设定绩效目</w:t>
      </w:r>
      <w:r>
        <w:rPr>
          <w:rFonts w:hint="eastAsia" w:ascii="仿宋_GB2312" w:hAnsi="仿宋_GB2312" w:eastAsia="仿宋_GB2312" w:cs="仿宋_GB2312"/>
          <w:color w:val="auto"/>
          <w:spacing w:val="2"/>
          <w:sz w:val="32"/>
          <w:szCs w:val="32"/>
        </w:rPr>
        <w:t>标的比较</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7"/>
          <w:sz w:val="32"/>
          <w:szCs w:val="32"/>
        </w:rPr>
        <w:t>评估目标实现程度。</w:t>
      </w:r>
    </w:p>
    <w:p>
      <w:pPr>
        <w:keepNext w:val="0"/>
        <w:keepLines w:val="0"/>
        <w:pageBreakBefore w:val="0"/>
        <w:wordWrap/>
        <w:overflowPunct/>
        <w:topLinePunct w:val="0"/>
        <w:bidi w:val="0"/>
        <w:spacing w:before="192" w:line="560" w:lineRule="exact"/>
        <w:ind w:left="13" w:right="244" w:firstLine="62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4"/>
          <w:sz w:val="32"/>
          <w:szCs w:val="32"/>
        </w:rPr>
        <w:t xml:space="preserve"> </w:t>
      </w:r>
      <w:r>
        <w:rPr>
          <w:rFonts w:hint="eastAsia" w:ascii="仿宋_GB2312" w:hAnsi="仿宋_GB2312" w:eastAsia="仿宋_GB2312" w:cs="仿宋_GB2312"/>
          <w:b/>
          <w:bCs/>
          <w:color w:val="auto"/>
          <w:spacing w:val="7"/>
          <w:sz w:val="32"/>
          <w:szCs w:val="32"/>
        </w:rPr>
        <w:t>2）因素分析法。</w:t>
      </w:r>
      <w:r>
        <w:rPr>
          <w:rFonts w:hint="eastAsia" w:ascii="仿宋_GB2312" w:hAnsi="仿宋_GB2312" w:eastAsia="仿宋_GB2312" w:cs="仿宋_GB2312"/>
          <w:color w:val="auto"/>
          <w:spacing w:val="7"/>
          <w:sz w:val="32"/>
          <w:szCs w:val="32"/>
        </w:rPr>
        <w:t>是指综合分析影响绩效目标实现、实施</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效果的内外部因素的方法。评价小组将从立项、实施管理情况等方面入手，并结合收集到的资料，全面分析影响项目实施效果的</w:t>
      </w:r>
      <w:r>
        <w:rPr>
          <w:rFonts w:hint="eastAsia" w:ascii="仿宋_GB2312" w:hAnsi="仿宋_GB2312" w:eastAsia="仿宋_GB2312" w:cs="仿宋_GB2312"/>
          <w:color w:val="auto"/>
          <w:sz w:val="32"/>
          <w:szCs w:val="32"/>
        </w:rPr>
        <w:t>因素。</w:t>
      </w:r>
    </w:p>
    <w:p>
      <w:pPr>
        <w:keepNext w:val="0"/>
        <w:keepLines w:val="0"/>
        <w:pageBreakBefore w:val="0"/>
        <w:wordWrap/>
        <w:overflowPunct/>
        <w:topLinePunct w:val="0"/>
        <w:bidi w:val="0"/>
        <w:spacing w:before="180" w:line="560" w:lineRule="exact"/>
        <w:ind w:left="10" w:right="244" w:firstLine="627"/>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3）最低成本法。</w:t>
      </w:r>
      <w:r>
        <w:rPr>
          <w:rFonts w:hint="eastAsia" w:ascii="仿宋_GB2312" w:hAnsi="仿宋_GB2312" w:eastAsia="仿宋_GB2312" w:cs="仿宋_GB2312"/>
          <w:color w:val="auto"/>
          <w:spacing w:val="7"/>
          <w:sz w:val="32"/>
          <w:szCs w:val="32"/>
        </w:rPr>
        <w:t>是指在绩效目标确定的前提下，</w:t>
      </w:r>
      <w:r>
        <w:rPr>
          <w:rFonts w:hint="eastAsia" w:ascii="仿宋_GB2312" w:hAnsi="仿宋_GB2312" w:eastAsia="仿宋_GB2312" w:cs="仿宋_GB2312"/>
          <w:color w:val="auto"/>
          <w:spacing w:val="6"/>
          <w:sz w:val="32"/>
          <w:szCs w:val="32"/>
        </w:rPr>
        <w:t>成本最</w:t>
      </w:r>
      <w:r>
        <w:rPr>
          <w:rFonts w:hint="eastAsia" w:ascii="仿宋_GB2312" w:hAnsi="仿宋_GB2312" w:eastAsia="仿宋_GB2312" w:cs="仿宋_GB2312"/>
          <w:color w:val="auto"/>
          <w:spacing w:val="5"/>
          <w:sz w:val="32"/>
          <w:szCs w:val="32"/>
        </w:rPr>
        <w:t>小者为优的方法。本次评价将对被评价单位</w:t>
      </w:r>
      <w:r>
        <w:rPr>
          <w:rFonts w:hint="eastAsia" w:ascii="仿宋_GB2312" w:hAnsi="仿宋_GB2312" w:eastAsia="仿宋_GB2312" w:cs="仿宋_GB2312"/>
          <w:color w:val="auto"/>
          <w:spacing w:val="5"/>
          <w:sz w:val="32"/>
          <w:szCs w:val="32"/>
          <w:lang w:val="en-US" w:eastAsia="zh-CN"/>
        </w:rPr>
        <w:t>的自行采购</w:t>
      </w:r>
      <w:r>
        <w:rPr>
          <w:rFonts w:hint="eastAsia" w:ascii="仿宋_GB2312" w:hAnsi="仿宋_GB2312" w:eastAsia="仿宋_GB2312" w:cs="仿宋_GB2312"/>
          <w:color w:val="auto"/>
          <w:spacing w:val="5"/>
          <w:sz w:val="32"/>
          <w:szCs w:val="32"/>
        </w:rPr>
        <w:t>进行分析，评估资金支出是否采用了最低成本实</w:t>
      </w:r>
      <w:r>
        <w:rPr>
          <w:rFonts w:hint="eastAsia" w:ascii="仿宋_GB2312" w:hAnsi="仿宋_GB2312" w:eastAsia="仿宋_GB2312" w:cs="仿宋_GB2312"/>
          <w:color w:val="auto"/>
          <w:spacing w:val="4"/>
          <w:sz w:val="32"/>
          <w:szCs w:val="32"/>
        </w:rPr>
        <w:t>施项目。</w:t>
      </w:r>
    </w:p>
    <w:p>
      <w:pPr>
        <w:keepNext w:val="0"/>
        <w:keepLines w:val="0"/>
        <w:pageBreakBefore w:val="0"/>
        <w:wordWrap/>
        <w:overflowPunct/>
        <w:topLinePunct w:val="0"/>
        <w:bidi w:val="0"/>
        <w:spacing w:before="2" w:line="560" w:lineRule="exact"/>
        <w:ind w:left="2" w:right="272"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4"/>
          <w:sz w:val="32"/>
          <w:szCs w:val="32"/>
        </w:rPr>
        <w:t xml:space="preserve"> </w:t>
      </w:r>
      <w:r>
        <w:rPr>
          <w:rFonts w:hint="eastAsia" w:ascii="仿宋_GB2312" w:hAnsi="仿宋_GB2312" w:eastAsia="仿宋_GB2312" w:cs="仿宋_GB2312"/>
          <w:b/>
          <w:bCs/>
          <w:color w:val="auto"/>
          <w:spacing w:val="7"/>
          <w:sz w:val="32"/>
          <w:szCs w:val="32"/>
        </w:rPr>
        <w:t>4）公众评判法。</w:t>
      </w:r>
      <w:r>
        <w:rPr>
          <w:rFonts w:hint="eastAsia" w:ascii="仿宋_GB2312" w:hAnsi="仿宋_GB2312" w:eastAsia="仿宋_GB2312" w:cs="仿宋_GB2312"/>
          <w:color w:val="auto"/>
          <w:spacing w:val="7"/>
          <w:sz w:val="32"/>
          <w:szCs w:val="32"/>
        </w:rPr>
        <w:t>是指通过公众问卷方式进</w:t>
      </w:r>
      <w:r>
        <w:rPr>
          <w:rFonts w:hint="eastAsia" w:ascii="仿宋_GB2312" w:hAnsi="仿宋_GB2312" w:eastAsia="仿宋_GB2312" w:cs="仿宋_GB2312"/>
          <w:color w:val="auto"/>
          <w:spacing w:val="6"/>
          <w:sz w:val="32"/>
          <w:szCs w:val="32"/>
        </w:rPr>
        <w:t>行评判的方法。</w:t>
      </w:r>
    </w:p>
    <w:p>
      <w:pPr>
        <w:keepNext w:val="0"/>
        <w:keepLines w:val="0"/>
        <w:pageBreakBefore w:val="0"/>
        <w:wordWrap/>
        <w:overflowPunct/>
        <w:topLinePunct w:val="0"/>
        <w:bidi w:val="0"/>
        <w:spacing w:line="560" w:lineRule="exact"/>
        <w:ind w:left="66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3.评价依据</w:t>
      </w:r>
    </w:p>
    <w:p>
      <w:pPr>
        <w:keepNext w:val="0"/>
        <w:keepLines w:val="0"/>
        <w:pageBreakBefore w:val="0"/>
        <w:wordWrap/>
        <w:overflowPunct/>
        <w:topLinePunct w:val="0"/>
        <w:bidi w:val="0"/>
        <w:spacing w:before="188" w:line="560" w:lineRule="exact"/>
        <w:ind w:left="12" w:right="270" w:firstLine="628"/>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本次绩效评价的依据主要包含</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77"/>
          <w:sz w:val="32"/>
          <w:szCs w:val="32"/>
        </w:rPr>
        <w:t xml:space="preserve"> </w:t>
      </w:r>
      <w:r>
        <w:rPr>
          <w:rFonts w:hint="eastAsia" w:ascii="仿宋_GB2312" w:hAnsi="仿宋_GB2312" w:eastAsia="仿宋_GB2312" w:cs="仿宋_GB2312"/>
          <w:color w:val="auto"/>
          <w:spacing w:val="9"/>
          <w:sz w:val="32"/>
          <w:szCs w:val="32"/>
        </w:rPr>
        <w:t>1）国家层面相关法律法规和规章制度</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83"/>
          <w:sz w:val="32"/>
          <w:szCs w:val="32"/>
        </w:rPr>
        <w:t xml:space="preserve"> </w:t>
      </w:r>
      <w:r>
        <w:rPr>
          <w:rFonts w:hint="eastAsia" w:ascii="仿宋_GB2312" w:hAnsi="仿宋_GB2312" w:eastAsia="仿宋_GB2312" w:cs="仿宋_GB2312"/>
          <w:color w:val="auto"/>
          <w:spacing w:val="9"/>
          <w:sz w:val="32"/>
          <w:szCs w:val="32"/>
        </w:rPr>
        <w:t>2）省市预算管理、绩效评价管理制度、办法</w:t>
      </w:r>
      <w:r>
        <w:rPr>
          <w:rFonts w:hint="eastAsia" w:ascii="仿宋_GB2312" w:hAnsi="仿宋_GB2312" w:eastAsia="仿宋_GB2312" w:cs="仿宋_GB2312"/>
          <w:color w:val="auto"/>
          <w:spacing w:val="4"/>
          <w:sz w:val="32"/>
          <w:szCs w:val="32"/>
        </w:rPr>
        <w:t>等</w:t>
      </w:r>
      <w:r>
        <w:rPr>
          <w:rFonts w:hint="eastAsia" w:ascii="仿宋_GB2312" w:hAnsi="仿宋_GB2312" w:eastAsia="仿宋_GB2312" w:cs="仿宋_GB2312"/>
          <w:color w:val="auto"/>
          <w:spacing w:val="-28"/>
          <w:sz w:val="32"/>
          <w:szCs w:val="32"/>
        </w:rPr>
        <w:t>；（</w:t>
      </w:r>
      <w:r>
        <w:rPr>
          <w:rFonts w:hint="eastAsia" w:ascii="仿宋_GB2312" w:hAnsi="仿宋_GB2312" w:eastAsia="仿宋_GB2312" w:cs="仿宋_GB2312"/>
          <w:color w:val="auto"/>
          <w:spacing w:val="-73"/>
          <w:sz w:val="32"/>
          <w:szCs w:val="32"/>
        </w:rPr>
        <w:t xml:space="preserve"> </w:t>
      </w:r>
      <w:r>
        <w:rPr>
          <w:rFonts w:hint="eastAsia" w:ascii="仿宋_GB2312" w:hAnsi="仿宋_GB2312" w:eastAsia="仿宋_GB2312" w:cs="仿宋_GB2312"/>
          <w:color w:val="auto"/>
          <w:spacing w:val="4"/>
          <w:sz w:val="32"/>
          <w:szCs w:val="32"/>
        </w:rPr>
        <w:t>3）项目实施的政策文件及管理办法</w:t>
      </w:r>
      <w:r>
        <w:rPr>
          <w:rFonts w:hint="eastAsia" w:ascii="仿宋_GB2312" w:hAnsi="仿宋_GB2312" w:eastAsia="仿宋_GB2312" w:cs="仿宋_GB2312"/>
          <w:color w:val="auto"/>
          <w:spacing w:val="-28"/>
          <w:sz w:val="32"/>
          <w:szCs w:val="32"/>
        </w:rPr>
        <w:t>；（</w:t>
      </w:r>
      <w:r>
        <w:rPr>
          <w:rFonts w:hint="eastAsia" w:ascii="仿宋_GB2312" w:hAnsi="仿宋_GB2312" w:eastAsia="仿宋_GB2312" w:cs="仿宋_GB2312"/>
          <w:color w:val="auto"/>
          <w:spacing w:val="-85"/>
          <w:sz w:val="32"/>
          <w:szCs w:val="32"/>
        </w:rPr>
        <w:t xml:space="preserve"> </w:t>
      </w:r>
      <w:r>
        <w:rPr>
          <w:rFonts w:hint="eastAsia" w:ascii="仿宋_GB2312" w:hAnsi="仿宋_GB2312" w:eastAsia="仿宋_GB2312" w:cs="仿宋_GB2312"/>
          <w:color w:val="auto"/>
          <w:spacing w:val="4"/>
          <w:sz w:val="32"/>
          <w:szCs w:val="32"/>
        </w:rPr>
        <w:t>4）被评价对象相关资料四类。</w:t>
      </w:r>
    </w:p>
    <w:p>
      <w:pPr>
        <w:keepNext w:val="0"/>
        <w:keepLines w:val="0"/>
        <w:pageBreakBefore w:val="0"/>
        <w:wordWrap/>
        <w:overflowPunct/>
        <w:topLinePunct w:val="0"/>
        <w:bidi w:val="0"/>
        <w:spacing w:before="2" w:line="560" w:lineRule="exact"/>
        <w:ind w:left="632"/>
        <w:rPr>
          <w:rFonts w:hint="eastAsia" w:ascii="楷体" w:hAnsi="楷体" w:eastAsia="楷体" w:cs="楷体"/>
          <w:color w:val="auto"/>
          <w:sz w:val="32"/>
          <w:szCs w:val="32"/>
        </w:rPr>
      </w:pPr>
      <w:r>
        <w:rPr>
          <w:rFonts w:hint="eastAsia" w:ascii="楷体" w:hAnsi="楷体" w:eastAsia="楷体" w:cs="楷体"/>
          <w:color w:val="auto"/>
          <w:spacing w:val="2"/>
          <w:sz w:val="32"/>
          <w:szCs w:val="32"/>
        </w:rPr>
        <w:t>（</w:t>
      </w:r>
      <w:r>
        <w:rPr>
          <w:rFonts w:hint="eastAsia" w:ascii="楷体" w:hAnsi="楷体" w:eastAsia="楷体" w:cs="楷体"/>
          <w:color w:val="auto"/>
          <w:spacing w:val="-75"/>
          <w:sz w:val="32"/>
          <w:szCs w:val="32"/>
        </w:rPr>
        <w:t xml:space="preserve"> </w:t>
      </w:r>
      <w:r>
        <w:rPr>
          <w:rFonts w:hint="eastAsia" w:ascii="楷体" w:hAnsi="楷体" w:eastAsia="楷体" w:cs="楷体"/>
          <w:color w:val="auto"/>
          <w:spacing w:val="2"/>
          <w:sz w:val="32"/>
          <w:szCs w:val="32"/>
        </w:rPr>
        <w:t>四）绩效评价工作过程</w:t>
      </w:r>
    </w:p>
    <w:p>
      <w:pPr>
        <w:keepNext w:val="0"/>
        <w:keepLines w:val="0"/>
        <w:pageBreakBefore w:val="0"/>
        <w:wordWrap/>
        <w:overflowPunct/>
        <w:topLinePunct w:val="0"/>
        <w:bidi w:val="0"/>
        <w:spacing w:before="191" w:line="560" w:lineRule="exact"/>
        <w:ind w:firstLine="66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本次评价工作将分以下</w:t>
      </w:r>
      <w:r>
        <w:rPr>
          <w:rFonts w:hint="eastAsia" w:ascii="仿宋_GB2312" w:hAnsi="仿宋_GB2312" w:eastAsia="仿宋_GB2312" w:cs="仿宋_GB2312"/>
          <w:color w:val="auto"/>
          <w:spacing w:val="-46"/>
          <w:sz w:val="32"/>
          <w:szCs w:val="32"/>
        </w:rPr>
        <w:t xml:space="preserve"> </w:t>
      </w:r>
      <w:r>
        <w:rPr>
          <w:rFonts w:hint="eastAsia" w:ascii="仿宋_GB2312" w:hAnsi="仿宋_GB2312" w:eastAsia="仿宋_GB2312" w:cs="仿宋_GB2312"/>
          <w:color w:val="auto"/>
          <w:spacing w:val="7"/>
          <w:sz w:val="32"/>
          <w:szCs w:val="32"/>
        </w:rPr>
        <w:t>6</w:t>
      </w:r>
      <w:r>
        <w:rPr>
          <w:rFonts w:hint="eastAsia" w:ascii="仿宋_GB2312" w:hAnsi="仿宋_GB2312" w:eastAsia="仿宋_GB2312" w:cs="仿宋_GB2312"/>
          <w:color w:val="auto"/>
          <w:spacing w:val="-60"/>
          <w:sz w:val="32"/>
          <w:szCs w:val="32"/>
        </w:rPr>
        <w:t xml:space="preserve"> </w:t>
      </w:r>
      <w:r>
        <w:rPr>
          <w:rFonts w:hint="eastAsia" w:ascii="仿宋_GB2312" w:hAnsi="仿宋_GB2312" w:eastAsia="仿宋_GB2312" w:cs="仿宋_GB2312"/>
          <w:color w:val="auto"/>
          <w:spacing w:val="7"/>
          <w:sz w:val="32"/>
          <w:szCs w:val="32"/>
        </w:rPr>
        <w:t>个阶段进行，开展情况如</w:t>
      </w:r>
      <w:r>
        <w:rPr>
          <w:rFonts w:hint="eastAsia" w:ascii="仿宋_GB2312" w:hAnsi="仿宋_GB2312" w:eastAsia="仿宋_GB2312" w:cs="仿宋_GB2312"/>
          <w:color w:val="auto"/>
          <w:spacing w:val="7"/>
          <w:sz w:val="32"/>
          <w:szCs w:val="32"/>
          <w:lang w:eastAsia="zh-CN"/>
        </w:rPr>
        <w:t>下</w:t>
      </w:r>
      <w:r>
        <w:rPr>
          <w:rFonts w:hint="eastAsia" w:ascii="仿宋_GB2312" w:hAnsi="仿宋_GB2312" w:eastAsia="仿宋_GB2312" w:cs="仿宋_GB2312"/>
          <w:color w:val="auto"/>
          <w:spacing w:val="7"/>
          <w:sz w:val="32"/>
          <w:szCs w:val="32"/>
        </w:rPr>
        <w:t>：</w:t>
      </w:r>
    </w:p>
    <w:p>
      <w:pPr>
        <w:keepNext w:val="0"/>
        <w:keepLines w:val="0"/>
        <w:pageBreakBefore w:val="0"/>
        <w:wordWrap/>
        <w:overflowPunct/>
        <w:topLinePunct w:val="0"/>
        <w:bidi w:val="0"/>
        <w:spacing w:before="188" w:line="560" w:lineRule="exact"/>
        <w:ind w:left="66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1.前期准备</w:t>
      </w:r>
    </w:p>
    <w:p>
      <w:pPr>
        <w:keepNext w:val="0"/>
        <w:keepLines w:val="0"/>
        <w:pageBreakBefore w:val="0"/>
        <w:wordWrap/>
        <w:overflowPunct/>
        <w:topLinePunct w:val="0"/>
        <w:bidi w:val="0"/>
        <w:spacing w:before="188" w:line="560" w:lineRule="exact"/>
        <w:ind w:right="270" w:firstLine="64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本阶段主要包含单位对接、资料整理</w:t>
      </w:r>
      <w:r>
        <w:rPr>
          <w:rFonts w:hint="eastAsia" w:ascii="仿宋_GB2312" w:hAnsi="仿宋_GB2312" w:eastAsia="仿宋_GB2312" w:cs="仿宋_GB2312"/>
          <w:color w:val="auto"/>
          <w:spacing w:val="5"/>
          <w:sz w:val="32"/>
          <w:szCs w:val="32"/>
          <w:lang w:eastAsia="zh-CN"/>
        </w:rPr>
        <w:t>、方案撰写</w:t>
      </w:r>
      <w:r>
        <w:rPr>
          <w:rFonts w:hint="eastAsia" w:ascii="仿宋_GB2312" w:hAnsi="仿宋_GB2312" w:eastAsia="仿宋_GB2312" w:cs="仿宋_GB2312"/>
          <w:color w:val="auto"/>
          <w:spacing w:val="5"/>
          <w:sz w:val="32"/>
          <w:szCs w:val="32"/>
        </w:rPr>
        <w:t>三个环节。</w:t>
      </w:r>
    </w:p>
    <w:p>
      <w:pPr>
        <w:keepNext w:val="0"/>
        <w:keepLines w:val="0"/>
        <w:pageBreakBefore w:val="0"/>
        <w:wordWrap/>
        <w:overflowPunct/>
        <w:topLinePunct w:val="0"/>
        <w:bidi w:val="0"/>
        <w:spacing w:before="190" w:line="560" w:lineRule="exact"/>
        <w:ind w:left="65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2.组织实施</w:t>
      </w:r>
    </w:p>
    <w:p>
      <w:pPr>
        <w:keepNext w:val="0"/>
        <w:keepLines w:val="0"/>
        <w:pageBreakBefore w:val="0"/>
        <w:wordWrap/>
        <w:overflowPunct/>
        <w:topLinePunct w:val="0"/>
        <w:bidi w:val="0"/>
        <w:spacing w:before="188" w:line="560" w:lineRule="exact"/>
        <w:ind w:right="270"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本阶段主要包含书面评审、现场调研计划确定、现场评价三个环节。其中，现场评价主要采用座谈访谈、资料核查、实地勘察、</w:t>
      </w:r>
      <w:r>
        <w:rPr>
          <w:rFonts w:hint="eastAsia" w:ascii="仿宋_GB2312" w:hAnsi="仿宋_GB2312" w:eastAsia="仿宋_GB2312" w:cs="仿宋_GB2312"/>
          <w:color w:val="auto"/>
          <w:spacing w:val="-88"/>
          <w:sz w:val="32"/>
          <w:szCs w:val="32"/>
        </w:rPr>
        <w:t xml:space="preserve"> </w:t>
      </w:r>
      <w:r>
        <w:rPr>
          <w:rFonts w:hint="eastAsia" w:ascii="仿宋_GB2312" w:hAnsi="仿宋_GB2312" w:eastAsia="仿宋_GB2312" w:cs="仿宋_GB2312"/>
          <w:color w:val="auto"/>
          <w:spacing w:val="5"/>
          <w:sz w:val="32"/>
          <w:szCs w:val="32"/>
        </w:rPr>
        <w:t>问卷调查等方法实施。具体情况为：</w:t>
      </w:r>
    </w:p>
    <w:p>
      <w:pPr>
        <w:keepNext w:val="0"/>
        <w:keepLines w:val="0"/>
        <w:pageBreakBefore w:val="0"/>
        <w:wordWrap/>
        <w:overflowPunct/>
        <w:topLinePunct w:val="0"/>
        <w:bidi w:val="0"/>
        <w:spacing w:before="8" w:line="560" w:lineRule="exact"/>
        <w:ind w:left="6" w:firstLine="62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1）座谈访谈。</w:t>
      </w:r>
      <w:r>
        <w:rPr>
          <w:rFonts w:hint="eastAsia" w:ascii="仿宋_GB2312" w:hAnsi="仿宋_GB2312" w:eastAsia="仿宋_GB2312" w:cs="仿宋_GB2312"/>
          <w:color w:val="auto"/>
          <w:spacing w:val="7"/>
          <w:sz w:val="32"/>
          <w:szCs w:val="32"/>
        </w:rPr>
        <w:t>评价小组与</w:t>
      </w:r>
      <w:r>
        <w:rPr>
          <w:rFonts w:hint="eastAsia" w:ascii="仿宋_GB2312" w:hAnsi="仿宋_GB2312" w:eastAsia="仿宋_GB2312" w:cs="仿宋_GB2312"/>
          <w:color w:val="auto"/>
          <w:spacing w:val="7"/>
          <w:sz w:val="32"/>
          <w:szCs w:val="32"/>
          <w:lang w:val="en-US" w:eastAsia="zh-CN"/>
        </w:rPr>
        <w:t>各行业协会业务负责人</w:t>
      </w:r>
      <w:r>
        <w:rPr>
          <w:rFonts w:hint="eastAsia" w:ascii="仿宋_GB2312" w:hAnsi="仿宋_GB2312" w:eastAsia="仿宋_GB2312" w:cs="仿宋_GB2312"/>
          <w:color w:val="auto"/>
          <w:spacing w:val="4"/>
          <w:sz w:val="32"/>
          <w:szCs w:val="32"/>
        </w:rPr>
        <w:t>等进行座谈，主要了解</w:t>
      </w:r>
      <w:r>
        <w:rPr>
          <w:rFonts w:hint="eastAsia" w:ascii="仿宋_GB2312" w:hAnsi="仿宋_GB2312" w:eastAsia="仿宋_GB2312" w:cs="仿宋_GB2312"/>
          <w:color w:val="auto"/>
          <w:spacing w:val="-97"/>
          <w:sz w:val="32"/>
          <w:szCs w:val="32"/>
        </w:rPr>
        <w:t xml:space="preserve"> </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97"/>
          <w:sz w:val="32"/>
          <w:szCs w:val="32"/>
        </w:rPr>
        <w:t xml:space="preserve"> </w:t>
      </w:r>
      <w:r>
        <w:rPr>
          <w:rFonts w:hint="eastAsia" w:ascii="仿宋_GB2312" w:hAnsi="仿宋_GB2312" w:eastAsia="仿宋_GB2312" w:cs="仿宋_GB2312"/>
          <w:color w:val="auto"/>
          <w:spacing w:val="4"/>
          <w:sz w:val="32"/>
          <w:szCs w:val="32"/>
        </w:rPr>
        <w:t>支持行业协会发展专项”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项目工作开展情况（包括资金安排、工作开展、取得绩效、存在问题等）、项目实施情况（包括项目内容完成、</w:t>
      </w:r>
      <w:r>
        <w:rPr>
          <w:rFonts w:hint="eastAsia" w:ascii="仿宋_GB2312" w:hAnsi="仿宋_GB2312" w:eastAsia="仿宋_GB2312" w:cs="仿宋_GB2312"/>
          <w:color w:val="auto"/>
          <w:spacing w:val="5"/>
          <w:sz w:val="32"/>
          <w:szCs w:val="32"/>
          <w:lang w:val="en-US" w:eastAsia="zh-CN"/>
        </w:rPr>
        <w:t>协会</w:t>
      </w:r>
      <w:r>
        <w:rPr>
          <w:rFonts w:hint="eastAsia" w:ascii="仿宋_GB2312" w:hAnsi="仿宋_GB2312" w:eastAsia="仿宋_GB2312" w:cs="仿宋_GB2312"/>
          <w:color w:val="auto"/>
          <w:spacing w:val="3"/>
          <w:sz w:val="32"/>
          <w:szCs w:val="32"/>
        </w:rPr>
        <w:t>受益情况等）。</w:t>
      </w:r>
    </w:p>
    <w:p>
      <w:pPr>
        <w:keepNext w:val="0"/>
        <w:keepLines w:val="0"/>
        <w:pageBreakBefore w:val="0"/>
        <w:wordWrap/>
        <w:overflowPunct/>
        <w:topLinePunct w:val="0"/>
        <w:bidi w:val="0"/>
        <w:spacing w:before="183" w:line="560" w:lineRule="exact"/>
        <w:ind w:left="2" w:right="95" w:firstLine="626"/>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2）资料核查。</w:t>
      </w:r>
      <w:r>
        <w:rPr>
          <w:rFonts w:hint="eastAsia" w:ascii="仿宋_GB2312" w:hAnsi="仿宋_GB2312" w:eastAsia="仿宋_GB2312" w:cs="仿宋_GB2312"/>
          <w:color w:val="auto"/>
          <w:spacing w:val="7"/>
          <w:sz w:val="32"/>
          <w:szCs w:val="32"/>
        </w:rPr>
        <w:t>评价小组对项目实施的各类档案资料</w:t>
      </w:r>
      <w:r>
        <w:rPr>
          <w:rFonts w:hint="eastAsia" w:ascii="仿宋_GB2312" w:hAnsi="仿宋_GB2312" w:eastAsia="仿宋_GB2312" w:cs="仿宋_GB2312"/>
          <w:color w:val="auto"/>
          <w:spacing w:val="5"/>
          <w:sz w:val="32"/>
          <w:szCs w:val="32"/>
        </w:rPr>
        <w:t>进行核查，评估各项工作</w:t>
      </w:r>
      <w:r>
        <w:rPr>
          <w:rFonts w:hint="eastAsia" w:ascii="仿宋_GB2312" w:hAnsi="仿宋_GB2312" w:eastAsia="仿宋_GB2312" w:cs="仿宋_GB2312"/>
          <w:color w:val="auto"/>
          <w:spacing w:val="4"/>
          <w:sz w:val="32"/>
          <w:szCs w:val="32"/>
        </w:rPr>
        <w:t>落实情况。</w:t>
      </w:r>
    </w:p>
    <w:p>
      <w:pPr>
        <w:keepNext w:val="0"/>
        <w:keepLines w:val="0"/>
        <w:pageBreakBefore w:val="0"/>
        <w:wordWrap/>
        <w:overflowPunct/>
        <w:topLinePunct w:val="0"/>
        <w:bidi w:val="0"/>
        <w:spacing w:before="183" w:line="560" w:lineRule="exact"/>
        <w:ind w:left="2" w:right="97" w:firstLine="626"/>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w:t>
      </w:r>
      <w:r>
        <w:rPr>
          <w:rFonts w:hint="eastAsia" w:ascii="仿宋_GB2312" w:hAnsi="仿宋_GB2312" w:eastAsia="仿宋_GB2312" w:cs="仿宋_GB2312"/>
          <w:color w:val="auto"/>
          <w:spacing w:val="-58"/>
          <w:sz w:val="32"/>
          <w:szCs w:val="32"/>
        </w:rPr>
        <w:t xml:space="preserve"> </w:t>
      </w:r>
      <w:r>
        <w:rPr>
          <w:rFonts w:hint="eastAsia" w:ascii="仿宋_GB2312" w:hAnsi="仿宋_GB2312" w:eastAsia="仿宋_GB2312" w:cs="仿宋_GB2312"/>
          <w:b/>
          <w:bCs/>
          <w:color w:val="auto"/>
          <w:spacing w:val="-1"/>
          <w:sz w:val="32"/>
          <w:szCs w:val="32"/>
        </w:rPr>
        <w:t>3</w:t>
      </w:r>
      <w:r>
        <w:rPr>
          <w:rFonts w:hint="eastAsia" w:ascii="仿宋_GB2312" w:hAnsi="仿宋_GB2312" w:eastAsia="仿宋_GB2312" w:cs="仿宋_GB2312"/>
          <w:color w:val="auto"/>
          <w:spacing w:val="-65"/>
          <w:sz w:val="32"/>
          <w:szCs w:val="32"/>
        </w:rPr>
        <w:t xml:space="preserve"> </w:t>
      </w:r>
      <w:r>
        <w:rPr>
          <w:rFonts w:hint="eastAsia" w:ascii="仿宋_GB2312" w:hAnsi="仿宋_GB2312" w:eastAsia="仿宋_GB2312" w:cs="仿宋_GB2312"/>
          <w:b/>
          <w:bCs/>
          <w:color w:val="auto"/>
          <w:spacing w:val="-1"/>
          <w:sz w:val="32"/>
          <w:szCs w:val="32"/>
        </w:rPr>
        <w:t>）实地勘察。</w:t>
      </w:r>
      <w:r>
        <w:rPr>
          <w:rFonts w:hint="eastAsia" w:ascii="仿宋_GB2312" w:hAnsi="仿宋_GB2312" w:eastAsia="仿宋_GB2312" w:cs="仿宋_GB2312"/>
          <w:color w:val="auto"/>
          <w:spacing w:val="-1"/>
          <w:sz w:val="32"/>
          <w:szCs w:val="32"/>
        </w:rPr>
        <w:t>评价小组对</w:t>
      </w:r>
      <w:r>
        <w:rPr>
          <w:rFonts w:hint="eastAsia" w:ascii="仿宋_GB2312" w:hAnsi="仿宋_GB2312" w:eastAsia="仿宋_GB2312" w:cs="仿宋_GB2312"/>
          <w:color w:val="auto"/>
          <w:spacing w:val="-1"/>
          <w:sz w:val="32"/>
          <w:szCs w:val="32"/>
          <w:lang w:val="en-US" w:eastAsia="zh-CN"/>
        </w:rPr>
        <w:t>行业协会</w:t>
      </w:r>
      <w:r>
        <w:rPr>
          <w:rFonts w:hint="eastAsia" w:ascii="仿宋_GB2312" w:hAnsi="仿宋_GB2312" w:eastAsia="仿宋_GB2312" w:cs="仿宋_GB2312"/>
          <w:color w:val="auto"/>
          <w:spacing w:val="5"/>
          <w:sz w:val="32"/>
          <w:szCs w:val="32"/>
        </w:rPr>
        <w:t>进行实地走访勘察，了解各项目成果的后续应用情况，实地勘察</w:t>
      </w:r>
      <w:r>
        <w:rPr>
          <w:rFonts w:hint="eastAsia" w:ascii="仿宋_GB2312" w:hAnsi="仿宋_GB2312" w:eastAsia="仿宋_GB2312" w:cs="仿宋_GB2312"/>
          <w:color w:val="auto"/>
          <w:spacing w:val="5"/>
          <w:sz w:val="32"/>
          <w:szCs w:val="32"/>
          <w:lang w:eastAsia="zh-CN"/>
        </w:rPr>
        <w:t>资金</w:t>
      </w:r>
      <w:r>
        <w:rPr>
          <w:rFonts w:hint="eastAsia" w:ascii="仿宋_GB2312" w:hAnsi="仿宋_GB2312" w:eastAsia="仿宋_GB2312" w:cs="仿宋_GB2312"/>
          <w:color w:val="auto"/>
          <w:spacing w:val="5"/>
          <w:sz w:val="32"/>
          <w:szCs w:val="32"/>
        </w:rPr>
        <w:t>使用</w:t>
      </w:r>
      <w:r>
        <w:rPr>
          <w:rFonts w:hint="eastAsia" w:ascii="仿宋_GB2312" w:hAnsi="仿宋_GB2312" w:eastAsia="仿宋_GB2312" w:cs="仿宋_GB2312"/>
          <w:color w:val="auto"/>
          <w:sz w:val="32"/>
          <w:szCs w:val="32"/>
        </w:rPr>
        <w:t>情况。</w:t>
      </w:r>
    </w:p>
    <w:p>
      <w:pPr>
        <w:keepNext w:val="0"/>
        <w:keepLines w:val="0"/>
        <w:pageBreakBefore w:val="0"/>
        <w:wordWrap/>
        <w:overflowPunct/>
        <w:topLinePunct w:val="0"/>
        <w:bidi w:val="0"/>
        <w:spacing w:before="186" w:line="560" w:lineRule="exact"/>
        <w:ind w:left="62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rPr>
        <w:t>（</w:t>
      </w:r>
      <w:r>
        <w:rPr>
          <w:rFonts w:hint="eastAsia" w:ascii="仿宋_GB2312" w:hAnsi="仿宋_GB2312" w:eastAsia="仿宋_GB2312" w:cs="仿宋_GB2312"/>
          <w:color w:val="auto"/>
          <w:spacing w:val="-73"/>
          <w:sz w:val="32"/>
          <w:szCs w:val="32"/>
        </w:rPr>
        <w:t xml:space="preserve"> </w:t>
      </w:r>
      <w:r>
        <w:rPr>
          <w:rFonts w:hint="eastAsia" w:ascii="仿宋_GB2312" w:hAnsi="仿宋_GB2312" w:eastAsia="仿宋_GB2312" w:cs="仿宋_GB2312"/>
          <w:b/>
          <w:bCs/>
          <w:color w:val="auto"/>
          <w:spacing w:val="5"/>
          <w:sz w:val="32"/>
          <w:szCs w:val="32"/>
        </w:rPr>
        <w:t>4）问卷调查。</w:t>
      </w:r>
      <w:r>
        <w:rPr>
          <w:rFonts w:hint="eastAsia" w:ascii="仿宋_GB2312" w:hAnsi="仿宋_GB2312" w:eastAsia="仿宋_GB2312" w:cs="仿宋_GB2312"/>
          <w:color w:val="auto"/>
          <w:spacing w:val="5"/>
          <w:sz w:val="32"/>
          <w:szCs w:val="32"/>
        </w:rPr>
        <w:t>采用已有的问卷调查结果进行分析。</w:t>
      </w:r>
    </w:p>
    <w:p>
      <w:pPr>
        <w:keepNext w:val="0"/>
        <w:keepLines w:val="0"/>
        <w:pageBreakBefore w:val="0"/>
        <w:wordWrap/>
        <w:overflowPunct/>
        <w:topLinePunct w:val="0"/>
        <w:bidi w:val="0"/>
        <w:spacing w:before="190" w:line="560" w:lineRule="exact"/>
        <w:ind w:left="661"/>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3"/>
          <w:sz w:val="32"/>
          <w:szCs w:val="32"/>
        </w:rPr>
        <w:t>3.综合分析与报告撰写</w:t>
      </w:r>
    </w:p>
    <w:p>
      <w:pPr>
        <w:keepNext w:val="0"/>
        <w:keepLines w:val="0"/>
        <w:pageBreakBefore w:val="0"/>
        <w:wordWrap/>
        <w:overflowPunct/>
        <w:topLinePunct w:val="0"/>
        <w:bidi w:val="0"/>
        <w:spacing w:before="186" w:line="560" w:lineRule="exact"/>
        <w:ind w:left="63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本阶段主要包含综合分析及报告撰写两个环节。</w:t>
      </w:r>
    </w:p>
    <w:p>
      <w:pPr>
        <w:keepNext w:val="0"/>
        <w:keepLines w:val="0"/>
        <w:pageBreakBefore w:val="0"/>
        <w:wordWrap/>
        <w:overflowPunct/>
        <w:topLinePunct w:val="0"/>
        <w:bidi w:val="0"/>
        <w:spacing w:before="187" w:line="560" w:lineRule="exact"/>
        <w:ind w:left="648"/>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4.报告意见征集与修改</w:t>
      </w:r>
    </w:p>
    <w:p>
      <w:pPr>
        <w:keepNext w:val="0"/>
        <w:keepLines w:val="0"/>
        <w:pageBreakBefore w:val="0"/>
        <w:wordWrap/>
        <w:overflowPunct/>
        <w:topLinePunct w:val="0"/>
        <w:bidi w:val="0"/>
        <w:spacing w:before="188" w:line="560" w:lineRule="exact"/>
        <w:ind w:left="63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本阶段主要包含报告意见征集</w:t>
      </w:r>
      <w:r>
        <w:rPr>
          <w:rFonts w:hint="eastAsia" w:ascii="仿宋_GB2312" w:hAnsi="仿宋_GB2312" w:eastAsia="仿宋_GB2312" w:cs="仿宋_GB2312"/>
          <w:b/>
          <w:bCs/>
          <w:color w:val="auto"/>
          <w:spacing w:val="8"/>
          <w:sz w:val="32"/>
          <w:szCs w:val="32"/>
        </w:rPr>
        <w:t>、</w:t>
      </w:r>
      <w:r>
        <w:rPr>
          <w:rFonts w:hint="eastAsia" w:ascii="仿宋_GB2312" w:hAnsi="仿宋_GB2312" w:eastAsia="仿宋_GB2312" w:cs="仿宋_GB2312"/>
          <w:color w:val="auto"/>
          <w:spacing w:val="8"/>
          <w:sz w:val="32"/>
          <w:szCs w:val="32"/>
        </w:rPr>
        <w:t>报告修改两个环节。</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rPr>
      </w:pPr>
      <w:bookmarkStart w:id="13" w:name="bookmark35"/>
      <w:bookmarkEnd w:id="13"/>
      <w:bookmarkStart w:id="14" w:name="bookmark36"/>
      <w:bookmarkEnd w:id="14"/>
      <w:r>
        <w:rPr>
          <w:rFonts w:hint="eastAsia" w:ascii="黑体" w:hAnsi="黑体" w:eastAsia="黑体" w:cs="黑体"/>
          <w:color w:val="auto"/>
          <w:spacing w:val="7"/>
          <w:sz w:val="32"/>
          <w:szCs w:val="32"/>
        </w:rPr>
        <w:t>三、</w:t>
      </w:r>
      <w:r>
        <w:rPr>
          <w:rFonts w:hint="eastAsia" w:ascii="黑体" w:hAnsi="黑体" w:eastAsia="黑体" w:cs="黑体"/>
          <w:color w:val="auto"/>
          <w:spacing w:val="7"/>
          <w:sz w:val="32"/>
          <w:szCs w:val="32"/>
          <w:lang w:val="en-US" w:eastAsia="zh-CN"/>
        </w:rPr>
        <w:t>综合</w:t>
      </w:r>
      <w:r>
        <w:rPr>
          <w:rFonts w:hint="eastAsia" w:ascii="黑体" w:hAnsi="黑体" w:eastAsia="黑体" w:cs="黑体"/>
          <w:color w:val="auto"/>
          <w:spacing w:val="7"/>
          <w:sz w:val="32"/>
          <w:szCs w:val="32"/>
        </w:rPr>
        <w:t>评价</w:t>
      </w:r>
      <w:r>
        <w:rPr>
          <w:rFonts w:hint="eastAsia" w:ascii="黑体" w:hAnsi="黑体" w:eastAsia="黑体" w:cs="黑体"/>
          <w:color w:val="auto"/>
          <w:spacing w:val="7"/>
          <w:sz w:val="32"/>
          <w:szCs w:val="32"/>
          <w:lang w:val="en-US" w:eastAsia="zh-CN"/>
        </w:rPr>
        <w:t>情况及评价</w:t>
      </w:r>
      <w:r>
        <w:rPr>
          <w:rFonts w:hint="eastAsia" w:ascii="黑体" w:hAnsi="黑体" w:eastAsia="黑体" w:cs="黑体"/>
          <w:color w:val="auto"/>
          <w:spacing w:val="7"/>
          <w:sz w:val="32"/>
          <w:szCs w:val="32"/>
        </w:rPr>
        <w:t>结论</w:t>
      </w:r>
    </w:p>
    <w:p>
      <w:pPr>
        <w:keepNext w:val="0"/>
        <w:keepLines w:val="0"/>
        <w:pageBreakBefore w:val="0"/>
        <w:widowControl w:val="0"/>
        <w:kinsoku/>
        <w:wordWrap/>
        <w:overflowPunct/>
        <w:topLinePunct w:val="0"/>
        <w:autoSpaceDE/>
        <w:autoSpaceDN/>
        <w:bidi w:val="0"/>
        <w:adjustRightInd/>
        <w:snapToGrid/>
        <w:spacing w:before="101" w:line="560" w:lineRule="exact"/>
        <w:ind w:right="231" w:firstLine="660" w:firstLineChars="200"/>
        <w:jc w:val="both"/>
        <w:textAlignment w:val="auto"/>
        <w:rPr>
          <w:rFonts w:hint="eastAsia" w:ascii="仿宋_GB2312" w:hAnsi="仿宋_GB2312" w:eastAsia="仿宋_GB2312" w:cs="仿宋_GB2312"/>
          <w:color w:val="auto"/>
          <w:spacing w:val="5"/>
          <w:sz w:val="32"/>
          <w:szCs w:val="32"/>
          <w:lang w:val="en-US" w:eastAsia="zh-CN"/>
        </w:rPr>
      </w:pPr>
      <w:bookmarkStart w:id="15" w:name="bookmark14"/>
      <w:bookmarkEnd w:id="15"/>
      <w:r>
        <w:rPr>
          <w:rFonts w:hint="eastAsia" w:ascii="仿宋_GB2312" w:hAnsi="仿宋_GB2312" w:eastAsia="仿宋_GB2312" w:cs="仿宋_GB2312"/>
          <w:color w:val="auto"/>
          <w:spacing w:val="5"/>
          <w:sz w:val="32"/>
          <w:szCs w:val="32"/>
          <w:lang w:val="en-US" w:eastAsia="zh-CN"/>
        </w:rPr>
        <w:t>评价小组根据评价指标体系、评分标准，结合被评价单位提供的自评资料、现场核查、问卷调查等方式获取的项目信息，从决策、过程、产出和效益四个方面对本项目进行综合评价，得分 98.03分，评价等级为“优”。</w:t>
      </w:r>
    </w:p>
    <w:p>
      <w:pPr>
        <w:keepNext w:val="0"/>
        <w:keepLines w:val="0"/>
        <w:pageBreakBefore w:val="0"/>
        <w:widowControl w:val="0"/>
        <w:kinsoku/>
        <w:wordWrap/>
        <w:overflowPunct/>
        <w:topLinePunct w:val="0"/>
        <w:autoSpaceDE/>
        <w:autoSpaceDN/>
        <w:bidi w:val="0"/>
        <w:adjustRightInd/>
        <w:snapToGrid/>
        <w:spacing w:before="101" w:line="560" w:lineRule="exact"/>
        <w:ind w:right="231" w:firstLine="66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2024年支持行业协会发展专项资金大大支持了行业协会规范内部建设，优化龙岗营商环境，重点培育和优先发展服务经济、服务产业的行业协会，提升行业协会服务经济发展、规范行业行为、推动行业高质量发展的能力，引导行业协会在加快建成现代化经济体系中发挥积极作用，实现龙岗区经济发展行稳致远，但受资助的个别行业协会在财务核算和资金支出管理上存在不规范问题。</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四、主要的经验及做法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行业协会发展扶持资金的使用取得了积极成效，大大支持了行业协会助力行业发展和内部规范建设的活动，鼓励行业协会发挥作用，优化营商环境，为行业协会高质量发展提供了坚实保障。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 xml:space="preserve">（一）制度先行，为项目尽快落实提供了保障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龙岗区民政局和龙岗区财政局共同制定了《深圳市龙岗区民政专项资金管理办法》（深龙民规〔2023〕3号）、龙岗区民政局和龙岗区工业和信息化局共同制定了《深圳市龙岗区民政专项资金支持行业协会发展实施细则》（深龙民规〔2023〕4 号）。为做好行业协会发展扶持项目的申报工作，制定了《2024年龙岗区民政专项资金支持行业发展扶持项目申报指南》，为</w:t>
      </w:r>
      <w:r>
        <w:rPr>
          <w:rFonts w:hint="eastAsia" w:ascii="仿宋_GB2312" w:hAnsi="仿宋_GB2312" w:eastAsia="仿宋_GB2312" w:cs="仿宋_GB2312"/>
          <w:b w:val="0"/>
          <w:bCs w:val="0"/>
          <w:color w:val="auto"/>
          <w:spacing w:val="5"/>
          <w:sz w:val="32"/>
          <w:szCs w:val="32"/>
          <w:lang w:val="en-US" w:eastAsia="zh-CN"/>
        </w:rPr>
        <w:t>项目尽快落实提供了保障。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（二）过程监督，提升专项资金使用效能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b w:val="0"/>
          <w:bCs w:val="0"/>
          <w:color w:val="auto"/>
          <w:spacing w:val="5"/>
          <w:sz w:val="32"/>
          <w:szCs w:val="32"/>
          <w:lang w:val="en-US" w:eastAsia="zh-CN"/>
        </w:rPr>
        <w:t>为确保专项资金规范高效使用，龙岗区民政局在项目实施过程中着力强化过程监督机制。委托专业会计师事务所对专项资金的使用管理进行全程跟踪与专业审计，深入了解项目实施进展、资金具体流向及实际成效，有效提升了资金使用的透明度、合规性和整体管理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（三）2024年行业协会发展扶持资金具体用途及成效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b w:val="0"/>
          <w:bCs w:val="0"/>
          <w:color w:val="auto"/>
          <w:spacing w:val="5"/>
          <w:sz w:val="32"/>
          <w:szCs w:val="32"/>
          <w:lang w:val="en-US" w:eastAsia="zh-CN"/>
        </w:rPr>
        <w:t>1.龙岗区民营企业商会成功举办了“寻乌铸信念 商路</w:t>
      </w:r>
      <w:r>
        <w:rPr>
          <w:rFonts w:hint="eastAsia" w:ascii="仿宋_GB2312" w:hAnsi="仿宋_GB2312" w:eastAsia="仿宋_GB2312" w:cs="仿宋_GB2312"/>
          <w:color w:val="auto"/>
          <w:spacing w:val="5"/>
          <w:sz w:val="32"/>
          <w:szCs w:val="32"/>
          <w:lang w:val="en-US" w:eastAsia="zh-CN"/>
        </w:rPr>
        <w:t>启新程”——龙岗区民营企业商会交流行。此次活动，一是召开会员大会，增强商会的凝聚力，通过会员交流会，回顾民企商会过去 20多年的发展历程，为会员搭建了深度交流的平台，促进了会员间的互动与合作，显著提升了商会的凝聚力，扩大了其在各界的影响力，为商会未来发展奠定了坚实基础；二是加强区域交流合作，通过举办民营企业家交流暨政企座谈会，为龙岗与寻乌两地民营企业搭建了交流合作的桥梁，推动跨地区经济合作与发展；三是传承红色精神，深化民营企业家理想信念教育；四是助力乡村振兴，响应“百千万工程”与龙岗区扶贫助农政策，深入了解寻乌特色农业发展现状，通过“以购代捐、以买代帮”开展消费帮扶活动，帮助当地经济发展，实现了经济效益与社会效益的双重丰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龙岗区交通运输协会为学习长三角地区机动车维修行业先进管理经验，推动行业高质量发展，组织班子成员前往江浙地区开展考察交流活动。通过实地考察和深入交流，全面学习了江浙地区在行业标准化建设、绿色新能源维修技术应用及数字化管理等方面的先进经验。此次考察活动不仅深化了与江浙同行的交流合作，更为龙岗区机动车维修行业转型升级开拓了新思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横岗街道商会成功举办了“有商机”发布大会暨工商联（商会）高质量发展大会，活动成果显著，参会企业近300家，创历史新高，募集资金138万元，新入会企业26家，活动宣传推介20篇，总浏览量达151万，连创多个历史新高。大会发布系列助企惠企新举措，以真招实招优化营商环境。现场AI数字人“横小智”发布“我为企业搭场景”“我为企业找市场”“我为企业找资源”有商机清单，解码营商新机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龙岗区电子行业协会将专项资金用于协会选品中心及直播中心搭建项目。超500家行业企业通过协会选品中心、直播活动获取资源对接；累计举办5场大型活动及10+场小型参观活动，参与人数超400人次；大大提高了行业影响力，吸引10家新企业加入协会，会员增长率15%。</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before="187" w:line="560" w:lineRule="exact"/>
        <w:ind w:right="81" w:rightChars="0" w:firstLine="652" w:firstLineChars="200"/>
        <w:jc w:val="both"/>
        <w:textAlignment w:val="auto"/>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一是个别行业协会未严格执行《民间非营利组织会计制度》。</w:t>
      </w:r>
      <w:r>
        <w:rPr>
          <w:rFonts w:hint="eastAsia" w:ascii="仿宋_GB2312" w:hAnsi="仿宋_GB2312" w:eastAsia="仿宋_GB2312" w:cs="仿宋_GB2312"/>
          <w:b w:val="0"/>
          <w:bCs w:val="0"/>
          <w:color w:val="auto"/>
          <w:spacing w:val="3"/>
          <w:sz w:val="32"/>
          <w:szCs w:val="32"/>
          <w:lang w:val="en-US" w:eastAsia="zh-CN"/>
        </w:rPr>
        <w:t>存在对专项资金收支未设专门科目进行核算或设置科目不规范，以及对资金支出未及时核算的问题。</w:t>
      </w:r>
      <w:r>
        <w:rPr>
          <w:rFonts w:hint="eastAsia" w:ascii="楷体" w:hAnsi="楷体" w:eastAsia="楷体" w:cs="楷体"/>
          <w:b w:val="0"/>
          <w:bCs w:val="0"/>
          <w:color w:val="auto"/>
          <w:spacing w:val="3"/>
          <w:sz w:val="32"/>
          <w:szCs w:val="32"/>
          <w:lang w:val="en-US" w:eastAsia="zh-CN"/>
        </w:rPr>
        <w:t>二是个别行业协会未严格执行资金支出管理制度。三是资金使用滞后，影响使用效益。</w:t>
      </w:r>
      <w:r>
        <w:rPr>
          <w:rFonts w:hint="eastAsia" w:ascii="仿宋_GB2312" w:hAnsi="仿宋_GB2312" w:eastAsia="仿宋_GB2312" w:cs="仿宋_GB2312"/>
          <w:color w:val="auto"/>
          <w:spacing w:val="3"/>
          <w:sz w:val="32"/>
          <w:szCs w:val="32"/>
          <w:lang w:val="en-US" w:eastAsia="zh-CN"/>
        </w:rPr>
        <w:t>个别行业协会截</w:t>
      </w:r>
      <w:bookmarkStart w:id="16" w:name="_GoBack"/>
      <w:bookmarkEnd w:id="16"/>
      <w:r>
        <w:rPr>
          <w:rFonts w:hint="eastAsia" w:ascii="仿宋_GB2312" w:hAnsi="仿宋_GB2312" w:eastAsia="仿宋_GB2312" w:cs="仿宋_GB2312"/>
          <w:color w:val="auto"/>
          <w:spacing w:val="3"/>
          <w:sz w:val="32"/>
          <w:szCs w:val="32"/>
          <w:lang w:val="en-US" w:eastAsia="zh-CN"/>
        </w:rPr>
        <w:t>至2025年5月31日存在资金仍有结余，使用不及时，影响使用效益 。</w:t>
      </w:r>
      <w:r>
        <w:rPr>
          <w:rFonts w:hint="eastAsia" w:ascii="楷体" w:hAnsi="楷体" w:eastAsia="楷体" w:cs="楷体"/>
          <w:b w:val="0"/>
          <w:bCs w:val="0"/>
          <w:color w:val="auto"/>
          <w:spacing w:val="3"/>
          <w:sz w:val="32"/>
          <w:szCs w:val="32"/>
          <w:lang w:val="en-US" w:eastAsia="zh-CN"/>
        </w:rPr>
        <w:t>四是部门统筹协调合力不够。</w:t>
      </w:r>
      <w:r>
        <w:rPr>
          <w:rFonts w:hint="eastAsia" w:ascii="仿宋_GB2312" w:hAnsi="仿宋_GB2312" w:eastAsia="仿宋_GB2312" w:cs="仿宋_GB2312"/>
          <w:color w:val="auto"/>
          <w:spacing w:val="3"/>
          <w:sz w:val="32"/>
          <w:szCs w:val="32"/>
          <w:lang w:val="en-US" w:eastAsia="zh-CN"/>
        </w:rPr>
        <w:t>区民政局和行业管理部门均对行业协会专项资金使用情况进行监督管理，应进一步加强沟通联系和统筹协调力度，督促行业协会高效安全规范使用专项资金。</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六、改进建议</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（一）加强会计核算规范，确保专项资金独立核算与及时入账。</w:t>
      </w:r>
      <w:r>
        <w:rPr>
          <w:rFonts w:hint="eastAsia" w:ascii="仿宋_GB2312" w:hAnsi="仿宋_GB2312" w:eastAsia="仿宋_GB2312" w:cs="仿宋_GB2312"/>
          <w:color w:val="auto"/>
          <w:spacing w:val="3"/>
          <w:sz w:val="32"/>
          <w:szCs w:val="32"/>
          <w:lang w:val="en-US" w:eastAsia="zh-CN"/>
        </w:rPr>
        <w:t>指导行业协会优化会计科目设置，在财务系统中增设政府补助收入-限定性收入”科目用于核算专项资金收入，增设“业务活动成本-限定性支出-行业协会专项资金支出项目”科目用于核算专项资金支出，实现专款专用、独立核算。同时严格执行权责发生制，确保所有支出在业务发生时即进行账务处理，杜绝跨期记账、滞后核算现象。</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（二）强化资金支出审批流程，杜绝“先付款、后审批”行为。</w:t>
      </w:r>
      <w:r>
        <w:rPr>
          <w:rFonts w:hint="eastAsia" w:ascii="仿宋_GB2312" w:hAnsi="仿宋_GB2312" w:eastAsia="仿宋_GB2312" w:cs="仿宋_GB2312"/>
          <w:color w:val="auto"/>
          <w:spacing w:val="3"/>
          <w:sz w:val="32"/>
          <w:szCs w:val="32"/>
          <w:lang w:val="en-US" w:eastAsia="zh-CN"/>
        </w:rPr>
        <w:t>行业协会应严格执行资金支出管理制度，对财务和项目经办人员开展专项资金管理专题培训，明确费用申请、审批、支付等环节的职责与时限，严禁未审批先支付。</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（三）加快资金使用进度，提升资金使用效益。</w:t>
      </w:r>
      <w:r>
        <w:rPr>
          <w:rFonts w:hint="eastAsia" w:ascii="仿宋_GB2312" w:hAnsi="仿宋_GB2312" w:eastAsia="仿宋_GB2312" w:cs="仿宋_GB2312"/>
          <w:color w:val="auto"/>
          <w:spacing w:val="3"/>
          <w:sz w:val="32"/>
          <w:szCs w:val="32"/>
          <w:lang w:val="en-US" w:eastAsia="zh-CN"/>
        </w:rPr>
        <w:t>行业协会应加快补贴资金的使用，避免资金闲置， 定期报送资金使用进度，区民政局联合行业管理部门对进度率低的行业协会采取约谈等措施。</w:t>
      </w:r>
    </w:p>
    <w:p>
      <w:pPr>
        <w:keepNext w:val="0"/>
        <w:keepLines w:val="0"/>
        <w:pageBreakBefore w:val="0"/>
        <w:widowControl/>
        <w:suppressLineNumbers w:val="0"/>
        <w:wordWrap/>
        <w:overflowPunct/>
        <w:topLinePunct w:val="0"/>
        <w:bidi w:val="0"/>
        <w:spacing w:line="560" w:lineRule="exact"/>
        <w:ind w:firstLine="652" w:firstLineChars="200"/>
        <w:jc w:val="left"/>
      </w:pPr>
      <w:r>
        <w:rPr>
          <w:rFonts w:hint="eastAsia" w:ascii="楷体" w:hAnsi="楷体" w:eastAsia="楷体" w:cs="楷体"/>
          <w:b w:val="0"/>
          <w:bCs w:val="0"/>
          <w:color w:val="auto"/>
          <w:spacing w:val="3"/>
          <w:sz w:val="32"/>
          <w:szCs w:val="32"/>
          <w:lang w:val="en-US" w:eastAsia="zh-CN"/>
        </w:rPr>
        <w:t>（四）加强部门协同，形成监管合力。</w:t>
      </w: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
        </w:rPr>
        <w:t>区民政局联合行业管理部门对受资助行业协会开展联合检查，重点核查资金使用合规性、项目成效与内部管理。同时推动各部门间行业协会监管信息互通，实现资助情况、审计结果、绩效评价等信息共享，避免重复检查与监管盲区。</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314317"/>
      <w:docPartObj>
        <w:docPartGallery w:val="autotext"/>
      </w:docPartObj>
    </w:sdtPr>
    <w:sdtContent>
      <w:p>
        <w:pPr>
          <w:pStyle w:val="3"/>
          <w:jc w:val="center"/>
        </w:pPr>
        <w:r>
          <w:fldChar w:fldCharType="begin"/>
        </w:r>
        <w:r>
          <w:instrText xml:space="preserve">PAGE   \* MERGEFORMAT</w:instrText>
        </w:r>
        <w:r>
          <w:fldChar w:fldCharType="separate"/>
        </w:r>
        <w:r>
          <w:rPr>
            <w:lang w:val="zh-CN"/>
          </w:rPr>
          <w:t>16</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632A3"/>
    <w:rsid w:val="79C632A3"/>
    <w:rsid w:val="8F728012"/>
    <w:rsid w:val="CCFF931F"/>
    <w:rsid w:val="F3FD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2025-10-20T23:04:00Z</dcterms:created>
  <dc:creator>许可</dc:creator>
  <cp:lastModifiedBy>民政局收发文</cp:lastModifiedBy>
  <dcterms:modified xsi:type="dcterms:W3CDTF">2025-10-28T15:43:15Z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5390CE4DEE5F456CBDDBE9AB2F35D7B9_11</vt:lpwstr>
  </property>
  <property fmtid="{D5CDD505-2E9C-101B-9397-08002B2CF9AE}" pid="4" name="KSOTemplateDocerSaveRecord">
    <vt:lpwstr>eyJoZGlkIjoiY2Q1NTc4YzE4NmFjODA1NDRkNGI1OTQzZmRkYmM4NDIiLCJ1c2VySWQiOiI3MjM3NzQ2NDgifQ==</vt:lpwstr>
  </property>
</Properties>
</file>