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C76A0">
      <w:pPr>
        <w:spacing w:line="360" w:lineRule="auto"/>
        <w:jc w:val="both"/>
        <w:rPr>
          <w:rFonts w:ascii="宋体" w:hAnsi="宋体"/>
          <w:b/>
          <w:sz w:val="48"/>
          <w:szCs w:val="48"/>
        </w:rPr>
      </w:pPr>
    </w:p>
    <w:p w14:paraId="3CD72660">
      <w:pPr>
        <w:spacing w:before="120" w:beforeLines="50" w:after="240" w:afterLines="100" w:line="360" w:lineRule="auto"/>
        <w:jc w:val="center"/>
        <w:rPr>
          <w:rFonts w:hint="eastAsia"/>
          <w:lang w:val="en-US" w:eastAsia="zh-CN"/>
        </w:rPr>
      </w:pPr>
      <w:r>
        <w:rPr>
          <w:rFonts w:hint="eastAsia" w:ascii="宋体" w:hAnsi="宋体" w:eastAsia="宋体" w:cs="宋体"/>
          <w:color w:val="auto"/>
          <w:sz w:val="44"/>
          <w:szCs w:val="44"/>
          <w:lang w:val="en-US" w:eastAsia="zh-CN"/>
        </w:rPr>
        <w:t>深圳工业软件园新建人行连廊工程（勘察）</w:t>
      </w:r>
    </w:p>
    <w:p w14:paraId="6E3D6959">
      <w:pPr>
        <w:pStyle w:val="2"/>
        <w:rPr>
          <w:rFonts w:hint="eastAsia" w:ascii="宋体" w:hAnsi="宋体" w:eastAsia="宋体" w:cs="宋体"/>
          <w:color w:val="auto"/>
          <w:sz w:val="44"/>
          <w:szCs w:val="44"/>
          <w:lang w:val="en-US" w:eastAsia="zh-CN"/>
        </w:rPr>
      </w:pPr>
    </w:p>
    <w:p w14:paraId="53EC0AA6">
      <w:pPr>
        <w:pStyle w:val="3"/>
        <w:rPr>
          <w:rFonts w:hint="eastAsia" w:ascii="宋体" w:hAnsi="宋体" w:eastAsia="宋体" w:cs="宋体"/>
          <w:color w:val="auto"/>
          <w:sz w:val="44"/>
          <w:szCs w:val="44"/>
          <w:lang w:val="en-US" w:eastAsia="zh-CN"/>
        </w:rPr>
      </w:pPr>
    </w:p>
    <w:p w14:paraId="613ECEAC">
      <w:pPr>
        <w:rPr>
          <w:rFonts w:hint="eastAsia"/>
          <w:lang w:val="en-US" w:eastAsia="zh-CN"/>
        </w:rPr>
      </w:pPr>
    </w:p>
    <w:p w14:paraId="6509B7BE">
      <w:pPr>
        <w:rPr>
          <w:rFonts w:hint="eastAsia"/>
          <w:lang w:val="en-US" w:eastAsia="zh-CN"/>
        </w:rPr>
      </w:pPr>
    </w:p>
    <w:p w14:paraId="3745EFC1">
      <w:pPr>
        <w:rPr>
          <w:rFonts w:hint="eastAsia"/>
          <w:lang w:val="en-US" w:eastAsia="zh-CN"/>
        </w:rPr>
      </w:pPr>
    </w:p>
    <w:p w14:paraId="65C9513A">
      <w:pPr>
        <w:spacing w:before="120" w:beforeLines="50" w:after="240" w:afterLines="100" w:line="360" w:lineRule="auto"/>
        <w:jc w:val="center"/>
        <w:rPr>
          <w:rFonts w:ascii="宋体" w:hAnsi="宋体"/>
          <w:b/>
          <w:sz w:val="72"/>
          <w:szCs w:val="72"/>
        </w:rPr>
      </w:pPr>
      <w:r>
        <w:rPr>
          <w:rFonts w:hint="eastAsia" w:ascii="宋体" w:hAnsi="宋体"/>
          <w:b/>
          <w:sz w:val="72"/>
          <w:szCs w:val="72"/>
        </w:rPr>
        <w:t>公开招标（自主）文件</w:t>
      </w:r>
    </w:p>
    <w:p w14:paraId="358E9A64">
      <w:pPr>
        <w:spacing w:line="360" w:lineRule="auto"/>
        <w:jc w:val="center"/>
        <w:rPr>
          <w:rFonts w:ascii="宋体" w:hAnsi="宋体"/>
          <w:b/>
          <w:sz w:val="32"/>
          <w:szCs w:val="32"/>
        </w:rPr>
      </w:pPr>
    </w:p>
    <w:p w14:paraId="5676D44E">
      <w:pPr>
        <w:spacing w:line="360" w:lineRule="auto"/>
        <w:jc w:val="center"/>
        <w:rPr>
          <w:rFonts w:ascii="宋体" w:hAnsi="宋体"/>
          <w:b/>
          <w:sz w:val="32"/>
          <w:szCs w:val="32"/>
        </w:rPr>
      </w:pPr>
    </w:p>
    <w:p w14:paraId="0B66551B">
      <w:pPr>
        <w:spacing w:line="360" w:lineRule="auto"/>
        <w:jc w:val="center"/>
        <w:rPr>
          <w:rFonts w:ascii="宋体" w:hAnsi="宋体"/>
          <w:b/>
          <w:sz w:val="32"/>
          <w:szCs w:val="32"/>
        </w:rPr>
      </w:pPr>
    </w:p>
    <w:p w14:paraId="42F81773">
      <w:pPr>
        <w:spacing w:line="360" w:lineRule="auto"/>
        <w:jc w:val="center"/>
        <w:rPr>
          <w:rFonts w:ascii="宋体" w:hAnsi="宋体"/>
          <w:b/>
          <w:sz w:val="32"/>
          <w:szCs w:val="32"/>
        </w:rPr>
      </w:pPr>
    </w:p>
    <w:p w14:paraId="59B3B688">
      <w:pPr>
        <w:rPr>
          <w:rFonts w:ascii="宋体" w:hAnsi="宋体"/>
          <w:b/>
          <w:sz w:val="32"/>
          <w:szCs w:val="32"/>
        </w:rPr>
      </w:pPr>
    </w:p>
    <w:p w14:paraId="4E760F72">
      <w:pPr>
        <w:pStyle w:val="24"/>
        <w:rPr>
          <w:rFonts w:ascii="宋体" w:hAnsi="宋体"/>
          <w:b/>
          <w:sz w:val="32"/>
          <w:szCs w:val="32"/>
        </w:rPr>
      </w:pPr>
    </w:p>
    <w:p w14:paraId="19FF7676"/>
    <w:p w14:paraId="61259E5A">
      <w:pPr>
        <w:spacing w:line="360" w:lineRule="auto"/>
        <w:jc w:val="center"/>
        <w:rPr>
          <w:rFonts w:ascii="宋体" w:hAnsi="宋体"/>
          <w:b/>
          <w:sz w:val="32"/>
          <w:szCs w:val="32"/>
        </w:rPr>
      </w:pPr>
    </w:p>
    <w:p w14:paraId="03FC1B01">
      <w:pPr>
        <w:spacing w:line="360" w:lineRule="auto"/>
        <w:jc w:val="center"/>
        <w:rPr>
          <w:rFonts w:hint="eastAsia" w:ascii="仿宋_GB2312" w:hAnsi="宋体" w:eastAsia="仿宋_GB2312" w:cs="Times New Roman"/>
          <w:b w:val="0"/>
          <w:bCs/>
          <w:kern w:val="2"/>
          <w:sz w:val="30"/>
          <w:szCs w:val="30"/>
          <w:lang w:val="en-US" w:eastAsia="zh-CN" w:bidi="ar-SA"/>
        </w:rPr>
      </w:pPr>
      <w:r>
        <w:rPr>
          <w:rFonts w:hint="eastAsia" w:ascii="仿宋_GB2312" w:hAnsi="宋体" w:eastAsia="仿宋_GB2312"/>
          <w:b w:val="0"/>
          <w:bCs/>
          <w:sz w:val="30"/>
          <w:szCs w:val="30"/>
        </w:rPr>
        <w:t>招标人：</w:t>
      </w:r>
      <w:r>
        <w:rPr>
          <w:rFonts w:hint="eastAsia" w:ascii="仿宋_GB2312" w:hAnsi="宋体" w:eastAsia="仿宋_GB2312" w:cs="Times New Roman"/>
          <w:b w:val="0"/>
          <w:bCs/>
          <w:kern w:val="2"/>
          <w:sz w:val="30"/>
          <w:szCs w:val="30"/>
          <w:lang w:val="en-US" w:eastAsia="zh-CN" w:bidi="ar-SA"/>
        </w:rPr>
        <w:t>深圳市龙岗区城投高新技术产业投资开发有限公司</w:t>
      </w:r>
    </w:p>
    <w:p w14:paraId="48CD65B4">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val="en-US" w:eastAsia="zh-CN"/>
        </w:rPr>
        <w:t>五</w:t>
      </w:r>
      <w:r>
        <w:rPr>
          <w:rFonts w:hint="eastAsia" w:ascii="宋体" w:hAnsi="宋体"/>
          <w:sz w:val="30"/>
          <w:szCs w:val="30"/>
        </w:rPr>
        <w:t>年</w:t>
      </w:r>
      <w:r>
        <w:rPr>
          <w:rFonts w:hint="eastAsia" w:ascii="宋体" w:hAnsi="宋体"/>
          <w:sz w:val="30"/>
          <w:szCs w:val="30"/>
          <w:lang w:val="en-US" w:eastAsia="zh-CN"/>
        </w:rPr>
        <w:t>十</w:t>
      </w:r>
      <w:r>
        <w:rPr>
          <w:rFonts w:hint="eastAsia" w:ascii="宋体" w:hAnsi="宋体"/>
          <w:sz w:val="30"/>
          <w:szCs w:val="30"/>
        </w:rPr>
        <w:t>月</w:t>
      </w:r>
    </w:p>
    <w:p w14:paraId="10EFF518">
      <w:pPr>
        <w:widowControl/>
        <w:spacing w:before="60" w:beforeLines="25" w:after="60" w:afterLines="25" w:line="360" w:lineRule="auto"/>
        <w:jc w:val="center"/>
        <w:rPr>
          <w:rFonts w:ascii="宋体" w:hAnsi="宋体"/>
          <w:b/>
          <w:sz w:val="32"/>
          <w:szCs w:val="32"/>
          <w:lang w:val="zh-CN"/>
        </w:rPr>
        <w:sectPr>
          <w:headerReference r:id="rId3" w:type="default"/>
          <w:pgSz w:w="11906" w:h="16838"/>
          <w:pgMar w:top="1440" w:right="1800" w:bottom="1440" w:left="1800" w:header="1247" w:footer="737" w:gutter="0"/>
          <w:pgNumType w:start="1"/>
          <w:cols w:space="720" w:num="1"/>
          <w:docGrid w:linePitch="380" w:charSpace="-4301"/>
        </w:sectPr>
      </w:pPr>
    </w:p>
    <w:p w14:paraId="3E31FF5B">
      <w:pPr>
        <w:widowControl/>
        <w:spacing w:before="78" w:beforeLines="25" w:after="78"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61B1C2D2">
      <w:pPr>
        <w:spacing w:line="480" w:lineRule="auto"/>
        <w:jc w:val="left"/>
        <w:rPr>
          <w:rFonts w:ascii="宋体" w:hAnsi="宋体"/>
          <w:sz w:val="24"/>
          <w:szCs w:val="24"/>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rPr>
        <w:t>告</w:t>
      </w:r>
      <w:r>
        <w:rPr>
          <w:rFonts w:ascii="宋体" w:hAnsi="宋体"/>
          <w:sz w:val="24"/>
          <w:szCs w:val="24"/>
          <w:lang w:val="zh-CN"/>
        </w:rPr>
        <w:t>…………………………………………………</w:t>
      </w:r>
      <w:r>
        <w:rPr>
          <w:rFonts w:hint="eastAsia" w:ascii="宋体" w:hAnsi="宋体"/>
          <w:sz w:val="24"/>
          <w:szCs w:val="24"/>
        </w:rPr>
        <w:t>3</w:t>
      </w:r>
    </w:p>
    <w:p w14:paraId="71FD79FE">
      <w:pPr>
        <w:spacing w:line="480" w:lineRule="auto"/>
        <w:rPr>
          <w:rFonts w:ascii="宋体" w:hAnsi="宋体"/>
          <w:sz w:val="24"/>
          <w:szCs w:val="24"/>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rPr>
        <w:t>6</w:t>
      </w:r>
    </w:p>
    <w:p w14:paraId="5D8DB8A1">
      <w:pPr>
        <w:spacing w:line="480" w:lineRule="auto"/>
        <w:ind w:firstLine="240" w:firstLineChars="100"/>
        <w:rPr>
          <w:rFonts w:ascii="宋体" w:hAnsi="宋体"/>
          <w:sz w:val="24"/>
          <w:szCs w:val="24"/>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rPr>
        <w:t>7</w:t>
      </w:r>
    </w:p>
    <w:p w14:paraId="2617C64C">
      <w:pPr>
        <w:spacing w:line="480" w:lineRule="auto"/>
        <w:ind w:firstLine="240" w:firstLineChars="100"/>
        <w:rPr>
          <w:rFonts w:ascii="宋体" w:hAnsi="宋体"/>
          <w:sz w:val="24"/>
          <w:szCs w:val="24"/>
        </w:rPr>
      </w:pPr>
      <w:r>
        <w:rPr>
          <w:rFonts w:hint="eastAsia" w:ascii="宋体" w:hAnsi="宋体"/>
          <w:sz w:val="24"/>
          <w:szCs w:val="24"/>
          <w:lang w:val="zh-CN"/>
        </w:rPr>
        <w:t>二、</w:t>
      </w:r>
      <w:r>
        <w:rPr>
          <w:rFonts w:hint="eastAsia" w:ascii="宋体" w:hAnsi="宋体"/>
          <w:sz w:val="24"/>
          <w:szCs w:val="24"/>
          <w:lang w:val="en-US" w:eastAsia="zh-CN"/>
        </w:rPr>
        <w:t>投标</w:t>
      </w:r>
      <w:r>
        <w:rPr>
          <w:rFonts w:hint="eastAsia" w:ascii="宋体" w:hAnsi="宋体"/>
          <w:sz w:val="24"/>
          <w:szCs w:val="24"/>
          <w:lang w:val="zh-CN"/>
        </w:rPr>
        <w:t>文件的编制</w:t>
      </w:r>
      <w:r>
        <w:rPr>
          <w:rFonts w:ascii="宋体" w:hAnsi="宋体"/>
          <w:sz w:val="24"/>
          <w:szCs w:val="24"/>
          <w:lang w:val="zh-CN"/>
        </w:rPr>
        <w:t>……………………………………………………………</w:t>
      </w:r>
      <w:r>
        <w:rPr>
          <w:rFonts w:hint="eastAsia" w:ascii="宋体" w:hAnsi="宋体"/>
          <w:sz w:val="24"/>
          <w:szCs w:val="24"/>
        </w:rPr>
        <w:t>8</w:t>
      </w:r>
    </w:p>
    <w:p w14:paraId="2FC57719">
      <w:pPr>
        <w:spacing w:line="480" w:lineRule="auto"/>
        <w:ind w:firstLine="240" w:firstLineChars="100"/>
        <w:rPr>
          <w:rFonts w:ascii="宋体" w:hAnsi="宋体"/>
          <w:sz w:val="24"/>
          <w:szCs w:val="24"/>
        </w:rPr>
      </w:pPr>
      <w:r>
        <w:rPr>
          <w:rFonts w:hint="eastAsia" w:ascii="宋体" w:hAnsi="宋体"/>
          <w:sz w:val="24"/>
          <w:szCs w:val="24"/>
          <w:lang w:val="zh-CN"/>
        </w:rPr>
        <w:t>三、投标文件的</w:t>
      </w:r>
      <w:r>
        <w:rPr>
          <w:rFonts w:hint="eastAsia" w:ascii="宋体" w:hAnsi="宋体"/>
          <w:sz w:val="24"/>
          <w:szCs w:val="24"/>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rPr>
        <w:t>8</w:t>
      </w:r>
    </w:p>
    <w:p w14:paraId="1CD84729">
      <w:pPr>
        <w:spacing w:line="480" w:lineRule="auto"/>
        <w:ind w:firstLine="240" w:firstLineChars="100"/>
        <w:rPr>
          <w:rFonts w:ascii="宋体" w:hAnsi="宋体"/>
          <w:sz w:val="24"/>
          <w:szCs w:val="24"/>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rPr>
        <w:t>9</w:t>
      </w:r>
    </w:p>
    <w:p w14:paraId="058C4D29">
      <w:pPr>
        <w:spacing w:line="480" w:lineRule="auto"/>
        <w:ind w:firstLine="240" w:firstLineChars="100"/>
        <w:rPr>
          <w:rFonts w:ascii="宋体" w:hAnsi="宋体"/>
          <w:sz w:val="24"/>
          <w:szCs w:val="24"/>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rPr>
        <w:t>9</w:t>
      </w:r>
    </w:p>
    <w:p w14:paraId="24C99FB8">
      <w:pPr>
        <w:spacing w:line="480" w:lineRule="auto"/>
        <w:ind w:firstLine="240" w:firstLineChars="100"/>
        <w:rPr>
          <w:rFonts w:ascii="宋体" w:hAnsi="宋体"/>
          <w:sz w:val="24"/>
          <w:szCs w:val="24"/>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rPr>
        <w:t>9</w:t>
      </w:r>
    </w:p>
    <w:p w14:paraId="1BFCFB74">
      <w:pPr>
        <w:spacing w:line="480" w:lineRule="auto"/>
        <w:ind w:firstLine="240" w:firstLineChars="100"/>
        <w:rPr>
          <w:rFonts w:ascii="宋体" w:hAnsi="宋体"/>
          <w:sz w:val="24"/>
          <w:szCs w:val="24"/>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rPr>
        <w:t>10</w:t>
      </w:r>
    </w:p>
    <w:p w14:paraId="575C336E">
      <w:pPr>
        <w:spacing w:line="480" w:lineRule="auto"/>
        <w:rPr>
          <w:rFonts w:hint="eastAsia" w:ascii="宋体" w:hAnsi="宋体" w:eastAsia="宋体"/>
          <w:sz w:val="24"/>
          <w:szCs w:val="24"/>
          <w:lang w:val="en-US" w:eastAsia="zh-CN"/>
        </w:rPr>
      </w:pPr>
      <w:r>
        <w:rPr>
          <w:rFonts w:hint="eastAsia" w:ascii="宋体" w:hAnsi="宋体"/>
          <w:sz w:val="24"/>
          <w:szCs w:val="24"/>
          <w:lang w:val="zh-CN"/>
        </w:rPr>
        <w:t>第三章</w:t>
      </w:r>
      <w:r>
        <w:rPr>
          <w:rFonts w:hint="eastAsia" w:ascii="宋体" w:hAnsi="宋体"/>
          <w:sz w:val="24"/>
          <w:szCs w:val="24"/>
          <w:lang w:val="en-US"/>
        </w:rPr>
        <w:t xml:space="preserve">  </w:t>
      </w:r>
      <w:r>
        <w:rPr>
          <w:rFonts w:hint="eastAsia" w:ascii="宋体" w:hAnsi="宋体"/>
          <w:sz w:val="24"/>
          <w:szCs w:val="24"/>
        </w:rPr>
        <w:t>合同文件</w:t>
      </w:r>
      <w:r>
        <w:rPr>
          <w:rFonts w:ascii="宋体" w:hAnsi="宋体"/>
          <w:sz w:val="24"/>
          <w:szCs w:val="24"/>
          <w:lang w:val="en-US"/>
        </w:rPr>
        <w:t>…………………………………………………………………</w:t>
      </w:r>
      <w:r>
        <w:rPr>
          <w:rFonts w:hint="eastAsia" w:ascii="宋体" w:hAnsi="宋体"/>
          <w:sz w:val="24"/>
          <w:szCs w:val="24"/>
        </w:rPr>
        <w:t>1</w:t>
      </w:r>
      <w:r>
        <w:rPr>
          <w:rFonts w:hint="eastAsia" w:ascii="宋体" w:hAnsi="宋体"/>
          <w:sz w:val="24"/>
          <w:szCs w:val="24"/>
          <w:lang w:val="en-US" w:eastAsia="zh-CN"/>
        </w:rPr>
        <w:t>2</w:t>
      </w:r>
    </w:p>
    <w:p w14:paraId="1C33202A">
      <w:pPr>
        <w:spacing w:line="480" w:lineRule="auto"/>
        <w:rPr>
          <w:rFonts w:hint="default" w:ascii="宋体" w:hAnsi="宋体" w:eastAsia="宋体"/>
          <w:sz w:val="24"/>
          <w:szCs w:val="24"/>
          <w:lang w:val="en-US" w:eastAsia="zh-CN"/>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lang w:val="en-US" w:eastAsia="zh-CN"/>
        </w:rPr>
        <w:t>30</w:t>
      </w:r>
    </w:p>
    <w:p w14:paraId="261C2BDA">
      <w:pPr>
        <w:rPr>
          <w:rFonts w:ascii="宋体" w:hAnsi="宋体"/>
          <w:sz w:val="24"/>
          <w:szCs w:val="24"/>
          <w:lang w:val="zh-CN"/>
        </w:rPr>
      </w:pPr>
      <w:r>
        <w:rPr>
          <w:rFonts w:ascii="宋体" w:hAnsi="宋体"/>
          <w:sz w:val="24"/>
          <w:szCs w:val="24"/>
        </w:rPr>
        <w:t xml:space="preserve"> </w:t>
      </w:r>
      <w:r>
        <w:rPr>
          <w:rFonts w:hint="eastAsia" w:ascii="宋体" w:hAnsi="宋体"/>
          <w:sz w:val="24"/>
          <w:szCs w:val="24"/>
        </w:rPr>
        <w:t xml:space="preserve"> </w:t>
      </w:r>
    </w:p>
    <w:p w14:paraId="3FBEE8AF">
      <w:pPr>
        <w:pStyle w:val="28"/>
        <w:tabs>
          <w:tab w:val="right" w:leader="dot" w:pos="9141"/>
        </w:tabs>
        <w:rPr>
          <w:rFonts w:hint="eastAsia" w:ascii="宋体" w:hAnsi="宋体"/>
        </w:rPr>
      </w:pPr>
    </w:p>
    <w:p w14:paraId="309A28EC">
      <w:pPr>
        <w:pStyle w:val="28"/>
        <w:tabs>
          <w:tab w:val="right" w:leader="dot" w:pos="9141"/>
        </w:tabs>
        <w:rPr>
          <w:rFonts w:hint="eastAsia" w:ascii="宋体" w:hAnsi="宋体"/>
        </w:rPr>
      </w:pPr>
    </w:p>
    <w:p w14:paraId="5AAB41DD">
      <w:pPr>
        <w:pStyle w:val="28"/>
        <w:tabs>
          <w:tab w:val="right" w:leader="dot" w:pos="9141"/>
        </w:tabs>
        <w:rPr>
          <w:rFonts w:hint="eastAsia" w:ascii="宋体" w:hAnsi="宋体"/>
        </w:rPr>
      </w:pPr>
    </w:p>
    <w:p w14:paraId="2B23ECAA">
      <w:pPr>
        <w:pStyle w:val="28"/>
        <w:tabs>
          <w:tab w:val="right" w:leader="dot" w:pos="9141"/>
        </w:tabs>
        <w:rPr>
          <w:rFonts w:hint="eastAsia" w:ascii="宋体" w:hAnsi="宋体"/>
        </w:rPr>
      </w:pPr>
    </w:p>
    <w:p w14:paraId="74C3F0C9">
      <w:pPr>
        <w:pStyle w:val="28"/>
        <w:tabs>
          <w:tab w:val="right" w:leader="dot" w:pos="9141"/>
        </w:tabs>
        <w:rPr>
          <w:rFonts w:hint="eastAsia" w:ascii="宋体" w:hAnsi="宋体"/>
        </w:rPr>
      </w:pPr>
    </w:p>
    <w:p w14:paraId="40CB04CC">
      <w:pPr>
        <w:pStyle w:val="28"/>
        <w:tabs>
          <w:tab w:val="right" w:leader="dot" w:pos="9141"/>
        </w:tabs>
        <w:rPr>
          <w:rFonts w:hint="eastAsia" w:ascii="宋体" w:hAnsi="宋体"/>
        </w:rPr>
      </w:pPr>
    </w:p>
    <w:p w14:paraId="7F1FAE77">
      <w:pPr>
        <w:pStyle w:val="28"/>
        <w:tabs>
          <w:tab w:val="right" w:leader="dot" w:pos="9141"/>
        </w:tabs>
        <w:rPr>
          <w:rFonts w:hint="eastAsia" w:ascii="宋体" w:hAnsi="宋体"/>
        </w:rPr>
      </w:pPr>
    </w:p>
    <w:p w14:paraId="5AD6E4CE">
      <w:pPr>
        <w:pStyle w:val="28"/>
        <w:tabs>
          <w:tab w:val="right" w:leader="dot" w:pos="9141"/>
        </w:tabs>
        <w:rPr>
          <w:rFonts w:hint="eastAsia" w:ascii="宋体" w:hAnsi="宋体"/>
        </w:rPr>
      </w:pPr>
    </w:p>
    <w:p w14:paraId="420676A3">
      <w:pPr>
        <w:pStyle w:val="28"/>
        <w:tabs>
          <w:tab w:val="right" w:leader="dot" w:pos="9141"/>
        </w:tabs>
        <w:rPr>
          <w:rFonts w:hint="eastAsia" w:ascii="宋体" w:hAnsi="宋体"/>
        </w:rPr>
      </w:pPr>
    </w:p>
    <w:p w14:paraId="6B46F696">
      <w:pPr>
        <w:pStyle w:val="28"/>
        <w:tabs>
          <w:tab w:val="right" w:leader="dot" w:pos="9141"/>
        </w:tabs>
        <w:rPr>
          <w:rFonts w:hint="eastAsia" w:ascii="宋体" w:hAnsi="宋体"/>
        </w:rPr>
      </w:pPr>
    </w:p>
    <w:p w14:paraId="4C38EBB1">
      <w:pPr>
        <w:pStyle w:val="28"/>
        <w:tabs>
          <w:tab w:val="right" w:leader="dot" w:pos="9141"/>
        </w:tabs>
        <w:rPr>
          <w:rFonts w:hint="eastAsia" w:ascii="宋体" w:hAnsi="宋体"/>
        </w:rPr>
      </w:pPr>
    </w:p>
    <w:p w14:paraId="521301B8">
      <w:pPr>
        <w:pStyle w:val="28"/>
        <w:tabs>
          <w:tab w:val="right" w:leader="dot" w:pos="9141"/>
        </w:tabs>
        <w:rPr>
          <w:rFonts w:hint="eastAsia" w:ascii="宋体" w:hAnsi="宋体"/>
        </w:rPr>
      </w:pPr>
    </w:p>
    <w:p w14:paraId="0DF08CA2">
      <w:pPr>
        <w:pStyle w:val="28"/>
        <w:tabs>
          <w:tab w:val="right" w:leader="dot" w:pos="9141"/>
        </w:tabs>
        <w:rPr>
          <w:rFonts w:hint="eastAsia" w:ascii="宋体" w:hAnsi="宋体"/>
        </w:rPr>
      </w:pPr>
    </w:p>
    <w:p w14:paraId="0C1B8265">
      <w:pPr>
        <w:pStyle w:val="28"/>
        <w:tabs>
          <w:tab w:val="right" w:leader="dot" w:pos="9141"/>
        </w:tabs>
        <w:rPr>
          <w:rFonts w:hint="eastAsia" w:ascii="宋体" w:hAnsi="宋体"/>
        </w:rPr>
      </w:pPr>
    </w:p>
    <w:p w14:paraId="06F6B927">
      <w:pPr>
        <w:pStyle w:val="28"/>
        <w:tabs>
          <w:tab w:val="right" w:leader="dot" w:pos="9141"/>
        </w:tabs>
        <w:rPr>
          <w:rFonts w:hint="eastAsia" w:ascii="宋体" w:hAnsi="宋体"/>
        </w:rPr>
      </w:pPr>
    </w:p>
    <w:p w14:paraId="238F61C0">
      <w:pPr>
        <w:pStyle w:val="28"/>
        <w:tabs>
          <w:tab w:val="right" w:leader="dot" w:pos="9141"/>
        </w:tabs>
        <w:rPr>
          <w:rFonts w:hint="eastAsia" w:ascii="宋体" w:hAnsi="宋体"/>
        </w:rPr>
      </w:pPr>
    </w:p>
    <w:p w14:paraId="33D8B15D">
      <w:pPr>
        <w:pStyle w:val="28"/>
        <w:tabs>
          <w:tab w:val="right" w:leader="dot" w:pos="9141"/>
        </w:tabs>
        <w:rPr>
          <w:rFonts w:hint="eastAsia" w:ascii="宋体" w:hAnsi="宋体"/>
        </w:rPr>
      </w:pPr>
    </w:p>
    <w:p w14:paraId="70DA8D9D">
      <w:pPr>
        <w:pStyle w:val="28"/>
        <w:tabs>
          <w:tab w:val="right" w:leader="dot" w:pos="9141"/>
        </w:tabs>
        <w:rPr>
          <w:rFonts w:hint="eastAsia" w:ascii="宋体" w:hAnsi="宋体"/>
        </w:rPr>
      </w:pPr>
    </w:p>
    <w:p w14:paraId="0C959F90">
      <w:pPr>
        <w:pStyle w:val="28"/>
        <w:tabs>
          <w:tab w:val="right" w:leader="dot" w:pos="9141"/>
        </w:tabs>
        <w:rPr>
          <w:rFonts w:hint="eastAsia" w:ascii="宋体" w:hAnsi="宋体"/>
        </w:rPr>
      </w:pPr>
    </w:p>
    <w:p w14:paraId="179B1DFE">
      <w:pPr>
        <w:spacing w:line="360" w:lineRule="auto"/>
        <w:jc w:val="center"/>
        <w:outlineLvl w:val="2"/>
        <w:rPr>
          <w:rFonts w:hint="eastAsia" w:ascii="宋体" w:hAnsi="宋体"/>
          <w:b/>
          <w:snapToGrid w:val="0"/>
          <w:kern w:val="0"/>
          <w:sz w:val="32"/>
          <w:szCs w:val="32"/>
          <w:lang w:val="en-US" w:eastAsia="zh-CN"/>
        </w:rPr>
      </w:pPr>
      <w:bookmarkStart w:id="0" w:name="_Toc509669684"/>
      <w:r>
        <w:rPr>
          <w:rFonts w:hint="eastAsia" w:ascii="宋体" w:hAnsi="宋体"/>
          <w:b/>
          <w:snapToGrid w:val="0"/>
          <w:kern w:val="0"/>
          <w:sz w:val="32"/>
          <w:szCs w:val="32"/>
          <w:lang w:val="en-US" w:eastAsia="zh-CN"/>
        </w:rPr>
        <w:t xml:space="preserve">第一章  </w:t>
      </w:r>
      <w:bookmarkEnd w:id="0"/>
      <w:r>
        <w:rPr>
          <w:rFonts w:hint="eastAsia" w:ascii="宋体" w:hAnsi="宋体"/>
          <w:b/>
          <w:snapToGrid w:val="0"/>
          <w:kern w:val="0"/>
          <w:sz w:val="32"/>
          <w:szCs w:val="32"/>
          <w:lang w:val="en-US" w:eastAsia="zh-CN"/>
        </w:rPr>
        <w:t>公开招标（自主）公告</w:t>
      </w:r>
    </w:p>
    <w:p w14:paraId="397627DF">
      <w:pPr>
        <w:numPr>
          <w:ilvl w:val="0"/>
          <w:numId w:val="0"/>
        </w:numPr>
        <w:spacing w:line="540" w:lineRule="exact"/>
        <w:rPr>
          <w:rFonts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val="0"/>
          <w:bCs w:val="0"/>
          <w:sz w:val="28"/>
          <w:szCs w:val="28"/>
          <w:highlight w:val="none"/>
          <w:lang w:val="en-US" w:eastAsia="zh-CN"/>
        </w:rPr>
        <w:t>深圳工业软件园新建人行连廊工程（勘察）</w:t>
      </w:r>
    </w:p>
    <w:p w14:paraId="7B71D754">
      <w:pPr>
        <w:spacing w:line="560" w:lineRule="exact"/>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color w:val="auto"/>
          <w:sz w:val="28"/>
          <w:szCs w:val="28"/>
          <w:highlight w:val="none"/>
          <w:lang w:val="en-US" w:eastAsia="zh-CN"/>
        </w:rPr>
        <w:t>项目位于深圳市龙岗区坂田街道，拟于坂李大道与中浩二路路口建设1座连接深圳工业软件园的人行连廊，连廊横跨坂李大道，全长约76米，净宽4米，竖向标高差约19m，设置2处梯道及两座垂直电梯，并对天桥连接的南、北侧边坡进行改造。建设内容人行连廊及附属工程 (含栏杆、桥面铺装等)、电梯工程、边坡工程、 照明工程、景观工程、管线迁改工程、交通疏解工程等（具体以最终批复为准）。项目总投资约为3265.7万元，其中工程建安费2799.3万元。</w:t>
      </w:r>
    </w:p>
    <w:p w14:paraId="24DFD082">
      <w:pPr>
        <w:spacing w:line="560" w:lineRule="exact"/>
        <w:ind w:left="0" w:leftChars="0" w:firstLine="0" w:firstLineChars="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三、</w:t>
      </w:r>
      <w:r>
        <w:rPr>
          <w:rFonts w:hint="eastAsia" w:ascii="仿宋_GB2312" w:hAnsi="仿宋_GB2312" w:eastAsia="仿宋_GB2312" w:cs="仿宋_GB2312"/>
          <w:b/>
          <w:bCs/>
          <w:sz w:val="28"/>
          <w:szCs w:val="28"/>
          <w:highlight w:val="none"/>
        </w:rPr>
        <w:t>工作</w:t>
      </w:r>
      <w:r>
        <w:rPr>
          <w:rFonts w:hint="eastAsia" w:ascii="仿宋_GB2312" w:hAnsi="仿宋_GB2312" w:eastAsia="仿宋_GB2312" w:cs="仿宋_GB2312"/>
          <w:b/>
          <w:bCs/>
          <w:sz w:val="28"/>
          <w:szCs w:val="28"/>
          <w:highlight w:val="none"/>
          <w:lang w:val="en-US" w:eastAsia="zh-CN"/>
        </w:rPr>
        <w:t>内容</w:t>
      </w:r>
      <w:r>
        <w:rPr>
          <w:rFonts w:hint="eastAsia" w:ascii="仿宋_GB2312" w:hAnsi="仿宋_GB2312" w:eastAsia="仿宋_GB2312" w:cs="仿宋_GB2312"/>
          <w:b w:val="0"/>
          <w:bCs w:val="0"/>
          <w:sz w:val="28"/>
          <w:szCs w:val="28"/>
          <w:highlight w:val="none"/>
        </w:rPr>
        <w:t>：</w:t>
      </w:r>
    </w:p>
    <w:p w14:paraId="54A21F7A">
      <w:pPr>
        <w:spacing w:line="560" w:lineRule="exact"/>
        <w:ind w:left="0" w:leftChars="0" w:firstLine="638" w:firstLineChars="228"/>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深圳工业软件园新建人行连廊工程勘察及地质灾害危险性评估工作。（具体详见合同）</w:t>
      </w:r>
    </w:p>
    <w:p w14:paraId="2836CC79">
      <w:pPr>
        <w:spacing w:line="560" w:lineRule="exact"/>
        <w:ind w:left="0" w:leftChars="0" w:firstLine="0" w:firstLineChars="0"/>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val="en-US" w:eastAsia="zh-CN"/>
        </w:rPr>
        <w:t>投标报价上限价：31.7714万元</w:t>
      </w:r>
    </w:p>
    <w:p w14:paraId="34F07637">
      <w:pPr>
        <w:spacing w:line="560" w:lineRule="exact"/>
        <w:ind w:left="0" w:leftChars="0" w:firstLine="638" w:firstLineChars="228"/>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1.工程勘察费：暂按基本设计费的30%计取，即107.005万元*30%=32.1015万元。</w:t>
      </w:r>
    </w:p>
    <w:p w14:paraId="693E9EFA">
      <w:pPr>
        <w:spacing w:line="560" w:lineRule="exact"/>
        <w:ind w:left="0" w:leftChars="0" w:firstLine="638" w:firstLineChars="228"/>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2.地质灾害危险性评估费：按《国家发展改革委办公厅、国土资源部办公厅关于征求对地质灾害危险性评估收费管理办法意见的函》（发改办价格【2006】745号）计取，5×0.8×1.0×0.8=3.2万元。</w:t>
      </w:r>
    </w:p>
    <w:p w14:paraId="0AC910DB">
      <w:pPr>
        <w:spacing w:line="560" w:lineRule="exact"/>
        <w:ind w:left="0" w:leftChars="0" w:firstLine="638" w:firstLineChars="228"/>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3.按龙岗区工务署下浮率表，下浮10%作为投标报价上限价，即：（32.1015+3.2）×（1-10%）=31.7714万元。</w:t>
      </w:r>
    </w:p>
    <w:p w14:paraId="1D072F2D">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w:t>
      </w:r>
      <w:r>
        <w:rPr>
          <w:rFonts w:hint="eastAsia" w:ascii="仿宋_GB2312" w:hAnsi="仿宋_GB2312" w:eastAsia="仿宋_GB2312" w:cs="仿宋_GB2312"/>
          <w:sz w:val="28"/>
          <w:szCs w:val="28"/>
          <w:highlight w:val="none"/>
          <w:lang w:val="en-US" w:eastAsia="zh-CN"/>
        </w:rPr>
        <w:t>投标报价上限价</w:t>
      </w:r>
      <w:r>
        <w:rPr>
          <w:rFonts w:hint="eastAsia" w:ascii="仿宋_GB2312" w:hAnsi="仿宋_GB2312" w:eastAsia="仿宋_GB2312" w:cs="仿宋_GB2312"/>
          <w:sz w:val="28"/>
          <w:szCs w:val="28"/>
          <w:highlight w:val="none"/>
        </w:rPr>
        <w:t>范围内，自主报价。</w:t>
      </w:r>
    </w:p>
    <w:p w14:paraId="3611CC67">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w:t>
      </w:r>
      <w:r>
        <w:rPr>
          <w:rFonts w:hint="eastAsia" w:ascii="仿宋_GB2312" w:hAnsi="仿宋_GB2312" w:eastAsia="仿宋_GB2312" w:cs="仿宋_GB2312"/>
          <w:b/>
          <w:bCs/>
          <w:sz w:val="28"/>
          <w:szCs w:val="28"/>
          <w:lang w:val="en-US" w:eastAsia="zh-CN"/>
        </w:rPr>
        <w:t>投标人</w:t>
      </w:r>
      <w:r>
        <w:rPr>
          <w:rFonts w:hint="eastAsia" w:ascii="仿宋_GB2312" w:hAnsi="仿宋_GB2312" w:eastAsia="仿宋_GB2312" w:cs="仿宋_GB2312"/>
          <w:b/>
          <w:bCs/>
          <w:sz w:val="28"/>
          <w:szCs w:val="28"/>
        </w:rPr>
        <w:t>资格要求：</w:t>
      </w:r>
    </w:p>
    <w:p w14:paraId="79F5E0F9">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1.企业资质要求：工程勘察专业类（岩土工程勘察）甲级或以上资质；</w:t>
      </w:r>
    </w:p>
    <w:p w14:paraId="2CDF4039">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2.项目负责人资格要求：注册岩土工程师执业资格；</w:t>
      </w:r>
    </w:p>
    <w:p w14:paraId="6242C460">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3.不接受联合体投标。</w:t>
      </w:r>
    </w:p>
    <w:p w14:paraId="4A7F32A4">
      <w:pPr>
        <w:spacing w:line="54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七、评审方法：</w:t>
      </w:r>
      <w:r>
        <w:rPr>
          <w:rFonts w:hint="eastAsia" w:ascii="仿宋_GB2312" w:hAnsi="仿宋_GB2312" w:eastAsia="仿宋_GB2312" w:cs="仿宋_GB2312"/>
          <w:b w:val="0"/>
          <w:bCs w:val="0"/>
          <w:sz w:val="28"/>
          <w:szCs w:val="28"/>
          <w:lang w:val="en-US" w:eastAsia="zh-CN"/>
        </w:rPr>
        <w:t>定性评审，票决定标。</w:t>
      </w:r>
    </w:p>
    <w:p w14:paraId="7F937FA2">
      <w:pPr>
        <w:pStyle w:val="51"/>
        <w:ind w:left="0" w:leftChars="0" w:firstLine="0" w:firstLineChars="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八、评审要素：</w:t>
      </w:r>
      <w:r>
        <w:rPr>
          <w:rFonts w:hint="eastAsia" w:ascii="仿宋_GB2312" w:hAnsi="仿宋_GB2312" w:eastAsia="仿宋_GB2312" w:cs="仿宋_GB2312"/>
          <w:b w:val="0"/>
          <w:bCs w:val="0"/>
          <w:kern w:val="2"/>
          <w:sz w:val="28"/>
          <w:szCs w:val="28"/>
          <w:lang w:val="en-US" w:eastAsia="zh-CN" w:bidi="ar-SA"/>
        </w:rPr>
        <w:t>投标报价、投标人类似工程业绩、项目负责人类似工程业绩、履约评价、投标人诚信、实施方案</w:t>
      </w:r>
    </w:p>
    <w:p w14:paraId="705A056C">
      <w:pPr>
        <w:pStyle w:val="1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合同模式：</w:t>
      </w:r>
    </w:p>
    <w:p w14:paraId="39A18ACA">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本合同为固定下浮率合同。</w:t>
      </w:r>
    </w:p>
    <w:p w14:paraId="4B651B11">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结算：①勘察、测量等费用根据甲方或甲方授权单位确认的工程量，按照《工程勘察设计收费标准》2002年修订本(计价格[2002]10号)（以下简称“02标准”）计算并下浮后计取；但其中:a. 超前钻费用按照120元/米的固定综合单价进行计算；b.工程勘察的复杂程度根据项目的实际情况按《工程勘察设计收费标准》(计价格[2002]10号)规定选取。c.最终结算金额不超过概算批复勘察费。</w:t>
      </w:r>
    </w:p>
    <w:p w14:paraId="2510278C">
      <w:pPr>
        <w:keepNext w:val="0"/>
        <w:keepLines w:val="0"/>
        <w:pageBreakBefore w:val="0"/>
        <w:kinsoku/>
        <w:wordWrap/>
        <w:overflowPunct/>
        <w:topLinePunct w:val="0"/>
        <w:bidi w:val="0"/>
        <w:spacing w:line="560" w:lineRule="exact"/>
        <w:ind w:firstLine="64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地质灾害危险性评估费用按《国家发展改革委办公厅、国土资源部办公厅关于征求对地质灾害危险性评估收费管理办法意见的函》（发改办价格【2006】745号）并下浮后计取。评估级别按Ⅲ级、复杂程度为简单，工程类别调整系数取0.8，工程规模调整系数取1.0，地区调整系数取0.8计算。</w:t>
      </w:r>
    </w:p>
    <w:p w14:paraId="75DE2AB7">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highlight w:val="none"/>
        </w:rPr>
        <w:t>支付方式：</w:t>
      </w:r>
    </w:p>
    <w:p w14:paraId="5D8637DD">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勘察费包含基本勘察费和履约绩效金两部分，其中基本勘察费占90%，履约绩效金占10%。</w:t>
      </w:r>
    </w:p>
    <w:p w14:paraId="59D7BB55">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1.勘察设计工作正常进行时，费用按阶段分期进行支付，具体步骤如下：</w:t>
      </w:r>
    </w:p>
    <w:p w14:paraId="3AEDEE70">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(1) 完成勘察测量工作且成果经甲方确认，支付至实际完成工作产值的70%； </w:t>
      </w:r>
    </w:p>
    <w:p w14:paraId="2A38D2FE">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 岩土工程(有且不限于基坑、边坡支护、路基处理、桩基等工程)施工完成通过相关检测，支付至合同结算价的85%；</w:t>
      </w:r>
    </w:p>
    <w:p w14:paraId="00A0D98D">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 工程竣工验收并经政府部门审核后按审定结果支付余额（若出现超付现象，乙方必须退还超付款项）</w:t>
      </w:r>
    </w:p>
    <w:p w14:paraId="4BA6169F">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2.履约绩效金支付</w:t>
      </w:r>
    </w:p>
    <w:p w14:paraId="112D5587">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参照《龙岗区建筑工务署承包商履约评价管理办法》在竣工后对中标人完成履约评价，根据履约评价得分情况进行支付。最终履约评价结果分优秀、良好、中等、合格、不合格5档。</w:t>
      </w:r>
    </w:p>
    <w:p w14:paraId="5ACFF0B6">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（1）履约评价为优秀，支付100%履约绩效金。</w:t>
      </w:r>
    </w:p>
    <w:p w14:paraId="2E2F62AD">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（2）履约评价为良好，支付100%履约绩效金。</w:t>
      </w:r>
    </w:p>
    <w:p w14:paraId="7C3A4CA2">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（3）履约评价为中等，支付80%履约绩效金。</w:t>
      </w:r>
    </w:p>
    <w:p w14:paraId="079F93A3">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（4）履约评价为合格，支付60%履约绩效金。</w:t>
      </w:r>
    </w:p>
    <w:p w14:paraId="74AD285F">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（5）履约评价为不合格，不支付履约绩效金。</w:t>
      </w:r>
    </w:p>
    <w:p w14:paraId="7B8480AA">
      <w:pPr>
        <w:spacing w:line="540" w:lineRule="exac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十一、招标公告地址</w:t>
      </w:r>
    </w:p>
    <w:p w14:paraId="7C87EDAD">
      <w:pPr>
        <w:keepNext w:val="0"/>
        <w:keepLines w:val="0"/>
        <w:pageBreakBefore w:val="0"/>
        <w:kinsoku/>
        <w:wordWrap/>
        <w:overflowPunct/>
        <w:topLinePunct w:val="0"/>
        <w:bidi w:val="0"/>
        <w:spacing w:line="560" w:lineRule="exact"/>
        <w:ind w:firstLine="64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龙岗区城投集团官方网站</w:t>
      </w:r>
    </w:p>
    <w:p w14:paraId="67DE2D47">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十二</w:t>
      </w:r>
      <w:r>
        <w:rPr>
          <w:rFonts w:hint="eastAsia" w:ascii="仿宋_GB2312" w:hAnsi="仿宋_GB2312" w:eastAsia="仿宋_GB2312" w:cs="仿宋_GB2312"/>
          <w:b/>
          <w:bCs/>
          <w:sz w:val="28"/>
          <w:szCs w:val="28"/>
          <w:highlight w:val="none"/>
        </w:rPr>
        <w:t>、响应文件要求：</w:t>
      </w:r>
    </w:p>
    <w:p w14:paraId="597BF874">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color w:val="auto"/>
          <w:sz w:val="28"/>
          <w:szCs w:val="28"/>
          <w:highlight w:val="yellow"/>
        </w:rPr>
        <w:t>本次公告时间从202</w:t>
      </w:r>
      <w:r>
        <w:rPr>
          <w:rFonts w:hint="eastAsia" w:ascii="仿宋_GB2312" w:hAnsi="仿宋_GB2312" w:eastAsia="仿宋_GB2312" w:cs="仿宋_GB2312"/>
          <w:color w:val="auto"/>
          <w:sz w:val="28"/>
          <w:szCs w:val="28"/>
          <w:highlight w:val="yellow"/>
          <w:lang w:val="en-US" w:eastAsia="zh-CN"/>
        </w:rPr>
        <w:t>5</w:t>
      </w:r>
      <w:r>
        <w:rPr>
          <w:rFonts w:hint="eastAsia" w:ascii="仿宋_GB2312" w:hAnsi="仿宋_GB2312" w:eastAsia="仿宋_GB2312" w:cs="仿宋_GB2312"/>
          <w:color w:val="auto"/>
          <w:sz w:val="28"/>
          <w:szCs w:val="28"/>
          <w:highlight w:val="yellow"/>
        </w:rPr>
        <w:t>年</w:t>
      </w:r>
      <w:r>
        <w:rPr>
          <w:rFonts w:hint="eastAsia" w:ascii="仿宋_GB2312" w:hAnsi="仿宋_GB2312" w:eastAsia="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21</w:t>
      </w:r>
      <w:r>
        <w:rPr>
          <w:rFonts w:hint="eastAsia" w:ascii="仿宋_GB2312" w:hAnsi="仿宋_GB2312" w:eastAsia="仿宋_GB2312" w:cs="仿宋_GB2312"/>
          <w:color w:val="auto"/>
          <w:sz w:val="28"/>
          <w:szCs w:val="28"/>
          <w:highlight w:val="yellow"/>
        </w:rPr>
        <w:t>日—</w:t>
      </w:r>
      <w:r>
        <w:rPr>
          <w:rFonts w:hint="eastAsia" w:ascii="仿宋_GB2312" w:hAnsi="仿宋_GB2312" w:eastAsia="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27</w:t>
      </w:r>
      <w:bookmarkStart w:id="24" w:name="_GoBack"/>
      <w:bookmarkEnd w:id="24"/>
      <w:r>
        <w:rPr>
          <w:rFonts w:hint="eastAsia" w:ascii="仿宋_GB2312" w:hAnsi="仿宋_GB2312" w:eastAsia="仿宋_GB2312" w:cs="仿宋_GB2312"/>
          <w:color w:val="auto"/>
          <w:sz w:val="28"/>
          <w:szCs w:val="28"/>
          <w:highlight w:val="yellow"/>
        </w:rPr>
        <w:t>日止，响应承包商应于</w:t>
      </w:r>
      <w:r>
        <w:rPr>
          <w:rFonts w:hint="eastAsia" w:ascii="仿宋_GB2312" w:hAnsi="仿宋_GB2312" w:eastAsia="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月</w:t>
      </w:r>
      <w:r>
        <w:rPr>
          <w:rFonts w:hint="eastAsia" w:ascii="仿宋_GB2312" w:hAnsi="仿宋_GB2312" w:eastAsia="仿宋_GB2312" w:cs="仿宋_GB2312"/>
          <w:color w:val="auto"/>
          <w:sz w:val="28"/>
          <w:szCs w:val="28"/>
          <w:highlight w:val="yellow"/>
          <w:lang w:val="en-US" w:eastAsia="zh-CN"/>
        </w:rPr>
        <w:t>24</w:t>
      </w:r>
      <w:r>
        <w:rPr>
          <w:rFonts w:hint="eastAsia" w:ascii="仿宋_GB2312" w:hAnsi="仿宋_GB2312" w:eastAsia="仿宋_GB2312" w:cs="仿宋_GB2312"/>
          <w:color w:val="auto"/>
          <w:sz w:val="28"/>
          <w:szCs w:val="28"/>
          <w:highlight w:val="yellow"/>
        </w:rPr>
        <w:t>日1</w:t>
      </w:r>
      <w:r>
        <w:rPr>
          <w:rFonts w:hint="eastAsia" w:ascii="仿宋_GB2312" w:hAnsi="仿宋_GB2312" w:eastAsia="仿宋_GB2312" w:cs="仿宋_GB2312"/>
          <w:color w:val="auto"/>
          <w:sz w:val="28"/>
          <w:szCs w:val="28"/>
          <w:highlight w:val="yellow"/>
          <w:lang w:val="en-US" w:eastAsia="zh-CN"/>
        </w:rPr>
        <w:t>8</w:t>
      </w:r>
      <w:r>
        <w:rPr>
          <w:rFonts w:hint="eastAsia" w:ascii="仿宋_GB2312" w:hAnsi="仿宋_GB2312" w:eastAsia="仿宋_GB2312" w:cs="仿宋_GB2312"/>
          <w:color w:val="auto"/>
          <w:sz w:val="28"/>
          <w:szCs w:val="28"/>
          <w:highlight w:val="yellow"/>
        </w:rPr>
        <w:t>:00</w:t>
      </w:r>
      <w:r>
        <w:rPr>
          <w:rFonts w:ascii="仿宋_GB2312" w:hAnsi="仿宋_GB2312" w:eastAsia="仿宋_GB2312" w:cs="仿宋_GB2312"/>
          <w:color w:val="auto"/>
          <w:sz w:val="28"/>
          <w:szCs w:val="28"/>
        </w:rPr>
        <w:t>前</w:t>
      </w:r>
      <w:r>
        <w:rPr>
          <w:rFonts w:hint="eastAsia" w:ascii="仿宋_GB2312" w:hAnsi="仿宋_GB2312" w:eastAsia="仿宋_GB2312" w:cs="仿宋_GB2312"/>
          <w:sz w:val="28"/>
          <w:szCs w:val="28"/>
        </w:rPr>
        <w:t>将响应文件1正4副密封（统一密封，密封处加盖公章）送交到龙岗区中心城腾飞路创投大厦22</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室（</w:t>
      </w:r>
      <w:r>
        <w:rPr>
          <w:rFonts w:hint="eastAsia" w:ascii="仿宋_GB2312" w:hAnsi="仿宋_GB2312" w:eastAsia="仿宋_GB2312" w:cs="仿宋_GB2312"/>
          <w:sz w:val="28"/>
          <w:szCs w:val="28"/>
          <w:lang w:val="en-US" w:eastAsia="zh-CN"/>
        </w:rPr>
        <w:t>合约造价部</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邹工</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15820472526</w:t>
      </w:r>
      <w:r>
        <w:rPr>
          <w:rFonts w:hint="eastAsia" w:ascii="仿宋_GB2312" w:hAnsi="仿宋_GB2312" w:eastAsia="仿宋_GB2312" w:cs="仿宋_GB2312"/>
          <w:sz w:val="28"/>
          <w:szCs w:val="28"/>
        </w:rPr>
        <w:t>），逾期送达或未按要求密封将予以拒收或原封退回给报价人。</w:t>
      </w:r>
    </w:p>
    <w:p w14:paraId="7F43F3A9">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响应文件包含承诺函、委托人要求提供的资料等，详见公开招标（自主）文件。</w:t>
      </w:r>
    </w:p>
    <w:p w14:paraId="305545AB">
      <w:pPr>
        <w:numPr>
          <w:ilvl w:val="255"/>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55CF0C66">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、公开招标（自主）结果公示</w:t>
      </w:r>
    </w:p>
    <w:p w14:paraId="5814A406">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1BD915F3">
      <w:pPr>
        <w:numPr>
          <w:ilvl w:val="255"/>
          <w:numId w:val="0"/>
        </w:num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开标时间：截标时间之后，具体以招标人时间安排为准。</w:t>
      </w:r>
    </w:p>
    <w:p w14:paraId="654E11F0">
      <w:pPr>
        <w:numPr>
          <w:ilvl w:val="255"/>
          <w:numId w:val="0"/>
        </w:num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开标地址：深圳市龙岗区城市建设投资集团有限公司会议室</w:t>
      </w:r>
    </w:p>
    <w:p w14:paraId="42F4B565">
      <w:pPr>
        <w:pStyle w:val="24"/>
      </w:pPr>
    </w:p>
    <w:p w14:paraId="6C3F3A3A"/>
    <w:p w14:paraId="7DBD978C"/>
    <w:p w14:paraId="30F26B8C"/>
    <w:p w14:paraId="2E1E3600">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52130EF8">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68D1F76C">
      <w:pPr>
        <w:numPr>
          <w:ilvl w:val="255"/>
          <w:numId w:val="0"/>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公开招标（自主）评审后，如承包单位放弃中选资格或者拒不签订合同的，委托人可以从资格审查合格的其他投标单位中采用原评审方法，由原评审小组确定承包单位。</w:t>
      </w:r>
    </w:p>
    <w:p w14:paraId="3893AE84">
      <w:pPr>
        <w:spacing w:line="540" w:lineRule="exact"/>
        <w:ind w:left="1687" w:hanging="1687" w:hangingChars="600"/>
        <w:rPr>
          <w:rFonts w:ascii="仿宋_GB2312" w:hAnsi="仿宋_GB2312" w:eastAsia="仿宋_GB2312" w:cs="仿宋_GB2312"/>
          <w:b/>
          <w:bCs/>
          <w:sz w:val="28"/>
          <w:szCs w:val="28"/>
        </w:rPr>
      </w:pPr>
    </w:p>
    <w:p w14:paraId="6B1D67F2">
      <w:pPr>
        <w:adjustRightInd/>
        <w:snapToGrid/>
        <w:spacing w:line="360" w:lineRule="auto"/>
        <w:ind w:left="0" w:firstLine="0" w:firstLineChars="0"/>
        <w:jc w:val="center"/>
        <w:rPr>
          <w:rFonts w:hint="eastAsia" w:ascii="仿宋_GB2312" w:hAnsi="宋体" w:eastAsia="仿宋_GB2312" w:cs="Times New Roman"/>
          <w:b/>
          <w:bCs w:val="0"/>
          <w:sz w:val="30"/>
          <w:szCs w:val="30"/>
          <w:lang w:val="en-US" w:eastAsia="zh-CN"/>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宋体" w:eastAsia="仿宋_GB2312" w:cs="Times New Roman"/>
          <w:b/>
          <w:bCs w:val="0"/>
          <w:sz w:val="30"/>
          <w:szCs w:val="30"/>
          <w:lang w:val="en-US" w:eastAsia="zh-CN"/>
        </w:rPr>
        <w:t>深圳市龙岗区城投高新技术产业投资开发有限公司</w:t>
      </w:r>
    </w:p>
    <w:p w14:paraId="3EA6FE10">
      <w:pPr>
        <w:spacing w:line="540" w:lineRule="exact"/>
        <w:ind w:firstLine="480"/>
        <w:rPr>
          <w:rFonts w:ascii="仿宋_GB2312" w:hAnsi="仿宋_GB2312" w:eastAsia="仿宋_GB2312" w:cs="仿宋_GB2312"/>
          <w:b/>
          <w:bCs/>
          <w:sz w:val="28"/>
          <w:szCs w:val="28"/>
          <w:highlight w:val="yellow"/>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10</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15</w:t>
      </w:r>
      <w:r>
        <w:rPr>
          <w:rFonts w:hint="eastAsia" w:ascii="仿宋_GB2312" w:hAnsi="仿宋_GB2312" w:eastAsia="仿宋_GB2312" w:cs="仿宋_GB2312"/>
          <w:b/>
          <w:bCs/>
          <w:sz w:val="28"/>
          <w:szCs w:val="28"/>
        </w:rPr>
        <w:t>日</w:t>
      </w:r>
    </w:p>
    <w:p w14:paraId="094B0A85">
      <w:r>
        <w:br w:type="page"/>
      </w:r>
    </w:p>
    <w:p w14:paraId="5BD361D1">
      <w:pPr>
        <w:spacing w:line="360" w:lineRule="auto"/>
        <w:jc w:val="center"/>
        <w:outlineLvl w:val="2"/>
        <w:rPr>
          <w:rFonts w:hint="eastAsia" w:ascii="宋体" w:hAnsi="宋体"/>
          <w:b/>
          <w:snapToGrid w:val="0"/>
          <w:kern w:val="0"/>
          <w:sz w:val="32"/>
          <w:szCs w:val="32"/>
          <w:lang w:val="en-US" w:eastAsia="zh-CN"/>
        </w:rPr>
      </w:pPr>
      <w:r>
        <w:rPr>
          <w:rFonts w:hint="eastAsia" w:ascii="宋体" w:hAnsi="宋体"/>
          <w:b/>
          <w:snapToGrid w:val="0"/>
          <w:kern w:val="0"/>
          <w:sz w:val="32"/>
          <w:szCs w:val="32"/>
          <w:lang w:val="en-US" w:eastAsia="zh-CN"/>
        </w:rPr>
        <w:t>第二章　</w:t>
      </w:r>
      <w:bookmarkStart w:id="2" w:name="_Toc306716052"/>
      <w:r>
        <w:rPr>
          <w:rFonts w:hint="eastAsia" w:ascii="宋体" w:hAnsi="宋体"/>
          <w:b/>
          <w:snapToGrid w:val="0"/>
          <w:kern w:val="0"/>
          <w:sz w:val="32"/>
          <w:szCs w:val="32"/>
          <w:lang w:val="en-US" w:eastAsia="zh-CN"/>
        </w:rPr>
        <w:t>投标须知</w:t>
      </w:r>
      <w:bookmarkEnd w:id="1"/>
      <w:bookmarkEnd w:id="2"/>
    </w:p>
    <w:p w14:paraId="42BE0DE4">
      <w:pPr>
        <w:spacing w:line="360" w:lineRule="auto"/>
        <w:jc w:val="center"/>
        <w:outlineLvl w:val="3"/>
        <w:rPr>
          <w:rFonts w:ascii="宋体" w:hAnsi="宋体"/>
          <w:b/>
          <w:snapToGrid w:val="0"/>
          <w:kern w:val="0"/>
          <w:sz w:val="32"/>
          <w:szCs w:val="32"/>
        </w:rPr>
      </w:pPr>
      <w:bookmarkStart w:id="3" w:name="_Toc15270"/>
      <w:bookmarkStart w:id="4" w:name="_Toc509669687"/>
      <w:r>
        <w:rPr>
          <w:rFonts w:hint="eastAsia" w:ascii="宋体" w:hAnsi="宋体"/>
          <w:b/>
          <w:snapToGrid w:val="0"/>
          <w:kern w:val="0"/>
          <w:sz w:val="32"/>
          <w:szCs w:val="32"/>
          <w:lang w:val="en-US" w:eastAsia="zh-CN"/>
        </w:rPr>
        <w:t>一</w:t>
      </w:r>
      <w:r>
        <w:rPr>
          <w:rFonts w:hint="eastAsia" w:ascii="宋体" w:hAnsi="宋体"/>
          <w:b/>
          <w:snapToGrid w:val="0"/>
          <w:kern w:val="0"/>
          <w:sz w:val="32"/>
          <w:szCs w:val="32"/>
        </w:rPr>
        <w:t>、投标文件的编制</w:t>
      </w:r>
      <w:bookmarkEnd w:id="3"/>
      <w:bookmarkEnd w:id="4"/>
    </w:p>
    <w:p w14:paraId="0C0B97A2">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lang w:val="en-US" w:eastAsia="zh-CN"/>
        </w:rPr>
        <w:t>1</w:t>
      </w:r>
      <w:r>
        <w:rPr>
          <w:rFonts w:hint="eastAsia" w:ascii="宋体" w:hAnsi="宋体"/>
          <w:b/>
          <w:snapToGrid w:val="0"/>
          <w:kern w:val="0"/>
          <w:szCs w:val="21"/>
        </w:rPr>
        <w:t>.投标文件的语言及度量单位</w:t>
      </w:r>
    </w:p>
    <w:p w14:paraId="7D80583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1</w:t>
      </w:r>
      <w:r>
        <w:rPr>
          <w:rFonts w:hint="eastAsia" w:ascii="宋体" w:hAnsi="宋体"/>
          <w:snapToGrid w:val="0"/>
          <w:kern w:val="0"/>
          <w:szCs w:val="21"/>
        </w:rPr>
        <w:t>.1投标人与招标人之间与投标有关的所有往来通知、函件和投标文件均应用中文。投标人随投标文件提供的证明文件和资料可以为其他语言，但必须附中文译文。在此，为了解释投标文件，应以中文为准。</w:t>
      </w:r>
    </w:p>
    <w:p w14:paraId="4688935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1</w:t>
      </w:r>
      <w:r>
        <w:rPr>
          <w:rFonts w:hint="eastAsia" w:ascii="宋体" w:hAnsi="宋体"/>
          <w:snapToGrid w:val="0"/>
          <w:kern w:val="0"/>
          <w:szCs w:val="21"/>
        </w:rPr>
        <w:t>.2 除技术规范另有规定外，投标文件使用的度量单位，均采用中华人民共和国法定计量单位。</w:t>
      </w:r>
    </w:p>
    <w:p w14:paraId="3955BAD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1</w:t>
      </w:r>
      <w:r>
        <w:rPr>
          <w:rFonts w:hint="eastAsia" w:ascii="宋体" w:hAnsi="宋体"/>
          <w:snapToGrid w:val="0"/>
          <w:kern w:val="0"/>
          <w:szCs w:val="21"/>
        </w:rPr>
        <w:t>.3公开招标（自主）文件中所出现的日期为自然日，货币单位为人民币。</w:t>
      </w:r>
    </w:p>
    <w:p w14:paraId="4B9E4AD7">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lang w:val="en-US" w:eastAsia="zh-CN"/>
        </w:rPr>
        <w:t>2</w:t>
      </w:r>
      <w:r>
        <w:rPr>
          <w:rFonts w:hint="eastAsia" w:ascii="宋体" w:hAnsi="宋体"/>
          <w:b/>
          <w:snapToGrid w:val="0"/>
          <w:kern w:val="0"/>
          <w:szCs w:val="21"/>
        </w:rPr>
        <w:t>.投标有效期</w:t>
      </w:r>
    </w:p>
    <w:p w14:paraId="74F79453">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lang w:val="en-US" w:eastAsia="zh-CN"/>
        </w:rPr>
        <w:t>2</w:t>
      </w:r>
      <w:r>
        <w:rPr>
          <w:rFonts w:hint="eastAsia" w:ascii="宋体" w:hAnsi="宋体"/>
          <w:snapToGrid w:val="0"/>
          <w:kern w:val="0"/>
          <w:szCs w:val="21"/>
        </w:rPr>
        <w:t>.1投标有效期60天。在此期间，所有投标均保持有效。</w:t>
      </w:r>
    </w:p>
    <w:p w14:paraId="31CB1B59">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3.投标费用</w:t>
      </w:r>
    </w:p>
    <w:p w14:paraId="3AE8762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投标人应自行承担所有准备及参加投标相关的费用。不论投标的结果如何，招标人均无承担相应的义务和责任。</w:t>
      </w:r>
    </w:p>
    <w:p w14:paraId="2D650246">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4.踏勘现场</w:t>
      </w:r>
    </w:p>
    <w:p w14:paraId="07AC7EB1">
      <w:pPr>
        <w:spacing w:line="360" w:lineRule="auto"/>
        <w:ind w:firstLine="420" w:firstLineChars="200"/>
        <w:jc w:val="left"/>
        <w:rPr>
          <w:rFonts w:ascii="宋体" w:hAnsi="宋体"/>
          <w:snapToGrid w:val="0"/>
          <w:kern w:val="0"/>
          <w:szCs w:val="21"/>
        </w:rPr>
      </w:pPr>
      <w:r>
        <w:rPr>
          <w:rFonts w:ascii="宋体" w:hAnsi="宋体"/>
          <w:snapToGrid w:val="0"/>
          <w:kern w:val="0"/>
          <w:szCs w:val="21"/>
        </w:rPr>
        <w:t>本项目不组织现场踏</w:t>
      </w:r>
      <w:r>
        <w:rPr>
          <w:rFonts w:hint="eastAsia" w:ascii="宋体" w:hAnsi="宋体"/>
          <w:snapToGrid w:val="0"/>
          <w:kern w:val="0"/>
          <w:szCs w:val="21"/>
        </w:rPr>
        <w:t>勘。</w:t>
      </w:r>
    </w:p>
    <w:p w14:paraId="5DB79D9A">
      <w:pPr>
        <w:spacing w:line="360" w:lineRule="auto"/>
        <w:ind w:firstLine="420" w:firstLineChars="200"/>
        <w:jc w:val="left"/>
        <w:rPr>
          <w:rFonts w:hint="eastAsia" w:ascii="宋体" w:hAnsi="宋体"/>
          <w:snapToGrid w:val="0"/>
          <w:kern w:val="0"/>
          <w:szCs w:val="21"/>
        </w:rPr>
      </w:pPr>
    </w:p>
    <w:p w14:paraId="7F66440D">
      <w:pPr>
        <w:spacing w:line="360" w:lineRule="auto"/>
        <w:ind w:firstLine="420" w:firstLineChars="200"/>
        <w:jc w:val="left"/>
        <w:rPr>
          <w:rFonts w:ascii="宋体" w:hAnsi="宋体"/>
          <w:snapToGrid w:val="0"/>
          <w:kern w:val="0"/>
          <w:szCs w:val="21"/>
        </w:rPr>
      </w:pPr>
    </w:p>
    <w:p w14:paraId="3C6A7198">
      <w:pPr>
        <w:spacing w:line="360" w:lineRule="auto"/>
        <w:jc w:val="center"/>
        <w:outlineLvl w:val="3"/>
        <w:rPr>
          <w:rFonts w:ascii="宋体" w:hAnsi="宋体"/>
          <w:b/>
          <w:snapToGrid w:val="0"/>
          <w:kern w:val="0"/>
          <w:sz w:val="32"/>
          <w:szCs w:val="32"/>
        </w:rPr>
      </w:pPr>
      <w:bookmarkStart w:id="5" w:name="_Toc18627"/>
      <w:bookmarkStart w:id="6" w:name="_Toc509669688"/>
      <w:r>
        <w:rPr>
          <w:rFonts w:hint="eastAsia" w:ascii="宋体" w:hAnsi="宋体"/>
          <w:b/>
          <w:snapToGrid w:val="0"/>
          <w:kern w:val="0"/>
          <w:sz w:val="32"/>
          <w:szCs w:val="32"/>
          <w:lang w:val="en-US" w:eastAsia="zh-CN"/>
        </w:rPr>
        <w:t>二</w:t>
      </w:r>
      <w:r>
        <w:rPr>
          <w:rFonts w:hint="eastAsia" w:ascii="宋体" w:hAnsi="宋体"/>
          <w:b/>
          <w:snapToGrid w:val="0"/>
          <w:kern w:val="0"/>
          <w:sz w:val="32"/>
          <w:szCs w:val="32"/>
        </w:rPr>
        <w:t>、投标文件的递交</w:t>
      </w:r>
      <w:bookmarkEnd w:id="5"/>
      <w:bookmarkEnd w:id="6"/>
    </w:p>
    <w:p w14:paraId="167E740E">
      <w:pPr>
        <w:spacing w:line="360" w:lineRule="auto"/>
        <w:ind w:firstLine="422" w:firstLineChars="200"/>
        <w:jc w:val="left"/>
        <w:rPr>
          <w:rFonts w:hint="default" w:ascii="宋体" w:hAnsi="宋体" w:eastAsia="宋体"/>
          <w:snapToGrid w:val="0"/>
          <w:kern w:val="0"/>
          <w:szCs w:val="21"/>
          <w:lang w:val="en-US" w:eastAsia="zh-CN"/>
        </w:rPr>
      </w:pPr>
      <w:r>
        <w:rPr>
          <w:rFonts w:hint="eastAsia" w:ascii="宋体" w:hAnsi="宋体"/>
          <w:b/>
          <w:snapToGrid w:val="0"/>
          <w:kern w:val="0"/>
          <w:szCs w:val="21"/>
          <w:lang w:val="en-US" w:eastAsia="zh-CN"/>
        </w:rPr>
        <w:t>5</w:t>
      </w:r>
      <w:r>
        <w:rPr>
          <w:rFonts w:hint="eastAsia" w:ascii="宋体" w:hAnsi="宋体"/>
          <w:b/>
          <w:snapToGrid w:val="0"/>
          <w:kern w:val="0"/>
          <w:szCs w:val="21"/>
        </w:rPr>
        <w:t>.投标文件</w:t>
      </w:r>
      <w:r>
        <w:rPr>
          <w:rFonts w:hint="eastAsia" w:ascii="宋体" w:hAnsi="宋体"/>
          <w:b/>
          <w:snapToGrid w:val="0"/>
          <w:kern w:val="0"/>
          <w:szCs w:val="21"/>
          <w:lang w:val="en-US" w:eastAsia="zh-CN"/>
        </w:rPr>
        <w:t>要求</w:t>
      </w:r>
    </w:p>
    <w:p w14:paraId="12D70BF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w:t>
      </w:r>
      <w:r>
        <w:rPr>
          <w:rFonts w:hint="eastAsia" w:ascii="宋体" w:hAnsi="宋体"/>
          <w:snapToGrid w:val="0"/>
          <w:kern w:val="0"/>
          <w:szCs w:val="21"/>
          <w:lang w:val="en-US" w:eastAsia="zh-CN"/>
        </w:rPr>
        <w:t>1</w:t>
      </w:r>
      <w:r>
        <w:rPr>
          <w:rFonts w:hint="eastAsia" w:ascii="宋体" w:hAnsi="宋体"/>
          <w:snapToGrid w:val="0"/>
          <w:kern w:val="0"/>
          <w:szCs w:val="21"/>
        </w:rPr>
        <w:t>投标文件的密封和标记</w:t>
      </w:r>
    </w:p>
    <w:p w14:paraId="6AF62EB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w:t>
      </w:r>
      <w:r>
        <w:rPr>
          <w:rFonts w:hint="eastAsia" w:ascii="宋体" w:hAnsi="宋体"/>
          <w:snapToGrid w:val="0"/>
          <w:kern w:val="0"/>
          <w:szCs w:val="21"/>
          <w:lang w:val="en-US" w:eastAsia="zh-CN"/>
        </w:rPr>
        <w:t>1</w:t>
      </w:r>
      <w:r>
        <w:rPr>
          <w:rFonts w:hint="eastAsia" w:ascii="宋体" w:hAnsi="宋体"/>
          <w:snapToGrid w:val="0"/>
          <w:kern w:val="0"/>
          <w:szCs w:val="21"/>
        </w:rPr>
        <w:t>.1投标文件1正4副，1个密封袋密封。将密封包装好的投标文件密封袋上注明工程名称、招标人、投标人名称、时间等，并在密封袋的封口处和标签上应加盖投标人公章，同时1正4副投标文件封面加盖公章及骑缝章。</w:t>
      </w:r>
    </w:p>
    <w:p w14:paraId="36AFD8D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w:t>
      </w:r>
      <w:r>
        <w:rPr>
          <w:rFonts w:hint="eastAsia" w:ascii="宋体" w:hAnsi="宋体"/>
          <w:snapToGrid w:val="0"/>
          <w:kern w:val="0"/>
          <w:szCs w:val="21"/>
          <w:lang w:val="en-US" w:eastAsia="zh-CN"/>
        </w:rPr>
        <w:t>1</w:t>
      </w:r>
      <w:r>
        <w:rPr>
          <w:rFonts w:hint="eastAsia" w:ascii="宋体" w:hAnsi="宋体"/>
          <w:snapToGrid w:val="0"/>
          <w:kern w:val="0"/>
          <w:szCs w:val="21"/>
        </w:rPr>
        <w:t>.2投标文件若未按规定进行密封及标志，招标人不承担投标文件错放或提前开封的责任。</w:t>
      </w:r>
    </w:p>
    <w:p w14:paraId="59AE19B3">
      <w:pPr>
        <w:spacing w:line="360" w:lineRule="auto"/>
        <w:ind w:firstLine="420" w:firstLineChars="200"/>
        <w:jc w:val="left"/>
        <w:rPr>
          <w:rFonts w:ascii="宋体" w:hAnsi="宋体"/>
          <w:b/>
          <w:bCs/>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w:t>
      </w:r>
      <w:r>
        <w:rPr>
          <w:rFonts w:hint="eastAsia" w:ascii="宋体" w:hAnsi="宋体"/>
          <w:snapToGrid w:val="0"/>
          <w:kern w:val="0"/>
          <w:szCs w:val="21"/>
          <w:lang w:val="en-US" w:eastAsia="zh-CN"/>
        </w:rPr>
        <w:t>2</w:t>
      </w:r>
      <w:r>
        <w:rPr>
          <w:rFonts w:hint="eastAsia" w:ascii="宋体" w:hAnsi="宋体"/>
          <w:b/>
          <w:bCs/>
          <w:snapToGrid w:val="0"/>
          <w:kern w:val="0"/>
          <w:szCs w:val="21"/>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5969BF7A">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5</w:t>
      </w:r>
      <w:r>
        <w:rPr>
          <w:rFonts w:hint="eastAsia" w:ascii="宋体" w:hAnsi="宋体"/>
          <w:snapToGrid w:val="0"/>
          <w:kern w:val="0"/>
          <w:szCs w:val="21"/>
        </w:rPr>
        <w:t>.4迟交的投标文件</w:t>
      </w:r>
    </w:p>
    <w:p w14:paraId="47F631CF">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招标人在本须知规定的投标截止日期以后收到的投标文件，将被拒绝或原封退回给投标人。</w:t>
      </w:r>
    </w:p>
    <w:p w14:paraId="638A89F0">
      <w:pPr>
        <w:spacing w:line="360" w:lineRule="auto"/>
        <w:ind w:firstLine="420" w:firstLineChars="200"/>
        <w:jc w:val="left"/>
        <w:rPr>
          <w:rFonts w:hint="eastAsia" w:ascii="宋体" w:hAnsi="宋体"/>
          <w:snapToGrid w:val="0"/>
          <w:kern w:val="0"/>
          <w:szCs w:val="21"/>
        </w:rPr>
      </w:pPr>
    </w:p>
    <w:p w14:paraId="79476D7E">
      <w:pPr>
        <w:spacing w:line="360" w:lineRule="auto"/>
        <w:jc w:val="center"/>
        <w:outlineLvl w:val="3"/>
        <w:rPr>
          <w:rFonts w:ascii="宋体" w:hAnsi="宋体"/>
          <w:b/>
          <w:snapToGrid w:val="0"/>
          <w:kern w:val="0"/>
          <w:sz w:val="32"/>
          <w:szCs w:val="32"/>
        </w:rPr>
      </w:pPr>
      <w:bookmarkStart w:id="7" w:name="_Toc512"/>
      <w:bookmarkStart w:id="8" w:name="_Toc509669689"/>
      <w:r>
        <w:rPr>
          <w:rFonts w:hint="eastAsia" w:ascii="宋体" w:hAnsi="宋体"/>
          <w:b/>
          <w:snapToGrid w:val="0"/>
          <w:kern w:val="0"/>
          <w:sz w:val="32"/>
          <w:szCs w:val="32"/>
          <w:lang w:val="en-US" w:eastAsia="zh-CN"/>
        </w:rPr>
        <w:t>三</w:t>
      </w:r>
      <w:r>
        <w:rPr>
          <w:rFonts w:hint="eastAsia" w:ascii="宋体" w:hAnsi="宋体"/>
          <w:b/>
          <w:snapToGrid w:val="0"/>
          <w:kern w:val="0"/>
          <w:sz w:val="32"/>
          <w:szCs w:val="32"/>
        </w:rPr>
        <w:t>、开  标</w:t>
      </w:r>
      <w:bookmarkEnd w:id="7"/>
      <w:bookmarkEnd w:id="8"/>
    </w:p>
    <w:p w14:paraId="6C71A4DE">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lang w:val="en-US" w:eastAsia="zh-CN"/>
        </w:rPr>
        <w:t>6</w:t>
      </w:r>
      <w:r>
        <w:rPr>
          <w:rFonts w:hint="eastAsia" w:ascii="宋体" w:hAnsi="宋体"/>
          <w:b/>
          <w:snapToGrid w:val="0"/>
          <w:kern w:val="0"/>
          <w:szCs w:val="21"/>
        </w:rPr>
        <w:t>.开标</w:t>
      </w:r>
    </w:p>
    <w:p w14:paraId="69C9759B">
      <w:pPr>
        <w:pStyle w:val="98"/>
        <w:tabs>
          <w:tab w:val="left" w:pos="14"/>
          <w:tab w:val="left" w:pos="1232"/>
        </w:tabs>
        <w:spacing w:line="360" w:lineRule="auto"/>
        <w:rPr>
          <w:rFonts w:ascii="宋体" w:hAnsi="宋体"/>
          <w:snapToGrid w:val="0"/>
          <w:kern w:val="0"/>
          <w:szCs w:val="21"/>
        </w:rPr>
      </w:pPr>
      <w:r>
        <w:rPr>
          <w:rFonts w:hint="eastAsia" w:ascii="宋体" w:hAnsi="宋体"/>
          <w:snapToGrid w:val="0"/>
          <w:kern w:val="0"/>
          <w:szCs w:val="21"/>
          <w:lang w:val="en-US" w:eastAsia="zh-CN"/>
        </w:rPr>
        <w:t>6</w:t>
      </w:r>
      <w:r>
        <w:rPr>
          <w:rFonts w:hint="eastAsia" w:ascii="宋体" w:hAnsi="宋体"/>
          <w:snapToGrid w:val="0"/>
          <w:kern w:val="0"/>
          <w:szCs w:val="21"/>
        </w:rPr>
        <w:t>.1招标人计划</w:t>
      </w:r>
      <w:r>
        <w:rPr>
          <w:rFonts w:hint="eastAsia" w:ascii="宋体" w:hAnsi="宋体" w:eastAsia="宋体"/>
          <w:snapToGrid w:val="0"/>
          <w:kern w:val="0"/>
          <w:szCs w:val="21"/>
        </w:rPr>
        <w:t>在龙岗</w:t>
      </w:r>
      <w:r>
        <w:rPr>
          <w:rFonts w:ascii="宋体" w:hAnsi="宋体" w:cs="宋体"/>
          <w:kern w:val="0"/>
          <w:szCs w:val="21"/>
        </w:rPr>
        <w:t>区中心城腾飞路创投大厦</w:t>
      </w:r>
      <w:r>
        <w:rPr>
          <w:rFonts w:hint="eastAsia" w:ascii="宋体" w:hAnsi="宋体"/>
          <w:szCs w:val="21"/>
        </w:rPr>
        <w:t>深圳市龙岗区城市建设投资集团有限公司会议室</w:t>
      </w:r>
      <w:r>
        <w:rPr>
          <w:rFonts w:hint="eastAsia" w:ascii="宋体" w:hAnsi="宋体"/>
          <w:b/>
          <w:snapToGrid w:val="0"/>
          <w:color w:val="000000"/>
          <w:kern w:val="0"/>
          <w:szCs w:val="21"/>
        </w:rPr>
        <w:t>开标</w:t>
      </w:r>
      <w:r>
        <w:rPr>
          <w:rFonts w:hint="eastAsia" w:ascii="宋体" w:hAnsi="宋体"/>
          <w:snapToGrid w:val="0"/>
          <w:kern w:val="0"/>
          <w:szCs w:val="21"/>
        </w:rPr>
        <w:t>，并邀请</w:t>
      </w:r>
      <w:r>
        <w:rPr>
          <w:rFonts w:hint="eastAsia" w:ascii="宋体" w:hAnsi="宋体"/>
          <w:szCs w:val="21"/>
        </w:rPr>
        <w:t>评标委员会委员和监督小组成员</w:t>
      </w:r>
      <w:r>
        <w:rPr>
          <w:rFonts w:hint="eastAsia" w:ascii="宋体" w:hAnsi="宋体"/>
          <w:snapToGrid w:val="0"/>
          <w:kern w:val="0"/>
          <w:szCs w:val="21"/>
        </w:rPr>
        <w:t>参加。</w:t>
      </w:r>
    </w:p>
    <w:p w14:paraId="2DD760E8">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6</w:t>
      </w:r>
      <w:r>
        <w:rPr>
          <w:rFonts w:hint="eastAsia" w:ascii="宋体" w:hAnsi="宋体"/>
          <w:snapToGrid w:val="0"/>
          <w:kern w:val="0"/>
          <w:szCs w:val="21"/>
        </w:rPr>
        <w:t>.2开标会由招标人主持。</w:t>
      </w:r>
    </w:p>
    <w:p w14:paraId="65A45511">
      <w:pPr>
        <w:spacing w:line="360" w:lineRule="auto"/>
        <w:ind w:firstLine="420" w:firstLineChars="200"/>
        <w:jc w:val="left"/>
        <w:rPr>
          <w:rFonts w:hint="eastAsia" w:ascii="宋体" w:hAnsi="宋体"/>
          <w:szCs w:val="21"/>
        </w:rPr>
      </w:pPr>
      <w:r>
        <w:rPr>
          <w:rFonts w:hint="eastAsia" w:ascii="宋体" w:hAnsi="宋体"/>
          <w:snapToGrid w:val="0"/>
          <w:kern w:val="0"/>
          <w:szCs w:val="21"/>
          <w:lang w:val="en-US" w:eastAsia="zh-CN"/>
        </w:rPr>
        <w:t>6</w:t>
      </w:r>
      <w:r>
        <w:rPr>
          <w:rFonts w:hint="eastAsia" w:ascii="宋体" w:hAnsi="宋体"/>
          <w:snapToGrid w:val="0"/>
          <w:kern w:val="0"/>
          <w:szCs w:val="21"/>
        </w:rPr>
        <w:t>.3</w:t>
      </w:r>
      <w:r>
        <w:rPr>
          <w:rFonts w:hint="eastAsia" w:ascii="宋体" w:hAnsi="宋体"/>
          <w:szCs w:val="21"/>
        </w:rPr>
        <w:t>开标会结束，相关资料送交评标委员会。</w:t>
      </w:r>
    </w:p>
    <w:p w14:paraId="5331A9C8">
      <w:pPr>
        <w:spacing w:line="360" w:lineRule="auto"/>
        <w:ind w:firstLine="420" w:firstLineChars="200"/>
        <w:jc w:val="left"/>
        <w:rPr>
          <w:rFonts w:hint="eastAsia" w:ascii="宋体" w:hAnsi="宋体"/>
          <w:szCs w:val="21"/>
        </w:rPr>
      </w:pPr>
    </w:p>
    <w:p w14:paraId="2499E6A6">
      <w:pPr>
        <w:spacing w:line="360" w:lineRule="auto"/>
        <w:jc w:val="center"/>
        <w:outlineLvl w:val="3"/>
        <w:rPr>
          <w:rFonts w:ascii="宋体" w:hAnsi="宋体"/>
          <w:b/>
          <w:snapToGrid w:val="0"/>
          <w:kern w:val="0"/>
          <w:sz w:val="32"/>
          <w:szCs w:val="32"/>
        </w:rPr>
      </w:pPr>
      <w:bookmarkStart w:id="9" w:name="_Toc23872"/>
      <w:bookmarkStart w:id="10" w:name="_Toc509669690"/>
      <w:r>
        <w:rPr>
          <w:rFonts w:hint="eastAsia" w:ascii="宋体" w:hAnsi="宋体"/>
          <w:b/>
          <w:snapToGrid w:val="0"/>
          <w:kern w:val="0"/>
          <w:sz w:val="32"/>
          <w:szCs w:val="32"/>
          <w:lang w:val="en-US" w:eastAsia="zh-CN"/>
        </w:rPr>
        <w:t>四</w:t>
      </w:r>
      <w:r>
        <w:rPr>
          <w:rFonts w:hint="eastAsia" w:ascii="宋体" w:hAnsi="宋体"/>
          <w:b/>
          <w:snapToGrid w:val="0"/>
          <w:kern w:val="0"/>
          <w:sz w:val="32"/>
          <w:szCs w:val="32"/>
        </w:rPr>
        <w:t>、资格审查</w:t>
      </w:r>
      <w:bookmarkEnd w:id="9"/>
      <w:bookmarkEnd w:id="10"/>
    </w:p>
    <w:p w14:paraId="3A29D04C">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lang w:val="en-US" w:eastAsia="zh-CN"/>
        </w:rPr>
        <w:t>7</w:t>
      </w:r>
      <w:r>
        <w:rPr>
          <w:rFonts w:hint="eastAsia" w:ascii="宋体" w:hAnsi="宋体"/>
          <w:b/>
          <w:snapToGrid w:val="0"/>
          <w:kern w:val="0"/>
          <w:szCs w:val="21"/>
        </w:rPr>
        <w:t>.资格审查按以下规定进行</w:t>
      </w:r>
    </w:p>
    <w:p w14:paraId="1F312996">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lang w:val="en-US" w:eastAsia="zh-CN"/>
        </w:rPr>
        <w:t>7</w:t>
      </w:r>
      <w:r>
        <w:rPr>
          <w:rFonts w:hint="eastAsia" w:ascii="宋体" w:hAnsi="宋体"/>
          <w:snapToGrid w:val="0"/>
          <w:color w:val="000000"/>
          <w:kern w:val="0"/>
          <w:szCs w:val="21"/>
        </w:rPr>
        <w:t>.1资格审查由评标委员会负责。</w:t>
      </w:r>
    </w:p>
    <w:p w14:paraId="2599F67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7</w:t>
      </w:r>
      <w:r>
        <w:rPr>
          <w:rFonts w:hint="eastAsia" w:ascii="宋体" w:hAnsi="宋体"/>
          <w:snapToGrid w:val="0"/>
          <w:kern w:val="0"/>
          <w:szCs w:val="21"/>
        </w:rPr>
        <w:t>.2评标委员严格对照公开招标（自主）要求的投标人资格条件，逐个审查投标人递交的资格审查文件，审核判断投标人是否满足该资格条件。</w:t>
      </w:r>
    </w:p>
    <w:p w14:paraId="4234A59E">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lang w:val="en-US" w:eastAsia="zh-CN"/>
        </w:rPr>
        <w:t>7</w:t>
      </w:r>
      <w:r>
        <w:rPr>
          <w:rFonts w:hint="eastAsia" w:ascii="宋体" w:hAnsi="宋体"/>
          <w:snapToGrid w:val="0"/>
          <w:kern w:val="0"/>
          <w:szCs w:val="21"/>
        </w:rPr>
        <w:t>.3全部投标人的资格审查材料审查完毕后，</w:t>
      </w:r>
      <w:r>
        <w:rPr>
          <w:rFonts w:hint="eastAsia" w:ascii="宋体" w:hAnsi="宋体"/>
          <w:b/>
          <w:snapToGrid w:val="0"/>
          <w:color w:val="000000"/>
          <w:kern w:val="0"/>
          <w:szCs w:val="21"/>
        </w:rPr>
        <w:t>评标委员会出具资格审查报告</w:t>
      </w:r>
      <w:r>
        <w:rPr>
          <w:rFonts w:hint="eastAsia" w:ascii="宋体" w:hAnsi="宋体"/>
          <w:snapToGrid w:val="0"/>
          <w:kern w:val="0"/>
          <w:szCs w:val="21"/>
        </w:rPr>
        <w:t>。资格审查合格投标人少于3家的，不再进行后续公开招标（自主）投标程序。</w:t>
      </w:r>
      <w:bookmarkStart w:id="11" w:name="_Toc509669691"/>
    </w:p>
    <w:p w14:paraId="053D5D86">
      <w:pPr>
        <w:spacing w:line="360" w:lineRule="auto"/>
        <w:ind w:firstLine="420" w:firstLineChars="200"/>
        <w:jc w:val="left"/>
        <w:rPr>
          <w:rFonts w:hint="eastAsia" w:ascii="宋体" w:hAnsi="宋体"/>
          <w:snapToGrid w:val="0"/>
          <w:kern w:val="0"/>
          <w:szCs w:val="21"/>
        </w:rPr>
      </w:pPr>
    </w:p>
    <w:p w14:paraId="65041D0D">
      <w:pPr>
        <w:spacing w:line="360" w:lineRule="auto"/>
        <w:jc w:val="center"/>
        <w:outlineLvl w:val="3"/>
        <w:rPr>
          <w:rFonts w:ascii="宋体" w:hAnsi="宋体"/>
          <w:b/>
          <w:snapToGrid w:val="0"/>
          <w:kern w:val="0"/>
          <w:sz w:val="32"/>
          <w:szCs w:val="32"/>
        </w:rPr>
      </w:pPr>
      <w:bookmarkStart w:id="12" w:name="_Toc31878"/>
      <w:r>
        <w:rPr>
          <w:rFonts w:hint="eastAsia" w:ascii="宋体" w:hAnsi="宋体"/>
          <w:b/>
          <w:snapToGrid w:val="0"/>
          <w:kern w:val="0"/>
          <w:sz w:val="32"/>
          <w:szCs w:val="32"/>
          <w:lang w:val="en-US" w:eastAsia="zh-CN"/>
        </w:rPr>
        <w:t>五</w:t>
      </w:r>
      <w:r>
        <w:rPr>
          <w:rFonts w:hint="eastAsia" w:ascii="宋体" w:hAnsi="宋体"/>
          <w:b/>
          <w:snapToGrid w:val="0"/>
          <w:kern w:val="0"/>
          <w:sz w:val="32"/>
          <w:szCs w:val="32"/>
        </w:rPr>
        <w:t>、评标</w:t>
      </w:r>
      <w:bookmarkEnd w:id="11"/>
      <w:bookmarkEnd w:id="12"/>
    </w:p>
    <w:p w14:paraId="38936D90">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lang w:val="en-US" w:eastAsia="zh-CN"/>
        </w:rPr>
        <w:t>8</w:t>
      </w:r>
      <w:r>
        <w:rPr>
          <w:rFonts w:hint="eastAsia" w:ascii="宋体" w:hAnsi="宋体"/>
          <w:b/>
          <w:snapToGrid w:val="0"/>
          <w:kern w:val="0"/>
          <w:szCs w:val="21"/>
        </w:rPr>
        <w:t>.评标委员会和评标</w:t>
      </w:r>
    </w:p>
    <w:p w14:paraId="4A1AAD54">
      <w:pPr>
        <w:spacing w:line="360" w:lineRule="auto"/>
        <w:ind w:firstLine="420" w:firstLineChars="200"/>
        <w:jc w:val="left"/>
        <w:rPr>
          <w:rFonts w:hAnsi="宋体"/>
        </w:rPr>
      </w:pPr>
      <w:r>
        <w:rPr>
          <w:rFonts w:hint="eastAsia" w:ascii="宋体" w:hAnsi="宋体"/>
          <w:snapToGrid w:val="0"/>
          <w:kern w:val="0"/>
          <w:szCs w:val="21"/>
          <w:lang w:val="en-US" w:eastAsia="zh-CN"/>
        </w:rPr>
        <w:t>8</w:t>
      </w:r>
      <w:r>
        <w:rPr>
          <w:rFonts w:hint="eastAsia" w:ascii="宋体" w:hAnsi="宋体"/>
          <w:snapToGrid w:val="0"/>
          <w:kern w:val="0"/>
          <w:szCs w:val="21"/>
        </w:rPr>
        <w:t>.1评标委员会的组建：招标人依法组建评标委员会，负责该公开招标（自主）项目的评标活动。</w:t>
      </w:r>
    </w:p>
    <w:p w14:paraId="4940340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8</w:t>
      </w:r>
      <w:r>
        <w:rPr>
          <w:rFonts w:hint="eastAsia" w:ascii="宋体" w:hAnsi="宋体"/>
          <w:snapToGrid w:val="0"/>
          <w:kern w:val="0"/>
          <w:szCs w:val="21"/>
        </w:rPr>
        <w:t>.2评标委员会的职责：评标委员会应根据公开招标（自主）文件规定的评标方法和标准，对投标文件进行系统地评审。评标委员会根据公开招标（自主）文件的规定直接确定中标人。</w:t>
      </w:r>
    </w:p>
    <w:p w14:paraId="10172B5D">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8</w:t>
      </w:r>
      <w:r>
        <w:rPr>
          <w:rFonts w:hint="eastAsia" w:ascii="宋体" w:hAnsi="宋体"/>
          <w:snapToGrid w:val="0"/>
          <w:kern w:val="0"/>
          <w:szCs w:val="21"/>
        </w:rPr>
        <w:t>.3评标委员会的原则：</w:t>
      </w:r>
      <w:r>
        <w:rPr>
          <w:rFonts w:ascii="宋体" w:hAnsi="宋体"/>
          <w:snapToGrid w:val="0"/>
          <w:kern w:val="0"/>
          <w:szCs w:val="21"/>
        </w:rPr>
        <w:t>评标活动</w:t>
      </w:r>
      <w:r>
        <w:rPr>
          <w:rFonts w:hint="eastAsia" w:ascii="宋体" w:hAnsi="宋体"/>
          <w:snapToGrid w:val="0"/>
          <w:kern w:val="0"/>
          <w:szCs w:val="21"/>
        </w:rPr>
        <w:t>应</w:t>
      </w:r>
      <w:r>
        <w:rPr>
          <w:rFonts w:ascii="宋体" w:hAnsi="宋体"/>
          <w:snapToGrid w:val="0"/>
          <w:kern w:val="0"/>
          <w:szCs w:val="21"/>
        </w:rPr>
        <w:t>遵循公开、公正、公平、科学、择优的原则。</w:t>
      </w:r>
      <w:r>
        <w:rPr>
          <w:rFonts w:hint="eastAsia" w:ascii="宋体" w:hAnsi="宋体"/>
          <w:snapToGrid w:val="0"/>
          <w:kern w:val="0"/>
          <w:szCs w:val="21"/>
        </w:rPr>
        <w:t>评标委员会的评审应实行少数服从多数的原则，经评标委员会成员实名表决半数以上通过的评标结果有效。</w:t>
      </w:r>
    </w:p>
    <w:p w14:paraId="24B01E0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8</w:t>
      </w:r>
      <w:r>
        <w:rPr>
          <w:rFonts w:hint="eastAsia" w:ascii="宋体" w:hAnsi="宋体"/>
          <w:snapToGrid w:val="0"/>
          <w:kern w:val="0"/>
          <w:szCs w:val="21"/>
        </w:rPr>
        <w:t>.4招标人应向评标委员会提供以下资料，供评标使用：</w:t>
      </w:r>
    </w:p>
    <w:p w14:paraId="5D0E765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(1)公开招标（自主）文件，包括公开招标（自主）文件的补充、修改或澄清文件；</w:t>
      </w:r>
    </w:p>
    <w:p w14:paraId="0DB2A6B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(2)其他评标必需的资料。</w:t>
      </w:r>
    </w:p>
    <w:p w14:paraId="120A6407">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lang w:val="en-US" w:eastAsia="zh-CN"/>
        </w:rPr>
        <w:t>9</w:t>
      </w:r>
      <w:r>
        <w:rPr>
          <w:rFonts w:hint="eastAsia" w:ascii="宋体" w:hAnsi="宋体"/>
          <w:b/>
          <w:snapToGrid w:val="0"/>
          <w:kern w:val="0"/>
          <w:szCs w:val="21"/>
        </w:rPr>
        <w:t>.投标文件的澄清和对答辩人的要求（此次不要求）</w:t>
      </w:r>
    </w:p>
    <w:p w14:paraId="568A9A1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9</w:t>
      </w:r>
      <w:r>
        <w:rPr>
          <w:rFonts w:hint="eastAsia" w:ascii="宋体" w:hAnsi="宋体"/>
          <w:snapToGrid w:val="0"/>
          <w:kern w:val="0"/>
          <w:szCs w:val="21"/>
        </w:rPr>
        <w:t>.1可以要求投标人对投标文件含义不明确的内容作必要的澄清、说明。澄清、说明应以书面方式进行并不得超出投标文件的范围或改变投标文件的实质性内容。</w:t>
      </w:r>
    </w:p>
    <w:p w14:paraId="043A3C6E">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9</w:t>
      </w:r>
      <w:r>
        <w:rPr>
          <w:rFonts w:hint="eastAsia" w:ascii="宋体" w:hAnsi="宋体"/>
          <w:snapToGrid w:val="0"/>
          <w:kern w:val="0"/>
          <w:szCs w:val="21"/>
        </w:rPr>
        <w:t>.2</w:t>
      </w:r>
      <w:r>
        <w:rPr>
          <w:rFonts w:ascii="宋体" w:hAnsi="宋体"/>
          <w:snapToGrid w:val="0"/>
          <w:kern w:val="0"/>
          <w:szCs w:val="21"/>
        </w:rPr>
        <w:t>投标</w:t>
      </w:r>
      <w:r>
        <w:rPr>
          <w:rFonts w:hint="eastAsia" w:ascii="宋体" w:hAnsi="宋体"/>
          <w:snapToGrid w:val="0"/>
          <w:kern w:val="0"/>
          <w:szCs w:val="21"/>
        </w:rPr>
        <w:t>人委派</w:t>
      </w:r>
      <w:r>
        <w:rPr>
          <w:rFonts w:ascii="宋体" w:hAnsi="宋体"/>
          <w:snapToGrid w:val="0"/>
          <w:kern w:val="0"/>
          <w:szCs w:val="21"/>
        </w:rPr>
        <w:t>的答辩人</w:t>
      </w:r>
      <w:r>
        <w:rPr>
          <w:rFonts w:hint="eastAsia" w:ascii="宋体" w:hAnsi="宋体"/>
          <w:snapToGrid w:val="0"/>
          <w:kern w:val="0"/>
          <w:szCs w:val="21"/>
        </w:rPr>
        <w:t>应符合以</w:t>
      </w:r>
      <w:r>
        <w:rPr>
          <w:rFonts w:ascii="宋体" w:hAnsi="宋体"/>
          <w:snapToGrid w:val="0"/>
          <w:kern w:val="0"/>
          <w:szCs w:val="21"/>
        </w:rPr>
        <w:t>下</w:t>
      </w:r>
      <w:r>
        <w:rPr>
          <w:rFonts w:hint="eastAsia" w:ascii="宋体" w:hAnsi="宋体"/>
          <w:snapToGrid w:val="0"/>
          <w:kern w:val="0"/>
          <w:szCs w:val="21"/>
        </w:rPr>
        <w:t>条件</w:t>
      </w:r>
      <w:r>
        <w:rPr>
          <w:rFonts w:ascii="宋体" w:hAnsi="宋体"/>
          <w:snapToGrid w:val="0"/>
          <w:kern w:val="0"/>
          <w:szCs w:val="21"/>
        </w:rPr>
        <w:t>：</w:t>
      </w:r>
    </w:p>
    <w:p w14:paraId="0B133EC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9</w:t>
      </w:r>
      <w:r>
        <w:rPr>
          <w:rFonts w:hint="eastAsia" w:ascii="宋体" w:hAnsi="宋体"/>
          <w:snapToGrid w:val="0"/>
          <w:kern w:val="0"/>
          <w:szCs w:val="21"/>
        </w:rPr>
        <w:t>.2.1拟进行投标</w:t>
      </w:r>
      <w:r>
        <w:rPr>
          <w:rFonts w:ascii="宋体" w:hAnsi="宋体"/>
          <w:snapToGrid w:val="0"/>
          <w:kern w:val="0"/>
          <w:szCs w:val="21"/>
        </w:rPr>
        <w:t>答辩</w:t>
      </w:r>
      <w:r>
        <w:rPr>
          <w:rFonts w:hint="eastAsia" w:ascii="宋体" w:hAnsi="宋体"/>
          <w:snapToGrid w:val="0"/>
          <w:kern w:val="0"/>
          <w:szCs w:val="21"/>
        </w:rPr>
        <w:t>的，答辩人必须是投标人拟派往本公开招标（自主）项目的项目负责人、其法定代表人或者法定代表人委托代理人。</w:t>
      </w:r>
    </w:p>
    <w:p w14:paraId="133CC71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lang w:val="en-US" w:eastAsia="zh-CN"/>
        </w:rPr>
        <w:t>9</w:t>
      </w:r>
      <w:r>
        <w:rPr>
          <w:rFonts w:hint="eastAsia" w:ascii="宋体" w:hAnsi="宋体"/>
          <w:snapToGrid w:val="0"/>
          <w:kern w:val="0"/>
          <w:szCs w:val="21"/>
        </w:rPr>
        <w:t>.3要求投标人进行答辩，但投标人在规定时间内未派出答辩人的，将根据公开招标（自主）文件规定作出不利于投标人的判定，且投标人不得因此提出任何异议。</w:t>
      </w:r>
    </w:p>
    <w:p w14:paraId="210DD6BE">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hint="eastAsia" w:ascii="宋体" w:hAnsi="宋体"/>
          <w:b/>
          <w:snapToGrid w:val="0"/>
          <w:kern w:val="0"/>
          <w:szCs w:val="21"/>
          <w:lang w:val="en-US" w:eastAsia="zh-CN"/>
        </w:rPr>
        <w:t>0</w:t>
      </w:r>
      <w:r>
        <w:rPr>
          <w:rFonts w:hint="eastAsia" w:ascii="宋体" w:hAnsi="宋体"/>
          <w:b/>
          <w:snapToGrid w:val="0"/>
          <w:kern w:val="0"/>
          <w:szCs w:val="21"/>
        </w:rPr>
        <w:t>.评标方法</w:t>
      </w:r>
    </w:p>
    <w:p w14:paraId="5635B9B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评标委员会对进入评标环节的全部投标文件进行评审，给出评审意见，评委采用投票方式推荐综合评价最优的1名投标单位为中标候选人。</w:t>
      </w:r>
    </w:p>
    <w:p w14:paraId="51BA0171">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hint="eastAsia" w:ascii="宋体" w:hAnsi="宋体"/>
          <w:b/>
          <w:snapToGrid w:val="0"/>
          <w:kern w:val="0"/>
          <w:szCs w:val="21"/>
          <w:lang w:val="en-US" w:eastAsia="zh-CN"/>
        </w:rPr>
        <w:t>1</w:t>
      </w:r>
      <w:r>
        <w:rPr>
          <w:rFonts w:hint="eastAsia" w:ascii="宋体" w:hAnsi="宋体"/>
          <w:b/>
          <w:snapToGrid w:val="0"/>
          <w:kern w:val="0"/>
          <w:szCs w:val="21"/>
        </w:rPr>
        <w:t>．投标人的推荐</w:t>
      </w:r>
    </w:p>
    <w:p w14:paraId="0BD8711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w:t>
      </w:r>
      <w:r>
        <w:rPr>
          <w:rFonts w:hint="eastAsia" w:ascii="宋体" w:hAnsi="宋体"/>
          <w:snapToGrid w:val="0"/>
          <w:kern w:val="0"/>
          <w:szCs w:val="21"/>
          <w:lang w:val="en-US" w:eastAsia="zh-CN"/>
        </w:rPr>
        <w:t>1</w:t>
      </w:r>
      <w:r>
        <w:rPr>
          <w:rFonts w:hint="eastAsia" w:ascii="宋体" w:hAnsi="宋体"/>
          <w:snapToGrid w:val="0"/>
          <w:kern w:val="0"/>
          <w:szCs w:val="21"/>
        </w:rPr>
        <w:t>.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07CA5AB3">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w:t>
      </w:r>
      <w:r>
        <w:rPr>
          <w:rFonts w:hint="eastAsia" w:ascii="宋体" w:hAnsi="宋体"/>
          <w:snapToGrid w:val="0"/>
          <w:kern w:val="0"/>
          <w:szCs w:val="21"/>
          <w:lang w:val="en-US" w:eastAsia="zh-CN"/>
        </w:rPr>
        <w:t>1</w:t>
      </w:r>
      <w:r>
        <w:rPr>
          <w:rFonts w:hint="eastAsia" w:ascii="宋体" w:hAnsi="宋体"/>
          <w:snapToGrid w:val="0"/>
          <w:kern w:val="0"/>
          <w:szCs w:val="21"/>
        </w:rPr>
        <w:t>.2本次公开招标（自主）如果评标委员会已推荐投标人，无论随后出现何种情形，招标人在本次公开招标（自主）中不再接受另外的投标人，除非重新组织公开招标（自主）投标。</w:t>
      </w:r>
      <w:bookmarkStart w:id="13" w:name="_Toc509669692"/>
    </w:p>
    <w:p w14:paraId="41A1FE62">
      <w:pPr>
        <w:spacing w:line="360" w:lineRule="auto"/>
        <w:ind w:firstLine="420" w:firstLineChars="200"/>
        <w:jc w:val="left"/>
        <w:rPr>
          <w:rFonts w:hint="eastAsia" w:ascii="宋体" w:hAnsi="宋体"/>
          <w:snapToGrid w:val="0"/>
          <w:kern w:val="0"/>
          <w:szCs w:val="21"/>
        </w:rPr>
      </w:pPr>
    </w:p>
    <w:p w14:paraId="59A311A5">
      <w:pPr>
        <w:spacing w:line="360" w:lineRule="auto"/>
        <w:jc w:val="center"/>
        <w:outlineLvl w:val="3"/>
        <w:rPr>
          <w:rFonts w:ascii="宋体" w:hAnsi="宋体"/>
          <w:b/>
          <w:snapToGrid w:val="0"/>
          <w:kern w:val="0"/>
          <w:sz w:val="32"/>
          <w:szCs w:val="32"/>
        </w:rPr>
      </w:pPr>
      <w:bookmarkStart w:id="14" w:name="_Toc31188"/>
      <w:r>
        <w:rPr>
          <w:rFonts w:hint="eastAsia" w:ascii="宋体" w:hAnsi="宋体"/>
          <w:b/>
          <w:snapToGrid w:val="0"/>
          <w:kern w:val="0"/>
          <w:sz w:val="32"/>
          <w:szCs w:val="32"/>
          <w:lang w:val="en-US" w:eastAsia="zh-CN"/>
        </w:rPr>
        <w:t>六</w:t>
      </w:r>
      <w:r>
        <w:rPr>
          <w:rFonts w:hint="eastAsia" w:ascii="宋体" w:hAnsi="宋体"/>
          <w:b/>
          <w:snapToGrid w:val="0"/>
          <w:kern w:val="0"/>
          <w:sz w:val="32"/>
          <w:szCs w:val="32"/>
        </w:rPr>
        <w:t>、签订合同</w:t>
      </w:r>
      <w:bookmarkEnd w:id="13"/>
      <w:bookmarkEnd w:id="14"/>
    </w:p>
    <w:p w14:paraId="6AC4FA6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hint="eastAsia" w:ascii="宋体" w:hAnsi="宋体"/>
          <w:b/>
          <w:snapToGrid w:val="0"/>
          <w:kern w:val="0"/>
          <w:szCs w:val="21"/>
          <w:lang w:val="en-US" w:eastAsia="zh-CN"/>
        </w:rPr>
        <w:t>2</w:t>
      </w:r>
      <w:r>
        <w:rPr>
          <w:rFonts w:hint="eastAsia" w:ascii="宋体" w:hAnsi="宋体"/>
          <w:b/>
          <w:snapToGrid w:val="0"/>
          <w:kern w:val="0"/>
          <w:szCs w:val="21"/>
        </w:rPr>
        <w:t>.中标通知</w:t>
      </w:r>
    </w:p>
    <w:p w14:paraId="4F0429B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招标人应在确定中标人后，发出委托函。委托函是本公开招标（自主）项目合同的组成部分。如接到有关投诉的，招标人将可能暂停发出委托函。</w:t>
      </w:r>
    </w:p>
    <w:p w14:paraId="5D0C2BF6">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hint="eastAsia" w:ascii="宋体" w:hAnsi="宋体"/>
          <w:b/>
          <w:snapToGrid w:val="0"/>
          <w:kern w:val="0"/>
          <w:szCs w:val="21"/>
          <w:lang w:val="en-US" w:eastAsia="zh-CN"/>
        </w:rPr>
        <w:t>3</w:t>
      </w:r>
      <w:r>
        <w:rPr>
          <w:rFonts w:hint="eastAsia" w:ascii="宋体" w:hAnsi="宋体"/>
          <w:b/>
          <w:snapToGrid w:val="0"/>
          <w:kern w:val="0"/>
          <w:szCs w:val="21"/>
        </w:rPr>
        <w:t>.签订合同</w:t>
      </w:r>
    </w:p>
    <w:p w14:paraId="7C9C17B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招标人和中标人应当按在委托函</w:t>
      </w:r>
      <w:r>
        <w:rPr>
          <w:rFonts w:hint="eastAsia" w:ascii="宋体" w:hAnsi="宋体"/>
          <w:snapToGrid w:val="0"/>
          <w:color w:val="auto"/>
          <w:kern w:val="0"/>
          <w:szCs w:val="21"/>
        </w:rPr>
        <w:t>发出30日内</w:t>
      </w:r>
      <w:r>
        <w:rPr>
          <w:rFonts w:hint="eastAsia" w:ascii="宋体" w:hAnsi="宋体"/>
          <w:snapToGrid w:val="0"/>
          <w:kern w:val="0"/>
          <w:szCs w:val="21"/>
        </w:rPr>
        <w:t>，依据公开招标（自主）文件和中标人的投标文件订立书面合同。</w:t>
      </w:r>
    </w:p>
    <w:p w14:paraId="72D1017F">
      <w:pPr>
        <w:spacing w:line="360" w:lineRule="auto"/>
        <w:ind w:firstLine="422" w:firstLineChars="200"/>
        <w:jc w:val="left"/>
        <w:rPr>
          <w:rFonts w:hint="default" w:ascii="仿宋" w:hAnsi="仿宋" w:eastAsia="仿宋"/>
          <w:sz w:val="30"/>
          <w:szCs w:val="30"/>
        </w:rPr>
      </w:pPr>
      <w:r>
        <w:rPr>
          <w:rFonts w:hAnsi="宋体"/>
          <w:b/>
          <w:szCs w:val="21"/>
        </w:rPr>
        <w:br w:type="page"/>
      </w:r>
      <w:r>
        <w:rPr>
          <w:rFonts w:ascii="仿宋" w:hAnsi="仿宋" w:eastAsia="仿宋"/>
          <w:b/>
          <w:sz w:val="30"/>
          <w:szCs w:val="30"/>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2EF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E6BBA95">
            <w:pPr>
              <w:pStyle w:val="98"/>
              <w:spacing w:line="360" w:lineRule="exact"/>
              <w:ind w:firstLine="0" w:firstLineChars="0"/>
              <w:jc w:val="center"/>
              <w:rPr>
                <w:rFonts w:ascii="宋体" w:hAnsi="宋体"/>
                <w:b/>
                <w:bCs/>
                <w:sz w:val="24"/>
                <w:szCs w:val="24"/>
              </w:rPr>
            </w:pPr>
            <w:r>
              <w:rPr>
                <w:rFonts w:hint="eastAsia" w:ascii="宋体" w:hAnsi="宋体"/>
                <w:b/>
                <w:bCs/>
                <w:sz w:val="24"/>
                <w:szCs w:val="24"/>
              </w:rPr>
              <w:t>序号</w:t>
            </w:r>
          </w:p>
        </w:tc>
        <w:tc>
          <w:tcPr>
            <w:tcW w:w="3234" w:type="dxa"/>
            <w:vAlign w:val="center"/>
          </w:tcPr>
          <w:p w14:paraId="37463680">
            <w:pPr>
              <w:pStyle w:val="98"/>
              <w:spacing w:line="360" w:lineRule="exact"/>
              <w:ind w:firstLine="0" w:firstLineChars="0"/>
              <w:jc w:val="center"/>
              <w:rPr>
                <w:rFonts w:ascii="宋体" w:hAnsi="宋体"/>
                <w:b/>
                <w:bCs/>
                <w:sz w:val="24"/>
                <w:szCs w:val="24"/>
              </w:rPr>
            </w:pPr>
            <w:r>
              <w:rPr>
                <w:rFonts w:hint="eastAsia" w:ascii="宋体" w:hAnsi="宋体"/>
                <w:b/>
                <w:bCs/>
                <w:sz w:val="24"/>
                <w:szCs w:val="24"/>
              </w:rPr>
              <w:t>文件名称</w:t>
            </w:r>
          </w:p>
        </w:tc>
        <w:tc>
          <w:tcPr>
            <w:tcW w:w="5095" w:type="dxa"/>
            <w:vAlign w:val="center"/>
          </w:tcPr>
          <w:p w14:paraId="6C5C88AC">
            <w:pPr>
              <w:pStyle w:val="98"/>
              <w:spacing w:line="360" w:lineRule="exact"/>
              <w:ind w:firstLine="0" w:firstLineChars="0"/>
              <w:jc w:val="center"/>
              <w:rPr>
                <w:rFonts w:ascii="宋体" w:hAnsi="宋体"/>
                <w:b/>
                <w:bCs/>
                <w:sz w:val="24"/>
                <w:szCs w:val="24"/>
              </w:rPr>
            </w:pPr>
            <w:r>
              <w:rPr>
                <w:rFonts w:hint="eastAsia" w:ascii="宋体" w:hAnsi="宋体"/>
                <w:b/>
                <w:bCs/>
                <w:sz w:val="24"/>
                <w:szCs w:val="24"/>
              </w:rPr>
              <w:t>要求说明</w:t>
            </w:r>
          </w:p>
        </w:tc>
      </w:tr>
      <w:tr w14:paraId="2D0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63525E4A">
            <w:pPr>
              <w:pStyle w:val="98"/>
              <w:spacing w:line="360" w:lineRule="exact"/>
              <w:ind w:firstLine="0" w:firstLineChars="0"/>
              <w:jc w:val="center"/>
              <w:rPr>
                <w:rFonts w:ascii="宋体" w:hAnsi="宋体"/>
                <w:sz w:val="24"/>
                <w:szCs w:val="24"/>
              </w:rPr>
            </w:pPr>
            <w:r>
              <w:rPr>
                <w:rFonts w:hint="eastAsia" w:ascii="宋体" w:hAnsi="宋体"/>
                <w:sz w:val="24"/>
                <w:szCs w:val="24"/>
              </w:rPr>
              <w:t>1</w:t>
            </w:r>
          </w:p>
        </w:tc>
        <w:tc>
          <w:tcPr>
            <w:tcW w:w="3234" w:type="dxa"/>
            <w:vAlign w:val="center"/>
          </w:tcPr>
          <w:p w14:paraId="4A91ECC9">
            <w:pPr>
              <w:adjustRightInd w:val="0"/>
              <w:snapToGrid w:val="0"/>
              <w:spacing w:line="580" w:lineRule="exact"/>
              <w:jc w:val="left"/>
              <w:rPr>
                <w:rFonts w:ascii="宋体" w:hAnsi="宋体"/>
                <w:sz w:val="24"/>
                <w:szCs w:val="24"/>
              </w:rPr>
            </w:pPr>
            <w:r>
              <w:rPr>
                <w:rFonts w:hint="eastAsia" w:ascii="宋体" w:hAnsi="宋体"/>
                <w:sz w:val="24"/>
                <w:szCs w:val="24"/>
              </w:rPr>
              <w:t>基本情况资料</w:t>
            </w:r>
          </w:p>
        </w:tc>
        <w:tc>
          <w:tcPr>
            <w:tcW w:w="5095" w:type="dxa"/>
            <w:vAlign w:val="center"/>
          </w:tcPr>
          <w:p w14:paraId="203403DB">
            <w:pPr>
              <w:pStyle w:val="2"/>
              <w:ind w:firstLine="0" w:firstLineChars="0"/>
            </w:pPr>
            <w:r>
              <w:rPr>
                <w:rFonts w:ascii="宋体" w:hAnsi="宋体" w:eastAsia="宋体" w:cs="Times New Roman"/>
                <w:sz w:val="24"/>
                <w:szCs w:val="24"/>
              </w:rPr>
              <w:t>提供营业执照复印件、资质证书复印件、法定代表人证明书及身份证复印件、法定代表人授权委托书及身份证复印件（如有）</w:t>
            </w:r>
          </w:p>
        </w:tc>
      </w:tr>
      <w:tr w14:paraId="025F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31FB846">
            <w:pPr>
              <w:pStyle w:val="98"/>
              <w:spacing w:line="360" w:lineRule="exact"/>
              <w:ind w:firstLine="0" w:firstLineChars="0"/>
              <w:jc w:val="center"/>
              <w:rPr>
                <w:rFonts w:ascii="宋体" w:hAnsi="宋体"/>
                <w:sz w:val="24"/>
                <w:szCs w:val="24"/>
              </w:rPr>
            </w:pPr>
            <w:r>
              <w:rPr>
                <w:rFonts w:hint="eastAsia" w:ascii="宋体" w:hAnsi="宋体"/>
                <w:sz w:val="24"/>
                <w:szCs w:val="24"/>
              </w:rPr>
              <w:t>2</w:t>
            </w:r>
          </w:p>
        </w:tc>
        <w:tc>
          <w:tcPr>
            <w:tcW w:w="3234" w:type="dxa"/>
            <w:vAlign w:val="center"/>
          </w:tcPr>
          <w:p w14:paraId="7FF2963F">
            <w:pPr>
              <w:adjustRightInd w:val="0"/>
              <w:snapToGrid w:val="0"/>
              <w:spacing w:line="580" w:lineRule="exact"/>
              <w:jc w:val="left"/>
              <w:rPr>
                <w:rFonts w:ascii="宋体" w:hAnsi="宋体"/>
                <w:sz w:val="24"/>
                <w:szCs w:val="24"/>
              </w:rPr>
            </w:pPr>
            <w:r>
              <w:rPr>
                <w:rFonts w:hint="eastAsia" w:ascii="宋体" w:hAnsi="宋体"/>
                <w:sz w:val="24"/>
                <w:szCs w:val="24"/>
              </w:rPr>
              <w:t>承诺函</w:t>
            </w:r>
          </w:p>
        </w:tc>
        <w:tc>
          <w:tcPr>
            <w:tcW w:w="5095" w:type="dxa"/>
            <w:vAlign w:val="center"/>
          </w:tcPr>
          <w:p w14:paraId="00F3ED6B">
            <w:pPr>
              <w:pStyle w:val="98"/>
              <w:spacing w:line="360" w:lineRule="exact"/>
              <w:ind w:firstLine="0" w:firstLineChars="0"/>
              <w:jc w:val="left"/>
              <w:rPr>
                <w:rFonts w:ascii="宋体" w:hAnsi="宋体"/>
                <w:sz w:val="24"/>
                <w:szCs w:val="24"/>
              </w:rPr>
            </w:pPr>
            <w:r>
              <w:rPr>
                <w:rFonts w:hint="eastAsia" w:ascii="宋体" w:hAnsi="宋体"/>
                <w:sz w:val="24"/>
                <w:szCs w:val="24"/>
              </w:rPr>
              <w:t>格式附后</w:t>
            </w:r>
          </w:p>
        </w:tc>
      </w:tr>
      <w:tr w14:paraId="5435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CE54997">
            <w:pPr>
              <w:pStyle w:val="98"/>
              <w:spacing w:line="360" w:lineRule="exact"/>
              <w:ind w:firstLine="0" w:firstLineChars="0"/>
              <w:jc w:val="center"/>
              <w:rPr>
                <w:rFonts w:ascii="宋体" w:hAnsi="宋体"/>
                <w:sz w:val="24"/>
                <w:szCs w:val="24"/>
              </w:rPr>
            </w:pPr>
            <w:r>
              <w:rPr>
                <w:rFonts w:hint="eastAsia" w:ascii="宋体" w:hAnsi="宋体"/>
                <w:sz w:val="24"/>
                <w:szCs w:val="24"/>
              </w:rPr>
              <w:t>3</w:t>
            </w:r>
          </w:p>
        </w:tc>
        <w:tc>
          <w:tcPr>
            <w:tcW w:w="3234" w:type="dxa"/>
            <w:vAlign w:val="center"/>
          </w:tcPr>
          <w:p w14:paraId="30B30F29">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龙岗区进一步规范政商交往行为告知书</w:t>
            </w:r>
          </w:p>
        </w:tc>
        <w:tc>
          <w:tcPr>
            <w:tcW w:w="5095" w:type="dxa"/>
            <w:vAlign w:val="center"/>
          </w:tcPr>
          <w:p w14:paraId="1D4F1795">
            <w:pPr>
              <w:pStyle w:val="98"/>
              <w:spacing w:line="360" w:lineRule="exact"/>
              <w:ind w:firstLine="0" w:firstLineChars="0"/>
              <w:jc w:val="left"/>
              <w:rPr>
                <w:rFonts w:ascii="宋体" w:hAnsi="宋体"/>
                <w:sz w:val="24"/>
                <w:szCs w:val="24"/>
              </w:rPr>
            </w:pPr>
            <w:r>
              <w:rPr>
                <w:rFonts w:hint="eastAsia" w:ascii="宋体" w:hAnsi="宋体"/>
                <w:sz w:val="24"/>
                <w:szCs w:val="24"/>
              </w:rPr>
              <w:t>提供法定代表人或者法定代表人授权人签字版</w:t>
            </w:r>
          </w:p>
          <w:p w14:paraId="2F72A160">
            <w:pPr>
              <w:pStyle w:val="98"/>
              <w:spacing w:line="360" w:lineRule="exact"/>
              <w:ind w:firstLine="0" w:firstLineChars="0"/>
              <w:jc w:val="left"/>
              <w:rPr>
                <w:rFonts w:ascii="宋体" w:hAnsi="宋体"/>
                <w:sz w:val="24"/>
                <w:szCs w:val="24"/>
              </w:rPr>
            </w:pPr>
            <w:r>
              <w:rPr>
                <w:rFonts w:hint="eastAsia" w:ascii="宋体" w:hAnsi="宋体"/>
                <w:sz w:val="24"/>
                <w:szCs w:val="24"/>
              </w:rPr>
              <w:t>格式见后附件</w:t>
            </w:r>
          </w:p>
        </w:tc>
      </w:tr>
      <w:tr w14:paraId="125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B9B6B74">
            <w:pPr>
              <w:pStyle w:val="98"/>
              <w:spacing w:line="360" w:lineRule="exact"/>
              <w:ind w:firstLine="0" w:firstLineChars="0"/>
              <w:jc w:val="center"/>
              <w:rPr>
                <w:rFonts w:ascii="宋体" w:hAnsi="宋体"/>
                <w:sz w:val="24"/>
                <w:szCs w:val="24"/>
              </w:rPr>
            </w:pPr>
            <w:r>
              <w:rPr>
                <w:rFonts w:ascii="宋体" w:hAnsi="宋体"/>
                <w:sz w:val="24"/>
                <w:szCs w:val="24"/>
              </w:rPr>
              <w:t>4</w:t>
            </w:r>
          </w:p>
        </w:tc>
        <w:tc>
          <w:tcPr>
            <w:tcW w:w="3234" w:type="dxa"/>
            <w:vAlign w:val="center"/>
          </w:tcPr>
          <w:p w14:paraId="4856C2FA">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资信与方案要求</w:t>
            </w:r>
          </w:p>
        </w:tc>
        <w:tc>
          <w:tcPr>
            <w:tcW w:w="5095" w:type="dxa"/>
            <w:vAlign w:val="center"/>
          </w:tcPr>
          <w:p w14:paraId="7CCC0C51">
            <w:pPr>
              <w:pStyle w:val="98"/>
              <w:spacing w:line="360" w:lineRule="exact"/>
              <w:ind w:firstLine="0" w:firstLineChars="0"/>
              <w:jc w:val="left"/>
              <w:rPr>
                <w:rFonts w:ascii="宋体" w:hAnsi="宋体"/>
                <w:sz w:val="24"/>
                <w:szCs w:val="24"/>
              </w:rPr>
            </w:pPr>
            <w:r>
              <w:rPr>
                <w:rFonts w:hint="eastAsia" w:ascii="宋体" w:hAnsi="宋体"/>
                <w:sz w:val="24"/>
                <w:szCs w:val="24"/>
              </w:rPr>
              <w:t>按</w:t>
            </w:r>
            <w:r>
              <w:rPr>
                <w:rFonts w:ascii="宋体" w:hAnsi="宋体"/>
                <w:sz w:val="24"/>
                <w:szCs w:val="24"/>
              </w:rPr>
              <w:t>“</w:t>
            </w:r>
            <w:r>
              <w:rPr>
                <w:rFonts w:hint="eastAsia" w:ascii="宋体" w:hAnsi="宋体"/>
                <w:sz w:val="24"/>
                <w:szCs w:val="24"/>
              </w:rPr>
              <w:t>资信与方案要求</w:t>
            </w:r>
            <w:r>
              <w:rPr>
                <w:rFonts w:ascii="宋体" w:hAnsi="宋体"/>
                <w:sz w:val="24"/>
                <w:szCs w:val="24"/>
              </w:rPr>
              <w:t>”</w:t>
            </w:r>
            <w:r>
              <w:rPr>
                <w:rFonts w:hint="eastAsia" w:ascii="宋体" w:hAnsi="宋体"/>
                <w:sz w:val="24"/>
                <w:szCs w:val="24"/>
              </w:rPr>
              <w:t>提供</w:t>
            </w:r>
          </w:p>
        </w:tc>
      </w:tr>
      <w:tr w14:paraId="1D8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EBA07C2">
            <w:pPr>
              <w:pStyle w:val="98"/>
              <w:spacing w:line="360" w:lineRule="exact"/>
              <w:ind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234" w:type="dxa"/>
            <w:vAlign w:val="center"/>
          </w:tcPr>
          <w:p w14:paraId="4A7F230B">
            <w:pPr>
              <w:pStyle w:val="98"/>
              <w:spacing w:line="360" w:lineRule="exact"/>
              <w:ind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商务标</w:t>
            </w:r>
          </w:p>
        </w:tc>
        <w:tc>
          <w:tcPr>
            <w:tcW w:w="5095" w:type="dxa"/>
            <w:vAlign w:val="center"/>
          </w:tcPr>
          <w:p w14:paraId="7BD7379F">
            <w:pPr>
              <w:pStyle w:val="98"/>
              <w:spacing w:line="360" w:lineRule="exact"/>
              <w:ind w:firstLine="0" w:firstLineChars="0"/>
              <w:jc w:val="left"/>
              <w:rPr>
                <w:rFonts w:hint="default" w:ascii="宋体" w:hAnsi="宋体" w:eastAsia="宋体"/>
                <w:sz w:val="24"/>
                <w:szCs w:val="24"/>
                <w:lang w:val="en-US" w:eastAsia="zh-CN"/>
              </w:rPr>
            </w:pPr>
            <w:r>
              <w:rPr>
                <w:rFonts w:hint="eastAsia" w:ascii="宋体" w:hAnsi="宋体"/>
                <w:sz w:val="24"/>
                <w:szCs w:val="24"/>
                <w:highlight w:val="none"/>
                <w:lang w:val="en-US" w:eastAsia="zh-CN"/>
              </w:rPr>
              <w:t>按要求提供</w:t>
            </w:r>
          </w:p>
        </w:tc>
      </w:tr>
      <w:tr w14:paraId="56B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77414CC1">
            <w:pPr>
              <w:pStyle w:val="98"/>
              <w:spacing w:line="360" w:lineRule="exact"/>
              <w:ind w:firstLine="0" w:firstLineChars="0"/>
              <w:jc w:val="center"/>
              <w:rPr>
                <w:rFonts w:hint="eastAsia" w:ascii="宋体" w:hAnsi="宋体" w:eastAsia="宋体"/>
                <w:sz w:val="24"/>
                <w:szCs w:val="24"/>
                <w:lang w:eastAsia="zh-CN"/>
              </w:rPr>
            </w:pPr>
            <w:r>
              <w:rPr>
                <w:rFonts w:hint="eastAsia" w:ascii="宋体" w:hAnsi="宋体"/>
                <w:sz w:val="24"/>
                <w:szCs w:val="24"/>
                <w:lang w:val="en-US" w:eastAsia="zh-CN"/>
              </w:rPr>
              <w:t>6</w:t>
            </w:r>
          </w:p>
        </w:tc>
        <w:tc>
          <w:tcPr>
            <w:tcW w:w="3234" w:type="dxa"/>
            <w:vAlign w:val="center"/>
          </w:tcPr>
          <w:p w14:paraId="1FAD329F">
            <w:pPr>
              <w:pStyle w:val="98"/>
              <w:spacing w:line="360" w:lineRule="exact"/>
              <w:ind w:firstLine="0" w:firstLineChars="0"/>
              <w:jc w:val="left"/>
              <w:rPr>
                <w:rFonts w:ascii="宋体" w:hAnsi="宋体" w:cs="宋体"/>
                <w:kern w:val="0"/>
                <w:sz w:val="24"/>
                <w:szCs w:val="24"/>
              </w:rPr>
            </w:pPr>
            <w:r>
              <w:rPr>
                <w:rFonts w:hint="eastAsia" w:ascii="宋体" w:hAnsi="宋体" w:cs="宋体"/>
                <w:kern w:val="0"/>
                <w:sz w:val="24"/>
                <w:szCs w:val="24"/>
              </w:rPr>
              <w:t>报价人认为需要加以说明的其他内容</w:t>
            </w:r>
          </w:p>
        </w:tc>
        <w:tc>
          <w:tcPr>
            <w:tcW w:w="5095" w:type="dxa"/>
            <w:vAlign w:val="center"/>
          </w:tcPr>
          <w:p w14:paraId="513A94C1">
            <w:pPr>
              <w:pStyle w:val="2"/>
              <w:ind w:firstLine="0" w:firstLineChars="0"/>
            </w:pPr>
            <w:r>
              <w:rPr>
                <w:rFonts w:ascii="宋体" w:hAnsi="宋体" w:eastAsia="宋体" w:cs="Times New Roman"/>
                <w:sz w:val="24"/>
                <w:szCs w:val="24"/>
              </w:rPr>
              <w:t>如有</w:t>
            </w:r>
          </w:p>
        </w:tc>
      </w:tr>
    </w:tbl>
    <w:p w14:paraId="4451D899">
      <w:pPr>
        <w:pStyle w:val="98"/>
        <w:tabs>
          <w:tab w:val="left" w:pos="426"/>
          <w:tab w:val="left" w:pos="567"/>
        </w:tabs>
        <w:spacing w:line="560" w:lineRule="exact"/>
        <w:ind w:left="622" w:firstLine="0" w:firstLineChars="0"/>
        <w:outlineLvl w:val="0"/>
        <w:rPr>
          <w:rFonts w:ascii="仿宋" w:hAnsi="仿宋" w:eastAsia="仿宋"/>
          <w:b/>
          <w:sz w:val="30"/>
          <w:szCs w:val="30"/>
        </w:rPr>
      </w:pPr>
    </w:p>
    <w:p w14:paraId="22EC8901">
      <w:pPr>
        <w:widowControl/>
        <w:jc w:val="left"/>
        <w:rPr>
          <w:rFonts w:ascii="黑体" w:eastAsia="黑体"/>
          <w:snapToGrid w:val="0"/>
          <w:kern w:val="0"/>
          <w:sz w:val="32"/>
          <w:szCs w:val="32"/>
        </w:rPr>
      </w:pPr>
    </w:p>
    <w:p w14:paraId="23FB6063">
      <w:pPr>
        <w:pStyle w:val="100"/>
        <w:widowControl/>
        <w:spacing w:line="560" w:lineRule="exact"/>
        <w:rPr>
          <w:rFonts w:hint="default" w:ascii="仿宋" w:hAnsi="仿宋" w:eastAsia="仿宋"/>
          <w:b/>
          <w:sz w:val="30"/>
          <w:szCs w:val="30"/>
        </w:rPr>
      </w:pPr>
    </w:p>
    <w:p w14:paraId="54AC55E0">
      <w:pPr>
        <w:rPr>
          <w:rFonts w:ascii="仿宋" w:hAnsi="仿宋" w:eastAsia="仿宋"/>
          <w:b/>
          <w:sz w:val="30"/>
          <w:szCs w:val="30"/>
        </w:rPr>
      </w:pPr>
      <w:r>
        <w:rPr>
          <w:rFonts w:ascii="仿宋" w:hAnsi="仿宋" w:eastAsia="仿宋"/>
          <w:b/>
          <w:sz w:val="30"/>
          <w:szCs w:val="30"/>
        </w:rPr>
        <w:br w:type="page"/>
      </w:r>
    </w:p>
    <w:p w14:paraId="55598483">
      <w:pPr>
        <w:pStyle w:val="100"/>
        <w:widowControl/>
        <w:spacing w:line="560" w:lineRule="exact"/>
        <w:rPr>
          <w:rFonts w:hint="default" w:ascii="仿宋" w:hAnsi="仿宋" w:eastAsia="仿宋"/>
          <w:b/>
          <w:sz w:val="30"/>
          <w:szCs w:val="30"/>
        </w:rPr>
      </w:pPr>
      <w:r>
        <w:rPr>
          <w:rFonts w:ascii="仿宋" w:hAnsi="仿宋" w:eastAsia="仿宋"/>
          <w:b/>
          <w:sz w:val="30"/>
          <w:szCs w:val="30"/>
        </w:rPr>
        <w:t>资信与方案要求</w:t>
      </w:r>
      <w:bookmarkStart w:id="15" w:name="_Toc151020524"/>
      <w:bookmarkStart w:id="16" w:name="_Toc306716037"/>
      <w:bookmarkStart w:id="17" w:name="_Toc50966969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14:paraId="04F3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1" w:type="dxa"/>
            <w:vAlign w:val="center"/>
          </w:tcPr>
          <w:p w14:paraId="7956B778">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序号</w:t>
            </w:r>
          </w:p>
        </w:tc>
        <w:tc>
          <w:tcPr>
            <w:tcW w:w="1746" w:type="dxa"/>
            <w:vAlign w:val="center"/>
          </w:tcPr>
          <w:p w14:paraId="4F63F1B1">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要素名称</w:t>
            </w:r>
          </w:p>
        </w:tc>
        <w:tc>
          <w:tcPr>
            <w:tcW w:w="6012" w:type="dxa"/>
            <w:vAlign w:val="center"/>
          </w:tcPr>
          <w:p w14:paraId="78546EFA">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有关要求或说明</w:t>
            </w:r>
          </w:p>
        </w:tc>
      </w:tr>
      <w:tr w14:paraId="5FF4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61" w:type="dxa"/>
            <w:shd w:val="clear" w:color="auto" w:fill="auto"/>
            <w:vAlign w:val="center"/>
          </w:tcPr>
          <w:p w14:paraId="11DB0A1B">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1</w:t>
            </w:r>
          </w:p>
        </w:tc>
        <w:tc>
          <w:tcPr>
            <w:tcW w:w="1746" w:type="dxa"/>
            <w:shd w:val="clear" w:color="auto" w:fill="auto"/>
            <w:vAlign w:val="center"/>
          </w:tcPr>
          <w:p w14:paraId="2C3432ED">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w:t>
            </w:r>
            <w:r>
              <w:rPr>
                <w:rFonts w:hint="eastAsia" w:ascii="仿宋_GB2312" w:hAnsi="仿宋_GB2312" w:eastAsia="仿宋_GB2312" w:cs="仿宋_GB2312"/>
                <w:color w:val="auto"/>
                <w:kern w:val="0"/>
                <w:sz w:val="24"/>
                <w:szCs w:val="24"/>
                <w:highlight w:val="none"/>
                <w:lang w:val="en-US" w:eastAsia="zh-CN"/>
              </w:rPr>
              <w:t>类似工程业绩</w:t>
            </w:r>
          </w:p>
        </w:tc>
        <w:tc>
          <w:tcPr>
            <w:tcW w:w="6012" w:type="dxa"/>
            <w:shd w:val="clear" w:color="auto" w:fill="auto"/>
            <w:vAlign w:val="center"/>
          </w:tcPr>
          <w:p w14:paraId="3FC26F66">
            <w:pPr>
              <w:widowControl/>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年1月1日至今，投标人类似工程业绩（不超过3项，若超过3项，招标人仅对前3项业绩进行复核及统计，以合同签订时间为准，合同未体现签订时间的，则不予统计此项业绩）</w:t>
            </w:r>
          </w:p>
          <w:p w14:paraId="1EF9FD60">
            <w:pPr>
              <w:spacing w:line="0" w:lineRule="atLeas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rPr>
              <w:t>（证明资料为相关合同，应包含工程名称、委托单位名称、受托单位名称、合同金额等信息，可提供合同关键页扫描件，若未体现以上信息，可提供其他相关证明材料。）</w:t>
            </w:r>
          </w:p>
        </w:tc>
      </w:tr>
      <w:tr w14:paraId="6F0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61" w:type="dxa"/>
            <w:shd w:val="clear" w:color="auto" w:fill="auto"/>
            <w:vAlign w:val="center"/>
          </w:tcPr>
          <w:p w14:paraId="7F16D12E">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p w14:paraId="38C8EF3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p>
        </w:tc>
        <w:tc>
          <w:tcPr>
            <w:tcW w:w="1746" w:type="dxa"/>
            <w:shd w:val="clear" w:color="auto" w:fill="auto"/>
            <w:vAlign w:val="center"/>
          </w:tcPr>
          <w:p w14:paraId="29606BA3">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项目负责人</w:t>
            </w:r>
            <w:r>
              <w:rPr>
                <w:rFonts w:hint="eastAsia" w:ascii="仿宋_GB2312" w:hAnsi="仿宋_GB2312" w:eastAsia="仿宋_GB2312" w:cs="仿宋_GB2312"/>
                <w:color w:val="auto"/>
                <w:sz w:val="24"/>
                <w:szCs w:val="24"/>
                <w:highlight w:val="none"/>
                <w:lang w:eastAsia="zh-CN"/>
              </w:rPr>
              <w:t>类似工程业绩</w:t>
            </w:r>
          </w:p>
        </w:tc>
        <w:tc>
          <w:tcPr>
            <w:tcW w:w="6012" w:type="dxa"/>
            <w:shd w:val="clear" w:color="auto" w:fill="auto"/>
            <w:vAlign w:val="center"/>
          </w:tcPr>
          <w:p w14:paraId="311DB54B">
            <w:pPr>
              <w:widowControl/>
              <w:adjustRightInd w:val="0"/>
              <w:snapToGrid w:val="0"/>
              <w:spacing w:before="80" w:after="80"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年1月1日至今，项目负责人类似工程业绩（不超过3项，若超过3项，招标人仅对前3项业绩进行复核及统计，以合同签订时间为准，合同未体现签订时间的，则不予统计此项业绩。）</w:t>
            </w:r>
          </w:p>
          <w:p w14:paraId="218211C7">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rPr>
              <w:t>（证明资料为合同关键页等证明文件扫描件，须体现合同签订时间、合同签订金额和项目负责人任职信息等，如无法体现任职信息，需提供业主证明等证明材料。）</w:t>
            </w:r>
          </w:p>
        </w:tc>
      </w:tr>
      <w:tr w14:paraId="2A6B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761" w:type="dxa"/>
            <w:shd w:val="clear" w:color="auto" w:fill="auto"/>
            <w:vAlign w:val="center"/>
          </w:tcPr>
          <w:p w14:paraId="1B477F0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w:t>
            </w:r>
          </w:p>
        </w:tc>
        <w:tc>
          <w:tcPr>
            <w:tcW w:w="1746" w:type="dxa"/>
            <w:shd w:val="clear" w:color="auto" w:fill="auto"/>
            <w:vAlign w:val="center"/>
          </w:tcPr>
          <w:p w14:paraId="21F018BB">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履约评价</w:t>
            </w:r>
          </w:p>
        </w:tc>
        <w:tc>
          <w:tcPr>
            <w:tcW w:w="6012" w:type="dxa"/>
            <w:shd w:val="clear" w:color="auto" w:fill="auto"/>
            <w:vAlign w:val="center"/>
          </w:tcPr>
          <w:p w14:paraId="57EBB39B">
            <w:pPr>
              <w:widowControl/>
              <w:adjustRightInd w:val="0"/>
              <w:snapToGrid w:val="0"/>
              <w:spacing w:before="80" w:after="8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年1月1日至今</w:t>
            </w:r>
            <w:r>
              <w:rPr>
                <w:rFonts w:hint="eastAsia" w:ascii="仿宋_GB2312" w:hAnsi="仿宋_GB2312" w:eastAsia="仿宋_GB2312" w:cs="仿宋_GB2312"/>
                <w:color w:val="auto"/>
                <w:kern w:val="0"/>
                <w:sz w:val="24"/>
                <w:szCs w:val="24"/>
              </w:rPr>
              <w:t>，类似工程合同履约情况；（不超过3项，若超过3项，招标人仅对前3项履约进行复核及统计）。</w:t>
            </w:r>
          </w:p>
          <w:p w14:paraId="1D091CC8">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rPr>
              <w:cr/>
            </w:r>
            <w:r>
              <w:rPr>
                <w:rFonts w:hint="eastAsia" w:ascii="仿宋_GB2312" w:hAnsi="仿宋_GB2312" w:eastAsia="仿宋_GB2312" w:cs="仿宋_GB2312"/>
                <w:color w:val="auto"/>
                <w:kern w:val="0"/>
                <w:sz w:val="24"/>
                <w:szCs w:val="24"/>
              </w:rPr>
              <w:t>证明材料：履约证明等扫描件（应包含工程名称、评价单位名称、被评价单位名称、评价结论</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评价单位盖章</w:t>
            </w:r>
            <w:r>
              <w:rPr>
                <w:rFonts w:hint="eastAsia" w:ascii="仿宋_GB2312" w:hAnsi="仿宋_GB2312" w:eastAsia="仿宋_GB2312" w:cs="仿宋_GB2312"/>
                <w:color w:val="auto"/>
                <w:kern w:val="0"/>
                <w:sz w:val="24"/>
                <w:szCs w:val="24"/>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64FC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61" w:type="dxa"/>
            <w:shd w:val="clear" w:color="auto" w:fill="auto"/>
            <w:vAlign w:val="center"/>
          </w:tcPr>
          <w:p w14:paraId="4967CD32">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c>
          <w:tcPr>
            <w:tcW w:w="1746" w:type="dxa"/>
            <w:shd w:val="clear" w:color="auto" w:fill="auto"/>
            <w:vAlign w:val="center"/>
          </w:tcPr>
          <w:p w14:paraId="658A7C15">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投标人诚信</w:t>
            </w:r>
          </w:p>
        </w:tc>
        <w:tc>
          <w:tcPr>
            <w:tcW w:w="6012" w:type="dxa"/>
            <w:shd w:val="clear" w:color="auto" w:fill="auto"/>
            <w:vAlign w:val="center"/>
          </w:tcPr>
          <w:p w14:paraId="1ED58A55">
            <w:pPr>
              <w:widowControl/>
              <w:adjustRightInd w:val="0"/>
              <w:snapToGrid w:val="0"/>
              <w:spacing w:before="80" w:after="8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提供通</w:t>
            </w:r>
            <w:r>
              <w:rPr>
                <w:rFonts w:hint="eastAsia" w:ascii="仿宋_GB2312" w:hAnsi="仿宋_GB2312" w:eastAsia="仿宋_GB2312" w:cs="仿宋_GB2312"/>
                <w:color w:val="auto"/>
                <w:kern w:val="0"/>
                <w:sz w:val="24"/>
                <w:szCs w:val="24"/>
              </w:rPr>
              <w:t>过“国家企业信用信息公示系统”、“</w:t>
            </w:r>
            <w:r>
              <w:rPr>
                <w:rFonts w:hint="eastAsia" w:ascii="仿宋_GB2312" w:hAnsi="仿宋_GB2312" w:eastAsia="仿宋_GB2312" w:cs="仿宋_GB2312"/>
                <w:color w:val="auto"/>
                <w:sz w:val="24"/>
                <w:szCs w:val="24"/>
              </w:rPr>
              <w:t>信用中国”、中国政府采购网（www.ccgp.gov.cn）严重违法失信行为查询截图。</w:t>
            </w:r>
          </w:p>
          <w:p w14:paraId="2DC309BF">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证明资料为相关查询结果截图</w:t>
            </w:r>
            <w:r>
              <w:rPr>
                <w:rFonts w:hint="eastAsia" w:ascii="仿宋_GB2312" w:hAnsi="仿宋_GB2312" w:eastAsia="仿宋_GB2312" w:cs="仿宋_GB2312"/>
                <w:color w:val="auto"/>
                <w:sz w:val="24"/>
                <w:szCs w:val="24"/>
              </w:rPr>
              <w:t>）</w:t>
            </w:r>
          </w:p>
        </w:tc>
      </w:tr>
      <w:tr w14:paraId="7F7D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61" w:type="dxa"/>
            <w:shd w:val="clear" w:color="auto" w:fill="auto"/>
            <w:vAlign w:val="center"/>
          </w:tcPr>
          <w:p w14:paraId="024AB5EC">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w:t>
            </w:r>
          </w:p>
        </w:tc>
        <w:tc>
          <w:tcPr>
            <w:tcW w:w="1746" w:type="dxa"/>
            <w:shd w:val="clear" w:color="auto" w:fill="auto"/>
            <w:vAlign w:val="center"/>
          </w:tcPr>
          <w:p w14:paraId="2EFFD32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实施方案</w:t>
            </w:r>
          </w:p>
        </w:tc>
        <w:tc>
          <w:tcPr>
            <w:tcW w:w="6012" w:type="dxa"/>
            <w:shd w:val="clear" w:color="auto" w:fill="auto"/>
            <w:vAlign w:val="center"/>
          </w:tcPr>
          <w:p w14:paraId="4B349DA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投标人结合自身情况，依据本招标文件要求，编写本项目</w:t>
            </w:r>
            <w:r>
              <w:rPr>
                <w:rFonts w:hint="eastAsia" w:ascii="仿宋_GB2312" w:hAnsi="仿宋_GB2312" w:eastAsia="仿宋_GB2312" w:cs="仿宋_GB2312"/>
                <w:color w:val="auto"/>
                <w:kern w:val="0"/>
                <w:sz w:val="24"/>
                <w:szCs w:val="24"/>
                <w:highlight w:val="none"/>
                <w:lang w:val="en-US" w:eastAsia="zh-CN"/>
              </w:rPr>
              <w:t>测绘</w:t>
            </w:r>
            <w:r>
              <w:rPr>
                <w:rFonts w:hint="eastAsia" w:ascii="仿宋_GB2312" w:hAnsi="仿宋_GB2312" w:eastAsia="仿宋_GB2312" w:cs="仿宋_GB2312"/>
                <w:color w:val="auto"/>
                <w:kern w:val="0"/>
                <w:sz w:val="24"/>
                <w:szCs w:val="24"/>
                <w:highlight w:val="none"/>
              </w:rPr>
              <w:t>服务实施方案。</w:t>
            </w:r>
            <w:r>
              <w:rPr>
                <w:rFonts w:hint="eastAsia" w:ascii="仿宋_GB2312" w:hAnsi="仿宋_GB2312" w:eastAsia="仿宋_GB2312" w:cs="仿宋_GB2312"/>
                <w:color w:val="auto"/>
                <w:kern w:val="0"/>
                <w:sz w:val="24"/>
                <w:szCs w:val="24"/>
                <w:highlight w:val="none"/>
                <w:lang w:val="en-US" w:eastAsia="zh-CN"/>
              </w:rPr>
              <w:t>包括服务需求任务分解情况、</w:t>
            </w:r>
            <w:r>
              <w:rPr>
                <w:rFonts w:hint="eastAsia" w:ascii="仿宋_GB2312" w:hAnsi="仿宋_GB2312" w:eastAsia="仿宋_GB2312" w:cs="仿宋_GB2312"/>
                <w:color w:val="auto"/>
                <w:kern w:val="0"/>
                <w:sz w:val="24"/>
                <w:szCs w:val="24"/>
                <w:highlight w:val="none"/>
                <w:lang w:eastAsia="zh-CN"/>
              </w:rPr>
              <w:t>技术服务团队</w:t>
            </w:r>
            <w:r>
              <w:rPr>
                <w:rFonts w:hint="eastAsia" w:ascii="仿宋_GB2312" w:hAnsi="仿宋_GB2312" w:eastAsia="仿宋_GB2312" w:cs="仿宋_GB2312"/>
                <w:color w:val="auto"/>
                <w:kern w:val="0"/>
                <w:sz w:val="24"/>
                <w:szCs w:val="24"/>
                <w:highlight w:val="none"/>
                <w:lang w:val="en-US" w:eastAsia="zh-CN"/>
              </w:rPr>
              <w:t>人员配备</w:t>
            </w:r>
            <w:r>
              <w:rPr>
                <w:rFonts w:hint="eastAsia" w:ascii="仿宋_GB2312" w:hAnsi="仿宋_GB2312" w:eastAsia="仿宋_GB2312" w:cs="仿宋_GB2312"/>
                <w:color w:val="auto"/>
                <w:kern w:val="0"/>
                <w:sz w:val="24"/>
                <w:szCs w:val="24"/>
                <w:highlight w:val="none"/>
                <w:lang w:eastAsia="zh-CN"/>
              </w:rPr>
              <w:t>、技术服务成果质量把控能力</w:t>
            </w:r>
            <w:r>
              <w:rPr>
                <w:rFonts w:hint="eastAsia" w:ascii="仿宋_GB2312" w:hAnsi="仿宋_GB2312" w:eastAsia="仿宋_GB2312" w:cs="仿宋_GB2312"/>
                <w:color w:val="auto"/>
                <w:kern w:val="0"/>
                <w:sz w:val="24"/>
                <w:szCs w:val="24"/>
                <w:highlight w:val="none"/>
                <w:lang w:val="en-US" w:eastAsia="zh-CN"/>
              </w:rPr>
              <w:t>等。</w:t>
            </w:r>
          </w:p>
        </w:tc>
      </w:tr>
    </w:tbl>
    <w:p w14:paraId="166FBF5D">
      <w:pPr>
        <w:pStyle w:val="25"/>
        <w:jc w:val="center"/>
        <w:rPr>
          <w:b/>
          <w:sz w:val="36"/>
          <w:szCs w:val="36"/>
        </w:rPr>
      </w:pPr>
    </w:p>
    <w:p w14:paraId="253BAE47">
      <w:pPr>
        <w:rPr>
          <w:b/>
          <w:sz w:val="36"/>
          <w:szCs w:val="36"/>
        </w:rPr>
      </w:pPr>
      <w:r>
        <w:rPr>
          <w:rFonts w:hint="eastAsia"/>
          <w:b/>
          <w:sz w:val="36"/>
          <w:szCs w:val="36"/>
        </w:rPr>
        <w:br w:type="page"/>
      </w:r>
    </w:p>
    <w:p w14:paraId="48AB1E8E">
      <w:pPr>
        <w:spacing w:after="120"/>
        <w:ind w:left="420" w:leftChars="200"/>
        <w:jc w:val="center"/>
        <w:rPr>
          <w:rFonts w:hint="eastAsia"/>
          <w:b/>
          <w:sz w:val="36"/>
          <w:szCs w:val="36"/>
        </w:rPr>
      </w:pPr>
    </w:p>
    <w:p w14:paraId="0A355D1A">
      <w:pPr>
        <w:spacing w:line="360" w:lineRule="auto"/>
        <w:jc w:val="center"/>
        <w:outlineLvl w:val="2"/>
        <w:rPr>
          <w:rFonts w:hint="eastAsia" w:ascii="宋体" w:hAnsi="宋体"/>
          <w:b/>
          <w:snapToGrid w:val="0"/>
          <w:kern w:val="0"/>
          <w:sz w:val="32"/>
          <w:szCs w:val="32"/>
          <w:lang w:val="en-US" w:eastAsia="zh-CN"/>
        </w:rPr>
      </w:pPr>
      <w:r>
        <w:rPr>
          <w:rFonts w:hint="eastAsia" w:ascii="宋体" w:hAnsi="宋体"/>
          <w:b/>
          <w:snapToGrid w:val="0"/>
          <w:kern w:val="0"/>
          <w:sz w:val="32"/>
          <w:szCs w:val="32"/>
          <w:lang w:val="en-US" w:eastAsia="zh-CN"/>
        </w:rPr>
        <w:t>第三章  合同文件</w:t>
      </w:r>
    </w:p>
    <w:p w14:paraId="0DE3F424">
      <w:pPr>
        <w:spacing w:line="360" w:lineRule="auto"/>
        <w:ind w:firstLine="0" w:firstLineChars="0"/>
        <w:jc w:val="left"/>
        <w:rPr>
          <w:rFonts w:hint="default" w:ascii="Times New Roman" w:hAnsi="Times New Roman" w:eastAsia="仿宋"/>
          <w:sz w:val="28"/>
          <w:szCs w:val="24"/>
          <w:lang w:val="en-US" w:eastAsia="zh-CN"/>
        </w:rPr>
        <w:sectPr>
          <w:headerReference r:id="rId4" w:type="default"/>
          <w:footerReference r:id="rId5" w:type="default"/>
          <w:pgSz w:w="11906" w:h="16838"/>
          <w:pgMar w:top="1276" w:right="1351" w:bottom="1135" w:left="1414" w:header="851" w:footer="992" w:gutter="0"/>
          <w:cols w:space="720" w:num="1"/>
          <w:docGrid w:type="lines" w:linePitch="312" w:charSpace="0"/>
        </w:sectPr>
      </w:pPr>
      <w:r>
        <w:rPr>
          <w:rFonts w:hint="default" w:ascii="Times New Roman" w:hAnsi="Times New Roman" w:eastAsia="仿宋"/>
          <w:sz w:val="28"/>
          <w:szCs w:val="24"/>
          <w:lang w:val="en-US" w:eastAsia="zh-CN"/>
        </w:rPr>
        <w:br w:type="page"/>
      </w:r>
    </w:p>
    <w:p w14:paraId="0FBF49B6">
      <w:pPr>
        <w:pStyle w:val="98"/>
        <w:ind w:left="420" w:firstLine="0" w:firstLineChars="0"/>
        <w:rPr>
          <w:rFonts w:hint="eastAsia" w:ascii="宋体" w:hAnsi="宋体"/>
          <w:b/>
          <w:sz w:val="28"/>
          <w:szCs w:val="28"/>
          <w:highlight w:val="none"/>
        </w:rPr>
      </w:pPr>
    </w:p>
    <w:tbl>
      <w:tblPr>
        <w:tblStyle w:val="53"/>
        <w:tblW w:w="0" w:type="auto"/>
        <w:jc w:val="center"/>
        <w:tblLayout w:type="fixed"/>
        <w:tblCellMar>
          <w:top w:w="0" w:type="dxa"/>
          <w:left w:w="108" w:type="dxa"/>
          <w:bottom w:w="0" w:type="dxa"/>
          <w:right w:w="108" w:type="dxa"/>
        </w:tblCellMar>
      </w:tblPr>
      <w:tblGrid>
        <w:gridCol w:w="4076"/>
        <w:gridCol w:w="2098"/>
        <w:gridCol w:w="246"/>
        <w:gridCol w:w="2481"/>
      </w:tblGrid>
      <w:tr w14:paraId="720AECAB">
        <w:tblPrEx>
          <w:tblCellMar>
            <w:top w:w="0" w:type="dxa"/>
            <w:left w:w="108" w:type="dxa"/>
            <w:bottom w:w="0" w:type="dxa"/>
            <w:right w:w="108" w:type="dxa"/>
          </w:tblCellMar>
        </w:tblPrEx>
        <w:trPr>
          <w:trHeight w:val="524" w:hRule="atLeast"/>
          <w:jc w:val="center"/>
        </w:trPr>
        <w:tc>
          <w:tcPr>
            <w:tcW w:w="4076" w:type="dxa"/>
            <w:noWrap w:val="0"/>
            <w:vAlign w:val="bottom"/>
          </w:tcPr>
          <w:p w14:paraId="1388D005">
            <w:pPr>
              <w:spacing w:line="240" w:lineRule="atLeast"/>
              <w:rPr>
                <w:rFonts w:hint="eastAsia"/>
                <w:highlight w:val="none"/>
              </w:rPr>
            </w:pPr>
            <w:r>
              <w:rPr>
                <w:highlight w:val="none"/>
              </w:rPr>
              <w:t xml:space="preserve">               </w:t>
            </w:r>
          </w:p>
          <w:p w14:paraId="315E6F16">
            <w:pPr>
              <w:spacing w:line="240" w:lineRule="atLeast"/>
              <w:rPr>
                <w:rFonts w:ascii="宋体"/>
                <w:szCs w:val="21"/>
                <w:highlight w:val="none"/>
              </w:rPr>
            </w:pPr>
          </w:p>
        </w:tc>
        <w:tc>
          <w:tcPr>
            <w:tcW w:w="2098" w:type="dxa"/>
            <w:noWrap w:val="0"/>
            <w:vAlign w:val="bottom"/>
          </w:tcPr>
          <w:p w14:paraId="3013A2A9">
            <w:pPr>
              <w:spacing w:line="240" w:lineRule="atLeast"/>
              <w:jc w:val="center"/>
              <w:rPr>
                <w:rFonts w:ascii="宋体"/>
                <w:szCs w:val="21"/>
                <w:highlight w:val="none"/>
              </w:rPr>
            </w:pPr>
            <w:r>
              <w:rPr>
                <w:rFonts w:hint="eastAsia" w:ascii="宋体" w:hAnsi="宋体"/>
                <w:sz w:val="24"/>
                <w:highlight w:val="none"/>
              </w:rPr>
              <w:t xml:space="preserve">      合同编号</w:t>
            </w:r>
          </w:p>
        </w:tc>
        <w:tc>
          <w:tcPr>
            <w:tcW w:w="246" w:type="dxa"/>
            <w:noWrap w:val="0"/>
            <w:vAlign w:val="bottom"/>
          </w:tcPr>
          <w:p w14:paraId="3997CF8F">
            <w:pPr>
              <w:spacing w:line="240" w:lineRule="atLeast"/>
              <w:ind w:left="-105" w:leftChars="-50" w:right="-105" w:rightChars="-50"/>
              <w:jc w:val="center"/>
              <w:rPr>
                <w:rFonts w:ascii="宋体"/>
                <w:szCs w:val="21"/>
                <w:highlight w:val="none"/>
              </w:rPr>
            </w:pPr>
            <w:r>
              <w:rPr>
                <w:rFonts w:hint="eastAsia" w:ascii="宋体" w:hAnsi="宋体"/>
                <w:sz w:val="24"/>
                <w:highlight w:val="none"/>
              </w:rPr>
              <w:t>：</w:t>
            </w:r>
          </w:p>
        </w:tc>
        <w:tc>
          <w:tcPr>
            <w:tcW w:w="2481" w:type="dxa"/>
            <w:tcBorders>
              <w:bottom w:val="single" w:color="auto" w:sz="4" w:space="0"/>
            </w:tcBorders>
            <w:noWrap w:val="0"/>
            <w:vAlign w:val="bottom"/>
          </w:tcPr>
          <w:p w14:paraId="3E8A2E71">
            <w:pPr>
              <w:spacing w:line="240" w:lineRule="atLeast"/>
              <w:jc w:val="center"/>
              <w:rPr>
                <w:rFonts w:ascii="宋体"/>
                <w:szCs w:val="21"/>
                <w:highlight w:val="none"/>
                <w:u w:val="single"/>
              </w:rPr>
            </w:pPr>
          </w:p>
        </w:tc>
      </w:tr>
    </w:tbl>
    <w:p w14:paraId="05BFFC1F">
      <w:pPr>
        <w:jc w:val="center"/>
        <w:rPr>
          <w:rFonts w:hint="eastAsia" w:ascii="黑体" w:hAnsi="宋体" w:eastAsia="黑体"/>
          <w:szCs w:val="21"/>
          <w:highlight w:val="none"/>
        </w:rPr>
      </w:pPr>
    </w:p>
    <w:p w14:paraId="78AF3949">
      <w:pPr>
        <w:jc w:val="center"/>
        <w:rPr>
          <w:rFonts w:hint="eastAsia" w:ascii="黑体" w:hAnsi="宋体" w:eastAsia="黑体"/>
          <w:sz w:val="68"/>
          <w:szCs w:val="68"/>
          <w:highlight w:val="none"/>
        </w:rPr>
      </w:pPr>
    </w:p>
    <w:p w14:paraId="60247F73">
      <w:pPr>
        <w:jc w:val="center"/>
        <w:rPr>
          <w:rFonts w:hint="eastAsia" w:ascii="黑体" w:hAnsi="宋体" w:eastAsia="黑体"/>
          <w:sz w:val="68"/>
          <w:szCs w:val="68"/>
          <w:highlight w:val="none"/>
        </w:rPr>
      </w:pPr>
    </w:p>
    <w:p w14:paraId="30E6A14C">
      <w:pPr>
        <w:jc w:val="center"/>
        <w:rPr>
          <w:rFonts w:hint="eastAsia" w:ascii="黑体" w:hAnsi="宋体" w:eastAsia="黑体"/>
          <w:sz w:val="68"/>
          <w:szCs w:val="68"/>
          <w:highlight w:val="none"/>
        </w:rPr>
      </w:pPr>
    </w:p>
    <w:p w14:paraId="31533E95">
      <w:pPr>
        <w:jc w:val="center"/>
        <w:rPr>
          <w:rFonts w:hint="eastAsia" w:ascii="黑体" w:hAnsi="宋体" w:eastAsia="黑体"/>
          <w:sz w:val="68"/>
          <w:szCs w:val="68"/>
          <w:highlight w:val="none"/>
        </w:rPr>
      </w:pPr>
    </w:p>
    <w:p w14:paraId="03BDD6DF">
      <w:pPr>
        <w:jc w:val="center"/>
        <w:rPr>
          <w:rFonts w:ascii="黑体" w:hAnsi="宋体" w:eastAsia="黑体"/>
          <w:spacing w:val="20"/>
          <w:sz w:val="68"/>
          <w:szCs w:val="68"/>
          <w:highlight w:val="none"/>
        </w:rPr>
      </w:pPr>
      <w:r>
        <w:rPr>
          <w:rFonts w:hint="eastAsia" w:ascii="黑体" w:hAnsi="宋体" w:eastAsia="黑体"/>
          <w:spacing w:val="20"/>
          <w:sz w:val="68"/>
          <w:szCs w:val="68"/>
          <w:highlight w:val="none"/>
        </w:rPr>
        <w:t>建设工程勘察合同</w:t>
      </w:r>
    </w:p>
    <w:p w14:paraId="51E47F1A">
      <w:pPr>
        <w:rPr>
          <w:rFonts w:hint="eastAsia" w:ascii="宋体"/>
          <w:highlight w:val="none"/>
        </w:rPr>
      </w:pPr>
    </w:p>
    <w:p w14:paraId="3CB53938">
      <w:pPr>
        <w:rPr>
          <w:rFonts w:ascii="宋体"/>
          <w:highlight w:val="none"/>
        </w:rPr>
      </w:pPr>
    </w:p>
    <w:p w14:paraId="7A844F11">
      <w:pPr>
        <w:rPr>
          <w:rFonts w:ascii="宋体"/>
          <w:highlight w:val="none"/>
        </w:rPr>
      </w:pPr>
    </w:p>
    <w:p w14:paraId="58112344">
      <w:pPr>
        <w:rPr>
          <w:rFonts w:ascii="宋体"/>
          <w:highlight w:val="none"/>
        </w:rPr>
      </w:pPr>
    </w:p>
    <w:p w14:paraId="1D9866CA">
      <w:pPr>
        <w:rPr>
          <w:rFonts w:ascii="宋体"/>
          <w:highlight w:val="none"/>
        </w:rPr>
      </w:pPr>
    </w:p>
    <w:p w14:paraId="23DE397B">
      <w:pPr>
        <w:jc w:val="center"/>
        <w:rPr>
          <w:rFonts w:hint="eastAsia" w:ascii="宋体"/>
          <w:highlight w:val="none"/>
        </w:rPr>
      </w:pPr>
    </w:p>
    <w:p w14:paraId="72A2415C">
      <w:pPr>
        <w:rPr>
          <w:rFonts w:hint="eastAsia" w:ascii="宋体"/>
          <w:highlight w:val="none"/>
        </w:rPr>
      </w:pPr>
    </w:p>
    <w:p w14:paraId="5CFEC5A1">
      <w:pPr>
        <w:rPr>
          <w:rFonts w:hint="eastAsia" w:ascii="宋体"/>
          <w:highlight w:val="none"/>
        </w:rPr>
      </w:pPr>
    </w:p>
    <w:p w14:paraId="129ED634">
      <w:pPr>
        <w:rPr>
          <w:rFonts w:hint="eastAsia" w:ascii="宋体"/>
          <w:highlight w:val="none"/>
        </w:rPr>
      </w:pPr>
    </w:p>
    <w:tbl>
      <w:tblPr>
        <w:tblStyle w:val="53"/>
        <w:tblW w:w="0" w:type="auto"/>
        <w:jc w:val="center"/>
        <w:tblLayout w:type="fixed"/>
        <w:tblCellMar>
          <w:top w:w="0" w:type="dxa"/>
          <w:left w:w="108" w:type="dxa"/>
          <w:bottom w:w="0" w:type="dxa"/>
          <w:right w:w="108" w:type="dxa"/>
        </w:tblCellMar>
      </w:tblPr>
      <w:tblGrid>
        <w:gridCol w:w="1649"/>
        <w:gridCol w:w="367"/>
        <w:gridCol w:w="5763"/>
      </w:tblGrid>
      <w:tr w14:paraId="6430F3C6">
        <w:tblPrEx>
          <w:tblCellMar>
            <w:top w:w="0" w:type="dxa"/>
            <w:left w:w="108" w:type="dxa"/>
            <w:bottom w:w="0" w:type="dxa"/>
            <w:right w:w="108" w:type="dxa"/>
          </w:tblCellMar>
        </w:tblPrEx>
        <w:trPr>
          <w:trHeight w:val="851" w:hRule="atLeast"/>
          <w:jc w:val="center"/>
        </w:trPr>
        <w:tc>
          <w:tcPr>
            <w:tcW w:w="1649" w:type="dxa"/>
            <w:noWrap w:val="0"/>
            <w:vAlign w:val="bottom"/>
          </w:tcPr>
          <w:p w14:paraId="5317A263">
            <w:pPr>
              <w:spacing w:after="60" w:line="240" w:lineRule="atLeast"/>
              <w:jc w:val="center"/>
              <w:rPr>
                <w:rFonts w:ascii="宋体" w:hAnsi="宋体"/>
                <w:sz w:val="32"/>
                <w:szCs w:val="32"/>
                <w:highlight w:val="none"/>
              </w:rPr>
            </w:pPr>
            <w:r>
              <w:rPr>
                <w:rFonts w:hint="eastAsia" w:ascii="宋体" w:hAnsi="宋体"/>
                <w:sz w:val="32"/>
                <w:szCs w:val="32"/>
                <w:highlight w:val="none"/>
              </w:rPr>
              <w:t>工程名称</w:t>
            </w:r>
          </w:p>
        </w:tc>
        <w:tc>
          <w:tcPr>
            <w:tcW w:w="367" w:type="dxa"/>
            <w:noWrap w:val="0"/>
            <w:vAlign w:val="bottom"/>
          </w:tcPr>
          <w:p w14:paraId="0A6166A6">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bottom w:val="single" w:color="auto" w:sz="4" w:space="0"/>
            </w:tcBorders>
            <w:noWrap w:val="0"/>
            <w:vAlign w:val="bottom"/>
          </w:tcPr>
          <w:p w14:paraId="2FBDD6CF">
            <w:pPr>
              <w:adjustRightInd w:val="0"/>
              <w:snapToGrid w:val="0"/>
              <w:spacing w:after="60"/>
              <w:jc w:val="left"/>
              <w:rPr>
                <w:rFonts w:hint="eastAsia" w:ascii="宋体" w:hAnsi="宋体" w:eastAsia="宋体" w:cs="Times New Roman"/>
                <w:b/>
                <w:sz w:val="32"/>
                <w:szCs w:val="32"/>
                <w:highlight w:val="none"/>
              </w:rPr>
            </w:pPr>
            <w:r>
              <w:rPr>
                <w:rFonts w:hint="eastAsia" w:ascii="宋体" w:hAnsi="宋体" w:eastAsia="宋体" w:cs="Times New Roman"/>
                <w:b/>
                <w:color w:val="auto"/>
                <w:sz w:val="32"/>
                <w:szCs w:val="32"/>
                <w:highlight w:val="none"/>
                <w:lang w:eastAsia="zh-CN"/>
              </w:rPr>
              <w:t>深圳工业软件园新建人行连廊工程（</w:t>
            </w:r>
            <w:r>
              <w:rPr>
                <w:rFonts w:hint="eastAsia" w:ascii="宋体" w:hAnsi="宋体" w:eastAsia="宋体" w:cs="Times New Roman"/>
                <w:b/>
                <w:color w:val="auto"/>
                <w:sz w:val="32"/>
                <w:szCs w:val="32"/>
                <w:highlight w:val="none"/>
                <w:lang w:val="en-US" w:eastAsia="zh-CN"/>
              </w:rPr>
              <w:t>勘察</w:t>
            </w:r>
            <w:r>
              <w:rPr>
                <w:rFonts w:hint="eastAsia" w:ascii="宋体" w:hAnsi="宋体" w:eastAsia="宋体" w:cs="Times New Roman"/>
                <w:b/>
                <w:color w:val="auto"/>
                <w:sz w:val="32"/>
                <w:szCs w:val="32"/>
                <w:highlight w:val="none"/>
                <w:lang w:eastAsia="zh-CN"/>
              </w:rPr>
              <w:t>）</w:t>
            </w:r>
          </w:p>
        </w:tc>
      </w:tr>
      <w:tr w14:paraId="4A576C25">
        <w:tblPrEx>
          <w:tblCellMar>
            <w:top w:w="0" w:type="dxa"/>
            <w:left w:w="108" w:type="dxa"/>
            <w:bottom w:w="0" w:type="dxa"/>
            <w:right w:w="108" w:type="dxa"/>
          </w:tblCellMar>
        </w:tblPrEx>
        <w:trPr>
          <w:trHeight w:val="851" w:hRule="atLeast"/>
          <w:jc w:val="center"/>
        </w:trPr>
        <w:tc>
          <w:tcPr>
            <w:tcW w:w="1649" w:type="dxa"/>
            <w:noWrap w:val="0"/>
            <w:vAlign w:val="bottom"/>
          </w:tcPr>
          <w:p w14:paraId="703A379C">
            <w:pPr>
              <w:spacing w:after="60" w:line="240" w:lineRule="atLeast"/>
              <w:jc w:val="center"/>
              <w:rPr>
                <w:rFonts w:ascii="宋体" w:hAnsi="宋体"/>
                <w:sz w:val="32"/>
                <w:szCs w:val="32"/>
                <w:highlight w:val="none"/>
              </w:rPr>
            </w:pPr>
            <w:r>
              <w:rPr>
                <w:rFonts w:hint="eastAsia" w:ascii="宋体" w:hAnsi="宋体"/>
                <w:sz w:val="32"/>
                <w:szCs w:val="32"/>
                <w:highlight w:val="none"/>
              </w:rPr>
              <w:t>工程地点</w:t>
            </w:r>
          </w:p>
        </w:tc>
        <w:tc>
          <w:tcPr>
            <w:tcW w:w="367" w:type="dxa"/>
            <w:noWrap w:val="0"/>
            <w:vAlign w:val="bottom"/>
          </w:tcPr>
          <w:p w14:paraId="2DE8113F">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top w:val="single" w:color="auto" w:sz="4" w:space="0"/>
              <w:bottom w:val="single" w:color="auto" w:sz="4" w:space="0"/>
            </w:tcBorders>
            <w:noWrap w:val="0"/>
            <w:vAlign w:val="bottom"/>
          </w:tcPr>
          <w:p w14:paraId="7693A15E">
            <w:pPr>
              <w:adjustRightInd w:val="0"/>
              <w:snapToGrid w:val="0"/>
              <w:spacing w:after="60"/>
              <w:jc w:val="left"/>
              <w:rPr>
                <w:rFonts w:hint="eastAsia" w:ascii="宋体" w:hAnsi="宋体" w:eastAsia="宋体" w:cs="Times New Roman"/>
                <w:b/>
                <w:sz w:val="32"/>
                <w:szCs w:val="32"/>
                <w:highlight w:val="none"/>
              </w:rPr>
            </w:pPr>
            <w:r>
              <w:rPr>
                <w:rFonts w:hint="eastAsia" w:ascii="宋体" w:hAnsi="宋体" w:eastAsia="宋体" w:cs="Times New Roman"/>
                <w:b/>
                <w:bCs w:val="0"/>
                <w:color w:val="auto"/>
                <w:sz w:val="32"/>
                <w:szCs w:val="32"/>
                <w:highlight w:val="none"/>
                <w:lang w:eastAsia="zh-CN"/>
              </w:rPr>
              <w:t>深圳市龙岗区</w:t>
            </w:r>
          </w:p>
        </w:tc>
      </w:tr>
      <w:tr w14:paraId="30BFC0E0">
        <w:tblPrEx>
          <w:tblCellMar>
            <w:top w:w="0" w:type="dxa"/>
            <w:left w:w="108" w:type="dxa"/>
            <w:bottom w:w="0" w:type="dxa"/>
            <w:right w:w="108" w:type="dxa"/>
          </w:tblCellMar>
        </w:tblPrEx>
        <w:trPr>
          <w:trHeight w:val="851" w:hRule="atLeast"/>
          <w:jc w:val="center"/>
        </w:trPr>
        <w:tc>
          <w:tcPr>
            <w:tcW w:w="1649" w:type="dxa"/>
            <w:noWrap w:val="0"/>
            <w:vAlign w:val="bottom"/>
          </w:tcPr>
          <w:p w14:paraId="1AB9FB21">
            <w:pPr>
              <w:spacing w:after="60" w:line="240" w:lineRule="atLeast"/>
              <w:jc w:val="distribute"/>
              <w:rPr>
                <w:rFonts w:ascii="宋体" w:hAnsi="宋体"/>
                <w:sz w:val="32"/>
                <w:szCs w:val="32"/>
                <w:highlight w:val="none"/>
              </w:rPr>
            </w:pPr>
            <w:r>
              <w:rPr>
                <w:rFonts w:hint="eastAsia" w:ascii="宋体" w:hAnsi="宋体"/>
                <w:sz w:val="32"/>
                <w:szCs w:val="32"/>
                <w:highlight w:val="none"/>
              </w:rPr>
              <w:t>发包人</w:t>
            </w:r>
          </w:p>
        </w:tc>
        <w:tc>
          <w:tcPr>
            <w:tcW w:w="367" w:type="dxa"/>
            <w:noWrap w:val="0"/>
            <w:vAlign w:val="bottom"/>
          </w:tcPr>
          <w:p w14:paraId="08B24FF4">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top w:val="single" w:color="auto" w:sz="4" w:space="0"/>
              <w:bottom w:val="single" w:color="auto" w:sz="4" w:space="0"/>
            </w:tcBorders>
            <w:noWrap w:val="0"/>
            <w:vAlign w:val="bottom"/>
          </w:tcPr>
          <w:p w14:paraId="1E3661B8">
            <w:pPr>
              <w:adjustRightInd w:val="0"/>
              <w:snapToGrid w:val="0"/>
              <w:spacing w:after="60"/>
              <w:jc w:val="left"/>
              <w:rPr>
                <w:rFonts w:hint="eastAsia" w:ascii="宋体" w:hAnsi="宋体"/>
                <w:b/>
                <w:sz w:val="32"/>
                <w:szCs w:val="32"/>
                <w:highlight w:val="none"/>
              </w:rPr>
            </w:pPr>
            <w:r>
              <w:rPr>
                <w:rFonts w:hint="eastAsia" w:ascii="宋体" w:hAnsi="宋体" w:eastAsia="宋体" w:cs="Times New Roman"/>
                <w:b/>
                <w:bCs w:val="0"/>
                <w:color w:val="auto"/>
                <w:sz w:val="32"/>
                <w:szCs w:val="32"/>
                <w:highlight w:val="none"/>
              </w:rPr>
              <w:t>深圳市龙岗区城投高新技术产业投资开发有限公司</w:t>
            </w:r>
          </w:p>
        </w:tc>
      </w:tr>
      <w:tr w14:paraId="3EB4FE66">
        <w:tblPrEx>
          <w:tblCellMar>
            <w:top w:w="0" w:type="dxa"/>
            <w:left w:w="108" w:type="dxa"/>
            <w:bottom w:w="0" w:type="dxa"/>
            <w:right w:w="108" w:type="dxa"/>
          </w:tblCellMar>
        </w:tblPrEx>
        <w:trPr>
          <w:trHeight w:val="851" w:hRule="atLeast"/>
          <w:jc w:val="center"/>
        </w:trPr>
        <w:tc>
          <w:tcPr>
            <w:tcW w:w="1649" w:type="dxa"/>
            <w:noWrap w:val="0"/>
            <w:vAlign w:val="bottom"/>
          </w:tcPr>
          <w:p w14:paraId="04A98C54">
            <w:pPr>
              <w:spacing w:after="60" w:line="240" w:lineRule="atLeast"/>
              <w:jc w:val="distribute"/>
              <w:rPr>
                <w:rFonts w:ascii="宋体" w:hAnsi="宋体"/>
                <w:sz w:val="32"/>
                <w:szCs w:val="32"/>
                <w:highlight w:val="none"/>
              </w:rPr>
            </w:pPr>
            <w:r>
              <w:rPr>
                <w:rFonts w:hint="eastAsia" w:ascii="宋体" w:hAnsi="宋体"/>
                <w:sz w:val="32"/>
                <w:szCs w:val="32"/>
                <w:highlight w:val="none"/>
              </w:rPr>
              <w:t>勘察人</w:t>
            </w:r>
          </w:p>
        </w:tc>
        <w:tc>
          <w:tcPr>
            <w:tcW w:w="367" w:type="dxa"/>
            <w:noWrap w:val="0"/>
            <w:vAlign w:val="bottom"/>
          </w:tcPr>
          <w:p w14:paraId="176F9401">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top w:val="single" w:color="auto" w:sz="4" w:space="0"/>
              <w:bottom w:val="single" w:color="auto" w:sz="4" w:space="0"/>
            </w:tcBorders>
            <w:noWrap w:val="0"/>
            <w:vAlign w:val="bottom"/>
          </w:tcPr>
          <w:p w14:paraId="721F4668">
            <w:pPr>
              <w:spacing w:after="60" w:line="240" w:lineRule="atLeast"/>
              <w:jc w:val="center"/>
              <w:rPr>
                <w:rFonts w:ascii="宋体"/>
                <w:sz w:val="32"/>
                <w:szCs w:val="32"/>
                <w:highlight w:val="none"/>
              </w:rPr>
            </w:pPr>
          </w:p>
        </w:tc>
      </w:tr>
    </w:tbl>
    <w:p w14:paraId="25B6C74C">
      <w:pPr>
        <w:spacing w:line="360" w:lineRule="auto"/>
        <w:rPr>
          <w:rFonts w:ascii="宋体"/>
          <w:highlight w:val="none"/>
          <w:u w:val="single"/>
        </w:rPr>
      </w:pPr>
    </w:p>
    <w:p w14:paraId="6D18DEC1">
      <w:pPr>
        <w:spacing w:line="360" w:lineRule="auto"/>
        <w:jc w:val="center"/>
        <w:rPr>
          <w:rFonts w:hint="eastAsia" w:ascii="宋体" w:hAnsi="宋体"/>
          <w:sz w:val="30"/>
          <w:szCs w:val="30"/>
          <w:highlight w:val="none"/>
        </w:rPr>
      </w:pPr>
      <w:r>
        <w:rPr>
          <w:rFonts w:ascii="宋体" w:hAnsi="宋体"/>
          <w:sz w:val="30"/>
          <w:szCs w:val="30"/>
          <w:highlight w:val="none"/>
        </w:rPr>
        <w:t>20</w:t>
      </w:r>
      <w:r>
        <w:rPr>
          <w:rFonts w:hint="eastAsia" w:ascii="宋体" w:hAnsi="宋体"/>
          <w:sz w:val="30"/>
          <w:szCs w:val="30"/>
          <w:highlight w:val="none"/>
        </w:rPr>
        <w:t>2</w:t>
      </w:r>
      <w:r>
        <w:rPr>
          <w:rFonts w:hint="eastAsia" w:ascii="宋体" w:hAnsi="宋体"/>
          <w:sz w:val="30"/>
          <w:szCs w:val="30"/>
          <w:highlight w:val="none"/>
          <w:lang w:val="en-US" w:eastAsia="zh-CN"/>
        </w:rPr>
        <w:t>5</w:t>
      </w:r>
      <w:r>
        <w:rPr>
          <w:rFonts w:hint="eastAsia" w:ascii="宋体" w:hAnsi="宋体"/>
          <w:sz w:val="30"/>
          <w:szCs w:val="30"/>
          <w:highlight w:val="none"/>
        </w:rPr>
        <w:t>年</w:t>
      </w:r>
      <w:r>
        <w:rPr>
          <w:rFonts w:hint="eastAsia" w:ascii="宋体" w:hAnsi="宋体"/>
          <w:sz w:val="30"/>
          <w:szCs w:val="30"/>
          <w:highlight w:val="none"/>
          <w:lang w:val="en-US" w:eastAsia="zh-CN"/>
        </w:rPr>
        <w:t>11</w:t>
      </w:r>
      <w:r>
        <w:rPr>
          <w:rFonts w:hint="eastAsia" w:ascii="宋体" w:hAnsi="宋体"/>
          <w:sz w:val="30"/>
          <w:szCs w:val="30"/>
          <w:highlight w:val="none"/>
        </w:rPr>
        <w:t>月</w:t>
      </w:r>
    </w:p>
    <w:p w14:paraId="4C450F11">
      <w:pPr>
        <w:spacing w:line="360" w:lineRule="auto"/>
        <w:jc w:val="center"/>
        <w:rPr>
          <w:rFonts w:hint="eastAsia" w:ascii="宋体" w:hAnsi="宋体"/>
          <w:sz w:val="30"/>
          <w:szCs w:val="30"/>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6BA7B024">
      <w:pPr>
        <w:pStyle w:val="5"/>
        <w:tabs>
          <w:tab w:val="clear" w:pos="720"/>
        </w:tabs>
        <w:spacing w:before="0" w:after="0" w:line="240" w:lineRule="auto"/>
        <w:jc w:val="center"/>
        <w:outlineLvl w:val="0"/>
        <w:rPr>
          <w:rFonts w:hint="eastAsia"/>
          <w:highlight w:val="none"/>
        </w:rPr>
      </w:pPr>
      <w:r>
        <w:rPr>
          <w:rFonts w:hint="eastAsia"/>
          <w:highlight w:val="none"/>
        </w:rPr>
        <w:t>第一部分 合同协议书</w:t>
      </w:r>
    </w:p>
    <w:p w14:paraId="160F4B1D">
      <w:pPr>
        <w:jc w:val="left"/>
        <w:rPr>
          <w:rFonts w:hint="eastAsia" w:ascii="宋体"/>
          <w:szCs w:val="21"/>
          <w:highlight w:val="none"/>
        </w:rPr>
      </w:pPr>
    </w:p>
    <w:p w14:paraId="1CF25DD2">
      <w:pPr>
        <w:jc w:val="left"/>
        <w:rPr>
          <w:rFonts w:hint="eastAsia" w:ascii="宋体" w:hAnsi="宋体" w:eastAsia="宋体"/>
          <w:b/>
          <w:sz w:val="24"/>
          <w:szCs w:val="24"/>
          <w:highlight w:val="none"/>
          <w:u w:val="single"/>
          <w:lang w:eastAsia="zh-CN"/>
        </w:rPr>
      </w:pPr>
      <w:r>
        <w:rPr>
          <w:rFonts w:hint="eastAsia" w:ascii="宋体" w:hAnsi="宋体"/>
          <w:sz w:val="24"/>
          <w:szCs w:val="24"/>
          <w:highlight w:val="none"/>
        </w:rPr>
        <w:t>发包人（甲方）：</w:t>
      </w:r>
      <w:r>
        <w:rPr>
          <w:rFonts w:hint="eastAsia" w:ascii="宋体" w:hAnsi="宋体"/>
          <w:b/>
          <w:sz w:val="24"/>
          <w:szCs w:val="24"/>
          <w:highlight w:val="none"/>
          <w:u w:val="single"/>
          <w:lang w:eastAsia="zh-CN"/>
        </w:rPr>
        <w:t>深圳市龙岗区城投高新技术产业投资开发有限公司</w:t>
      </w:r>
    </w:p>
    <w:p w14:paraId="61CBB1FC">
      <w:pPr>
        <w:jc w:val="left"/>
        <w:rPr>
          <w:rFonts w:hint="eastAsia" w:ascii="宋体" w:hAnsi="宋体"/>
          <w:b/>
          <w:sz w:val="24"/>
          <w:szCs w:val="24"/>
          <w:highlight w:val="none"/>
          <w:u w:val="single"/>
        </w:rPr>
      </w:pPr>
      <w:r>
        <w:rPr>
          <w:rFonts w:hint="eastAsia" w:ascii="宋体" w:hAnsi="宋体"/>
          <w:sz w:val="24"/>
          <w:szCs w:val="24"/>
          <w:highlight w:val="none"/>
        </w:rPr>
        <w:t>勘察人（乙方）：</w:t>
      </w:r>
      <w:r>
        <w:rPr>
          <w:rFonts w:hint="eastAsia" w:ascii="宋体" w:hAnsi="宋体"/>
          <w:b/>
          <w:sz w:val="24"/>
          <w:szCs w:val="24"/>
          <w:highlight w:val="none"/>
          <w:u w:val="single"/>
        </w:rPr>
        <w:t xml:space="preserve">                                              </w:t>
      </w:r>
    </w:p>
    <w:p w14:paraId="1B0DB3AB">
      <w:pPr>
        <w:ind w:firstLine="480" w:firstLineChars="200"/>
        <w:rPr>
          <w:rFonts w:hint="eastAsia" w:ascii="宋体" w:hAnsi="宋体"/>
          <w:sz w:val="24"/>
          <w:szCs w:val="24"/>
          <w:highlight w:val="none"/>
        </w:rPr>
      </w:pPr>
    </w:p>
    <w:p w14:paraId="391A91C2">
      <w:pPr>
        <w:ind w:firstLine="480" w:firstLineChars="200"/>
        <w:rPr>
          <w:rFonts w:hint="eastAsia" w:ascii="宋体" w:hAnsi="宋体"/>
          <w:sz w:val="24"/>
          <w:szCs w:val="24"/>
          <w:highlight w:val="none"/>
          <w:u w:val="single"/>
        </w:rPr>
      </w:pPr>
      <w:r>
        <w:rPr>
          <w:rFonts w:hint="eastAsia" w:ascii="宋体" w:hAnsi="宋体"/>
          <w:sz w:val="24"/>
          <w:szCs w:val="24"/>
          <w:highlight w:val="none"/>
        </w:rPr>
        <w:t>依照《中华人民共和国民法典》、《中华人民共和国建筑法》、《建设工程勘察设计管理条例》、《深圳经济特区政府投资项目管理条例》及其他国家、省、市现行有关工程勘察设计管理法规和规章、规定，结合本工程的招标文件要求和建设工程批准文件，遵循平等、自愿、公平和诚实信用的原则，甲、乙双方就</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深圳工业软件园新建人行连廊工程（勘察）</w:t>
      </w:r>
      <w:r>
        <w:rPr>
          <w:rFonts w:hint="eastAsia" w:ascii="宋体" w:hAnsi="宋体"/>
          <w:sz w:val="24"/>
          <w:szCs w:val="24"/>
          <w:highlight w:val="none"/>
        </w:rPr>
        <w:t>事项协调一致，订立本协议。</w:t>
      </w:r>
    </w:p>
    <w:p w14:paraId="4DBBB690">
      <w:pPr>
        <w:rPr>
          <w:rFonts w:hint="eastAsia" w:ascii="宋体" w:hAnsi="宋体"/>
          <w:b/>
          <w:bCs/>
          <w:sz w:val="24"/>
          <w:szCs w:val="24"/>
          <w:highlight w:val="none"/>
        </w:rPr>
      </w:pPr>
    </w:p>
    <w:p w14:paraId="49D76AC4">
      <w:pPr>
        <w:outlineLvl w:val="1"/>
        <w:rPr>
          <w:rFonts w:hint="eastAsia" w:ascii="宋体" w:hAnsi="宋体"/>
          <w:b/>
          <w:bCs/>
          <w:sz w:val="24"/>
          <w:szCs w:val="24"/>
          <w:highlight w:val="none"/>
        </w:rPr>
      </w:pPr>
      <w:r>
        <w:rPr>
          <w:rFonts w:hint="eastAsia" w:ascii="宋体" w:hAnsi="宋体"/>
          <w:b/>
          <w:bCs/>
          <w:sz w:val="24"/>
          <w:szCs w:val="24"/>
          <w:highlight w:val="none"/>
        </w:rPr>
        <w:t>一、工程概况</w:t>
      </w:r>
    </w:p>
    <w:p w14:paraId="2E2E18B4">
      <w:pPr>
        <w:rPr>
          <w:rFonts w:hint="eastAsia" w:ascii="宋体" w:hAnsi="宋体"/>
          <w:sz w:val="24"/>
          <w:szCs w:val="24"/>
          <w:highlight w:val="none"/>
          <w:u w:val="single"/>
        </w:rPr>
      </w:pPr>
      <w:r>
        <w:rPr>
          <w:rFonts w:hint="eastAsia" w:ascii="宋体" w:hAnsi="宋体"/>
          <w:sz w:val="24"/>
          <w:szCs w:val="24"/>
          <w:highlight w:val="none"/>
        </w:rPr>
        <w:t>1.1工程名称：</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深圳工业软件园新建人行连廊工程</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3B53DB5B">
      <w:pPr>
        <w:rPr>
          <w:rFonts w:hint="eastAsia" w:ascii="宋体" w:hAnsi="宋体"/>
          <w:sz w:val="24"/>
          <w:szCs w:val="24"/>
          <w:highlight w:val="none"/>
          <w:u w:val="single"/>
        </w:rPr>
      </w:pPr>
      <w:r>
        <w:rPr>
          <w:rFonts w:hint="eastAsia" w:ascii="宋体" w:hAnsi="宋体"/>
          <w:sz w:val="24"/>
          <w:szCs w:val="24"/>
          <w:highlight w:val="none"/>
        </w:rPr>
        <w:t>1.2工程地址：</w:t>
      </w:r>
      <w:r>
        <w:rPr>
          <w:rFonts w:hint="eastAsia" w:ascii="宋体" w:hAnsi="宋体"/>
          <w:sz w:val="24"/>
          <w:szCs w:val="24"/>
          <w:highlight w:val="none"/>
          <w:u w:val="single"/>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b w:val="0"/>
          <w:bCs w:val="0"/>
          <w:sz w:val="24"/>
          <w:szCs w:val="24"/>
          <w:highlight w:val="none"/>
          <w:u w:val="single"/>
          <w:lang w:eastAsia="zh-CN"/>
        </w:rPr>
        <w:t>深圳市龙岗区</w:t>
      </w:r>
      <w:r>
        <w:rPr>
          <w:rFonts w:hint="eastAsia" w:ascii="宋体" w:hAnsi="宋体" w:eastAsia="宋体" w:cs="Times New Roman"/>
          <w:sz w:val="24"/>
          <w:szCs w:val="24"/>
          <w:highlight w:val="none"/>
          <w:u w:val="single"/>
        </w:rPr>
        <w:t xml:space="preserve">  </w:t>
      </w:r>
    </w:p>
    <w:p w14:paraId="347F3F0A">
      <w:pPr>
        <w:rPr>
          <w:rFonts w:hint="eastAsia" w:ascii="宋体" w:hAnsi="宋体"/>
          <w:sz w:val="24"/>
          <w:szCs w:val="24"/>
          <w:highlight w:val="none"/>
          <w:u w:val="single"/>
        </w:rPr>
      </w:pPr>
      <w:r>
        <w:rPr>
          <w:rFonts w:hint="eastAsia" w:ascii="宋体" w:hAnsi="宋体"/>
          <w:sz w:val="24"/>
          <w:szCs w:val="24"/>
          <w:highlight w:val="none"/>
        </w:rPr>
        <w:t>1.3项目批准文件：</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51A771F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Times New Roman" w:eastAsia="仿宋_GB2312" w:cs="Times New Roman"/>
          <w:sz w:val="32"/>
          <w:szCs w:val="32"/>
          <w:highlight w:val="none"/>
          <w:lang w:val="en-US" w:eastAsia="zh-CN"/>
        </w:rPr>
      </w:pPr>
      <w:r>
        <w:rPr>
          <w:rFonts w:hint="eastAsia" w:ascii="宋体" w:hAnsi="宋体"/>
          <w:sz w:val="24"/>
          <w:szCs w:val="24"/>
          <w:highlight w:val="none"/>
        </w:rPr>
        <w:t>1.4概    况：</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u w:val="single"/>
          <w:lang w:val="en-US" w:eastAsia="zh-CN"/>
        </w:rPr>
        <w:t>项目位于深圳市龙岗区坂田街道，为新建人行连廊，包含桥梁及梯道工程、设备工程、管线保护及迁改、交通疏解、水土保持、照明、监控、景观绿化等内容（具体以概算批复为准）。</w:t>
      </w:r>
    </w:p>
    <w:p w14:paraId="1B73C91E">
      <w:pPr>
        <w:tabs>
          <w:tab w:val="left" w:pos="274"/>
        </w:tabs>
        <w:rPr>
          <w:rFonts w:hint="eastAsia" w:ascii="宋体" w:hAnsi="宋体"/>
          <w:sz w:val="24"/>
          <w:szCs w:val="24"/>
          <w:highlight w:val="none"/>
        </w:rPr>
      </w:pPr>
      <w:r>
        <w:rPr>
          <w:rFonts w:hint="eastAsia" w:ascii="宋体" w:hAnsi="宋体"/>
          <w:sz w:val="24"/>
          <w:szCs w:val="24"/>
          <w:highlight w:val="none"/>
        </w:rPr>
        <w:t>1.5工程投资额：约人民币（下同）</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3265.7</w:t>
      </w:r>
      <w:r>
        <w:rPr>
          <w:rFonts w:hint="eastAsia" w:ascii="宋体" w:hAnsi="宋体"/>
          <w:sz w:val="24"/>
          <w:szCs w:val="24"/>
          <w:highlight w:val="none"/>
          <w:u w:val="single"/>
        </w:rPr>
        <w:t xml:space="preserve"> </w:t>
      </w:r>
      <w:r>
        <w:rPr>
          <w:rFonts w:hint="eastAsia" w:ascii="宋体" w:hAnsi="宋体"/>
          <w:sz w:val="24"/>
          <w:szCs w:val="24"/>
          <w:highlight w:val="none"/>
          <w:lang w:val="en-US" w:eastAsia="zh-CN"/>
        </w:rPr>
        <w:t>万</w:t>
      </w:r>
      <w:r>
        <w:rPr>
          <w:rFonts w:hint="eastAsia" w:ascii="宋体" w:hAnsi="宋体"/>
          <w:sz w:val="24"/>
          <w:szCs w:val="24"/>
          <w:highlight w:val="none"/>
        </w:rPr>
        <w:t xml:space="preserve">元（暂估）；  </w:t>
      </w:r>
    </w:p>
    <w:p w14:paraId="21063932">
      <w:pPr>
        <w:ind w:firstLine="480" w:firstLineChars="200"/>
        <w:rPr>
          <w:rFonts w:hint="eastAsia" w:ascii="宋体" w:hAnsi="宋体"/>
          <w:sz w:val="24"/>
          <w:szCs w:val="24"/>
          <w:highlight w:val="none"/>
          <w:u w:val="single"/>
        </w:rPr>
      </w:pPr>
      <w:r>
        <w:rPr>
          <w:rFonts w:hint="eastAsia" w:ascii="宋体" w:hAnsi="宋体"/>
          <w:sz w:val="24"/>
          <w:szCs w:val="24"/>
          <w:highlight w:val="none"/>
        </w:rPr>
        <w:t>资金来源：</w:t>
      </w:r>
      <w:r>
        <w:rPr>
          <w:rFonts w:hint="eastAsia" w:ascii="宋体" w:hAnsi="宋体"/>
          <w:sz w:val="24"/>
          <w:szCs w:val="24"/>
          <w:highlight w:val="none"/>
          <w:u w:val="single"/>
        </w:rPr>
        <w:t xml:space="preserve"> 政府投资  </w:t>
      </w:r>
    </w:p>
    <w:p w14:paraId="6DB44F72">
      <w:pPr>
        <w:ind w:firstLine="480" w:firstLineChars="200"/>
        <w:rPr>
          <w:rFonts w:hint="eastAsia" w:ascii="宋体" w:hAnsi="宋体"/>
          <w:sz w:val="24"/>
          <w:szCs w:val="24"/>
          <w:highlight w:val="none"/>
        </w:rPr>
      </w:pPr>
    </w:p>
    <w:p w14:paraId="79DAD96D">
      <w:pPr>
        <w:outlineLvl w:val="1"/>
        <w:rPr>
          <w:rFonts w:hint="eastAsia" w:ascii="宋体" w:hAnsi="宋体"/>
          <w:b/>
          <w:bCs/>
          <w:sz w:val="24"/>
          <w:szCs w:val="24"/>
          <w:highlight w:val="none"/>
        </w:rPr>
      </w:pPr>
      <w:r>
        <w:rPr>
          <w:rFonts w:hint="eastAsia" w:ascii="宋体" w:hAnsi="宋体"/>
          <w:b/>
          <w:bCs/>
          <w:sz w:val="24"/>
          <w:szCs w:val="24"/>
          <w:highlight w:val="none"/>
        </w:rPr>
        <w:t>二、工作内容</w:t>
      </w:r>
    </w:p>
    <w:p w14:paraId="68BDCA34">
      <w:pPr>
        <w:ind w:firstLine="480" w:firstLineChars="200"/>
        <w:rPr>
          <w:rFonts w:hint="eastAsia" w:ascii="宋体" w:hAnsi="宋体"/>
          <w:b/>
          <w:bCs/>
          <w:sz w:val="24"/>
          <w:szCs w:val="24"/>
          <w:highlight w:val="none"/>
        </w:rPr>
      </w:pPr>
      <w:r>
        <w:rPr>
          <w:rFonts w:hint="eastAsia" w:ascii="宋体" w:hAnsi="宋体"/>
          <w:vanish/>
          <w:sz w:val="24"/>
          <w:szCs w:val="24"/>
          <w:highlight w:val="none"/>
        </w:rPr>
        <w:cr/>
      </w:r>
      <w:r>
        <w:rPr>
          <w:rFonts w:hint="eastAsia" w:ascii="宋体" w:hAnsi="宋体"/>
          <w:vanish/>
          <w:sz w:val="24"/>
          <w:szCs w:val="24"/>
          <w:highlight w:val="none"/>
        </w:rPr>
        <w:t>优先次条件（人民币和设计依据不会减轻承包人</w:t>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sz w:val="24"/>
          <w:szCs w:val="24"/>
          <w:highlight w:val="none"/>
        </w:rPr>
        <w:t>详见合同通用条款第四、第五条及合同专用条款4.1。</w:t>
      </w:r>
    </w:p>
    <w:p w14:paraId="3A814E0A">
      <w:pPr>
        <w:rPr>
          <w:rFonts w:hint="eastAsia" w:ascii="宋体" w:hAnsi="宋体"/>
          <w:b/>
          <w:bCs/>
          <w:sz w:val="24"/>
          <w:szCs w:val="24"/>
          <w:highlight w:val="none"/>
        </w:rPr>
      </w:pPr>
    </w:p>
    <w:p w14:paraId="5B624000">
      <w:pPr>
        <w:outlineLvl w:val="1"/>
        <w:rPr>
          <w:rFonts w:hint="eastAsia" w:ascii="宋体" w:hAnsi="宋体"/>
          <w:b/>
          <w:bCs/>
          <w:sz w:val="24"/>
          <w:szCs w:val="24"/>
          <w:highlight w:val="none"/>
        </w:rPr>
      </w:pPr>
      <w:r>
        <w:rPr>
          <w:rFonts w:hint="eastAsia" w:ascii="宋体" w:hAnsi="宋体"/>
          <w:b/>
          <w:bCs/>
          <w:sz w:val="24"/>
          <w:szCs w:val="24"/>
          <w:highlight w:val="none"/>
        </w:rPr>
        <w:t>三、进度要求及工期安排</w:t>
      </w:r>
    </w:p>
    <w:p w14:paraId="15E085D2">
      <w:pPr>
        <w:rPr>
          <w:rFonts w:hint="eastAsia" w:ascii="宋体" w:hAnsi="宋体"/>
          <w:sz w:val="24"/>
          <w:szCs w:val="24"/>
          <w:highlight w:val="none"/>
        </w:rPr>
      </w:pPr>
      <w:r>
        <w:rPr>
          <w:rFonts w:hint="eastAsia" w:ascii="宋体" w:hAnsi="宋体"/>
          <w:sz w:val="24"/>
          <w:szCs w:val="24"/>
          <w:highlight w:val="none"/>
        </w:rPr>
        <w:t>3.1详细勘察外业：工程设计方案稳定后</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2</w:t>
      </w:r>
      <w:r>
        <w:rPr>
          <w:rFonts w:hint="eastAsia" w:ascii="宋体" w:hAnsi="宋体"/>
          <w:sz w:val="24"/>
          <w:szCs w:val="24"/>
          <w:highlight w:val="none"/>
          <w:u w:val="single"/>
        </w:rPr>
        <w:t xml:space="preserve">0 </w:t>
      </w:r>
      <w:r>
        <w:rPr>
          <w:rFonts w:hint="eastAsia" w:ascii="宋体" w:hAnsi="宋体"/>
          <w:sz w:val="24"/>
          <w:szCs w:val="24"/>
          <w:highlight w:val="none"/>
        </w:rPr>
        <w:t>日历天；</w:t>
      </w:r>
    </w:p>
    <w:p w14:paraId="2FA9EFF3">
      <w:pPr>
        <w:rPr>
          <w:rFonts w:hint="eastAsia" w:ascii="宋体" w:hAnsi="宋体"/>
          <w:sz w:val="24"/>
          <w:szCs w:val="24"/>
          <w:highlight w:val="none"/>
        </w:rPr>
      </w:pPr>
      <w:r>
        <w:rPr>
          <w:rFonts w:hint="eastAsia" w:ascii="宋体" w:hAnsi="宋体"/>
          <w:sz w:val="24"/>
          <w:szCs w:val="24"/>
          <w:highlight w:val="none"/>
        </w:rPr>
        <w:t>3.2内业及报告编制：外业完成后</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1</w:t>
      </w:r>
      <w:r>
        <w:rPr>
          <w:rFonts w:hint="eastAsia" w:ascii="宋体" w:hAnsi="宋体"/>
          <w:sz w:val="24"/>
          <w:szCs w:val="24"/>
          <w:highlight w:val="none"/>
          <w:u w:val="single"/>
        </w:rPr>
        <w:t xml:space="preserve">0 </w:t>
      </w:r>
      <w:r>
        <w:rPr>
          <w:rFonts w:hint="eastAsia" w:ascii="宋体" w:hAnsi="宋体"/>
          <w:sz w:val="24"/>
          <w:szCs w:val="24"/>
          <w:highlight w:val="none"/>
        </w:rPr>
        <w:t>日历天。</w:t>
      </w:r>
    </w:p>
    <w:p w14:paraId="60E9F263">
      <w:pPr>
        <w:rPr>
          <w:rFonts w:hint="eastAsia" w:ascii="宋体" w:hAnsi="宋体"/>
          <w:sz w:val="24"/>
          <w:szCs w:val="24"/>
          <w:highlight w:val="none"/>
        </w:rPr>
      </w:pPr>
      <w:r>
        <w:rPr>
          <w:rFonts w:hint="eastAsia" w:ascii="宋体" w:hAnsi="宋体"/>
          <w:sz w:val="24"/>
          <w:szCs w:val="24"/>
          <w:highlight w:val="none"/>
        </w:rPr>
        <w:t>3.3勘察及其他相关内容进度必须符合工程建设总体进度要求，满足工程建设需要。</w:t>
      </w:r>
    </w:p>
    <w:p w14:paraId="23ECBD09">
      <w:pPr>
        <w:rPr>
          <w:rFonts w:hint="eastAsia" w:ascii="宋体" w:hAnsi="宋体"/>
          <w:b/>
          <w:bCs/>
          <w:sz w:val="24"/>
          <w:szCs w:val="24"/>
          <w:highlight w:val="none"/>
        </w:rPr>
      </w:pPr>
    </w:p>
    <w:p w14:paraId="4D451E2E">
      <w:pPr>
        <w:outlineLvl w:val="1"/>
        <w:rPr>
          <w:rFonts w:hint="eastAsia" w:ascii="宋体" w:hAnsi="宋体"/>
          <w:b/>
          <w:bCs/>
          <w:sz w:val="24"/>
          <w:szCs w:val="24"/>
          <w:highlight w:val="none"/>
        </w:rPr>
      </w:pPr>
      <w:r>
        <w:rPr>
          <w:rFonts w:hint="eastAsia" w:ascii="宋体" w:hAnsi="宋体"/>
          <w:b/>
          <w:bCs/>
          <w:sz w:val="24"/>
          <w:szCs w:val="24"/>
          <w:highlight w:val="none"/>
        </w:rPr>
        <w:t>四、合同价款</w:t>
      </w:r>
    </w:p>
    <w:p w14:paraId="34C0E194">
      <w:pPr>
        <w:rPr>
          <w:rFonts w:hint="eastAsia" w:ascii="宋体" w:hAnsi="宋体"/>
          <w:sz w:val="24"/>
          <w:szCs w:val="24"/>
          <w:highlight w:val="none"/>
        </w:rPr>
      </w:pPr>
      <w:r>
        <w:rPr>
          <w:rFonts w:hint="eastAsia" w:ascii="宋体" w:hAnsi="宋体"/>
          <w:sz w:val="24"/>
          <w:szCs w:val="24"/>
          <w:highlight w:val="none"/>
        </w:rPr>
        <w:t>4.1 合同暂定价：人民币（大写）</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元）。计算办法详见通用条款6.1及合同专用条款6.1.4；</w:t>
      </w:r>
    </w:p>
    <w:p w14:paraId="60A9E3D4">
      <w:pPr>
        <w:rPr>
          <w:rFonts w:hint="eastAsia" w:ascii="宋体" w:hAnsi="宋体"/>
          <w:sz w:val="24"/>
          <w:szCs w:val="24"/>
          <w:highlight w:val="none"/>
        </w:rPr>
      </w:pPr>
      <w:r>
        <w:rPr>
          <w:rFonts w:hint="eastAsia" w:ascii="宋体" w:hAnsi="宋体"/>
          <w:sz w:val="24"/>
          <w:szCs w:val="24"/>
          <w:highlight w:val="none"/>
        </w:rPr>
        <w:t>4.2本合同的结算和费用支付详见合同通用条款6.2、7.1和合同专用条款</w:t>
      </w:r>
      <w:r>
        <w:rPr>
          <w:rFonts w:hint="eastAsia" w:ascii="宋体" w:hAnsi="宋体"/>
          <w:sz w:val="24"/>
          <w:szCs w:val="24"/>
          <w:highlight w:val="none"/>
          <w:lang w:val="en-US" w:eastAsia="zh-CN"/>
        </w:rPr>
        <w:t>6.2.1、7.1.1</w:t>
      </w:r>
      <w:r>
        <w:rPr>
          <w:rFonts w:hint="eastAsia" w:ascii="宋体" w:hAnsi="宋体"/>
          <w:sz w:val="24"/>
          <w:szCs w:val="24"/>
          <w:highlight w:val="none"/>
        </w:rPr>
        <w:t>。</w:t>
      </w:r>
    </w:p>
    <w:p w14:paraId="67F88F94">
      <w:pPr>
        <w:rPr>
          <w:rFonts w:hint="eastAsia" w:ascii="宋体" w:hAnsi="宋体"/>
          <w:b/>
          <w:bCs/>
          <w:sz w:val="24"/>
          <w:szCs w:val="24"/>
          <w:highlight w:val="none"/>
        </w:rPr>
      </w:pPr>
    </w:p>
    <w:p w14:paraId="54DB3857">
      <w:pPr>
        <w:outlineLvl w:val="1"/>
        <w:rPr>
          <w:rFonts w:hint="eastAsia" w:ascii="宋体" w:hAnsi="宋体"/>
          <w:b/>
          <w:bCs/>
          <w:sz w:val="24"/>
          <w:szCs w:val="24"/>
          <w:highlight w:val="none"/>
        </w:rPr>
      </w:pPr>
      <w:r>
        <w:rPr>
          <w:rFonts w:hint="eastAsia" w:ascii="宋体" w:hAnsi="宋体"/>
          <w:b/>
          <w:bCs/>
          <w:sz w:val="24"/>
          <w:szCs w:val="24"/>
          <w:highlight w:val="none"/>
        </w:rPr>
        <w:t>五、合同的组成和相关文件优先次序</w:t>
      </w:r>
    </w:p>
    <w:p w14:paraId="40E2FC66">
      <w:pPr>
        <w:rPr>
          <w:rFonts w:hint="eastAsia" w:ascii="宋体" w:hAnsi="宋体"/>
          <w:sz w:val="24"/>
          <w:szCs w:val="24"/>
          <w:highlight w:val="none"/>
        </w:rPr>
      </w:pPr>
      <w:r>
        <w:rPr>
          <w:rFonts w:hint="eastAsia" w:ascii="宋体" w:hAnsi="宋体"/>
          <w:sz w:val="24"/>
          <w:szCs w:val="24"/>
          <w:highlight w:val="none"/>
        </w:rPr>
        <w:t>5.1本合同文件由合同协议书、合同通用条款和合同专用条款及附件组成。</w:t>
      </w:r>
    </w:p>
    <w:p w14:paraId="3A3BE5E9">
      <w:pPr>
        <w:rPr>
          <w:rFonts w:hint="eastAsia" w:ascii="宋体" w:hAnsi="宋体"/>
          <w:sz w:val="24"/>
          <w:szCs w:val="24"/>
          <w:highlight w:val="none"/>
        </w:rPr>
      </w:pPr>
      <w:r>
        <w:rPr>
          <w:rFonts w:hint="eastAsia" w:ascii="宋体" w:hAnsi="宋体"/>
          <w:sz w:val="24"/>
          <w:szCs w:val="24"/>
          <w:highlight w:val="none"/>
        </w:rPr>
        <w:t>5.2合同执行中如相关文件存在歧义或不一致，将按以下次序予以判断：</w:t>
      </w:r>
    </w:p>
    <w:p w14:paraId="6CE836EC">
      <w:pPr>
        <w:ind w:firstLine="480" w:firstLineChars="200"/>
        <w:rPr>
          <w:rFonts w:hint="eastAsia" w:ascii="宋体" w:hAnsi="宋体"/>
          <w:sz w:val="24"/>
          <w:szCs w:val="24"/>
          <w:highlight w:val="none"/>
        </w:rPr>
      </w:pPr>
      <w:r>
        <w:rPr>
          <w:rFonts w:hint="eastAsia" w:ascii="宋体" w:hAnsi="宋体"/>
          <w:sz w:val="24"/>
          <w:szCs w:val="24"/>
          <w:highlight w:val="none"/>
        </w:rPr>
        <w:t>1、本合同履行过程中双方以书面形式签署的补充和修正文件</w:t>
      </w:r>
    </w:p>
    <w:p w14:paraId="122D534D">
      <w:pPr>
        <w:ind w:firstLine="480" w:firstLineChars="200"/>
        <w:rPr>
          <w:rFonts w:hint="eastAsia" w:ascii="宋体" w:hAnsi="宋体"/>
          <w:sz w:val="24"/>
          <w:szCs w:val="24"/>
          <w:highlight w:val="none"/>
        </w:rPr>
      </w:pPr>
      <w:r>
        <w:rPr>
          <w:rFonts w:hint="eastAsia" w:ascii="宋体" w:hAnsi="宋体"/>
          <w:sz w:val="24"/>
          <w:szCs w:val="24"/>
          <w:highlight w:val="none"/>
        </w:rPr>
        <w:t>2、合同协议书</w:t>
      </w:r>
    </w:p>
    <w:p w14:paraId="74D07250">
      <w:pPr>
        <w:ind w:firstLine="480" w:firstLineChars="200"/>
        <w:rPr>
          <w:rFonts w:hint="eastAsia" w:ascii="宋体" w:hAnsi="宋体"/>
          <w:sz w:val="24"/>
          <w:szCs w:val="24"/>
          <w:highlight w:val="none"/>
        </w:rPr>
      </w:pPr>
      <w:r>
        <w:rPr>
          <w:rFonts w:hint="eastAsia" w:ascii="宋体" w:hAnsi="宋体"/>
          <w:sz w:val="24"/>
          <w:szCs w:val="24"/>
          <w:highlight w:val="none"/>
        </w:rPr>
        <w:t>3、合同专用条款</w:t>
      </w:r>
    </w:p>
    <w:p w14:paraId="0BA84ECD">
      <w:pPr>
        <w:ind w:firstLine="480" w:firstLineChars="200"/>
        <w:rPr>
          <w:rFonts w:hint="eastAsia" w:ascii="宋体" w:hAnsi="宋体"/>
          <w:sz w:val="24"/>
          <w:szCs w:val="24"/>
          <w:highlight w:val="none"/>
        </w:rPr>
      </w:pPr>
      <w:r>
        <w:rPr>
          <w:rFonts w:hint="eastAsia" w:ascii="宋体" w:hAnsi="宋体"/>
          <w:sz w:val="24"/>
          <w:szCs w:val="24"/>
          <w:highlight w:val="none"/>
        </w:rPr>
        <w:t>4、合同通用条款</w:t>
      </w:r>
    </w:p>
    <w:p w14:paraId="60222EC7">
      <w:pPr>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5、中标通知书</w:t>
      </w:r>
      <w:r>
        <w:rPr>
          <w:rFonts w:hint="eastAsia" w:ascii="宋体" w:hAnsi="宋体"/>
          <w:sz w:val="24"/>
          <w:szCs w:val="24"/>
          <w:highlight w:val="none"/>
          <w:lang w:eastAsia="zh-CN"/>
        </w:rPr>
        <w:t>（</w:t>
      </w:r>
      <w:r>
        <w:rPr>
          <w:rFonts w:hint="eastAsia" w:ascii="宋体" w:hAnsi="宋体"/>
          <w:sz w:val="24"/>
          <w:szCs w:val="24"/>
          <w:highlight w:val="none"/>
          <w:lang w:val="en-US" w:eastAsia="zh-CN"/>
        </w:rPr>
        <w:t>中标公示）</w:t>
      </w:r>
    </w:p>
    <w:p w14:paraId="15045CD5">
      <w:pPr>
        <w:ind w:firstLine="480" w:firstLineChars="200"/>
        <w:rPr>
          <w:rFonts w:hint="eastAsia" w:ascii="宋体" w:hAnsi="宋体"/>
          <w:sz w:val="24"/>
          <w:szCs w:val="24"/>
          <w:highlight w:val="none"/>
        </w:rPr>
      </w:pPr>
      <w:r>
        <w:rPr>
          <w:rFonts w:hint="eastAsia" w:ascii="宋体" w:hAnsi="宋体"/>
          <w:sz w:val="24"/>
          <w:szCs w:val="24"/>
          <w:highlight w:val="none"/>
        </w:rPr>
        <w:t>6、招标文件及其附件（含补遗书）</w:t>
      </w:r>
    </w:p>
    <w:p w14:paraId="1435E42E">
      <w:pPr>
        <w:ind w:firstLine="480" w:firstLineChars="200"/>
        <w:rPr>
          <w:rFonts w:hint="eastAsia" w:ascii="宋体" w:hAnsi="宋体"/>
          <w:sz w:val="24"/>
          <w:szCs w:val="24"/>
          <w:highlight w:val="none"/>
        </w:rPr>
      </w:pPr>
      <w:r>
        <w:rPr>
          <w:rFonts w:hint="eastAsia" w:ascii="宋体" w:hAnsi="宋体"/>
          <w:sz w:val="24"/>
          <w:szCs w:val="24"/>
          <w:highlight w:val="none"/>
        </w:rPr>
        <w:t>7、投标书及其附件</w:t>
      </w:r>
    </w:p>
    <w:p w14:paraId="64FABE82">
      <w:pPr>
        <w:ind w:firstLine="480" w:firstLineChars="200"/>
        <w:rPr>
          <w:rFonts w:hint="eastAsia" w:ascii="宋体" w:hAnsi="宋体"/>
          <w:sz w:val="24"/>
          <w:szCs w:val="24"/>
          <w:highlight w:val="none"/>
        </w:rPr>
      </w:pPr>
      <w:r>
        <w:rPr>
          <w:rFonts w:hint="eastAsia" w:ascii="宋体" w:hAnsi="宋体"/>
          <w:sz w:val="24"/>
          <w:szCs w:val="24"/>
          <w:highlight w:val="none"/>
        </w:rPr>
        <w:t>8、标准、规范及规程有关技术文件</w:t>
      </w:r>
    </w:p>
    <w:p w14:paraId="24F9CC61">
      <w:pPr>
        <w:ind w:firstLine="480" w:firstLineChars="200"/>
        <w:rPr>
          <w:rFonts w:hint="eastAsia" w:ascii="宋体" w:hAnsi="宋体"/>
          <w:sz w:val="24"/>
          <w:szCs w:val="24"/>
          <w:highlight w:val="none"/>
        </w:rPr>
      </w:pPr>
    </w:p>
    <w:p w14:paraId="049AFAE3">
      <w:pPr>
        <w:outlineLvl w:val="2"/>
        <w:rPr>
          <w:rFonts w:hint="eastAsia" w:ascii="宋体" w:hAnsi="宋体"/>
          <w:sz w:val="24"/>
          <w:szCs w:val="24"/>
          <w:highlight w:val="none"/>
        </w:rPr>
      </w:pPr>
      <w:r>
        <w:rPr>
          <w:rFonts w:hint="eastAsia" w:ascii="宋体" w:hAnsi="宋体"/>
          <w:sz w:val="24"/>
          <w:szCs w:val="24"/>
          <w:highlight w:val="none"/>
        </w:rPr>
        <w:t>5.3合同附件：</w:t>
      </w:r>
    </w:p>
    <w:p w14:paraId="24B2273E">
      <w:pPr>
        <w:ind w:firstLine="42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建设工程廉政责任合同</w:t>
      </w:r>
    </w:p>
    <w:p w14:paraId="7C7339A5">
      <w:pPr>
        <w:ind w:firstLine="42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安全生产责任书</w:t>
      </w:r>
    </w:p>
    <w:p w14:paraId="4D4A7D1E">
      <w:pPr>
        <w:ind w:firstLine="42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龙岗区进一步规范政商交往行为告知书</w:t>
      </w:r>
    </w:p>
    <w:p w14:paraId="4F084E96">
      <w:pPr>
        <w:ind w:firstLine="42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、中标通知书</w:t>
      </w:r>
      <w:r>
        <w:rPr>
          <w:rFonts w:hint="eastAsia" w:ascii="宋体" w:hAnsi="宋体"/>
          <w:sz w:val="24"/>
          <w:szCs w:val="24"/>
          <w:highlight w:val="none"/>
          <w:lang w:eastAsia="zh-CN"/>
        </w:rPr>
        <w:t>（</w:t>
      </w:r>
      <w:r>
        <w:rPr>
          <w:rFonts w:hint="eastAsia" w:ascii="宋体" w:hAnsi="宋体"/>
          <w:sz w:val="24"/>
          <w:szCs w:val="24"/>
          <w:highlight w:val="none"/>
          <w:lang w:val="en-US" w:eastAsia="zh-CN"/>
        </w:rPr>
        <w:t>中标公示）</w:t>
      </w:r>
      <w:r>
        <w:rPr>
          <w:rFonts w:hint="eastAsia" w:ascii="宋体" w:hAnsi="宋体"/>
          <w:sz w:val="24"/>
          <w:szCs w:val="24"/>
          <w:highlight w:val="none"/>
        </w:rPr>
        <w:t>；</w:t>
      </w:r>
    </w:p>
    <w:p w14:paraId="2FD5D089">
      <w:pPr>
        <w:ind w:firstLine="42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、本项目投入人员一览表。</w:t>
      </w:r>
    </w:p>
    <w:p w14:paraId="07E6EF23">
      <w:pPr>
        <w:rPr>
          <w:rFonts w:hint="eastAsia" w:ascii="宋体" w:hAnsi="宋体"/>
          <w:b/>
          <w:bCs/>
          <w:sz w:val="24"/>
          <w:szCs w:val="24"/>
          <w:highlight w:val="none"/>
        </w:rPr>
      </w:pPr>
    </w:p>
    <w:p w14:paraId="05A027E1">
      <w:pPr>
        <w:outlineLvl w:val="1"/>
        <w:rPr>
          <w:rFonts w:hint="eastAsia" w:ascii="宋体" w:hAnsi="宋体"/>
          <w:b/>
          <w:bCs/>
          <w:sz w:val="24"/>
          <w:szCs w:val="24"/>
          <w:highlight w:val="none"/>
        </w:rPr>
      </w:pPr>
      <w:r>
        <w:rPr>
          <w:rFonts w:hint="eastAsia" w:ascii="宋体" w:hAnsi="宋体"/>
          <w:b/>
          <w:bCs/>
          <w:sz w:val="24"/>
          <w:szCs w:val="24"/>
          <w:highlight w:val="none"/>
        </w:rPr>
        <w:t>六、双方承诺</w:t>
      </w:r>
    </w:p>
    <w:p w14:paraId="29DBFFD6">
      <w:pPr>
        <w:tabs>
          <w:tab w:val="left" w:pos="840"/>
        </w:tabs>
        <w:rPr>
          <w:rFonts w:hint="eastAsia" w:ascii="宋体" w:hAnsi="宋体"/>
          <w:sz w:val="24"/>
          <w:szCs w:val="24"/>
          <w:highlight w:val="none"/>
        </w:rPr>
      </w:pPr>
      <w:r>
        <w:rPr>
          <w:rFonts w:hint="eastAsia" w:ascii="宋体" w:hAnsi="宋体"/>
          <w:sz w:val="24"/>
          <w:szCs w:val="24"/>
          <w:highlight w:val="none"/>
        </w:rPr>
        <w:t>6.1乙方向甲方承诺，按照合同约定开展工作，并履行本合同所约定的全部义务。</w:t>
      </w:r>
    </w:p>
    <w:p w14:paraId="076AF049">
      <w:pPr>
        <w:tabs>
          <w:tab w:val="left" w:pos="840"/>
        </w:tabs>
        <w:rPr>
          <w:rFonts w:hint="eastAsia" w:ascii="宋体" w:hAnsi="宋体"/>
          <w:b/>
          <w:bCs/>
          <w:sz w:val="24"/>
          <w:szCs w:val="24"/>
          <w:highlight w:val="none"/>
        </w:rPr>
      </w:pPr>
      <w:r>
        <w:rPr>
          <w:rFonts w:hint="eastAsia" w:ascii="宋体" w:hAnsi="宋体"/>
          <w:sz w:val="24"/>
          <w:szCs w:val="24"/>
          <w:highlight w:val="none"/>
        </w:rPr>
        <w:t>6.2甲方向乙方承诺，按照合同约定支付款项，并履行本合同所约定的全部义务。</w:t>
      </w:r>
    </w:p>
    <w:p w14:paraId="24080A6C">
      <w:pPr>
        <w:rPr>
          <w:rFonts w:hint="eastAsia" w:ascii="宋体" w:hAnsi="宋体"/>
          <w:b/>
          <w:bCs/>
          <w:sz w:val="24"/>
          <w:szCs w:val="24"/>
          <w:highlight w:val="none"/>
        </w:rPr>
      </w:pPr>
    </w:p>
    <w:p w14:paraId="0F26E627">
      <w:pPr>
        <w:outlineLvl w:val="1"/>
        <w:rPr>
          <w:rFonts w:hint="eastAsia" w:ascii="宋体" w:hAnsi="宋体"/>
          <w:sz w:val="24"/>
          <w:szCs w:val="24"/>
          <w:highlight w:val="none"/>
        </w:rPr>
      </w:pPr>
      <w:r>
        <w:rPr>
          <w:rFonts w:hint="eastAsia" w:ascii="宋体" w:hAnsi="宋体"/>
          <w:b/>
          <w:bCs/>
          <w:sz w:val="24"/>
          <w:szCs w:val="24"/>
          <w:highlight w:val="none"/>
        </w:rPr>
        <w:t>七、其他</w:t>
      </w:r>
    </w:p>
    <w:p w14:paraId="5B0FF810">
      <w:pPr>
        <w:rPr>
          <w:rFonts w:hint="eastAsia" w:ascii="宋体" w:hAnsi="宋体"/>
          <w:b/>
          <w:bCs/>
          <w:sz w:val="24"/>
          <w:szCs w:val="24"/>
          <w:highlight w:val="none"/>
        </w:rPr>
      </w:pPr>
      <w:r>
        <w:rPr>
          <w:rFonts w:hint="eastAsia" w:ascii="宋体" w:hAnsi="宋体"/>
          <w:sz w:val="24"/>
          <w:szCs w:val="24"/>
          <w:highlight w:val="none"/>
        </w:rPr>
        <w:t>7.1本合同一式十份，其中正本二份，双方各执一份，副本八份，甲方执五份，乙方执三份，具有同等法律效力。</w:t>
      </w:r>
    </w:p>
    <w:p w14:paraId="52F1A158">
      <w:pPr>
        <w:rPr>
          <w:rFonts w:hint="eastAsia" w:ascii="宋体" w:hAnsi="宋体"/>
          <w:b/>
          <w:bCs/>
          <w:sz w:val="24"/>
          <w:szCs w:val="24"/>
          <w:highlight w:val="none"/>
        </w:rPr>
      </w:pPr>
      <w:r>
        <w:rPr>
          <w:rFonts w:hint="eastAsia" w:ascii="宋体" w:hAnsi="宋体"/>
          <w:sz w:val="24"/>
          <w:szCs w:val="24"/>
          <w:highlight w:val="none"/>
        </w:rPr>
        <w:t>7.2本合同经双方法定代表人或其委托代理人签署并加盖公章后生效。</w:t>
      </w:r>
    </w:p>
    <w:p w14:paraId="1FEC9C22">
      <w:pPr>
        <w:rPr>
          <w:rFonts w:hint="eastAsia" w:ascii="宋体" w:hAnsi="宋体"/>
          <w:sz w:val="24"/>
          <w:szCs w:val="24"/>
          <w:highlight w:val="none"/>
        </w:rPr>
      </w:pPr>
    </w:p>
    <w:p w14:paraId="3E79F8CC">
      <w:pPr>
        <w:rPr>
          <w:rFonts w:hint="eastAsia" w:ascii="宋体" w:hAnsi="宋体"/>
          <w:bCs/>
          <w:sz w:val="24"/>
          <w:szCs w:val="24"/>
          <w:highlight w:val="none"/>
        </w:rPr>
      </w:pPr>
    </w:p>
    <w:tbl>
      <w:tblPr>
        <w:tblStyle w:val="53"/>
        <w:tblW w:w="0" w:type="auto"/>
        <w:jc w:val="center"/>
        <w:tblLayout w:type="fixed"/>
        <w:tblCellMar>
          <w:top w:w="0" w:type="dxa"/>
          <w:left w:w="108" w:type="dxa"/>
          <w:bottom w:w="0" w:type="dxa"/>
          <w:right w:w="108" w:type="dxa"/>
        </w:tblCellMar>
      </w:tblPr>
      <w:tblGrid>
        <w:gridCol w:w="1942"/>
        <w:gridCol w:w="2622"/>
        <w:gridCol w:w="1878"/>
        <w:gridCol w:w="2551"/>
      </w:tblGrid>
      <w:tr w14:paraId="10EFAB4D">
        <w:tblPrEx>
          <w:tblCellMar>
            <w:top w:w="0" w:type="dxa"/>
            <w:left w:w="108" w:type="dxa"/>
            <w:bottom w:w="0" w:type="dxa"/>
            <w:right w:w="108" w:type="dxa"/>
          </w:tblCellMar>
        </w:tblPrEx>
        <w:trPr>
          <w:trHeight w:val="359" w:hRule="atLeast"/>
          <w:jc w:val="center"/>
        </w:trPr>
        <w:tc>
          <w:tcPr>
            <w:tcW w:w="1942" w:type="dxa"/>
            <w:noWrap w:val="0"/>
            <w:vAlign w:val="center"/>
          </w:tcPr>
          <w:p w14:paraId="2F6F6490">
            <w:pPr>
              <w:jc w:val="distribute"/>
              <w:rPr>
                <w:rFonts w:hint="eastAsia" w:ascii="宋体" w:hAnsi="宋体"/>
                <w:sz w:val="24"/>
                <w:szCs w:val="24"/>
                <w:highlight w:val="none"/>
              </w:rPr>
            </w:pPr>
            <w:r>
              <w:rPr>
                <w:rFonts w:hint="eastAsia" w:ascii="宋体" w:hAnsi="宋体"/>
                <w:bCs/>
                <w:sz w:val="24"/>
                <w:szCs w:val="24"/>
                <w:highlight w:val="none"/>
              </w:rPr>
              <w:t>发包人（甲方）</w:t>
            </w:r>
            <w:r>
              <w:rPr>
                <w:rFonts w:ascii="宋体" w:hAnsi="宋体"/>
                <w:sz w:val="24"/>
                <w:szCs w:val="24"/>
                <w:highlight w:val="none"/>
              </w:rPr>
              <w:t>:</w:t>
            </w:r>
          </w:p>
        </w:tc>
        <w:tc>
          <w:tcPr>
            <w:tcW w:w="2622" w:type="dxa"/>
            <w:tcBorders>
              <w:bottom w:val="single" w:color="auto" w:sz="4" w:space="0"/>
            </w:tcBorders>
            <w:noWrap w:val="0"/>
            <w:vAlign w:val="center"/>
          </w:tcPr>
          <w:p w14:paraId="1F5B46F6">
            <w:pPr>
              <w:pStyle w:val="168"/>
              <w:pBdr>
                <w:bottom w:val="none" w:color="auto" w:sz="0" w:space="0"/>
              </w:pBdr>
              <w:tabs>
                <w:tab w:val="clear" w:pos="4153"/>
                <w:tab w:val="clear" w:pos="8306"/>
              </w:tabs>
              <w:snapToGrid/>
              <w:jc w:val="both"/>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深圳市龙岗区城投高新技术产业投资开发有限公司</w:t>
            </w:r>
          </w:p>
        </w:tc>
        <w:tc>
          <w:tcPr>
            <w:tcW w:w="1878" w:type="dxa"/>
            <w:noWrap w:val="0"/>
            <w:vAlign w:val="center"/>
          </w:tcPr>
          <w:p w14:paraId="20720A62">
            <w:pPr>
              <w:jc w:val="distribute"/>
              <w:rPr>
                <w:rFonts w:hint="eastAsia" w:ascii="宋体" w:hAnsi="宋体"/>
                <w:sz w:val="24"/>
                <w:szCs w:val="24"/>
                <w:highlight w:val="none"/>
              </w:rPr>
            </w:pPr>
            <w:r>
              <w:rPr>
                <w:rFonts w:hint="eastAsia" w:ascii="宋体" w:hAnsi="宋体"/>
                <w:bCs/>
                <w:sz w:val="24"/>
                <w:szCs w:val="24"/>
                <w:highlight w:val="none"/>
              </w:rPr>
              <w:t>勘察人（乙方）</w:t>
            </w:r>
            <w:r>
              <w:rPr>
                <w:rFonts w:hint="eastAsia" w:ascii="宋体" w:hAnsi="宋体"/>
                <w:sz w:val="24"/>
                <w:szCs w:val="24"/>
                <w:highlight w:val="none"/>
              </w:rPr>
              <w:t>：</w:t>
            </w:r>
          </w:p>
        </w:tc>
        <w:tc>
          <w:tcPr>
            <w:tcW w:w="2551" w:type="dxa"/>
            <w:tcBorders>
              <w:bottom w:val="single" w:color="auto" w:sz="4" w:space="0"/>
            </w:tcBorders>
            <w:noWrap w:val="0"/>
            <w:vAlign w:val="center"/>
          </w:tcPr>
          <w:p w14:paraId="2649F522">
            <w:pPr>
              <w:jc w:val="center"/>
              <w:rPr>
                <w:rFonts w:hint="eastAsia" w:ascii="宋体" w:hAnsi="宋体"/>
                <w:b/>
                <w:sz w:val="24"/>
                <w:szCs w:val="24"/>
                <w:highlight w:val="none"/>
              </w:rPr>
            </w:pPr>
          </w:p>
        </w:tc>
      </w:tr>
      <w:tr w14:paraId="701A958F">
        <w:tblPrEx>
          <w:tblCellMar>
            <w:top w:w="0" w:type="dxa"/>
            <w:left w:w="108" w:type="dxa"/>
            <w:bottom w:w="0" w:type="dxa"/>
            <w:right w:w="108" w:type="dxa"/>
          </w:tblCellMar>
        </w:tblPrEx>
        <w:trPr>
          <w:jc w:val="center"/>
        </w:trPr>
        <w:tc>
          <w:tcPr>
            <w:tcW w:w="1942" w:type="dxa"/>
            <w:noWrap w:val="0"/>
            <w:vAlign w:val="center"/>
          </w:tcPr>
          <w:p w14:paraId="2A2F1272">
            <w:pPr>
              <w:rPr>
                <w:rFonts w:hint="eastAsia" w:ascii="宋体" w:hAnsi="宋体"/>
                <w:sz w:val="24"/>
                <w:szCs w:val="24"/>
                <w:highlight w:val="none"/>
              </w:rPr>
            </w:pPr>
          </w:p>
        </w:tc>
        <w:tc>
          <w:tcPr>
            <w:tcW w:w="2622" w:type="dxa"/>
            <w:noWrap w:val="0"/>
            <w:vAlign w:val="top"/>
          </w:tcPr>
          <w:p w14:paraId="605F5BD4">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盖</w:t>
            </w:r>
            <w:r>
              <w:rPr>
                <w:rFonts w:ascii="宋体" w:hAnsi="宋体"/>
                <w:sz w:val="24"/>
                <w:szCs w:val="24"/>
                <w:highlight w:val="none"/>
              </w:rPr>
              <w:t xml:space="preserve"> </w:t>
            </w:r>
            <w:r>
              <w:rPr>
                <w:rFonts w:hint="eastAsia" w:ascii="宋体" w:hAnsi="宋体"/>
                <w:sz w:val="24"/>
                <w:szCs w:val="24"/>
                <w:highlight w:val="none"/>
              </w:rPr>
              <w:t>章</w:t>
            </w:r>
            <w:r>
              <w:rPr>
                <w:rFonts w:ascii="宋体" w:hAnsi="宋体"/>
                <w:sz w:val="24"/>
                <w:szCs w:val="24"/>
                <w:highlight w:val="none"/>
              </w:rPr>
              <w:t>)</w:t>
            </w:r>
          </w:p>
        </w:tc>
        <w:tc>
          <w:tcPr>
            <w:tcW w:w="1878" w:type="dxa"/>
            <w:noWrap w:val="0"/>
            <w:vAlign w:val="center"/>
          </w:tcPr>
          <w:p w14:paraId="596D25D7">
            <w:pPr>
              <w:jc w:val="distribute"/>
              <w:rPr>
                <w:rFonts w:hint="eastAsia" w:ascii="宋体" w:hAnsi="宋体"/>
                <w:sz w:val="24"/>
                <w:szCs w:val="24"/>
                <w:highlight w:val="none"/>
              </w:rPr>
            </w:pPr>
          </w:p>
        </w:tc>
        <w:tc>
          <w:tcPr>
            <w:tcW w:w="2551" w:type="dxa"/>
            <w:noWrap w:val="0"/>
            <w:vAlign w:val="top"/>
          </w:tcPr>
          <w:p w14:paraId="45D56D92">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盖</w:t>
            </w:r>
            <w:r>
              <w:rPr>
                <w:rFonts w:ascii="宋体" w:hAnsi="宋体"/>
                <w:sz w:val="24"/>
                <w:szCs w:val="24"/>
                <w:highlight w:val="none"/>
              </w:rPr>
              <w:t xml:space="preserve"> </w:t>
            </w:r>
            <w:r>
              <w:rPr>
                <w:rFonts w:hint="eastAsia" w:ascii="宋体" w:hAnsi="宋体"/>
                <w:sz w:val="24"/>
                <w:szCs w:val="24"/>
                <w:highlight w:val="none"/>
              </w:rPr>
              <w:t>章</w:t>
            </w:r>
            <w:r>
              <w:rPr>
                <w:rFonts w:ascii="宋体" w:hAnsi="宋体"/>
                <w:sz w:val="24"/>
                <w:szCs w:val="24"/>
                <w:highlight w:val="none"/>
              </w:rPr>
              <w:t>)</w:t>
            </w:r>
          </w:p>
        </w:tc>
      </w:tr>
      <w:tr w14:paraId="68E4D579">
        <w:tblPrEx>
          <w:tblCellMar>
            <w:top w:w="0" w:type="dxa"/>
            <w:left w:w="108" w:type="dxa"/>
            <w:bottom w:w="0" w:type="dxa"/>
            <w:right w:w="108" w:type="dxa"/>
          </w:tblCellMar>
        </w:tblPrEx>
        <w:trPr>
          <w:jc w:val="center"/>
        </w:trPr>
        <w:tc>
          <w:tcPr>
            <w:tcW w:w="1942" w:type="dxa"/>
            <w:noWrap w:val="0"/>
            <w:vAlign w:val="center"/>
          </w:tcPr>
          <w:p w14:paraId="7F466D2A">
            <w:pPr>
              <w:jc w:val="distribute"/>
              <w:rPr>
                <w:rFonts w:hint="eastAsia" w:ascii="宋体" w:hAnsi="宋体"/>
                <w:sz w:val="24"/>
                <w:szCs w:val="24"/>
                <w:highlight w:val="none"/>
              </w:rPr>
            </w:pPr>
            <w:r>
              <w:rPr>
                <w:rFonts w:hint="eastAsia" w:ascii="宋体" w:hAnsi="宋体"/>
                <w:sz w:val="24"/>
                <w:szCs w:val="24"/>
                <w:highlight w:val="none"/>
              </w:rPr>
              <w:t>法定代表人</w:t>
            </w:r>
          </w:p>
          <w:p w14:paraId="019443C1">
            <w:pPr>
              <w:ind w:firstLine="840" w:firstLineChars="350"/>
              <w:rPr>
                <w:rFonts w:hint="eastAsia" w:ascii="宋体" w:hAnsi="宋体"/>
                <w:sz w:val="24"/>
                <w:szCs w:val="24"/>
                <w:highlight w:val="none"/>
              </w:rPr>
            </w:pPr>
            <w:r>
              <w:rPr>
                <w:rFonts w:hint="eastAsia" w:ascii="宋体" w:hAnsi="宋体"/>
                <w:sz w:val="24"/>
                <w:szCs w:val="24"/>
                <w:highlight w:val="none"/>
              </w:rPr>
              <w:t>或</w:t>
            </w:r>
          </w:p>
          <w:p w14:paraId="5EAB6839">
            <w:pPr>
              <w:jc w:val="distribute"/>
              <w:rPr>
                <w:rFonts w:hint="eastAsia" w:ascii="宋体" w:hAnsi="宋体"/>
                <w:sz w:val="24"/>
                <w:szCs w:val="24"/>
                <w:highlight w:val="none"/>
              </w:rPr>
            </w:pPr>
            <w:r>
              <w:rPr>
                <w:rFonts w:hint="eastAsia" w:ascii="宋体" w:hAnsi="宋体"/>
                <w:sz w:val="24"/>
                <w:szCs w:val="24"/>
                <w:highlight w:val="none"/>
              </w:rPr>
              <w:t>其授权的代理人：</w:t>
            </w:r>
          </w:p>
        </w:tc>
        <w:tc>
          <w:tcPr>
            <w:tcW w:w="2622" w:type="dxa"/>
            <w:tcBorders>
              <w:bottom w:val="single" w:color="auto" w:sz="4" w:space="0"/>
            </w:tcBorders>
            <w:noWrap w:val="0"/>
            <w:vAlign w:val="center"/>
          </w:tcPr>
          <w:p w14:paraId="6C1B2D2D">
            <w:pPr>
              <w:jc w:val="center"/>
              <w:rPr>
                <w:rFonts w:ascii="宋体" w:hAnsi="宋体"/>
                <w:sz w:val="24"/>
                <w:szCs w:val="24"/>
                <w:highlight w:val="none"/>
              </w:rPr>
            </w:pPr>
          </w:p>
        </w:tc>
        <w:tc>
          <w:tcPr>
            <w:tcW w:w="1878" w:type="dxa"/>
            <w:noWrap w:val="0"/>
            <w:vAlign w:val="center"/>
          </w:tcPr>
          <w:p w14:paraId="34572B1D">
            <w:pPr>
              <w:jc w:val="distribute"/>
              <w:rPr>
                <w:rFonts w:hint="eastAsia" w:ascii="宋体" w:hAnsi="宋体"/>
                <w:sz w:val="24"/>
                <w:szCs w:val="24"/>
                <w:highlight w:val="none"/>
              </w:rPr>
            </w:pPr>
            <w:r>
              <w:rPr>
                <w:rFonts w:hint="eastAsia" w:ascii="宋体" w:hAnsi="宋体"/>
                <w:sz w:val="24"/>
                <w:szCs w:val="24"/>
                <w:highlight w:val="none"/>
              </w:rPr>
              <w:t>法定代表人</w:t>
            </w:r>
          </w:p>
          <w:p w14:paraId="0CE937FB">
            <w:pPr>
              <w:ind w:firstLine="840" w:firstLineChars="350"/>
              <w:rPr>
                <w:rFonts w:hint="eastAsia" w:ascii="宋体" w:hAnsi="宋体"/>
                <w:sz w:val="24"/>
                <w:szCs w:val="24"/>
                <w:highlight w:val="none"/>
              </w:rPr>
            </w:pPr>
            <w:r>
              <w:rPr>
                <w:rFonts w:hint="eastAsia" w:ascii="宋体" w:hAnsi="宋体"/>
                <w:sz w:val="24"/>
                <w:szCs w:val="24"/>
                <w:highlight w:val="none"/>
              </w:rPr>
              <w:t>或</w:t>
            </w:r>
          </w:p>
          <w:p w14:paraId="39E129CB">
            <w:pPr>
              <w:jc w:val="distribute"/>
              <w:rPr>
                <w:rFonts w:hint="eastAsia" w:ascii="宋体" w:hAnsi="宋体"/>
                <w:sz w:val="24"/>
                <w:szCs w:val="24"/>
                <w:highlight w:val="none"/>
              </w:rPr>
            </w:pPr>
            <w:r>
              <w:rPr>
                <w:rFonts w:hint="eastAsia" w:ascii="宋体" w:hAnsi="宋体"/>
                <w:sz w:val="24"/>
                <w:szCs w:val="24"/>
                <w:highlight w:val="none"/>
              </w:rPr>
              <w:t>其授权的代理人：</w:t>
            </w:r>
          </w:p>
        </w:tc>
        <w:tc>
          <w:tcPr>
            <w:tcW w:w="2551" w:type="dxa"/>
            <w:tcBorders>
              <w:bottom w:val="single" w:color="auto" w:sz="4" w:space="0"/>
            </w:tcBorders>
            <w:noWrap w:val="0"/>
            <w:vAlign w:val="center"/>
          </w:tcPr>
          <w:p w14:paraId="424F2B9F">
            <w:pPr>
              <w:jc w:val="center"/>
              <w:rPr>
                <w:rFonts w:hint="eastAsia" w:ascii="宋体" w:hAnsi="宋体"/>
                <w:sz w:val="24"/>
                <w:szCs w:val="24"/>
                <w:highlight w:val="none"/>
              </w:rPr>
            </w:pPr>
          </w:p>
        </w:tc>
      </w:tr>
      <w:tr w14:paraId="481A14E4">
        <w:tblPrEx>
          <w:tblCellMar>
            <w:top w:w="0" w:type="dxa"/>
            <w:left w:w="108" w:type="dxa"/>
            <w:bottom w:w="0" w:type="dxa"/>
            <w:right w:w="108" w:type="dxa"/>
          </w:tblCellMar>
        </w:tblPrEx>
        <w:trPr>
          <w:jc w:val="center"/>
        </w:trPr>
        <w:tc>
          <w:tcPr>
            <w:tcW w:w="1942" w:type="dxa"/>
            <w:noWrap w:val="0"/>
            <w:vAlign w:val="center"/>
          </w:tcPr>
          <w:p w14:paraId="18427C11">
            <w:pPr>
              <w:jc w:val="distribute"/>
              <w:rPr>
                <w:rFonts w:hint="eastAsia" w:ascii="宋体" w:hAnsi="宋体"/>
                <w:sz w:val="24"/>
                <w:szCs w:val="24"/>
                <w:highlight w:val="none"/>
              </w:rPr>
            </w:pPr>
          </w:p>
        </w:tc>
        <w:tc>
          <w:tcPr>
            <w:tcW w:w="2622" w:type="dxa"/>
            <w:noWrap w:val="0"/>
            <w:vAlign w:val="top"/>
          </w:tcPr>
          <w:p w14:paraId="343D0F3C">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签</w:t>
            </w:r>
            <w:r>
              <w:rPr>
                <w:rFonts w:ascii="宋体" w:hAnsi="宋体"/>
                <w:sz w:val="24"/>
                <w:szCs w:val="24"/>
                <w:highlight w:val="none"/>
              </w:rPr>
              <w:t xml:space="preserve"> </w:t>
            </w:r>
            <w:r>
              <w:rPr>
                <w:rFonts w:hint="eastAsia" w:ascii="宋体" w:hAnsi="宋体"/>
                <w:sz w:val="24"/>
                <w:szCs w:val="24"/>
                <w:highlight w:val="none"/>
              </w:rPr>
              <w:t>字</w:t>
            </w:r>
            <w:r>
              <w:rPr>
                <w:rFonts w:ascii="宋体" w:hAnsi="宋体"/>
                <w:sz w:val="24"/>
                <w:szCs w:val="24"/>
                <w:highlight w:val="none"/>
              </w:rPr>
              <w:t>)</w:t>
            </w:r>
          </w:p>
        </w:tc>
        <w:tc>
          <w:tcPr>
            <w:tcW w:w="1878" w:type="dxa"/>
            <w:noWrap w:val="0"/>
            <w:vAlign w:val="center"/>
          </w:tcPr>
          <w:p w14:paraId="10620CC1">
            <w:pPr>
              <w:jc w:val="distribute"/>
              <w:rPr>
                <w:rFonts w:hint="eastAsia" w:ascii="宋体" w:hAnsi="宋体"/>
                <w:sz w:val="24"/>
                <w:szCs w:val="24"/>
                <w:highlight w:val="none"/>
              </w:rPr>
            </w:pPr>
          </w:p>
        </w:tc>
        <w:tc>
          <w:tcPr>
            <w:tcW w:w="2551" w:type="dxa"/>
            <w:noWrap w:val="0"/>
            <w:vAlign w:val="top"/>
          </w:tcPr>
          <w:p w14:paraId="6043A849">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签</w:t>
            </w:r>
            <w:r>
              <w:rPr>
                <w:rFonts w:ascii="宋体" w:hAnsi="宋体"/>
                <w:sz w:val="24"/>
                <w:szCs w:val="24"/>
                <w:highlight w:val="none"/>
              </w:rPr>
              <w:t xml:space="preserve"> </w:t>
            </w:r>
            <w:r>
              <w:rPr>
                <w:rFonts w:hint="eastAsia" w:ascii="宋体" w:hAnsi="宋体"/>
                <w:sz w:val="24"/>
                <w:szCs w:val="24"/>
                <w:highlight w:val="none"/>
              </w:rPr>
              <w:t>字</w:t>
            </w:r>
            <w:r>
              <w:rPr>
                <w:rFonts w:ascii="宋体" w:hAnsi="宋体"/>
                <w:sz w:val="24"/>
                <w:szCs w:val="24"/>
                <w:highlight w:val="none"/>
              </w:rPr>
              <w:t>)</w:t>
            </w:r>
          </w:p>
        </w:tc>
      </w:tr>
      <w:tr w14:paraId="4AEB84F5">
        <w:tblPrEx>
          <w:tblCellMar>
            <w:top w:w="0" w:type="dxa"/>
            <w:left w:w="108" w:type="dxa"/>
            <w:bottom w:w="0" w:type="dxa"/>
            <w:right w:w="108" w:type="dxa"/>
          </w:tblCellMar>
        </w:tblPrEx>
        <w:trPr>
          <w:trHeight w:val="572" w:hRule="atLeast"/>
          <w:jc w:val="center"/>
        </w:trPr>
        <w:tc>
          <w:tcPr>
            <w:tcW w:w="1942" w:type="dxa"/>
            <w:noWrap w:val="0"/>
            <w:vAlign w:val="center"/>
          </w:tcPr>
          <w:p w14:paraId="5F1EEADB">
            <w:pPr>
              <w:jc w:val="distribute"/>
              <w:rPr>
                <w:rFonts w:hint="eastAsia" w:ascii="宋体" w:hAnsi="宋体"/>
                <w:sz w:val="24"/>
                <w:szCs w:val="24"/>
                <w:highlight w:val="none"/>
              </w:rPr>
            </w:pPr>
          </w:p>
        </w:tc>
        <w:tc>
          <w:tcPr>
            <w:tcW w:w="2622" w:type="dxa"/>
            <w:noWrap w:val="0"/>
            <w:vAlign w:val="center"/>
          </w:tcPr>
          <w:p w14:paraId="68A5B3F2">
            <w:pPr>
              <w:jc w:val="center"/>
              <w:rPr>
                <w:rFonts w:hint="eastAsia" w:ascii="宋体" w:hAnsi="宋体"/>
                <w:sz w:val="24"/>
                <w:szCs w:val="24"/>
                <w:highlight w:val="none"/>
              </w:rPr>
            </w:pPr>
          </w:p>
        </w:tc>
        <w:tc>
          <w:tcPr>
            <w:tcW w:w="1878" w:type="dxa"/>
            <w:noWrap w:val="0"/>
            <w:vAlign w:val="center"/>
          </w:tcPr>
          <w:p w14:paraId="2F23193F">
            <w:pPr>
              <w:jc w:val="distribute"/>
              <w:rPr>
                <w:rFonts w:hint="eastAsia" w:ascii="宋体" w:hAnsi="宋体"/>
                <w:sz w:val="24"/>
                <w:szCs w:val="24"/>
                <w:highlight w:val="none"/>
              </w:rPr>
            </w:pPr>
            <w:r>
              <w:rPr>
                <w:rFonts w:hint="eastAsia" w:ascii="宋体" w:hAnsi="宋体"/>
                <w:sz w:val="24"/>
                <w:szCs w:val="24"/>
                <w:highlight w:val="none"/>
              </w:rPr>
              <w:t>银行开户名:</w:t>
            </w:r>
          </w:p>
        </w:tc>
        <w:tc>
          <w:tcPr>
            <w:tcW w:w="2551" w:type="dxa"/>
            <w:noWrap w:val="0"/>
            <w:vAlign w:val="center"/>
          </w:tcPr>
          <w:p w14:paraId="7CFEB502">
            <w:pPr>
              <w:jc w:val="center"/>
              <w:rPr>
                <w:rFonts w:hint="eastAsia" w:ascii="宋体" w:hAnsi="宋体"/>
                <w:sz w:val="24"/>
                <w:szCs w:val="24"/>
                <w:highlight w:val="none"/>
              </w:rPr>
            </w:pPr>
          </w:p>
        </w:tc>
      </w:tr>
      <w:tr w14:paraId="22190A65">
        <w:tblPrEx>
          <w:tblCellMar>
            <w:top w:w="0" w:type="dxa"/>
            <w:left w:w="108" w:type="dxa"/>
            <w:bottom w:w="0" w:type="dxa"/>
            <w:right w:w="108" w:type="dxa"/>
          </w:tblCellMar>
        </w:tblPrEx>
        <w:trPr>
          <w:trHeight w:val="572" w:hRule="atLeast"/>
          <w:jc w:val="center"/>
        </w:trPr>
        <w:tc>
          <w:tcPr>
            <w:tcW w:w="1942" w:type="dxa"/>
            <w:noWrap w:val="0"/>
            <w:vAlign w:val="center"/>
          </w:tcPr>
          <w:p w14:paraId="1C6DF4E1">
            <w:pPr>
              <w:jc w:val="distribute"/>
              <w:rPr>
                <w:rFonts w:hint="eastAsia" w:ascii="宋体" w:hAnsi="宋体"/>
                <w:sz w:val="24"/>
                <w:szCs w:val="24"/>
                <w:highlight w:val="none"/>
              </w:rPr>
            </w:pPr>
          </w:p>
        </w:tc>
        <w:tc>
          <w:tcPr>
            <w:tcW w:w="2622" w:type="dxa"/>
            <w:noWrap w:val="0"/>
            <w:vAlign w:val="center"/>
          </w:tcPr>
          <w:p w14:paraId="7829E86D">
            <w:pPr>
              <w:jc w:val="center"/>
              <w:rPr>
                <w:rFonts w:hint="eastAsia" w:ascii="宋体" w:hAnsi="宋体"/>
                <w:sz w:val="24"/>
                <w:szCs w:val="24"/>
                <w:highlight w:val="none"/>
              </w:rPr>
            </w:pPr>
          </w:p>
        </w:tc>
        <w:tc>
          <w:tcPr>
            <w:tcW w:w="1878" w:type="dxa"/>
            <w:noWrap w:val="0"/>
            <w:vAlign w:val="center"/>
          </w:tcPr>
          <w:p w14:paraId="1E0D95BC">
            <w:pPr>
              <w:jc w:val="distribute"/>
              <w:rPr>
                <w:rFonts w:hint="eastAsia" w:ascii="宋体" w:hAnsi="宋体"/>
                <w:sz w:val="24"/>
                <w:szCs w:val="24"/>
                <w:highlight w:val="none"/>
              </w:rPr>
            </w:pPr>
            <w:r>
              <w:rPr>
                <w:rFonts w:hint="eastAsia" w:ascii="宋体" w:hAnsi="宋体"/>
                <w:sz w:val="24"/>
                <w:szCs w:val="24"/>
                <w:highlight w:val="none"/>
              </w:rPr>
              <w:t>开户银行：</w:t>
            </w:r>
          </w:p>
        </w:tc>
        <w:tc>
          <w:tcPr>
            <w:tcW w:w="2551" w:type="dxa"/>
            <w:noWrap w:val="0"/>
            <w:vAlign w:val="center"/>
          </w:tcPr>
          <w:p w14:paraId="36197A82">
            <w:pPr>
              <w:jc w:val="center"/>
              <w:rPr>
                <w:rFonts w:hint="eastAsia" w:ascii="宋体" w:hAnsi="宋体"/>
                <w:sz w:val="24"/>
                <w:szCs w:val="24"/>
                <w:highlight w:val="none"/>
              </w:rPr>
            </w:pPr>
          </w:p>
        </w:tc>
      </w:tr>
      <w:tr w14:paraId="3B0F9A73">
        <w:tblPrEx>
          <w:tblCellMar>
            <w:top w:w="0" w:type="dxa"/>
            <w:left w:w="108" w:type="dxa"/>
            <w:bottom w:w="0" w:type="dxa"/>
            <w:right w:w="108" w:type="dxa"/>
          </w:tblCellMar>
        </w:tblPrEx>
        <w:trPr>
          <w:trHeight w:val="572" w:hRule="atLeast"/>
          <w:jc w:val="center"/>
        </w:trPr>
        <w:tc>
          <w:tcPr>
            <w:tcW w:w="1942" w:type="dxa"/>
            <w:noWrap w:val="0"/>
            <w:vAlign w:val="center"/>
          </w:tcPr>
          <w:p w14:paraId="322897FF">
            <w:pPr>
              <w:jc w:val="distribute"/>
              <w:rPr>
                <w:rFonts w:hint="eastAsia" w:ascii="宋体" w:hAnsi="宋体"/>
                <w:sz w:val="24"/>
                <w:szCs w:val="24"/>
                <w:highlight w:val="none"/>
              </w:rPr>
            </w:pPr>
          </w:p>
        </w:tc>
        <w:tc>
          <w:tcPr>
            <w:tcW w:w="2622" w:type="dxa"/>
            <w:noWrap w:val="0"/>
            <w:vAlign w:val="center"/>
          </w:tcPr>
          <w:p w14:paraId="0F60C191">
            <w:pPr>
              <w:jc w:val="center"/>
              <w:rPr>
                <w:rFonts w:hint="eastAsia" w:ascii="宋体" w:hAnsi="宋体"/>
                <w:sz w:val="24"/>
                <w:szCs w:val="24"/>
                <w:highlight w:val="none"/>
              </w:rPr>
            </w:pPr>
          </w:p>
          <w:p w14:paraId="6FCB341F">
            <w:pPr>
              <w:rPr>
                <w:rFonts w:hint="eastAsia" w:ascii="宋体" w:hAnsi="宋体"/>
                <w:sz w:val="24"/>
                <w:szCs w:val="24"/>
                <w:highlight w:val="none"/>
              </w:rPr>
            </w:pPr>
          </w:p>
        </w:tc>
        <w:tc>
          <w:tcPr>
            <w:tcW w:w="1878" w:type="dxa"/>
            <w:noWrap w:val="0"/>
            <w:vAlign w:val="center"/>
          </w:tcPr>
          <w:p w14:paraId="60BD63D8">
            <w:pPr>
              <w:jc w:val="distribute"/>
              <w:rPr>
                <w:rFonts w:hint="eastAsia" w:ascii="宋体" w:hAnsi="宋体"/>
                <w:sz w:val="24"/>
                <w:szCs w:val="24"/>
                <w:highlight w:val="none"/>
              </w:rPr>
            </w:pPr>
            <w:r>
              <w:rPr>
                <w:rFonts w:hint="eastAsia" w:ascii="宋体" w:hAnsi="宋体"/>
                <w:sz w:val="24"/>
                <w:szCs w:val="24"/>
                <w:highlight w:val="none"/>
              </w:rPr>
              <w:t>银行账号：</w:t>
            </w:r>
          </w:p>
        </w:tc>
        <w:tc>
          <w:tcPr>
            <w:tcW w:w="2551" w:type="dxa"/>
            <w:noWrap w:val="0"/>
            <w:vAlign w:val="center"/>
          </w:tcPr>
          <w:p w14:paraId="0FC369A9">
            <w:pPr>
              <w:jc w:val="center"/>
              <w:rPr>
                <w:rFonts w:hint="eastAsia" w:ascii="宋体" w:hAnsi="宋体"/>
                <w:sz w:val="24"/>
                <w:szCs w:val="24"/>
                <w:highlight w:val="none"/>
              </w:rPr>
            </w:pPr>
          </w:p>
          <w:p w14:paraId="6E5D4C8E">
            <w:pPr>
              <w:rPr>
                <w:rFonts w:hint="eastAsia" w:ascii="宋体" w:hAnsi="宋体"/>
                <w:sz w:val="24"/>
                <w:szCs w:val="24"/>
                <w:highlight w:val="none"/>
              </w:rPr>
            </w:pPr>
          </w:p>
        </w:tc>
      </w:tr>
      <w:tr w14:paraId="2FE67EE5">
        <w:tblPrEx>
          <w:tblCellMar>
            <w:top w:w="0" w:type="dxa"/>
            <w:left w:w="108" w:type="dxa"/>
            <w:bottom w:w="0" w:type="dxa"/>
            <w:right w:w="108" w:type="dxa"/>
          </w:tblCellMar>
        </w:tblPrEx>
        <w:trPr>
          <w:trHeight w:val="572" w:hRule="atLeast"/>
          <w:jc w:val="center"/>
        </w:trPr>
        <w:tc>
          <w:tcPr>
            <w:tcW w:w="1942" w:type="dxa"/>
            <w:noWrap w:val="0"/>
            <w:vAlign w:val="center"/>
          </w:tcPr>
          <w:p w14:paraId="6DC06F90">
            <w:pPr>
              <w:jc w:val="distribute"/>
              <w:rPr>
                <w:rFonts w:hint="eastAsia" w:ascii="宋体" w:hAnsi="宋体"/>
                <w:sz w:val="24"/>
                <w:szCs w:val="24"/>
                <w:highlight w:val="none"/>
              </w:rPr>
            </w:pPr>
            <w:r>
              <w:rPr>
                <w:rFonts w:hint="eastAsia" w:ascii="宋体" w:hAnsi="宋体"/>
                <w:sz w:val="24"/>
                <w:szCs w:val="24"/>
                <w:highlight w:val="none"/>
              </w:rPr>
              <w:t>合同签订时间：</w:t>
            </w:r>
          </w:p>
        </w:tc>
        <w:tc>
          <w:tcPr>
            <w:tcW w:w="2622" w:type="dxa"/>
            <w:noWrap w:val="0"/>
            <w:vAlign w:val="center"/>
          </w:tcPr>
          <w:p w14:paraId="3216C037">
            <w:pPr>
              <w:jc w:val="center"/>
              <w:rPr>
                <w:rFonts w:hint="eastAsia" w:ascii="宋体" w:hAnsi="宋体"/>
                <w:sz w:val="24"/>
                <w:szCs w:val="24"/>
                <w:highlight w:val="none"/>
              </w:rPr>
            </w:pPr>
            <w:r>
              <w:rPr>
                <w:rFonts w:hint="eastAsia" w:ascii="宋体" w:hAnsi="宋体"/>
                <w:sz w:val="24"/>
                <w:szCs w:val="24"/>
                <w:highlight w:val="none"/>
              </w:rPr>
              <w:t>20   年</w:t>
            </w:r>
            <w:r>
              <w:rPr>
                <w:rFonts w:ascii="宋体" w:hAnsi="宋体"/>
                <w:sz w:val="24"/>
                <w:szCs w:val="24"/>
                <w:highlight w:val="none"/>
              </w:rPr>
              <w:t xml:space="preserve">  </w:t>
            </w:r>
            <w:r>
              <w:rPr>
                <w:rFonts w:hint="eastAsia" w:ascii="宋体" w:hAnsi="宋体"/>
                <w:sz w:val="24"/>
                <w:szCs w:val="24"/>
                <w:highlight w:val="none"/>
              </w:rPr>
              <w:t>月</w:t>
            </w:r>
            <w:r>
              <w:rPr>
                <w:rFonts w:ascii="宋体" w:hAnsi="宋体"/>
                <w:sz w:val="24"/>
                <w:szCs w:val="24"/>
                <w:highlight w:val="none"/>
              </w:rPr>
              <w:t xml:space="preserve">  </w:t>
            </w:r>
            <w:r>
              <w:rPr>
                <w:rFonts w:hint="eastAsia" w:ascii="宋体" w:hAnsi="宋体"/>
                <w:sz w:val="24"/>
                <w:szCs w:val="24"/>
                <w:highlight w:val="none"/>
              </w:rPr>
              <w:t>日</w:t>
            </w:r>
          </w:p>
        </w:tc>
        <w:tc>
          <w:tcPr>
            <w:tcW w:w="1878" w:type="dxa"/>
            <w:noWrap w:val="0"/>
            <w:vAlign w:val="center"/>
          </w:tcPr>
          <w:p w14:paraId="204CC510">
            <w:pPr>
              <w:jc w:val="distribute"/>
              <w:rPr>
                <w:rFonts w:hint="eastAsia" w:ascii="宋体" w:hAnsi="宋体"/>
                <w:sz w:val="24"/>
                <w:szCs w:val="24"/>
                <w:highlight w:val="none"/>
              </w:rPr>
            </w:pPr>
          </w:p>
        </w:tc>
        <w:tc>
          <w:tcPr>
            <w:tcW w:w="2551" w:type="dxa"/>
            <w:noWrap w:val="0"/>
            <w:vAlign w:val="center"/>
          </w:tcPr>
          <w:p w14:paraId="55DD02BE">
            <w:pPr>
              <w:jc w:val="center"/>
              <w:rPr>
                <w:rFonts w:hint="eastAsia" w:ascii="宋体" w:hAnsi="宋体"/>
                <w:sz w:val="24"/>
                <w:szCs w:val="24"/>
                <w:highlight w:val="none"/>
              </w:rPr>
            </w:pPr>
          </w:p>
        </w:tc>
      </w:tr>
    </w:tbl>
    <w:p w14:paraId="1B21DB0D">
      <w:pPr>
        <w:rPr>
          <w:rFonts w:ascii="宋体" w:hAnsi="宋体"/>
          <w:sz w:val="24"/>
          <w:szCs w:val="24"/>
          <w:highlight w:val="none"/>
        </w:rPr>
      </w:pPr>
    </w:p>
    <w:p w14:paraId="22F81712">
      <w:pPr>
        <w:rPr>
          <w:rFonts w:hint="eastAsia" w:ascii="黑体" w:hAnsi="宋体" w:eastAsia="黑体"/>
          <w:szCs w:val="21"/>
          <w:highlight w:val="none"/>
        </w:rPr>
      </w:pPr>
    </w:p>
    <w:p w14:paraId="0BB87CDA">
      <w:pPr>
        <w:pStyle w:val="5"/>
        <w:tabs>
          <w:tab w:val="clear" w:pos="720"/>
        </w:tabs>
        <w:spacing w:before="0" w:after="0" w:line="240" w:lineRule="auto"/>
        <w:jc w:val="center"/>
        <w:outlineLvl w:val="9"/>
        <w:rPr>
          <w:rFonts w:hint="eastAsia"/>
          <w:highlight w:val="none"/>
        </w:rPr>
        <w:sectPr>
          <w:pgSz w:w="11906" w:h="16838"/>
          <w:pgMar w:top="1440" w:right="1800" w:bottom="1440" w:left="1800" w:header="851" w:footer="992" w:gutter="0"/>
          <w:cols w:space="720" w:num="1"/>
          <w:docGrid w:type="lines" w:linePitch="312" w:charSpace="0"/>
        </w:sectPr>
      </w:pPr>
      <w:bookmarkStart w:id="18" w:name="_Toc297207337"/>
    </w:p>
    <w:p w14:paraId="7F6312B4">
      <w:pPr>
        <w:pStyle w:val="5"/>
        <w:tabs>
          <w:tab w:val="clear" w:pos="720"/>
        </w:tabs>
        <w:spacing w:before="0" w:after="0" w:line="240" w:lineRule="auto"/>
        <w:jc w:val="center"/>
        <w:outlineLvl w:val="0"/>
        <w:rPr>
          <w:rFonts w:hint="eastAsia"/>
          <w:highlight w:val="none"/>
        </w:rPr>
      </w:pPr>
      <w:r>
        <w:rPr>
          <w:rFonts w:hint="eastAsia"/>
          <w:highlight w:val="none"/>
        </w:rPr>
        <w:t>第二部分  合同通用条款</w:t>
      </w:r>
      <w:bookmarkEnd w:id="18"/>
    </w:p>
    <w:p w14:paraId="434F53AC">
      <w:pPr>
        <w:tabs>
          <w:tab w:val="left" w:pos="1050"/>
          <w:tab w:val="left" w:pos="1260"/>
          <w:tab w:val="left" w:pos="1680"/>
          <w:tab w:val="left" w:pos="4095"/>
          <w:tab w:val="left" w:pos="5355"/>
        </w:tabs>
        <w:jc w:val="left"/>
        <w:rPr>
          <w:rFonts w:hint="eastAsia"/>
          <w:highlight w:val="none"/>
        </w:rPr>
      </w:pPr>
    </w:p>
    <w:p w14:paraId="5D72953B">
      <w:pPr>
        <w:outlineLvl w:val="1"/>
        <w:rPr>
          <w:rFonts w:hint="eastAsia" w:ascii="黑体" w:eastAsia="黑体"/>
          <w:b/>
          <w:bCs/>
          <w:szCs w:val="21"/>
          <w:highlight w:val="none"/>
        </w:rPr>
      </w:pPr>
      <w:r>
        <w:rPr>
          <w:rFonts w:hint="eastAsia" w:ascii="黑体" w:eastAsia="黑体"/>
          <w:b/>
          <w:bCs/>
          <w:szCs w:val="21"/>
          <w:highlight w:val="none"/>
        </w:rPr>
        <w:t>一、合同签订依据</w:t>
      </w:r>
    </w:p>
    <w:p w14:paraId="6CB7A837">
      <w:pPr>
        <w:tabs>
          <w:tab w:val="left" w:pos="1050"/>
          <w:tab w:val="left" w:pos="1260"/>
          <w:tab w:val="left" w:pos="1680"/>
          <w:tab w:val="left" w:pos="4095"/>
          <w:tab w:val="left" w:pos="5355"/>
        </w:tabs>
        <w:ind w:left="424" w:hanging="424" w:hangingChars="202"/>
        <w:jc w:val="left"/>
        <w:rPr>
          <w:rFonts w:hint="eastAsia" w:ascii="宋体" w:hAnsi="宋体"/>
          <w:szCs w:val="21"/>
          <w:highlight w:val="none"/>
        </w:rPr>
      </w:pPr>
      <w:r>
        <w:rPr>
          <w:rFonts w:hint="eastAsia" w:ascii="宋体" w:hAnsi="宋体"/>
          <w:szCs w:val="21"/>
          <w:highlight w:val="none"/>
        </w:rPr>
        <w:t>1.1</w:t>
      </w:r>
      <w:r>
        <w:rPr>
          <w:rFonts w:hint="eastAsia"/>
          <w:highlight w:val="none"/>
        </w:rPr>
        <w:t>依照《中华人民共和国</w:t>
      </w:r>
      <w:r>
        <w:rPr>
          <w:rFonts w:hint="eastAsia"/>
          <w:highlight w:val="none"/>
          <w:lang w:val="en-US" w:eastAsia="zh-CN"/>
        </w:rPr>
        <w:t>民法典</w:t>
      </w:r>
      <w:r>
        <w:rPr>
          <w:rFonts w:hint="eastAsia"/>
          <w:highlight w:val="none"/>
        </w:rPr>
        <w:t>》、《中华人民共和国建筑法》、《建设工程勘察设计管理条例》、《深圳经济特区政府投资项目管理办法》</w:t>
      </w:r>
    </w:p>
    <w:p w14:paraId="59707E06">
      <w:pPr>
        <w:tabs>
          <w:tab w:val="left" w:pos="1050"/>
          <w:tab w:val="left" w:pos="1260"/>
          <w:tab w:val="left" w:pos="1680"/>
          <w:tab w:val="left" w:pos="4095"/>
          <w:tab w:val="left" w:pos="5355"/>
        </w:tabs>
        <w:jc w:val="left"/>
        <w:outlineLvl w:val="2"/>
        <w:rPr>
          <w:rFonts w:hint="eastAsia" w:ascii="宋体" w:hAnsi="宋体"/>
          <w:szCs w:val="21"/>
          <w:highlight w:val="none"/>
        </w:rPr>
      </w:pPr>
      <w:r>
        <w:rPr>
          <w:rFonts w:hint="eastAsia" w:ascii="宋体" w:hAnsi="宋体"/>
          <w:szCs w:val="21"/>
          <w:highlight w:val="none"/>
        </w:rPr>
        <w:t>1.2  国家及地方现行有关工程勘察管理法规和规章。</w:t>
      </w:r>
    </w:p>
    <w:p w14:paraId="2714488A">
      <w:pPr>
        <w:tabs>
          <w:tab w:val="left" w:pos="1050"/>
          <w:tab w:val="left" w:pos="1260"/>
          <w:tab w:val="left" w:pos="1680"/>
          <w:tab w:val="left" w:pos="4095"/>
          <w:tab w:val="left" w:pos="5355"/>
        </w:tabs>
        <w:jc w:val="left"/>
        <w:rPr>
          <w:rFonts w:hint="eastAsia" w:ascii="宋体" w:hAnsi="宋体"/>
          <w:szCs w:val="21"/>
          <w:highlight w:val="none"/>
        </w:rPr>
      </w:pPr>
      <w:r>
        <w:rPr>
          <w:rFonts w:hint="eastAsia" w:ascii="宋体" w:hAnsi="宋体"/>
          <w:szCs w:val="21"/>
          <w:highlight w:val="none"/>
        </w:rPr>
        <w:t>1.3  建设工程批准文件、本工程勘察招标文件及其附件（含补遗书）、中标通知书。</w:t>
      </w:r>
    </w:p>
    <w:p w14:paraId="74947189">
      <w:pPr>
        <w:tabs>
          <w:tab w:val="left" w:pos="1050"/>
          <w:tab w:val="left" w:pos="1260"/>
          <w:tab w:val="left" w:pos="1680"/>
          <w:tab w:val="left" w:pos="4095"/>
          <w:tab w:val="left" w:pos="5355"/>
        </w:tabs>
        <w:jc w:val="left"/>
        <w:rPr>
          <w:rFonts w:hint="eastAsia" w:ascii="宋体" w:hAnsi="宋体"/>
          <w:szCs w:val="21"/>
          <w:highlight w:val="none"/>
        </w:rPr>
      </w:pPr>
    </w:p>
    <w:p w14:paraId="5BC3AACA">
      <w:pPr>
        <w:outlineLvl w:val="1"/>
        <w:rPr>
          <w:rFonts w:hint="eastAsia" w:ascii="黑体" w:eastAsia="黑体"/>
          <w:b/>
          <w:bCs/>
          <w:szCs w:val="21"/>
          <w:highlight w:val="none"/>
        </w:rPr>
      </w:pPr>
      <w:r>
        <w:rPr>
          <w:rFonts w:hint="eastAsia" w:ascii="黑体" w:eastAsia="黑体"/>
          <w:b/>
          <w:bCs/>
          <w:szCs w:val="21"/>
          <w:highlight w:val="none"/>
        </w:rPr>
        <w:t>二、勘察设计依据</w:t>
      </w:r>
    </w:p>
    <w:p w14:paraId="22CCE412">
      <w:pPr>
        <w:outlineLvl w:val="2"/>
        <w:rPr>
          <w:rFonts w:hint="eastAsia" w:ascii="宋体" w:hAnsi="宋体"/>
          <w:szCs w:val="21"/>
          <w:highlight w:val="none"/>
        </w:rPr>
      </w:pPr>
      <w:r>
        <w:rPr>
          <w:rFonts w:hint="eastAsia" w:ascii="宋体" w:hAnsi="宋体"/>
          <w:szCs w:val="21"/>
          <w:highlight w:val="none"/>
        </w:rPr>
        <w:t>2.1勘察设计依据包括但不限于以下：</w:t>
      </w:r>
    </w:p>
    <w:p w14:paraId="3AFE606B">
      <w:pPr>
        <w:ind w:firstLine="420" w:firstLineChars="200"/>
        <w:rPr>
          <w:rFonts w:hint="eastAsia" w:ascii="宋体" w:hAnsi="宋体"/>
          <w:szCs w:val="21"/>
          <w:highlight w:val="none"/>
        </w:rPr>
      </w:pPr>
      <w:r>
        <w:rPr>
          <w:rFonts w:hint="eastAsia" w:ascii="宋体" w:hAnsi="宋体"/>
          <w:szCs w:val="21"/>
          <w:highlight w:val="none"/>
        </w:rPr>
        <w:t>2.1.1  主体设计单位提出并经审查确认的测量要求、勘察任务书及岩土工程设计任务等；</w:t>
      </w:r>
    </w:p>
    <w:p w14:paraId="356202C6">
      <w:pPr>
        <w:ind w:firstLine="420" w:firstLineChars="200"/>
        <w:rPr>
          <w:rFonts w:hint="eastAsia" w:ascii="宋体" w:hAnsi="宋体"/>
          <w:szCs w:val="21"/>
          <w:highlight w:val="none"/>
        </w:rPr>
      </w:pPr>
      <w:r>
        <w:rPr>
          <w:rFonts w:hint="eastAsia" w:ascii="宋体" w:hAnsi="宋体"/>
          <w:szCs w:val="21"/>
          <w:highlight w:val="none"/>
        </w:rPr>
        <w:t>2.1.2  技术基础资料及甲方或政府相关部门提出的要求和意见；</w:t>
      </w:r>
    </w:p>
    <w:p w14:paraId="7AF184F5">
      <w:pPr>
        <w:ind w:firstLine="420" w:firstLineChars="200"/>
        <w:rPr>
          <w:rFonts w:hint="eastAsia" w:ascii="宋体" w:hAnsi="宋体"/>
          <w:szCs w:val="21"/>
          <w:highlight w:val="none"/>
        </w:rPr>
      </w:pPr>
      <w:r>
        <w:rPr>
          <w:rFonts w:hint="eastAsia" w:ascii="宋体" w:hAnsi="宋体"/>
          <w:szCs w:val="21"/>
          <w:highlight w:val="none"/>
        </w:rPr>
        <w:t>2.1.3  各阶段岩土工程设计审查意见；</w:t>
      </w:r>
    </w:p>
    <w:p w14:paraId="002C868C">
      <w:pPr>
        <w:ind w:firstLine="420" w:firstLineChars="200"/>
        <w:rPr>
          <w:rFonts w:hint="eastAsia" w:ascii="宋体" w:hAnsi="宋体"/>
          <w:szCs w:val="21"/>
          <w:highlight w:val="none"/>
        </w:rPr>
      </w:pPr>
      <w:r>
        <w:rPr>
          <w:rFonts w:hint="eastAsia" w:ascii="宋体" w:hAnsi="宋体"/>
          <w:szCs w:val="21"/>
          <w:highlight w:val="none"/>
        </w:rPr>
        <w:t>2.1.4  招标文件和投标文件；</w:t>
      </w:r>
    </w:p>
    <w:p w14:paraId="650628A0">
      <w:pPr>
        <w:ind w:firstLine="420" w:firstLineChars="200"/>
        <w:rPr>
          <w:rFonts w:hint="eastAsia" w:ascii="宋体" w:hAnsi="宋体"/>
          <w:szCs w:val="21"/>
          <w:highlight w:val="none"/>
        </w:rPr>
      </w:pPr>
      <w:r>
        <w:rPr>
          <w:rFonts w:hint="eastAsia" w:ascii="宋体" w:hAnsi="宋体"/>
          <w:szCs w:val="21"/>
          <w:highlight w:val="none"/>
        </w:rPr>
        <w:t>2.1.5  国家及地方的相关技术规范；</w:t>
      </w:r>
    </w:p>
    <w:p w14:paraId="7296829D">
      <w:pPr>
        <w:ind w:firstLine="420" w:firstLineChars="200"/>
        <w:rPr>
          <w:rFonts w:hint="eastAsia" w:ascii="宋体" w:hAnsi="宋体"/>
          <w:szCs w:val="21"/>
          <w:highlight w:val="none"/>
        </w:rPr>
      </w:pPr>
      <w:r>
        <w:rPr>
          <w:rFonts w:hint="eastAsia" w:ascii="宋体" w:hAnsi="宋体"/>
          <w:szCs w:val="21"/>
          <w:highlight w:val="none"/>
        </w:rPr>
        <w:t>2.1.6  其他有关资料。</w:t>
      </w:r>
    </w:p>
    <w:p w14:paraId="5C4C77CB">
      <w:pPr>
        <w:tabs>
          <w:tab w:val="left" w:pos="1050"/>
          <w:tab w:val="left" w:pos="1260"/>
          <w:tab w:val="left" w:pos="1680"/>
          <w:tab w:val="left" w:pos="4095"/>
          <w:tab w:val="left" w:pos="5355"/>
        </w:tabs>
        <w:ind w:left="525" w:hanging="525" w:hangingChars="250"/>
        <w:jc w:val="left"/>
        <w:rPr>
          <w:rFonts w:hint="eastAsia" w:ascii="宋体" w:hAnsi="宋体"/>
          <w:szCs w:val="21"/>
          <w:highlight w:val="none"/>
        </w:rPr>
      </w:pPr>
      <w:r>
        <w:rPr>
          <w:rFonts w:hint="eastAsia" w:ascii="宋体" w:hAnsi="宋体"/>
          <w:szCs w:val="21"/>
          <w:highlight w:val="none"/>
        </w:rPr>
        <w:t>2.2乙方已接受下述合同文件和资料作为足以完成合同任务的依据。甲方所提供的有关合同文件和依据不会减轻乙方在合同文件中所述的责任。</w:t>
      </w:r>
    </w:p>
    <w:p w14:paraId="491EC81F">
      <w:pPr>
        <w:tabs>
          <w:tab w:val="left" w:pos="1050"/>
          <w:tab w:val="left" w:pos="1260"/>
          <w:tab w:val="left" w:pos="1680"/>
          <w:tab w:val="left" w:pos="4095"/>
          <w:tab w:val="left" w:pos="5355"/>
        </w:tabs>
        <w:jc w:val="left"/>
        <w:rPr>
          <w:rFonts w:hint="eastAsia" w:ascii="宋体" w:hAnsi="宋体"/>
          <w:szCs w:val="21"/>
          <w:highlight w:val="none"/>
        </w:rPr>
      </w:pPr>
    </w:p>
    <w:p w14:paraId="4A0B752C">
      <w:pPr>
        <w:outlineLvl w:val="1"/>
        <w:rPr>
          <w:rFonts w:hint="eastAsia" w:ascii="黑体" w:eastAsia="黑体"/>
          <w:b/>
          <w:bCs/>
          <w:szCs w:val="21"/>
          <w:highlight w:val="none"/>
        </w:rPr>
      </w:pPr>
      <w:r>
        <w:rPr>
          <w:rFonts w:hint="eastAsia" w:ascii="黑体" w:eastAsia="黑体"/>
          <w:b/>
          <w:bCs/>
          <w:szCs w:val="21"/>
          <w:highlight w:val="none"/>
        </w:rPr>
        <w:t>三、合同相关文件及执行中相关文件优先次序</w:t>
      </w:r>
    </w:p>
    <w:p w14:paraId="2402F87F">
      <w:pPr>
        <w:rPr>
          <w:rFonts w:hint="eastAsia" w:ascii="宋体" w:hAnsi="宋体"/>
          <w:szCs w:val="21"/>
          <w:highlight w:val="none"/>
        </w:rPr>
      </w:pPr>
      <w:r>
        <w:rPr>
          <w:rFonts w:hint="eastAsia" w:ascii="宋体" w:hAnsi="宋体"/>
          <w:szCs w:val="21"/>
          <w:highlight w:val="none"/>
        </w:rPr>
        <w:t>3.1 本合同相关文件包括合同协议书、合同专用条款、合同通用条款、中标通知书、招标文件及其附件（含补遗书）、投标书及其附件、标准、规范及规程有关技术文件、双方有关工程洽商的书面协议、文件和各类有约束力的往来函件等。</w:t>
      </w:r>
    </w:p>
    <w:p w14:paraId="03CD76F2">
      <w:pPr>
        <w:rPr>
          <w:rFonts w:hint="eastAsia" w:ascii="宋体" w:hAnsi="宋体"/>
          <w:szCs w:val="21"/>
          <w:highlight w:val="none"/>
        </w:rPr>
      </w:pPr>
      <w:r>
        <w:rPr>
          <w:rFonts w:hint="eastAsia" w:ascii="宋体" w:hAnsi="宋体"/>
          <w:szCs w:val="21"/>
          <w:highlight w:val="none"/>
        </w:rPr>
        <w:t>3.2 本合同文件执行中相关文件如存在歧义或不一致，将按合同协议书明确的优先次序予以判断。</w:t>
      </w:r>
    </w:p>
    <w:p w14:paraId="51794866">
      <w:pPr>
        <w:rPr>
          <w:rFonts w:hint="eastAsia" w:ascii="黑体" w:hAnsi="宋体" w:eastAsia="黑体"/>
          <w:b/>
          <w:szCs w:val="21"/>
          <w:highlight w:val="none"/>
        </w:rPr>
      </w:pPr>
    </w:p>
    <w:p w14:paraId="7413BAA9">
      <w:pPr>
        <w:outlineLvl w:val="1"/>
        <w:rPr>
          <w:rFonts w:hint="eastAsia" w:ascii="黑体" w:eastAsia="黑体"/>
          <w:b/>
          <w:bCs/>
          <w:szCs w:val="21"/>
          <w:highlight w:val="none"/>
        </w:rPr>
      </w:pPr>
      <w:r>
        <w:rPr>
          <w:rFonts w:hint="eastAsia" w:ascii="黑体" w:eastAsia="黑体"/>
          <w:b/>
          <w:bCs/>
          <w:szCs w:val="21"/>
          <w:highlight w:val="none"/>
        </w:rPr>
        <w:t>四、工作内容及要求</w:t>
      </w:r>
    </w:p>
    <w:p w14:paraId="652BD2A1">
      <w:pPr>
        <w:outlineLvl w:val="2"/>
        <w:rPr>
          <w:rFonts w:hint="eastAsia" w:ascii="宋体" w:hAnsi="宋体"/>
          <w:szCs w:val="21"/>
          <w:highlight w:val="none"/>
        </w:rPr>
      </w:pPr>
      <w:r>
        <w:rPr>
          <w:rFonts w:hint="eastAsia" w:ascii="宋体" w:hAnsi="宋体"/>
          <w:szCs w:val="21"/>
          <w:highlight w:val="none"/>
        </w:rPr>
        <w:t>4.1</w:t>
      </w:r>
      <w:r>
        <w:rPr>
          <w:rFonts w:hint="eastAsia" w:ascii="黑体" w:hAnsi="宋体" w:eastAsia="黑体"/>
          <w:szCs w:val="21"/>
          <w:highlight w:val="none"/>
        </w:rPr>
        <w:t>合同工作内容</w:t>
      </w:r>
    </w:p>
    <w:p w14:paraId="3C6C0AC6">
      <w:pPr>
        <w:ind w:firstLine="420" w:firstLineChars="200"/>
        <w:rPr>
          <w:rFonts w:hint="eastAsia" w:ascii="宋体" w:hAnsi="宋体"/>
          <w:szCs w:val="21"/>
          <w:highlight w:val="none"/>
        </w:rPr>
      </w:pPr>
      <w:r>
        <w:rPr>
          <w:rFonts w:hint="eastAsia" w:ascii="宋体" w:hAnsi="宋体"/>
          <w:szCs w:val="21"/>
          <w:highlight w:val="none"/>
        </w:rPr>
        <w:t>4.1.1勘察测量工作可包括：与本项目相关的初步勘察、详细勘察、补充详细勘察、地形测量、土石方类别划分及计算、地下管线探测、工程物探、交桩、部件调查以及超前钻等，具体内容在合同协议书和合同专用条款部分明确。</w:t>
      </w:r>
    </w:p>
    <w:p w14:paraId="341BC7ED">
      <w:pPr>
        <w:ind w:firstLine="420" w:firstLineChars="200"/>
        <w:rPr>
          <w:rFonts w:hint="eastAsia" w:ascii="宋体" w:hAnsi="宋体"/>
          <w:szCs w:val="21"/>
          <w:highlight w:val="none"/>
        </w:rPr>
      </w:pPr>
      <w:r>
        <w:rPr>
          <w:rFonts w:hint="eastAsia" w:ascii="宋体" w:hAnsi="宋体"/>
          <w:szCs w:val="21"/>
          <w:highlight w:val="none"/>
        </w:rPr>
        <w:t>4.1.2本合同岩土工程设计内容包括：（1）与主体设计单位进行设计范围划分，并在主体设计单位指导和总体负责之下完成有关高边坡支护、深基坑支护等岩土工程的专项设计；（2）地质灾害整治工程的设计；具体内容在合同专用条款部分明确。</w:t>
      </w:r>
    </w:p>
    <w:p w14:paraId="0AFF194B">
      <w:pPr>
        <w:ind w:firstLine="420" w:firstLineChars="200"/>
        <w:rPr>
          <w:rFonts w:hint="eastAsia" w:ascii="宋体" w:hAnsi="宋体"/>
          <w:szCs w:val="21"/>
          <w:highlight w:val="none"/>
        </w:rPr>
      </w:pPr>
      <w:r>
        <w:rPr>
          <w:rFonts w:hint="eastAsia" w:ascii="宋体" w:hAnsi="宋体"/>
          <w:szCs w:val="21"/>
          <w:highlight w:val="none"/>
        </w:rPr>
        <w:t>4.1.3地质灾害评估在工程报批阶段视国土主管部门要求定。</w:t>
      </w:r>
    </w:p>
    <w:p w14:paraId="024F33F0">
      <w:pPr>
        <w:ind w:firstLine="420" w:firstLineChars="200"/>
        <w:rPr>
          <w:rFonts w:hint="eastAsia" w:ascii="宋体" w:hAnsi="宋体"/>
          <w:szCs w:val="21"/>
          <w:highlight w:val="none"/>
        </w:rPr>
      </w:pPr>
      <w:r>
        <w:rPr>
          <w:rFonts w:hint="eastAsia" w:ascii="宋体" w:hAnsi="宋体"/>
          <w:szCs w:val="21"/>
          <w:highlight w:val="none"/>
        </w:rPr>
        <w:t>4.1.4后期配合主要包括施工配合及结算审计配合。</w:t>
      </w:r>
    </w:p>
    <w:p w14:paraId="32E6AE17">
      <w:pPr>
        <w:outlineLvl w:val="2"/>
        <w:rPr>
          <w:rFonts w:hint="eastAsia" w:ascii="黑体" w:hAnsi="宋体" w:eastAsia="黑体"/>
          <w:szCs w:val="21"/>
          <w:highlight w:val="none"/>
        </w:rPr>
      </w:pPr>
      <w:r>
        <w:rPr>
          <w:rFonts w:hint="eastAsia" w:ascii="黑体" w:hAnsi="宋体" w:eastAsia="黑体"/>
          <w:szCs w:val="21"/>
          <w:highlight w:val="none"/>
        </w:rPr>
        <w:t>4.2 总体要求</w:t>
      </w:r>
    </w:p>
    <w:p w14:paraId="713B5C77">
      <w:pPr>
        <w:ind w:firstLine="420" w:firstLineChars="200"/>
        <w:rPr>
          <w:rFonts w:hint="eastAsia" w:ascii="宋体" w:hAnsi="宋体"/>
          <w:szCs w:val="21"/>
          <w:highlight w:val="none"/>
        </w:rPr>
      </w:pPr>
      <w:r>
        <w:rPr>
          <w:rFonts w:hint="eastAsia" w:ascii="宋体" w:hAnsi="宋体"/>
          <w:szCs w:val="21"/>
          <w:highlight w:val="none"/>
        </w:rPr>
        <w:t>4.2.1提交的勘察测量、岩土工程设计、地质灾害评估报告等成果文件必须符合国家各部委颁发的现行的法律法规、规范、规定、规程和标准并通过甲方、政府各主管部门及相关单位的审查。</w:t>
      </w:r>
    </w:p>
    <w:p w14:paraId="79E354AE">
      <w:pPr>
        <w:ind w:firstLine="420" w:firstLineChars="200"/>
        <w:rPr>
          <w:rFonts w:hint="eastAsia" w:ascii="宋体" w:hAnsi="宋体"/>
          <w:szCs w:val="21"/>
          <w:highlight w:val="none"/>
        </w:rPr>
      </w:pPr>
      <w:r>
        <w:rPr>
          <w:rFonts w:hint="eastAsia" w:ascii="宋体" w:hAnsi="宋体"/>
          <w:szCs w:val="21"/>
          <w:highlight w:val="none"/>
        </w:rPr>
        <w:t>4.2.2各项工作进度必须符合甲方及工程建设总体进度要求，满足工程建设需要。</w:t>
      </w:r>
    </w:p>
    <w:p w14:paraId="4A43C84B">
      <w:pPr>
        <w:outlineLvl w:val="2"/>
        <w:rPr>
          <w:rFonts w:hint="eastAsia" w:ascii="黑体" w:hAnsi="宋体" w:eastAsia="黑体"/>
          <w:szCs w:val="21"/>
          <w:highlight w:val="none"/>
        </w:rPr>
      </w:pPr>
      <w:r>
        <w:rPr>
          <w:rFonts w:hint="eastAsia" w:ascii="黑体" w:hAnsi="宋体" w:eastAsia="黑体"/>
          <w:szCs w:val="21"/>
          <w:highlight w:val="none"/>
        </w:rPr>
        <w:t>4.3具体要求</w:t>
      </w:r>
    </w:p>
    <w:p w14:paraId="6BD37C94">
      <w:pPr>
        <w:ind w:firstLine="420" w:firstLineChars="200"/>
        <w:outlineLvl w:val="3"/>
        <w:rPr>
          <w:rFonts w:hint="eastAsia" w:ascii="宋体" w:hAnsi="宋体"/>
          <w:szCs w:val="21"/>
          <w:highlight w:val="none"/>
        </w:rPr>
      </w:pPr>
      <w:r>
        <w:rPr>
          <w:rFonts w:hint="eastAsia" w:ascii="宋体" w:hAnsi="宋体"/>
          <w:szCs w:val="21"/>
          <w:highlight w:val="none"/>
        </w:rPr>
        <w:t>4.3.1勘察测量</w:t>
      </w:r>
    </w:p>
    <w:p w14:paraId="76E1974F">
      <w:pPr>
        <w:ind w:firstLine="420" w:firstLineChars="200"/>
        <w:rPr>
          <w:rFonts w:hint="eastAsia" w:ascii="宋体" w:hAnsi="宋体"/>
          <w:szCs w:val="21"/>
          <w:highlight w:val="none"/>
        </w:rPr>
      </w:pPr>
      <w:r>
        <w:rPr>
          <w:rFonts w:hint="eastAsia" w:ascii="宋体" w:hAnsi="宋体"/>
          <w:szCs w:val="21"/>
          <w:highlight w:val="none"/>
        </w:rPr>
        <w:t>（1）在方案设计或扩初设计基本稳定后开展地形测量、地下管线探测、详细勘察等工作，进度要求在合同协议书部分明确；</w:t>
      </w:r>
    </w:p>
    <w:p w14:paraId="48F3A089">
      <w:pPr>
        <w:ind w:firstLine="420" w:firstLineChars="200"/>
        <w:rPr>
          <w:rFonts w:hint="eastAsia" w:ascii="宋体" w:hAnsi="宋体"/>
          <w:szCs w:val="21"/>
          <w:highlight w:val="none"/>
        </w:rPr>
      </w:pPr>
      <w:r>
        <w:rPr>
          <w:rFonts w:hint="eastAsia" w:ascii="宋体" w:hAnsi="宋体"/>
          <w:szCs w:val="21"/>
          <w:highlight w:val="none"/>
        </w:rPr>
        <w:t>（2）技术要求以主体设计单位提出并经甲方或勘察审查单位审查通过的勘察、测量任务书为准。乙方对该任务书有权提出合理化建议，但必须经审查后予以更改。</w:t>
      </w:r>
    </w:p>
    <w:p w14:paraId="60A4BCF6">
      <w:pPr>
        <w:ind w:firstLine="420" w:firstLineChars="200"/>
        <w:rPr>
          <w:rFonts w:hint="eastAsia" w:ascii="宋体" w:hAnsi="宋体"/>
          <w:szCs w:val="21"/>
          <w:highlight w:val="none"/>
        </w:rPr>
      </w:pPr>
      <w:r>
        <w:rPr>
          <w:rFonts w:hint="eastAsia" w:ascii="宋体" w:hAnsi="宋体"/>
          <w:szCs w:val="21"/>
          <w:highlight w:val="none"/>
        </w:rPr>
        <w:t>（3）勘察测量成果必须真实、准确地反映地上、地下情况、地质地理环境特征、岩土工程条件，为设计工作提供必须的参数、合理化建议。</w:t>
      </w:r>
    </w:p>
    <w:p w14:paraId="27667BB2">
      <w:pPr>
        <w:ind w:firstLine="420" w:firstLineChars="200"/>
        <w:rPr>
          <w:rFonts w:hint="eastAsia" w:ascii="宋体" w:hAnsi="宋体"/>
          <w:szCs w:val="21"/>
          <w:highlight w:val="none"/>
        </w:rPr>
      </w:pPr>
      <w:r>
        <w:rPr>
          <w:rFonts w:hint="eastAsia" w:ascii="宋体" w:hAnsi="宋体"/>
          <w:szCs w:val="21"/>
          <w:highlight w:val="none"/>
        </w:rPr>
        <w:t>（4）土石方工程中对于挖方区域应根据工程造价书编制需要，按土壤及岩石（普氏）分类表提交土石鉴定及类别划分专项报告。</w:t>
      </w:r>
    </w:p>
    <w:p w14:paraId="0CD86225">
      <w:pPr>
        <w:ind w:firstLine="420" w:firstLineChars="200"/>
        <w:rPr>
          <w:rFonts w:hint="eastAsia" w:ascii="宋体" w:hAnsi="宋体"/>
          <w:szCs w:val="21"/>
          <w:highlight w:val="none"/>
        </w:rPr>
      </w:pPr>
      <w:r>
        <w:rPr>
          <w:rFonts w:hint="eastAsia" w:ascii="宋体" w:hAnsi="宋体"/>
          <w:szCs w:val="21"/>
          <w:highlight w:val="none"/>
        </w:rPr>
        <w:t>（5）及时通知甲方并无条件配合相关单位进行各种检测工作（包括氡浓度检测）。</w:t>
      </w:r>
    </w:p>
    <w:p w14:paraId="6C7BEAB5">
      <w:pPr>
        <w:ind w:firstLine="420" w:firstLineChars="200"/>
        <w:rPr>
          <w:rFonts w:hint="eastAsia" w:ascii="宋体" w:hAnsi="宋体"/>
          <w:szCs w:val="21"/>
          <w:highlight w:val="none"/>
        </w:rPr>
      </w:pPr>
      <w:r>
        <w:rPr>
          <w:rFonts w:hint="eastAsia" w:ascii="宋体" w:hAnsi="宋体"/>
          <w:szCs w:val="21"/>
          <w:highlight w:val="none"/>
        </w:rPr>
        <w:t>（6）现场钻探应有完整的照片及视频记录，照片记录内容包括钻探孔位置、深度等。视频内容包括每孔完整的取钻过程。乙方在开展勘察工作期间应写勘察日志，记录每日工作情况，每天将工作情况在微信群向甲方报告，报告内容包括人员、机械、每孔的取样情况。勘察工作完成后在甲方规定时间内完成勘察工作报告。</w:t>
      </w:r>
    </w:p>
    <w:p w14:paraId="013EF67A">
      <w:pPr>
        <w:ind w:firstLine="420" w:firstLineChars="200"/>
        <w:outlineLvl w:val="3"/>
        <w:rPr>
          <w:rFonts w:hint="eastAsia" w:ascii="宋体" w:hAnsi="宋体"/>
          <w:szCs w:val="21"/>
          <w:highlight w:val="none"/>
        </w:rPr>
      </w:pPr>
      <w:r>
        <w:rPr>
          <w:rFonts w:hint="eastAsia" w:ascii="宋体" w:hAnsi="宋体"/>
          <w:szCs w:val="21"/>
          <w:highlight w:val="none"/>
        </w:rPr>
        <w:t>4.3.2 岩土工程专项设计</w:t>
      </w:r>
    </w:p>
    <w:p w14:paraId="205D133B">
      <w:pPr>
        <w:ind w:firstLine="420" w:firstLineChars="200"/>
        <w:rPr>
          <w:rFonts w:hint="eastAsia" w:ascii="宋体" w:hAnsi="宋体"/>
          <w:szCs w:val="21"/>
          <w:highlight w:val="none"/>
        </w:rPr>
      </w:pPr>
      <w:r>
        <w:rPr>
          <w:rFonts w:hint="eastAsia" w:ascii="宋体" w:hAnsi="宋体"/>
          <w:szCs w:val="21"/>
          <w:highlight w:val="none"/>
        </w:rPr>
        <w:t>（1）配合主体设计单位进行岩土工程设计，提出试验、检测和监测方案及检测监测设计等，具体内容和要求在合同专用条款部分明确。</w:t>
      </w:r>
    </w:p>
    <w:p w14:paraId="0FCFAEFB">
      <w:pPr>
        <w:ind w:firstLine="420" w:firstLineChars="200"/>
        <w:rPr>
          <w:rFonts w:hint="eastAsia" w:ascii="宋体" w:hAnsi="宋体"/>
          <w:szCs w:val="21"/>
          <w:highlight w:val="none"/>
        </w:rPr>
      </w:pPr>
      <w:r>
        <w:rPr>
          <w:rFonts w:hint="eastAsia" w:ascii="宋体" w:hAnsi="宋体"/>
          <w:szCs w:val="21"/>
          <w:highlight w:val="none"/>
        </w:rPr>
        <w:t>（2）岩土工程设计一般分方案设计、施工图设计两阶段进行，各阶段要配合做好评审工作并根据专家评审意见完善和深化设计；提交施工图、概算和计算书等勘察设计成果文件。</w:t>
      </w:r>
    </w:p>
    <w:p w14:paraId="57AFEA65">
      <w:pPr>
        <w:ind w:firstLine="420" w:firstLineChars="200"/>
        <w:outlineLvl w:val="4"/>
        <w:rPr>
          <w:rFonts w:hint="eastAsia" w:ascii="宋体" w:hAnsi="宋体"/>
          <w:szCs w:val="21"/>
          <w:highlight w:val="none"/>
        </w:rPr>
      </w:pPr>
      <w:r>
        <w:rPr>
          <w:rFonts w:hint="eastAsia" w:ascii="宋体" w:hAnsi="宋体"/>
          <w:szCs w:val="21"/>
          <w:highlight w:val="none"/>
        </w:rPr>
        <w:t>（3）按要求编制专项设计内容对应的竣工图。</w:t>
      </w:r>
    </w:p>
    <w:p w14:paraId="1469AA5E">
      <w:pPr>
        <w:ind w:firstLine="420" w:firstLineChars="200"/>
        <w:rPr>
          <w:rFonts w:hint="eastAsia" w:ascii="宋体" w:hAnsi="宋体"/>
          <w:szCs w:val="21"/>
          <w:highlight w:val="none"/>
        </w:rPr>
      </w:pPr>
      <w:r>
        <w:rPr>
          <w:rFonts w:hint="eastAsia" w:ascii="宋体" w:hAnsi="宋体"/>
          <w:szCs w:val="21"/>
          <w:highlight w:val="none"/>
        </w:rPr>
        <w:t>（4）与相关单位就本项目审查、审批、审计、备案和专业咨询等工作进行联系和协调，并自行承担所发生的费用。</w:t>
      </w:r>
    </w:p>
    <w:p w14:paraId="6073310B">
      <w:pPr>
        <w:ind w:firstLine="420" w:firstLineChars="200"/>
        <w:outlineLvl w:val="4"/>
        <w:rPr>
          <w:rFonts w:hint="eastAsia" w:ascii="宋体" w:hAnsi="宋体"/>
          <w:szCs w:val="21"/>
          <w:highlight w:val="none"/>
        </w:rPr>
      </w:pPr>
      <w:r>
        <w:rPr>
          <w:rFonts w:hint="eastAsia" w:ascii="宋体" w:hAnsi="宋体"/>
          <w:szCs w:val="21"/>
          <w:highlight w:val="none"/>
        </w:rPr>
        <w:t>（5）甲方要求办理的与本工程设计任务有关的其他一切事务。</w:t>
      </w:r>
    </w:p>
    <w:p w14:paraId="644BB1CD">
      <w:pPr>
        <w:ind w:firstLine="420" w:firstLineChars="200"/>
        <w:outlineLvl w:val="3"/>
        <w:rPr>
          <w:rFonts w:hint="eastAsia" w:ascii="宋体" w:hAnsi="宋体"/>
          <w:szCs w:val="21"/>
          <w:highlight w:val="none"/>
        </w:rPr>
      </w:pPr>
      <w:r>
        <w:rPr>
          <w:rFonts w:hint="eastAsia" w:ascii="宋体" w:hAnsi="宋体"/>
          <w:szCs w:val="21"/>
          <w:highlight w:val="none"/>
        </w:rPr>
        <w:t xml:space="preserve">4.3.3地质灾害评估内容和要求(视国土管理部门要求定) </w:t>
      </w:r>
    </w:p>
    <w:p w14:paraId="056C29CA">
      <w:pPr>
        <w:ind w:firstLine="420" w:firstLineChars="200"/>
        <w:rPr>
          <w:rFonts w:hint="eastAsia" w:ascii="宋体" w:hAnsi="宋体"/>
          <w:szCs w:val="21"/>
          <w:highlight w:val="none"/>
        </w:rPr>
      </w:pPr>
      <w:r>
        <w:rPr>
          <w:rFonts w:hint="eastAsia" w:ascii="宋体" w:hAnsi="宋体"/>
          <w:szCs w:val="21"/>
          <w:highlight w:val="none"/>
        </w:rPr>
        <w:t>（1）调查工程用地相关范围内的地质灾害类型、分布范围、规模、稳定状态、危害对象，通过对地质灾害的状况及危险性起决定作用的影响因素进行分析，判定其性质、变化、危害对象和损失情况，对已有地质灾害的危险性作出评估。</w:t>
      </w:r>
    </w:p>
    <w:p w14:paraId="77F3C730">
      <w:pPr>
        <w:ind w:firstLine="420" w:firstLineChars="200"/>
        <w:rPr>
          <w:rFonts w:hint="eastAsia" w:ascii="宋体" w:hAnsi="宋体"/>
          <w:szCs w:val="21"/>
          <w:highlight w:val="none"/>
        </w:rPr>
      </w:pPr>
      <w:r>
        <w:rPr>
          <w:rFonts w:hint="eastAsia" w:ascii="宋体" w:hAnsi="宋体"/>
          <w:szCs w:val="21"/>
          <w:highlight w:val="none"/>
        </w:rPr>
        <w:t>（2）根据工程建设项目类型、规模、施工方式，预测工程建设过程和建成后对地质环境的改变及影响，评估是否会诱发或加剧地质灾害，并对地质灾害的类型、范围、危害及危险性作出评估。</w:t>
      </w:r>
    </w:p>
    <w:p w14:paraId="4721C7AC">
      <w:pPr>
        <w:ind w:firstLine="420" w:firstLineChars="200"/>
        <w:rPr>
          <w:rFonts w:hint="eastAsia" w:ascii="宋体" w:hAnsi="宋体"/>
          <w:szCs w:val="21"/>
          <w:highlight w:val="none"/>
        </w:rPr>
      </w:pPr>
      <w:r>
        <w:rPr>
          <w:rFonts w:hint="eastAsia" w:ascii="宋体" w:hAnsi="宋体"/>
          <w:szCs w:val="21"/>
          <w:highlight w:val="none"/>
        </w:rPr>
        <w:t>（3）综合地质环境条件、地质灾害的现状和潜在的地质灾害产生因素，进行地质灾害危险性等级分区，提出防治措施。</w:t>
      </w:r>
    </w:p>
    <w:p w14:paraId="3DBCA6A3">
      <w:pPr>
        <w:ind w:firstLine="420" w:firstLineChars="200"/>
        <w:rPr>
          <w:rFonts w:hint="eastAsia" w:ascii="宋体" w:hAnsi="宋体"/>
          <w:szCs w:val="21"/>
          <w:highlight w:val="none"/>
        </w:rPr>
      </w:pPr>
      <w:r>
        <w:rPr>
          <w:rFonts w:hint="eastAsia" w:ascii="宋体" w:hAnsi="宋体"/>
          <w:szCs w:val="21"/>
          <w:highlight w:val="none"/>
        </w:rPr>
        <w:t>（4）符合</w:t>
      </w:r>
      <w:r>
        <w:rPr>
          <w:rFonts w:hint="eastAsia" w:ascii="宋体" w:hAnsi="宋体"/>
          <w:szCs w:val="21"/>
          <w:highlight w:val="none"/>
          <w:lang w:eastAsia="zh-CN"/>
        </w:rPr>
        <w:t>自然资源部</w:t>
      </w:r>
      <w:r>
        <w:rPr>
          <w:rFonts w:hint="eastAsia" w:ascii="宋体" w:hAnsi="宋体"/>
          <w:szCs w:val="21"/>
          <w:highlight w:val="none"/>
        </w:rPr>
        <w:t>《地质灾害管理办法》及其相关文件、广东</w:t>
      </w:r>
      <w:r>
        <w:rPr>
          <w:rFonts w:hint="eastAsia" w:ascii="宋体" w:hAnsi="宋体"/>
          <w:szCs w:val="21"/>
          <w:highlight w:val="none"/>
          <w:lang w:eastAsia="zh-CN"/>
        </w:rPr>
        <w:t>省自然资源厅</w:t>
      </w:r>
      <w:r>
        <w:rPr>
          <w:rFonts w:hint="eastAsia" w:ascii="宋体" w:hAnsi="宋体"/>
          <w:szCs w:val="21"/>
          <w:highlight w:val="none"/>
        </w:rPr>
        <w:t>《广东省地质灾害危险性评估实施细则(试行)》等国家和地方现行的标准、规范和规程的相关要求，并确保评估报告最终通过省国土资源主管部门的审查。</w:t>
      </w:r>
    </w:p>
    <w:p w14:paraId="452239FA">
      <w:pPr>
        <w:ind w:firstLine="420" w:firstLineChars="200"/>
        <w:outlineLvl w:val="3"/>
        <w:rPr>
          <w:rFonts w:hint="eastAsia" w:ascii="宋体" w:hAnsi="宋体"/>
          <w:szCs w:val="21"/>
          <w:highlight w:val="none"/>
        </w:rPr>
      </w:pPr>
      <w:r>
        <w:rPr>
          <w:rFonts w:hint="eastAsia" w:ascii="宋体" w:hAnsi="宋体"/>
          <w:szCs w:val="21"/>
          <w:highlight w:val="none"/>
        </w:rPr>
        <w:t>4.3.4后期配合内容</w:t>
      </w:r>
    </w:p>
    <w:p w14:paraId="46B2B2C8">
      <w:pPr>
        <w:ind w:firstLine="420" w:firstLineChars="200"/>
        <w:rPr>
          <w:rFonts w:hint="eastAsia" w:ascii="宋体" w:hAnsi="宋体"/>
          <w:szCs w:val="21"/>
          <w:highlight w:val="none"/>
        </w:rPr>
      </w:pPr>
      <w:r>
        <w:rPr>
          <w:rFonts w:hint="eastAsia" w:ascii="宋体" w:hAnsi="宋体"/>
          <w:szCs w:val="21"/>
          <w:highlight w:val="none"/>
        </w:rPr>
        <w:t>4.3.4.1工程开工前，负责与监理、施工单位办理交接桩手续（包括测量成果）及现场测放工程控制桩；</w:t>
      </w:r>
    </w:p>
    <w:p w14:paraId="55406783">
      <w:pPr>
        <w:ind w:firstLine="420" w:firstLineChars="200"/>
        <w:rPr>
          <w:rFonts w:hint="eastAsia" w:ascii="宋体" w:hAnsi="宋体"/>
          <w:szCs w:val="21"/>
          <w:highlight w:val="none"/>
        </w:rPr>
      </w:pPr>
      <w:r>
        <w:rPr>
          <w:rFonts w:hint="eastAsia" w:ascii="宋体" w:hAnsi="宋体"/>
          <w:szCs w:val="21"/>
          <w:highlight w:val="none"/>
        </w:rPr>
        <w:t>4.3.4.2工程开工后，应配合设计、施工单位进行基础施工，并协助解决施工中的岩土设计技术问题，主要包括(但不限于)：</w:t>
      </w:r>
    </w:p>
    <w:p w14:paraId="5A85B7C9">
      <w:pPr>
        <w:ind w:firstLine="420" w:firstLineChars="200"/>
        <w:outlineLvl w:val="4"/>
        <w:rPr>
          <w:rFonts w:hint="eastAsia" w:ascii="宋体" w:hAnsi="宋体"/>
          <w:szCs w:val="21"/>
          <w:highlight w:val="none"/>
        </w:rPr>
      </w:pPr>
      <w:r>
        <w:rPr>
          <w:rFonts w:hint="eastAsia" w:ascii="宋体" w:hAnsi="宋体"/>
          <w:szCs w:val="21"/>
          <w:highlight w:val="none"/>
        </w:rPr>
        <w:t>(1)派遣本项目的主要专业工程师进行施工验槽、验桩等；</w:t>
      </w:r>
    </w:p>
    <w:p w14:paraId="4FEAA41C">
      <w:pPr>
        <w:ind w:firstLine="420" w:firstLineChars="200"/>
        <w:rPr>
          <w:rFonts w:hint="eastAsia" w:ascii="宋体" w:hAnsi="宋体"/>
          <w:szCs w:val="21"/>
          <w:highlight w:val="none"/>
        </w:rPr>
      </w:pPr>
      <w:r>
        <w:rPr>
          <w:rFonts w:hint="eastAsia" w:ascii="宋体" w:hAnsi="宋体"/>
          <w:szCs w:val="21"/>
          <w:highlight w:val="none"/>
        </w:rPr>
        <w:t>(2)基槽开挖后，岩土条件与设计假定条件不符时，配合处理，需要时实施补充勘察；</w:t>
      </w:r>
    </w:p>
    <w:p w14:paraId="5F6DB7DB">
      <w:pPr>
        <w:ind w:firstLine="420" w:firstLineChars="200"/>
        <w:outlineLvl w:val="4"/>
        <w:rPr>
          <w:rFonts w:hint="eastAsia" w:ascii="宋体" w:hAnsi="宋体"/>
          <w:szCs w:val="21"/>
          <w:highlight w:val="none"/>
        </w:rPr>
      </w:pPr>
      <w:r>
        <w:rPr>
          <w:rFonts w:hint="eastAsia" w:ascii="宋体" w:hAnsi="宋体"/>
          <w:szCs w:val="21"/>
          <w:highlight w:val="none"/>
        </w:rPr>
        <w:t>(3)在地基处理及深基坑开挖施工中，必须参与检测和检验工作。</w:t>
      </w:r>
    </w:p>
    <w:p w14:paraId="4F4F6EB2">
      <w:pPr>
        <w:ind w:firstLine="420" w:firstLineChars="200"/>
        <w:rPr>
          <w:rFonts w:hint="eastAsia" w:ascii="宋体" w:hAnsi="宋体"/>
          <w:szCs w:val="21"/>
          <w:highlight w:val="none"/>
        </w:rPr>
      </w:pPr>
      <w:r>
        <w:rPr>
          <w:rFonts w:hint="eastAsia" w:ascii="宋体" w:hAnsi="宋体"/>
          <w:szCs w:val="21"/>
          <w:highlight w:val="none"/>
        </w:rPr>
        <w:t>(4)地基中溶洞或土洞较发育时，必须进一步查明并提出处理建议。</w:t>
      </w:r>
    </w:p>
    <w:p w14:paraId="1E47C383">
      <w:pPr>
        <w:ind w:firstLine="420" w:firstLineChars="200"/>
        <w:rPr>
          <w:rFonts w:hint="eastAsia" w:ascii="宋体" w:hAnsi="宋体"/>
          <w:szCs w:val="21"/>
          <w:highlight w:val="none"/>
        </w:rPr>
      </w:pPr>
      <w:r>
        <w:rPr>
          <w:rFonts w:hint="eastAsia" w:ascii="宋体" w:hAnsi="宋体"/>
          <w:szCs w:val="21"/>
          <w:highlight w:val="none"/>
        </w:rPr>
        <w:t>(5)施工中出现边坡失稳危险时，必须进一步分析原因，并配合处理。</w:t>
      </w:r>
    </w:p>
    <w:p w14:paraId="4703A2A0">
      <w:pPr>
        <w:ind w:firstLine="420" w:firstLineChars="200"/>
        <w:rPr>
          <w:rFonts w:hint="eastAsia" w:ascii="宋体" w:hAnsi="宋体"/>
          <w:szCs w:val="21"/>
          <w:highlight w:val="none"/>
        </w:rPr>
      </w:pPr>
      <w:r>
        <w:rPr>
          <w:rFonts w:hint="eastAsia" w:ascii="宋体" w:hAnsi="宋体"/>
          <w:szCs w:val="21"/>
          <w:highlight w:val="none"/>
        </w:rPr>
        <w:t>(6)在基础施工过程需要补充勘察时，必须及时实施补充勘察任务。如非详勘资料错漏原因引起的补充勘察费用，按实际增加的工程量纳入结算。</w:t>
      </w:r>
    </w:p>
    <w:p w14:paraId="43FB381A">
      <w:pPr>
        <w:ind w:firstLine="420" w:firstLineChars="200"/>
        <w:rPr>
          <w:rFonts w:hint="eastAsia" w:ascii="宋体" w:hAnsi="宋体"/>
          <w:szCs w:val="21"/>
          <w:highlight w:val="none"/>
        </w:rPr>
      </w:pPr>
      <w:r>
        <w:rPr>
          <w:rFonts w:hint="eastAsia" w:ascii="宋体" w:hAnsi="宋体"/>
          <w:szCs w:val="21"/>
          <w:highlight w:val="none"/>
        </w:rPr>
        <w:t>4.3.4.3结算及审计阶段：按甲方及审计部门要求整理2套完整、准确的结算资料，并跟踪、配合好审计决算工作。</w:t>
      </w:r>
    </w:p>
    <w:p w14:paraId="5A0C9914">
      <w:pPr>
        <w:ind w:firstLine="525" w:firstLineChars="250"/>
        <w:rPr>
          <w:rFonts w:hint="eastAsia" w:ascii="宋体" w:hAnsi="宋体"/>
          <w:szCs w:val="21"/>
          <w:highlight w:val="none"/>
        </w:rPr>
      </w:pPr>
    </w:p>
    <w:p w14:paraId="6A96E83C">
      <w:pPr>
        <w:outlineLvl w:val="1"/>
        <w:rPr>
          <w:rFonts w:hint="eastAsia" w:ascii="黑体" w:eastAsia="黑体"/>
          <w:b/>
          <w:bCs/>
          <w:szCs w:val="21"/>
          <w:highlight w:val="none"/>
        </w:rPr>
      </w:pPr>
      <w:r>
        <w:rPr>
          <w:rFonts w:hint="eastAsia" w:ascii="黑体" w:eastAsia="黑体"/>
          <w:b/>
          <w:bCs/>
          <w:szCs w:val="21"/>
          <w:highlight w:val="none"/>
        </w:rPr>
        <w:t>五、成果文件数量</w:t>
      </w:r>
    </w:p>
    <w:p w14:paraId="50276695">
      <w:pPr>
        <w:rPr>
          <w:rFonts w:hint="eastAsia" w:ascii="宋体" w:hAnsi="宋体"/>
          <w:szCs w:val="21"/>
          <w:highlight w:val="none"/>
        </w:rPr>
      </w:pPr>
      <w:r>
        <w:rPr>
          <w:rFonts w:hint="eastAsia" w:ascii="宋体" w:hAnsi="宋体"/>
          <w:szCs w:val="21"/>
          <w:highlight w:val="none"/>
        </w:rPr>
        <w:t>5.1 勘察成果文件数量：初步勘察文本8套，电子文档光盘8张；详细勘察文本8套，电子文档光盘8张；（超前钻、工程物探、土石方计算等发生时，参照初勘成果数量或另按甲方要求）。电子文档应采用国家通用、非专利软件绘制(如乙方采用自行开发软件绘制，则应无偿授予甲方使用该软件的权利)，无加密或使用期限限制。</w:t>
      </w:r>
    </w:p>
    <w:p w14:paraId="4D9F560A">
      <w:pPr>
        <w:rPr>
          <w:rFonts w:hint="eastAsia" w:ascii="宋体" w:hAnsi="宋体"/>
          <w:szCs w:val="21"/>
          <w:highlight w:val="none"/>
        </w:rPr>
      </w:pPr>
      <w:r>
        <w:rPr>
          <w:rFonts w:hint="eastAsia" w:ascii="宋体" w:hAnsi="宋体"/>
          <w:szCs w:val="21"/>
          <w:highlight w:val="none"/>
        </w:rPr>
        <w:t>5.2 岩土工程设计成果文件数量：设计方案10套，电子文档光盘4张；施工图14套，竣工图8套，电子文档光盘8张，计算书和概算书（含电子文档光盘）各4份。</w:t>
      </w:r>
    </w:p>
    <w:p w14:paraId="007B45A7">
      <w:pPr>
        <w:rPr>
          <w:rFonts w:hint="eastAsia" w:ascii="宋体" w:hAnsi="宋体"/>
          <w:szCs w:val="21"/>
          <w:highlight w:val="none"/>
        </w:rPr>
      </w:pPr>
      <w:r>
        <w:rPr>
          <w:rFonts w:hint="eastAsia" w:ascii="宋体" w:hAnsi="宋体"/>
          <w:szCs w:val="21"/>
          <w:highlight w:val="none"/>
        </w:rPr>
        <w:t>5.3 地质灾害评估报告：纸质文件8份，报告和图件、照片等可修改的电子文档4份。</w:t>
      </w:r>
    </w:p>
    <w:p w14:paraId="24C8E626">
      <w:pPr>
        <w:outlineLvl w:val="2"/>
        <w:rPr>
          <w:rFonts w:hint="eastAsia" w:ascii="宋体" w:hAnsi="宋体"/>
          <w:szCs w:val="21"/>
          <w:highlight w:val="none"/>
        </w:rPr>
      </w:pPr>
      <w:r>
        <w:rPr>
          <w:rFonts w:hint="eastAsia" w:ascii="宋体" w:hAnsi="宋体"/>
          <w:szCs w:val="21"/>
          <w:highlight w:val="none"/>
        </w:rPr>
        <w:t>5.4 勘察日志1套，最终勘察工作报告4份。</w:t>
      </w:r>
    </w:p>
    <w:p w14:paraId="204298F4">
      <w:pPr>
        <w:rPr>
          <w:rFonts w:hint="eastAsia" w:ascii="宋体" w:hAnsi="宋体"/>
          <w:szCs w:val="21"/>
          <w:highlight w:val="none"/>
        </w:rPr>
      </w:pPr>
      <w:r>
        <w:rPr>
          <w:rFonts w:hint="eastAsia" w:ascii="宋体" w:hAnsi="宋体"/>
          <w:szCs w:val="21"/>
          <w:highlight w:val="none"/>
        </w:rPr>
        <w:t>5.5 勘察竣工资料除提供上述成果文件外，提交《勘察成果自检单》4份。</w:t>
      </w:r>
    </w:p>
    <w:p w14:paraId="2624FA32">
      <w:pPr>
        <w:rPr>
          <w:rFonts w:hint="eastAsia" w:ascii="宋体" w:hAnsi="宋体"/>
          <w:szCs w:val="21"/>
          <w:highlight w:val="none"/>
        </w:rPr>
      </w:pPr>
      <w:r>
        <w:rPr>
          <w:rFonts w:hint="eastAsia" w:ascii="宋体" w:hAnsi="宋体"/>
          <w:szCs w:val="21"/>
          <w:highlight w:val="none"/>
        </w:rPr>
        <w:t xml:space="preserve">5.6 </w:t>
      </w:r>
      <w:r>
        <w:rPr>
          <w:rFonts w:ascii="宋体" w:hAnsi="宋体"/>
          <w:szCs w:val="21"/>
          <w:highlight w:val="none"/>
        </w:rPr>
        <w:t>以上各阶段提供的电子文档格式必须是可编辑文件（包括cad文件、word文件等）或甲方要求的其他形式电子文档。以上图纸及说明应采用中文。</w:t>
      </w:r>
    </w:p>
    <w:p w14:paraId="1A8076AE">
      <w:pPr>
        <w:ind w:firstLine="420" w:firstLineChars="200"/>
        <w:rPr>
          <w:rFonts w:hint="eastAsia" w:ascii="宋体" w:hAnsi="宋体"/>
          <w:szCs w:val="21"/>
          <w:highlight w:val="none"/>
        </w:rPr>
      </w:pPr>
    </w:p>
    <w:p w14:paraId="0D87CA28">
      <w:pPr>
        <w:outlineLvl w:val="1"/>
        <w:rPr>
          <w:rFonts w:hint="eastAsia" w:ascii="黑体" w:eastAsia="黑体"/>
          <w:b/>
          <w:bCs/>
          <w:szCs w:val="21"/>
          <w:highlight w:val="none"/>
        </w:rPr>
      </w:pPr>
      <w:r>
        <w:rPr>
          <w:rFonts w:hint="eastAsia" w:ascii="黑体" w:eastAsia="黑体"/>
          <w:b/>
          <w:bCs/>
          <w:szCs w:val="21"/>
          <w:highlight w:val="none"/>
        </w:rPr>
        <w:t>六、合同价及结算</w:t>
      </w:r>
    </w:p>
    <w:p w14:paraId="0CA1D71D">
      <w:pPr>
        <w:outlineLvl w:val="2"/>
        <w:rPr>
          <w:rFonts w:hint="eastAsia" w:ascii="黑体" w:hAnsi="宋体" w:eastAsia="黑体"/>
          <w:b/>
          <w:szCs w:val="21"/>
          <w:highlight w:val="none"/>
        </w:rPr>
      </w:pPr>
      <w:r>
        <w:rPr>
          <w:rFonts w:hint="eastAsia" w:ascii="黑体" w:hAnsi="宋体" w:eastAsia="黑体"/>
          <w:b/>
          <w:szCs w:val="21"/>
          <w:highlight w:val="none"/>
        </w:rPr>
        <w:t>6.1合同价</w:t>
      </w:r>
    </w:p>
    <w:p w14:paraId="0875F1FE">
      <w:pPr>
        <w:ind w:firstLine="420" w:firstLineChars="200"/>
        <w:rPr>
          <w:rFonts w:ascii="宋体" w:hAnsi="宋体"/>
          <w:szCs w:val="21"/>
          <w:highlight w:val="none"/>
        </w:rPr>
      </w:pPr>
      <w:r>
        <w:rPr>
          <w:rFonts w:hint="eastAsia" w:ascii="宋体" w:hAnsi="宋体"/>
          <w:szCs w:val="21"/>
          <w:highlight w:val="none"/>
        </w:rPr>
        <w:t>6.1.1本合同价由勘察费、测量费、岩土工程设计费以及可能发生的工程物探、交桩、部件调查以及超前钻、地质灾害危险性评估费、措施费等费用构成，其计价标准和计算方法如下：</w:t>
      </w:r>
    </w:p>
    <w:p w14:paraId="4012F537">
      <w:pPr>
        <w:ind w:firstLine="420" w:firstLineChars="200"/>
        <w:rPr>
          <w:rFonts w:ascii="宋体" w:hAnsi="宋体"/>
          <w:szCs w:val="21"/>
          <w:highlight w:val="none"/>
        </w:rPr>
      </w:pPr>
      <w:r>
        <w:rPr>
          <w:rFonts w:hint="eastAsia" w:ascii="宋体" w:hAnsi="宋体"/>
          <w:szCs w:val="21"/>
          <w:highlight w:val="none"/>
        </w:rPr>
        <w:t>6.1.1.1工程勘察、测量、工程物探、交桩、部件调查以及超前钻费用：</w:t>
      </w:r>
    </w:p>
    <w:p w14:paraId="258E9560">
      <w:pPr>
        <w:ind w:firstLine="420" w:firstLineChars="200"/>
        <w:rPr>
          <w:rFonts w:ascii="宋体" w:hAnsi="宋体"/>
          <w:szCs w:val="21"/>
          <w:highlight w:val="none"/>
        </w:rPr>
      </w:pPr>
      <w:r>
        <w:rPr>
          <w:rFonts w:hint="eastAsia" w:ascii="宋体" w:hAnsi="宋体"/>
          <w:szCs w:val="21"/>
          <w:highlight w:val="none"/>
        </w:rPr>
        <w:t>按照国家发展计划委员会、建设部联合制定的《工程勘察设计收费标准》2002年修订本(计价格[2002]10号)（以下简称“02标准”）计算并下浮</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后计取；但其中:a. 超前钻费用按照120元/米的固定综合单价进行计算；b.工程勘察的复杂程度根据项目的实际情况按《工程勘察设计收费标准》(计价格[2002]10号)规定选取</w:t>
      </w:r>
      <w:r>
        <w:rPr>
          <w:rFonts w:hint="eastAsia"/>
          <w:highlight w:val="none"/>
        </w:rPr>
        <w:t>。c.最终结算金额不超过概算批复勘察费</w:t>
      </w:r>
      <w:r>
        <w:rPr>
          <w:rFonts w:hint="eastAsia" w:ascii="宋体" w:hAnsi="宋体"/>
          <w:szCs w:val="21"/>
          <w:highlight w:val="none"/>
        </w:rPr>
        <w:t>。</w:t>
      </w:r>
    </w:p>
    <w:p w14:paraId="4F3E76FA">
      <w:pPr>
        <w:ind w:firstLine="420" w:firstLineChars="200"/>
        <w:outlineLvl w:val="3"/>
        <w:rPr>
          <w:rFonts w:ascii="宋体" w:hAnsi="宋体"/>
          <w:szCs w:val="21"/>
          <w:highlight w:val="none"/>
        </w:rPr>
      </w:pPr>
      <w:r>
        <w:rPr>
          <w:rFonts w:hint="eastAsia" w:ascii="宋体" w:hAnsi="宋体"/>
          <w:szCs w:val="21"/>
          <w:highlight w:val="none"/>
        </w:rPr>
        <w:t>6.1.1.2岩土工程设计费用：</w:t>
      </w:r>
    </w:p>
    <w:p w14:paraId="1C852BD6">
      <w:pPr>
        <w:ind w:firstLine="420" w:firstLineChars="200"/>
        <w:rPr>
          <w:rFonts w:ascii="宋体" w:hAnsi="宋体"/>
          <w:szCs w:val="21"/>
          <w:highlight w:val="none"/>
        </w:rPr>
      </w:pPr>
      <w:r>
        <w:rPr>
          <w:rFonts w:hint="eastAsia" w:ascii="宋体" w:hAnsi="宋体"/>
          <w:szCs w:val="21"/>
          <w:highlight w:val="none"/>
        </w:rPr>
        <w:t>设计费按照“02标准”4.1.2计算并按照6.1.1.1款下浮</w:t>
      </w:r>
      <w:r>
        <w:rPr>
          <w:rFonts w:hint="eastAsia" w:ascii="宋体" w:hAnsi="宋体"/>
          <w:szCs w:val="21"/>
          <w:highlight w:val="none"/>
          <w:u w:val="single"/>
        </w:rPr>
        <w:t xml:space="preserve">  / </w:t>
      </w:r>
      <w:r>
        <w:rPr>
          <w:rFonts w:hint="eastAsia" w:ascii="宋体" w:hAnsi="宋体"/>
          <w:szCs w:val="21"/>
          <w:highlight w:val="none"/>
        </w:rPr>
        <w:t>%后计取（其中岩土工程概算额以乙方所承担的边坡、基坑支护等岩土工程建筑安装费为准）；另</w:t>
      </w:r>
      <w:r>
        <w:rPr>
          <w:rFonts w:ascii="宋体" w:hAnsi="宋体"/>
          <w:szCs w:val="21"/>
          <w:highlight w:val="none"/>
        </w:rPr>
        <w:t>竣工图编制按</w:t>
      </w:r>
      <w:r>
        <w:rPr>
          <w:rFonts w:hint="eastAsia" w:ascii="宋体" w:hAnsi="宋体"/>
          <w:szCs w:val="21"/>
          <w:highlight w:val="none"/>
        </w:rPr>
        <w:t>岩土</w:t>
      </w:r>
      <w:r>
        <w:rPr>
          <w:rFonts w:ascii="宋体" w:hAnsi="宋体"/>
          <w:szCs w:val="21"/>
          <w:highlight w:val="none"/>
        </w:rPr>
        <w:t>工程设计收费8%计取</w:t>
      </w:r>
      <w:r>
        <w:rPr>
          <w:rFonts w:hint="eastAsia" w:ascii="宋体" w:hAnsi="宋体"/>
          <w:szCs w:val="21"/>
          <w:highlight w:val="none"/>
        </w:rPr>
        <w:t>。</w:t>
      </w:r>
    </w:p>
    <w:p w14:paraId="76F7BCB3">
      <w:pPr>
        <w:ind w:firstLine="420" w:firstLineChars="200"/>
        <w:outlineLvl w:val="3"/>
        <w:rPr>
          <w:rFonts w:ascii="宋体" w:hAnsi="宋体"/>
          <w:szCs w:val="21"/>
          <w:highlight w:val="none"/>
        </w:rPr>
      </w:pPr>
      <w:r>
        <w:rPr>
          <w:rFonts w:hint="eastAsia" w:ascii="宋体" w:hAnsi="宋体"/>
          <w:szCs w:val="21"/>
          <w:highlight w:val="none"/>
        </w:rPr>
        <w:t>6.1.1.3地质灾害危险性评估费用：</w:t>
      </w:r>
    </w:p>
    <w:p w14:paraId="20F83DCF">
      <w:pPr>
        <w:ind w:left="2" w:firstLine="424" w:firstLineChars="202"/>
        <w:rPr>
          <w:rFonts w:ascii="宋体" w:hAnsi="宋体"/>
          <w:szCs w:val="21"/>
          <w:highlight w:val="none"/>
        </w:rPr>
      </w:pPr>
      <w:r>
        <w:rPr>
          <w:rFonts w:hint="eastAsia" w:ascii="宋体" w:hAnsi="宋体"/>
          <w:szCs w:val="21"/>
          <w:highlight w:val="none"/>
        </w:rPr>
        <w:t>需要发生的勘察测量费用纳入或按照6.1.1.1计取，评估费用按《国家发展改革委办公厅、国土资源部办公厅关于征求对地质灾害危险性评估收费管理办法意见的函》（发改办价格【2006】745号）并按照6.1.1.1款下浮</w:t>
      </w:r>
      <w:r>
        <w:rPr>
          <w:rFonts w:hint="eastAsia" w:ascii="宋体" w:hAnsi="宋体"/>
          <w:szCs w:val="21"/>
          <w:highlight w:val="none"/>
          <w:u w:val="single"/>
        </w:rPr>
        <w:t xml:space="preserve">       </w:t>
      </w:r>
      <w:r>
        <w:rPr>
          <w:rFonts w:hint="eastAsia" w:ascii="宋体" w:hAnsi="宋体"/>
          <w:szCs w:val="21"/>
          <w:highlight w:val="none"/>
        </w:rPr>
        <w:t>%计取。</w:t>
      </w:r>
    </w:p>
    <w:p w14:paraId="2A0A172D">
      <w:pPr>
        <w:ind w:firstLine="420" w:firstLineChars="200"/>
        <w:outlineLvl w:val="3"/>
        <w:rPr>
          <w:rFonts w:hint="eastAsia" w:ascii="宋体" w:hAnsi="宋体"/>
          <w:szCs w:val="21"/>
          <w:highlight w:val="none"/>
        </w:rPr>
      </w:pPr>
      <w:r>
        <w:rPr>
          <w:rFonts w:hint="eastAsia" w:ascii="宋体" w:hAnsi="宋体"/>
          <w:szCs w:val="21"/>
          <w:highlight w:val="none"/>
        </w:rPr>
        <w:t>6.1.1.4措施费用</w:t>
      </w:r>
    </w:p>
    <w:p w14:paraId="11D57C9C">
      <w:pPr>
        <w:ind w:firstLine="567" w:firstLineChars="270"/>
        <w:rPr>
          <w:rFonts w:hint="eastAsia" w:ascii="宋体" w:hAnsi="宋体"/>
          <w:szCs w:val="21"/>
          <w:highlight w:val="none"/>
        </w:rPr>
      </w:pPr>
      <w:r>
        <w:rPr>
          <w:rFonts w:hint="eastAsia" w:ascii="宋体" w:hAnsi="宋体"/>
          <w:szCs w:val="21"/>
          <w:highlight w:val="none"/>
        </w:rPr>
        <w:sym w:font="Wingdings 2" w:char="0052"/>
      </w:r>
      <w:r>
        <w:rPr>
          <w:rFonts w:hint="eastAsia" w:ascii="宋体" w:hAnsi="宋体"/>
          <w:szCs w:val="21"/>
          <w:highlight w:val="none"/>
        </w:rPr>
        <w:t>在勘察过程中需要发生的以下费用：修通至作业现场道路；水上作业用船、排、平台；砍树费用，均视已包含在本合同价内，甲方不再另行支付相关费用。</w:t>
      </w:r>
    </w:p>
    <w:p w14:paraId="25FFAC5A">
      <w:pPr>
        <w:spacing w:before="156" w:beforeLines="50"/>
        <w:ind w:firstLine="567" w:firstLineChars="270"/>
        <w:rPr>
          <w:rFonts w:hint="eastAsia" w:ascii="宋体" w:hAnsi="宋体"/>
          <w:szCs w:val="21"/>
          <w:highlight w:val="none"/>
        </w:rPr>
      </w:pPr>
      <w:r>
        <w:rPr>
          <w:rFonts w:hint="eastAsia" w:ascii="宋体" w:hAnsi="宋体"/>
          <w:szCs w:val="21"/>
          <w:highlight w:val="none"/>
        </w:rPr>
        <w:t>□在勘察过程中需要发生的以下费用：修通至作业现场道路；水上作业用船、排、平台；砍树费用。根据甲方或甲方授权单位确认的工作量，按照深圳市现行相关计价标准计算并按照6.1.1.1款下浮</w:t>
      </w:r>
      <w:r>
        <w:rPr>
          <w:rFonts w:hint="eastAsia" w:ascii="宋体" w:hAnsi="宋体"/>
          <w:szCs w:val="21"/>
          <w:highlight w:val="none"/>
          <w:u w:val="single"/>
        </w:rPr>
        <w:t xml:space="preserve">      </w:t>
      </w:r>
      <w:r>
        <w:rPr>
          <w:rFonts w:hint="eastAsia" w:ascii="宋体" w:hAnsi="宋体"/>
          <w:szCs w:val="21"/>
          <w:highlight w:val="none"/>
        </w:rPr>
        <w:t>%后计取。</w:t>
      </w:r>
      <w:r>
        <w:rPr>
          <w:rFonts w:hint="eastAsia" w:ascii="宋体" w:hAnsi="宋体"/>
          <w:i/>
          <w:szCs w:val="21"/>
          <w:highlight w:val="none"/>
        </w:rPr>
        <w:t>（说明：</w:t>
      </w:r>
      <w:r>
        <w:rPr>
          <w:rFonts w:hint="eastAsia"/>
          <w:i/>
          <w:szCs w:val="21"/>
          <w:highlight w:val="none"/>
        </w:rPr>
        <w:t>使用本条款，需报署招标会审议</w:t>
      </w:r>
      <w:r>
        <w:rPr>
          <w:rFonts w:hint="eastAsia" w:ascii="宋体" w:hAnsi="宋体"/>
          <w:i/>
          <w:szCs w:val="21"/>
          <w:highlight w:val="none"/>
        </w:rPr>
        <w:t>）</w:t>
      </w:r>
    </w:p>
    <w:p w14:paraId="770FA7C6">
      <w:pPr>
        <w:spacing w:before="156" w:beforeLines="50"/>
        <w:ind w:firstLine="567" w:firstLineChars="270"/>
        <w:rPr>
          <w:rFonts w:hint="eastAsia" w:ascii="宋体" w:hAnsi="宋体"/>
          <w:szCs w:val="21"/>
          <w:highlight w:val="none"/>
        </w:rPr>
      </w:pPr>
    </w:p>
    <w:p w14:paraId="050B243D">
      <w:pPr>
        <w:ind w:firstLine="420" w:firstLineChars="200"/>
        <w:rPr>
          <w:rFonts w:hint="eastAsia" w:ascii="宋体" w:hAnsi="宋体"/>
          <w:szCs w:val="21"/>
          <w:highlight w:val="none"/>
        </w:rPr>
      </w:pPr>
      <w:r>
        <w:rPr>
          <w:rFonts w:hint="eastAsia" w:ascii="宋体" w:hAnsi="宋体"/>
          <w:szCs w:val="21"/>
          <w:highlight w:val="none"/>
        </w:rPr>
        <w:t>6.1.2本合同费用视为已包括乙方按合同规定完成所有工作内容、所有勘察工作量、提供全套勘察测量、岩土工程设计成果文件、专家评审费、全部基础资料和后续服务的全部费用以及承担合同明示和暗示的一切风险、义务、责任等所发生的费用。乙方在勘察过程中发生以下费用，视为已包含在本合同价中，甲方不另行支付：办理工程勘察相关许可，以及购买有关资料费；土石方计算；拆除障碍物，开挖以及修复地下管线费；接通电源、水源以及平整场地费；勘察材料以及加工费；水上作业的水监费；勘察设备搬迁费；青苗、树木以及水域养殖物赔偿费；样品包装、样品运输费；</w:t>
      </w:r>
      <w:r>
        <w:rPr>
          <w:rFonts w:hint="eastAsia" w:ascii="宋体" w:hAnsi="宋体" w:cs="宋体"/>
          <w:kern w:val="0"/>
          <w:szCs w:val="21"/>
          <w:highlight w:val="none"/>
        </w:rPr>
        <w:t>水土保持费；勘察作业围挡费；</w:t>
      </w:r>
      <w:r>
        <w:rPr>
          <w:rFonts w:hint="eastAsia" w:ascii="宋体" w:hAnsi="宋体"/>
          <w:szCs w:val="21"/>
          <w:highlight w:val="none"/>
        </w:rPr>
        <w:t>成果编制费；管理费；利润、税金；超出《工程勘察收费标准》总则1.0.1条以外的其他服务收费等。</w:t>
      </w:r>
    </w:p>
    <w:p w14:paraId="7C47ABCF">
      <w:pPr>
        <w:ind w:firstLine="420" w:firstLineChars="200"/>
        <w:rPr>
          <w:rFonts w:hint="eastAsia" w:ascii="宋体" w:hAnsi="宋体"/>
          <w:szCs w:val="21"/>
          <w:highlight w:val="none"/>
        </w:rPr>
      </w:pPr>
      <w:r>
        <w:rPr>
          <w:rFonts w:hint="eastAsia" w:ascii="宋体" w:hAnsi="宋体"/>
          <w:szCs w:val="21"/>
          <w:highlight w:val="none"/>
        </w:rPr>
        <w:t>6.1.3 在合同实施期间，所有费用不随国家政策或法规、标准及市场因素的变化而进行调整。</w:t>
      </w:r>
    </w:p>
    <w:p w14:paraId="0F231970">
      <w:pPr>
        <w:ind w:firstLine="420" w:firstLineChars="200"/>
        <w:rPr>
          <w:rFonts w:hint="eastAsia" w:ascii="宋体" w:hAnsi="宋体"/>
          <w:szCs w:val="21"/>
          <w:highlight w:val="none"/>
        </w:rPr>
      </w:pPr>
      <w:r>
        <w:rPr>
          <w:rFonts w:hint="eastAsia" w:ascii="宋体" w:hAnsi="宋体"/>
          <w:szCs w:val="21"/>
          <w:highlight w:val="none"/>
        </w:rPr>
        <w:t>6.1.4 本合同价在签订合同时采取暂定方式，勘察费用以主体设计费的30%估算，其他费用估算在合同专用条款补充；该价格仅为便于合同费用的中间过程支付，不作为结算等其他事项的凭据或依据。</w:t>
      </w:r>
    </w:p>
    <w:p w14:paraId="18E8FB64">
      <w:pPr>
        <w:outlineLvl w:val="2"/>
        <w:rPr>
          <w:rFonts w:hint="eastAsia" w:ascii="黑体" w:hAnsi="宋体" w:eastAsia="黑体"/>
          <w:szCs w:val="21"/>
          <w:highlight w:val="none"/>
        </w:rPr>
      </w:pPr>
      <w:r>
        <w:rPr>
          <w:rFonts w:hint="eastAsia" w:ascii="黑体" w:hAnsi="宋体" w:eastAsia="黑体"/>
          <w:szCs w:val="21"/>
          <w:highlight w:val="none"/>
        </w:rPr>
        <w:t>6.2结算</w:t>
      </w:r>
    </w:p>
    <w:p w14:paraId="6AD668A0">
      <w:pPr>
        <w:ind w:firstLine="420" w:firstLineChars="200"/>
        <w:rPr>
          <w:rFonts w:hint="eastAsia" w:ascii="宋体" w:hAnsi="宋体"/>
          <w:szCs w:val="21"/>
          <w:highlight w:val="none"/>
        </w:rPr>
      </w:pPr>
      <w:r>
        <w:rPr>
          <w:rFonts w:hint="eastAsia" w:ascii="宋体" w:hAnsi="宋体"/>
          <w:szCs w:val="21"/>
          <w:highlight w:val="none"/>
        </w:rPr>
        <w:t>6.2.1合同结算价：工程勘察（含补充勘察）、测量、工程物探以及超前钻等费用根据甲方或甲方授权单位确认的工作量按6.1.1.1进行计算；岩土工程设计费用以项目概算批复中对应的岩土工程建筑安装费用为概算额按6.1.1.2进行计算；地质灾害评估需要发生的勘察测量以甲方或甲方授权单位确认的工作量按6.1.1.1进行计算。措施费用根据甲方或甲方授权单位确认的工作量，按照现行相关计价标准及6.1.1.4纳入结算。合同结算价=由上述几部分累加所得费用</w:t>
      </w:r>
      <w:r>
        <w:rPr>
          <w:rFonts w:ascii="Arial" w:hAnsi="Arial" w:cs="Arial"/>
          <w:szCs w:val="21"/>
          <w:highlight w:val="none"/>
        </w:rPr>
        <w:t>×</w:t>
      </w:r>
      <w:r>
        <w:rPr>
          <w:rFonts w:hint="eastAsia" w:ascii="宋体" w:hAnsi="宋体"/>
          <w:szCs w:val="21"/>
          <w:highlight w:val="none"/>
        </w:rPr>
        <w:t>（90%+履约绩效金比例）。</w:t>
      </w:r>
      <w:r>
        <w:rPr>
          <w:rFonts w:ascii="宋体" w:hAnsi="宋体"/>
          <w:szCs w:val="21"/>
          <w:highlight w:val="none"/>
        </w:rPr>
        <w:t>该价格需由乙方按结算要求报送资料至甲方，并经甲方审核直至双方确认。</w:t>
      </w:r>
    </w:p>
    <w:p w14:paraId="0CB1250F">
      <w:pPr>
        <w:ind w:firstLine="420" w:firstLineChars="200"/>
        <w:rPr>
          <w:rFonts w:hint="eastAsia" w:ascii="宋体" w:hAnsi="宋体"/>
          <w:szCs w:val="21"/>
          <w:highlight w:val="none"/>
        </w:rPr>
      </w:pPr>
      <w:r>
        <w:rPr>
          <w:rFonts w:hint="eastAsia" w:ascii="宋体" w:hAnsi="宋体"/>
          <w:szCs w:val="21"/>
          <w:highlight w:val="none"/>
        </w:rPr>
        <w:t>□ 6.2.2创优奖励条款 （说明：本条适用于合同估算价超过1000万元（含）的工程）</w:t>
      </w:r>
      <w:r>
        <w:rPr>
          <w:rFonts w:hint="eastAsia" w:ascii="宋体" w:hAnsi="宋体"/>
          <w:szCs w:val="21"/>
          <w:highlight w:val="none"/>
        </w:rPr>
        <w:br w:type="textWrapping"/>
      </w:r>
      <w:r>
        <w:rPr>
          <w:rFonts w:hint="eastAsia" w:ascii="宋体" w:hAnsi="宋体"/>
          <w:szCs w:val="21"/>
          <w:highlight w:val="none"/>
        </w:rPr>
        <w:t>鼓励开展工程勘察创优工作，推动勘察设计单位技术创新和技术进步，引导、鼓励勘察设计人员创作出更多的质量优、水平高、技术新、效益好的优秀工程勘察项目。获得广东省勘察设计行业协会优秀工程勘察设计奖，奖励合同结算价的2%；获得中国勘察设计协会优秀工程勘察设计奖或住房和城乡建设部全国优秀工程勘察设计奖，奖励合同结算价的3%。</w:t>
      </w:r>
    </w:p>
    <w:p w14:paraId="6E950ACB">
      <w:pPr>
        <w:ind w:firstLine="420" w:firstLineChars="200"/>
        <w:rPr>
          <w:rFonts w:ascii="宋体" w:hAnsi="宋体"/>
          <w:szCs w:val="21"/>
          <w:highlight w:val="none"/>
        </w:rPr>
      </w:pPr>
      <w:r>
        <w:rPr>
          <w:rFonts w:hint="eastAsia" w:ascii="宋体" w:hAnsi="宋体"/>
          <w:szCs w:val="21"/>
          <w:highlight w:val="none"/>
        </w:rPr>
        <w:t>6.2.3</w:t>
      </w:r>
      <w:r>
        <w:rPr>
          <w:rFonts w:ascii="宋体" w:hAnsi="宋体"/>
          <w:szCs w:val="21"/>
          <w:highlight w:val="none"/>
        </w:rPr>
        <w:t>合同审定价：即审计部门审定的</w:t>
      </w:r>
      <w:r>
        <w:rPr>
          <w:rFonts w:hint="eastAsia" w:ascii="宋体" w:hAnsi="宋体"/>
          <w:szCs w:val="21"/>
          <w:highlight w:val="none"/>
        </w:rPr>
        <w:t>勘察</w:t>
      </w:r>
      <w:r>
        <w:rPr>
          <w:rFonts w:ascii="宋体" w:hAnsi="宋体"/>
          <w:szCs w:val="21"/>
          <w:highlight w:val="none"/>
        </w:rPr>
        <w:t>设计收费；该价格由甲方按合同结算价报送审计部门，并经审计部门审定。合同审定价为甲方支付乙方费用的最终依据和上限。</w:t>
      </w:r>
    </w:p>
    <w:p w14:paraId="478B03FD">
      <w:pPr>
        <w:ind w:firstLine="105" w:firstLineChars="50"/>
        <w:jc w:val="center"/>
        <w:rPr>
          <w:rFonts w:hint="eastAsia" w:ascii="黑体" w:hAnsi="宋体" w:eastAsia="黑体"/>
          <w:szCs w:val="28"/>
          <w:highlight w:val="none"/>
        </w:rPr>
      </w:pPr>
    </w:p>
    <w:p w14:paraId="428D0DF4">
      <w:pPr>
        <w:outlineLvl w:val="1"/>
        <w:rPr>
          <w:rFonts w:hint="eastAsia" w:ascii="黑体" w:eastAsia="黑体"/>
          <w:b/>
          <w:bCs/>
          <w:szCs w:val="21"/>
          <w:highlight w:val="none"/>
        </w:rPr>
      </w:pPr>
      <w:r>
        <w:rPr>
          <w:rFonts w:hint="eastAsia" w:ascii="黑体" w:eastAsia="黑体"/>
          <w:b/>
          <w:bCs/>
          <w:szCs w:val="21"/>
          <w:highlight w:val="none"/>
        </w:rPr>
        <w:t>七、费用支付</w:t>
      </w:r>
    </w:p>
    <w:p w14:paraId="65538944">
      <w:pPr>
        <w:ind w:firstLine="420" w:firstLineChars="200"/>
        <w:rPr>
          <w:rFonts w:ascii="宋体" w:hAnsi="宋体"/>
          <w:szCs w:val="21"/>
          <w:highlight w:val="none"/>
        </w:rPr>
      </w:pPr>
      <w:r>
        <w:rPr>
          <w:rFonts w:hint="eastAsia" w:ascii="宋体" w:hAnsi="宋体" w:cs="宋体"/>
          <w:kern w:val="0"/>
          <w:szCs w:val="21"/>
          <w:highlight w:val="none"/>
        </w:rPr>
        <w:t>7.1勘察费包含基本勘察费和履约绩效金两部分，其中基本勘察费占90%，履约绩效金占10%。</w:t>
      </w:r>
      <w:r>
        <w:rPr>
          <w:rFonts w:hint="eastAsia" w:ascii="宋体" w:hAnsi="宋体" w:cs="宋体"/>
          <w:kern w:val="0"/>
          <w:szCs w:val="21"/>
          <w:highlight w:val="none"/>
        </w:rPr>
        <w:br w:type="textWrapping"/>
      </w:r>
      <w:r>
        <w:rPr>
          <w:rFonts w:hint="eastAsia" w:ascii="宋体" w:hAnsi="宋体" w:cs="宋体"/>
          <w:kern w:val="0"/>
          <w:szCs w:val="21"/>
          <w:highlight w:val="none"/>
        </w:rPr>
        <w:t>7.1.1勘察设计工作正常进行时，费用按阶段分期进行支付，具体步骤如下：</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(1) 完成勘察测量工作且成果经审查合格，支付合同暂定价的30%；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(2) 完成上述工作且岩土工程专项设计成果经审查合格，支付至该阶段合同暂定价的50%；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(3) 完成上述工作且岩土工程专项设计成果经审查合格，并取得概算批复后，支付至该阶段初步结算价的70%；                             </w:t>
      </w:r>
      <w:r>
        <w:rPr>
          <w:rFonts w:hint="eastAsia" w:ascii="宋体" w:hAnsi="宋体" w:cs="宋体"/>
          <w:kern w:val="0"/>
          <w:szCs w:val="21"/>
          <w:highlight w:val="none"/>
        </w:rPr>
        <w:br w:type="textWrapping"/>
      </w:r>
      <w:r>
        <w:rPr>
          <w:rFonts w:hint="eastAsia" w:ascii="宋体" w:hAnsi="宋体" w:cs="宋体"/>
          <w:kern w:val="0"/>
          <w:szCs w:val="21"/>
          <w:highlight w:val="none"/>
        </w:rPr>
        <w:t>(4) 基础工程(有且不限于基坑、边坡支护、路基处理、桩基等工程)施工完成通过相关检测，支付至合同结算价的90%；</w:t>
      </w:r>
      <w:r>
        <w:rPr>
          <w:rFonts w:hint="eastAsia" w:ascii="宋体" w:hAnsi="宋体" w:cs="宋体"/>
          <w:kern w:val="0"/>
          <w:szCs w:val="21"/>
          <w:highlight w:val="none"/>
        </w:rPr>
        <w:br w:type="textWrapping"/>
      </w:r>
      <w:r>
        <w:rPr>
          <w:rFonts w:hint="eastAsia" w:ascii="宋体" w:hAnsi="宋体" w:cs="宋体"/>
          <w:kern w:val="0"/>
          <w:szCs w:val="21"/>
          <w:highlight w:val="none"/>
        </w:rPr>
        <w:t>(5) 工程竣工验收并经审计后按审定结果支付余额（若出现超付现象，乙方必须退还超付款项）</w:t>
      </w:r>
      <w:r>
        <w:rPr>
          <w:rFonts w:hint="eastAsia" w:ascii="宋体" w:hAnsi="宋体" w:cs="宋体"/>
          <w:kern w:val="0"/>
          <w:szCs w:val="21"/>
          <w:highlight w:val="none"/>
        </w:rPr>
        <w:br w:type="textWrapping"/>
      </w:r>
      <w:r>
        <w:rPr>
          <w:rFonts w:hint="eastAsia" w:ascii="宋体" w:hAnsi="宋体" w:cs="宋体"/>
          <w:kern w:val="0"/>
          <w:szCs w:val="21"/>
          <w:highlight w:val="none"/>
        </w:rPr>
        <w:t>7.1.2履约绩效金支付</w:t>
      </w:r>
      <w:r>
        <w:rPr>
          <w:rFonts w:hint="eastAsia" w:ascii="宋体" w:hAnsi="宋体" w:cs="宋体"/>
          <w:kern w:val="0"/>
          <w:szCs w:val="21"/>
          <w:highlight w:val="none"/>
        </w:rPr>
        <w:br w:type="textWrapping"/>
      </w:r>
      <w:r>
        <w:rPr>
          <w:rFonts w:hint="eastAsia" w:ascii="宋体" w:hAnsi="宋体"/>
          <w:szCs w:val="21"/>
          <w:highlight w:val="none"/>
        </w:rPr>
        <w:t>参照《龙岗区建筑工务署承包商履约评价管理办法》在竣工后对中标人完成履约评价，根据履约评价得分情况进行支付。最终履约评价结果分优秀、良好、中等、合格、不合格5档。</w:t>
      </w:r>
    </w:p>
    <w:p w14:paraId="0E9FFAF3">
      <w:pPr>
        <w:ind w:firstLine="420" w:firstLineChars="200"/>
        <w:rPr>
          <w:rFonts w:hint="eastAsia" w:ascii="宋体" w:hAnsi="宋体"/>
          <w:szCs w:val="21"/>
          <w:highlight w:val="none"/>
        </w:rPr>
      </w:pPr>
      <w:r>
        <w:rPr>
          <w:rFonts w:hint="eastAsia" w:ascii="宋体" w:hAnsi="宋体"/>
          <w:szCs w:val="21"/>
          <w:highlight w:val="none"/>
        </w:rPr>
        <w:t>（1）履约评价为优秀，支付100%履约绩效金。</w:t>
      </w:r>
    </w:p>
    <w:p w14:paraId="003BB415">
      <w:pPr>
        <w:ind w:firstLine="420" w:firstLineChars="200"/>
        <w:rPr>
          <w:rFonts w:hint="eastAsia" w:ascii="宋体" w:hAnsi="宋体"/>
          <w:szCs w:val="21"/>
          <w:highlight w:val="none"/>
        </w:rPr>
      </w:pPr>
      <w:r>
        <w:rPr>
          <w:rFonts w:hint="eastAsia" w:ascii="宋体" w:hAnsi="宋体"/>
          <w:szCs w:val="21"/>
          <w:highlight w:val="none"/>
        </w:rPr>
        <w:t>（2）履约评价为良好，支付100%履约绩效金。</w:t>
      </w:r>
    </w:p>
    <w:p w14:paraId="77390ECC">
      <w:pPr>
        <w:ind w:firstLine="420" w:firstLineChars="200"/>
        <w:rPr>
          <w:rFonts w:hint="eastAsia" w:ascii="宋体" w:hAnsi="宋体"/>
          <w:szCs w:val="21"/>
          <w:highlight w:val="none"/>
        </w:rPr>
      </w:pPr>
      <w:r>
        <w:rPr>
          <w:rFonts w:hint="eastAsia" w:ascii="宋体" w:hAnsi="宋体"/>
          <w:szCs w:val="21"/>
          <w:highlight w:val="none"/>
        </w:rPr>
        <w:t>（3）履约评价为中等，支付80%履约绩效金。</w:t>
      </w:r>
    </w:p>
    <w:p w14:paraId="78FC99BF">
      <w:pPr>
        <w:ind w:firstLine="420" w:firstLineChars="200"/>
        <w:rPr>
          <w:rFonts w:hint="eastAsia" w:ascii="宋体" w:hAnsi="宋体"/>
          <w:szCs w:val="21"/>
          <w:highlight w:val="none"/>
        </w:rPr>
      </w:pPr>
      <w:r>
        <w:rPr>
          <w:rFonts w:hint="eastAsia" w:ascii="宋体" w:hAnsi="宋体"/>
          <w:szCs w:val="21"/>
          <w:highlight w:val="none"/>
        </w:rPr>
        <w:t>（4）履约评价为合格，支付60%履约绩效金。</w:t>
      </w:r>
    </w:p>
    <w:p w14:paraId="7393A358">
      <w:pPr>
        <w:ind w:firstLine="420" w:firstLineChars="200"/>
        <w:rPr>
          <w:rFonts w:hint="eastAsia" w:ascii="宋体" w:hAnsi="宋体"/>
          <w:szCs w:val="21"/>
          <w:highlight w:val="none"/>
        </w:rPr>
      </w:pPr>
      <w:r>
        <w:rPr>
          <w:rFonts w:hint="eastAsia" w:ascii="宋体" w:hAnsi="宋体"/>
          <w:szCs w:val="21"/>
          <w:highlight w:val="none"/>
        </w:rPr>
        <w:t>（5）履约评价为不合格，不支付履约绩效金。</w:t>
      </w:r>
    </w:p>
    <w:p w14:paraId="2BDE8F40">
      <w:pPr>
        <w:ind w:firstLine="420" w:firstLineChars="200"/>
        <w:rPr>
          <w:rFonts w:hint="eastAsia" w:ascii="宋体" w:hAnsi="宋体" w:cs="宋体"/>
          <w:kern w:val="0"/>
          <w:szCs w:val="21"/>
          <w:highlight w:val="none"/>
        </w:rPr>
      </w:pPr>
      <w:r>
        <w:rPr>
          <w:rFonts w:hint="eastAsia" w:ascii="宋体" w:hAnsi="宋体"/>
          <w:szCs w:val="21"/>
          <w:highlight w:val="none"/>
        </w:rPr>
        <w:t>在合同履行过程中，甲方根据合同约定所扣除的各项罚金、违约金、赔偿等，在最终合同结算金额中需予以扣除。</w:t>
      </w:r>
    </w:p>
    <w:p w14:paraId="6A1C3934">
      <w:pPr>
        <w:ind w:firstLine="420" w:firstLineChars="200"/>
        <w:rPr>
          <w:rFonts w:ascii="宋体" w:hAnsi="宋体"/>
          <w:szCs w:val="21"/>
          <w:highlight w:val="none"/>
        </w:rPr>
      </w:pPr>
      <w:r>
        <w:rPr>
          <w:rFonts w:hint="eastAsia" w:ascii="宋体" w:hAnsi="宋体"/>
          <w:szCs w:val="21"/>
          <w:highlight w:val="none"/>
        </w:rPr>
        <w:t>7.2</w:t>
      </w:r>
      <w:r>
        <w:rPr>
          <w:rFonts w:hint="eastAsia" w:ascii="宋体" w:hAnsi="宋体"/>
          <w:b/>
          <w:bCs/>
          <w:szCs w:val="21"/>
          <w:highlight w:val="none"/>
        </w:rPr>
        <w:t>为加强政府投资工程资金管理，发包人可指定项目所在地的非独立法人分支机构收款及开具税务发票。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14:paraId="3B8FB946">
      <w:pPr>
        <w:ind w:firstLine="420" w:firstLineChars="200"/>
        <w:rPr>
          <w:rFonts w:hint="eastAsia" w:ascii="宋体" w:hAnsi="宋体"/>
          <w:szCs w:val="21"/>
          <w:highlight w:val="none"/>
        </w:rPr>
      </w:pPr>
      <w:r>
        <w:rPr>
          <w:rFonts w:hint="eastAsia" w:ascii="宋体" w:hAnsi="宋体"/>
          <w:szCs w:val="21"/>
          <w:highlight w:val="none"/>
        </w:rPr>
        <w:t>7.3</w:t>
      </w:r>
      <w:r>
        <w:rPr>
          <w:rFonts w:ascii="宋体" w:hAnsi="宋体"/>
          <w:szCs w:val="21"/>
          <w:highlight w:val="none"/>
        </w:rPr>
        <w:t>乙方在</w:t>
      </w:r>
      <w:r>
        <w:rPr>
          <w:rFonts w:hint="eastAsia" w:ascii="宋体" w:hAnsi="宋体"/>
          <w:szCs w:val="21"/>
          <w:highlight w:val="none"/>
        </w:rPr>
        <w:t>深圳市财政委员会</w:t>
      </w:r>
      <w:r>
        <w:rPr>
          <w:rFonts w:ascii="宋体" w:hAnsi="宋体"/>
          <w:szCs w:val="21"/>
          <w:highlight w:val="none"/>
        </w:rPr>
        <w:t>网站</w:t>
      </w:r>
      <w:r>
        <w:rPr>
          <w:rFonts w:ascii="宋体" w:hAnsi="宋体"/>
          <w:szCs w:val="21"/>
          <w:highlight w:val="none"/>
        </w:rPr>
        <w:fldChar w:fldCharType="begin"/>
      </w:r>
      <w:r>
        <w:rPr>
          <w:rFonts w:ascii="宋体" w:hAnsi="宋体"/>
          <w:szCs w:val="21"/>
          <w:highlight w:val="none"/>
        </w:rPr>
        <w:instrText xml:space="preserve"> HYPERLINK "http://www.szfb.gov.cn" </w:instrText>
      </w:r>
      <w:r>
        <w:rPr>
          <w:rFonts w:ascii="宋体" w:hAnsi="宋体"/>
          <w:szCs w:val="21"/>
          <w:highlight w:val="none"/>
        </w:rPr>
        <w:fldChar w:fldCharType="separate"/>
      </w:r>
      <w:r>
        <w:rPr>
          <w:highlight w:val="none"/>
        </w:rPr>
        <w:t>http://</w:t>
      </w:r>
      <w:r>
        <w:rPr>
          <w:rFonts w:hint="eastAsia"/>
          <w:highlight w:val="none"/>
        </w:rPr>
        <w:t>www.szfb.gov.cn</w:t>
      </w:r>
      <w:r>
        <w:rPr>
          <w:rFonts w:ascii="宋体" w:hAnsi="宋体"/>
          <w:szCs w:val="21"/>
          <w:highlight w:val="none"/>
        </w:rPr>
        <w:fldChar w:fldCharType="end"/>
      </w:r>
      <w:r>
        <w:rPr>
          <w:rFonts w:ascii="宋体" w:hAnsi="宋体"/>
          <w:szCs w:val="21"/>
          <w:highlight w:val="none"/>
        </w:rPr>
        <w:t>下载《深圳市基本建设收款单位银行账户信息表》填写后，连同中标通知书提交甲方综合财务科。乙方在申请支付进度款时须提供《拨付款申请表》，表述工作进度情况、合同约定的付款条件、以往已经收到该项目款项金额、本次申请金额等要点。</w:t>
      </w:r>
    </w:p>
    <w:p w14:paraId="75C76007">
      <w:pPr>
        <w:ind w:firstLine="420" w:firstLineChars="200"/>
        <w:outlineLvl w:val="2"/>
        <w:rPr>
          <w:rFonts w:ascii="宋体" w:hAnsi="宋体"/>
          <w:szCs w:val="21"/>
          <w:highlight w:val="none"/>
        </w:rPr>
      </w:pPr>
      <w:r>
        <w:rPr>
          <w:rFonts w:hint="eastAsia" w:ascii="宋体" w:hAnsi="宋体"/>
          <w:szCs w:val="21"/>
          <w:highlight w:val="none"/>
        </w:rPr>
        <w:t>7.4</w:t>
      </w:r>
      <w:r>
        <w:rPr>
          <w:rFonts w:ascii="宋体" w:hAnsi="宋体"/>
          <w:szCs w:val="21"/>
          <w:highlight w:val="none"/>
        </w:rPr>
        <w:t>乙方违约金支付</w:t>
      </w:r>
    </w:p>
    <w:p w14:paraId="3EA955F8">
      <w:pPr>
        <w:ind w:firstLine="420" w:firstLineChars="200"/>
        <w:rPr>
          <w:rFonts w:hint="eastAsia" w:ascii="宋体" w:hAnsi="宋体"/>
          <w:szCs w:val="21"/>
          <w:highlight w:val="none"/>
        </w:rPr>
      </w:pPr>
      <w:r>
        <w:rPr>
          <w:rFonts w:hint="eastAsia" w:ascii="宋体" w:hAnsi="宋体"/>
          <w:szCs w:val="21"/>
          <w:highlight w:val="none"/>
        </w:rPr>
        <w:t>7.4.1违约金及赔偿金应由乙方在相应事件发生后5个工作日内完成对甲方的支付；该金额不纳入结算，不通过在合同结算价中予以扣减的方式进行支付；</w:t>
      </w:r>
    </w:p>
    <w:p w14:paraId="0FDDA9F3">
      <w:pPr>
        <w:ind w:firstLine="420" w:firstLineChars="200"/>
        <w:rPr>
          <w:rFonts w:hint="eastAsia" w:ascii="宋体" w:hAnsi="宋体"/>
          <w:szCs w:val="21"/>
          <w:highlight w:val="none"/>
        </w:rPr>
      </w:pPr>
      <w:r>
        <w:rPr>
          <w:rFonts w:hint="eastAsia" w:ascii="宋体" w:hAnsi="宋体"/>
          <w:szCs w:val="21"/>
          <w:highlight w:val="none"/>
        </w:rPr>
        <w:t>7.4.2若乙方不按上述要求支付违约金及赔偿金，甲方可按该金额的2倍在支付时予以扣减。</w:t>
      </w:r>
    </w:p>
    <w:p w14:paraId="75D5E3FC">
      <w:pPr>
        <w:ind w:firstLine="420" w:firstLineChars="200"/>
        <w:rPr>
          <w:rFonts w:hint="eastAsia" w:ascii="宋体" w:hAnsi="宋体"/>
          <w:szCs w:val="21"/>
          <w:highlight w:val="none"/>
        </w:rPr>
      </w:pPr>
      <w:r>
        <w:rPr>
          <w:rFonts w:hint="eastAsia" w:ascii="宋体" w:hAnsi="宋体"/>
          <w:szCs w:val="21"/>
          <w:highlight w:val="none"/>
        </w:rPr>
        <w:t>7.5 甲方付款时，如遇财政国库结算等特殊时期，最终付款按照财政有关规定执行，乙方应予以理解和配合。此时，出现付款延退支付的情况不视为甲方违约。</w:t>
      </w:r>
    </w:p>
    <w:p w14:paraId="6A78D793">
      <w:pPr>
        <w:ind w:left="525" w:hanging="525" w:hangingChars="250"/>
        <w:rPr>
          <w:rFonts w:hint="eastAsia" w:ascii="宋体" w:hAnsi="宋体"/>
          <w:szCs w:val="21"/>
          <w:highlight w:val="none"/>
        </w:rPr>
      </w:pPr>
    </w:p>
    <w:p w14:paraId="53754D3E">
      <w:pPr>
        <w:outlineLvl w:val="1"/>
        <w:rPr>
          <w:rFonts w:hint="eastAsia" w:ascii="黑体" w:eastAsia="黑体"/>
          <w:b/>
          <w:bCs/>
          <w:szCs w:val="21"/>
          <w:highlight w:val="none"/>
        </w:rPr>
      </w:pPr>
      <w:r>
        <w:rPr>
          <w:rFonts w:hint="eastAsia" w:ascii="黑体" w:eastAsia="黑体"/>
          <w:b/>
          <w:bCs/>
          <w:szCs w:val="21"/>
          <w:highlight w:val="none"/>
        </w:rPr>
        <w:t>八、双方代表</w:t>
      </w:r>
    </w:p>
    <w:p w14:paraId="7FE0733F">
      <w:pPr>
        <w:rPr>
          <w:rFonts w:hint="eastAsia" w:ascii="宋体" w:hAnsi="宋体"/>
          <w:szCs w:val="21"/>
          <w:highlight w:val="none"/>
        </w:rPr>
      </w:pPr>
      <w:r>
        <w:rPr>
          <w:rFonts w:hint="eastAsia" w:ascii="宋体" w:hAnsi="宋体"/>
          <w:szCs w:val="21"/>
          <w:highlight w:val="none"/>
        </w:rPr>
        <w:t>8.1 甲、乙双方均应派遣合格代表进行项目管理与接洽，共同促进项目建设。</w:t>
      </w:r>
    </w:p>
    <w:p w14:paraId="06CE8A77">
      <w:pPr>
        <w:rPr>
          <w:rFonts w:hint="eastAsia" w:ascii="宋体" w:hAnsi="宋体"/>
          <w:szCs w:val="21"/>
          <w:highlight w:val="none"/>
        </w:rPr>
      </w:pPr>
      <w:r>
        <w:rPr>
          <w:rFonts w:hint="eastAsia" w:ascii="宋体" w:hAnsi="宋体"/>
          <w:szCs w:val="21"/>
          <w:highlight w:val="none"/>
        </w:rPr>
        <w:t>8.2 双方代表应在其授权范围内开展工作，并正确反映问题、陈述己方意见。若更换该代表或变更其授权时，应提前</w:t>
      </w:r>
      <w:r>
        <w:rPr>
          <w:rFonts w:ascii="宋体" w:hAnsi="宋体"/>
          <w:szCs w:val="21"/>
          <w:highlight w:val="none"/>
        </w:rPr>
        <w:t>7</w:t>
      </w:r>
      <w:r>
        <w:rPr>
          <w:rFonts w:hint="eastAsia" w:ascii="宋体" w:hAnsi="宋体"/>
          <w:szCs w:val="21"/>
          <w:highlight w:val="none"/>
        </w:rPr>
        <w:t>天通知对方。</w:t>
      </w:r>
    </w:p>
    <w:p w14:paraId="12B75CE5">
      <w:pPr>
        <w:rPr>
          <w:rFonts w:hint="eastAsia" w:ascii="黑体" w:eastAsia="黑体"/>
          <w:b/>
          <w:bCs/>
          <w:szCs w:val="21"/>
          <w:highlight w:val="none"/>
        </w:rPr>
      </w:pPr>
    </w:p>
    <w:p w14:paraId="3364CB1F">
      <w:pPr>
        <w:outlineLvl w:val="1"/>
        <w:rPr>
          <w:rFonts w:hint="eastAsia" w:ascii="黑体" w:eastAsia="黑体"/>
          <w:b/>
          <w:bCs/>
          <w:szCs w:val="21"/>
          <w:highlight w:val="none"/>
        </w:rPr>
      </w:pPr>
      <w:r>
        <w:rPr>
          <w:rFonts w:hint="eastAsia" w:ascii="黑体" w:eastAsia="黑体"/>
          <w:b/>
          <w:bCs/>
          <w:szCs w:val="21"/>
          <w:highlight w:val="none"/>
        </w:rPr>
        <w:t>九、甲方的权利和义务</w:t>
      </w:r>
    </w:p>
    <w:p w14:paraId="4429410E">
      <w:pPr>
        <w:outlineLvl w:val="2"/>
        <w:rPr>
          <w:rFonts w:hint="eastAsia" w:ascii="宋体" w:hAnsi="宋体"/>
          <w:szCs w:val="21"/>
          <w:highlight w:val="none"/>
        </w:rPr>
      </w:pPr>
      <w:r>
        <w:rPr>
          <w:rFonts w:hint="eastAsia" w:ascii="宋体" w:hAnsi="宋体"/>
          <w:szCs w:val="21"/>
          <w:highlight w:val="none"/>
        </w:rPr>
        <w:t>9.1  提供与本合同勘察及岩土工程设计有关的基础资料。</w:t>
      </w:r>
    </w:p>
    <w:p w14:paraId="0F579BA0">
      <w:pPr>
        <w:rPr>
          <w:rFonts w:hint="eastAsia" w:ascii="宋体" w:hAnsi="宋体"/>
          <w:szCs w:val="21"/>
          <w:highlight w:val="none"/>
        </w:rPr>
      </w:pPr>
      <w:r>
        <w:rPr>
          <w:rFonts w:hint="eastAsia" w:ascii="宋体" w:hAnsi="宋体"/>
          <w:szCs w:val="21"/>
          <w:highlight w:val="none"/>
        </w:rPr>
        <w:t>9.2  按本合同第七条规定，及时支付乙方费用，并对乙方履约情况进行监督与处罚。</w:t>
      </w:r>
    </w:p>
    <w:p w14:paraId="0C2462D4">
      <w:pPr>
        <w:ind w:left="525" w:hanging="525" w:hangingChars="250"/>
        <w:rPr>
          <w:rFonts w:hint="eastAsia" w:ascii="宋体" w:hAnsi="宋体"/>
          <w:szCs w:val="21"/>
          <w:highlight w:val="none"/>
        </w:rPr>
      </w:pPr>
      <w:r>
        <w:rPr>
          <w:rFonts w:hint="eastAsia" w:ascii="宋体" w:hAnsi="宋体"/>
          <w:szCs w:val="21"/>
          <w:highlight w:val="none"/>
        </w:rPr>
        <w:t>9.3  乙方提出现场钻探孔验收和项目地质勘察报告验收申请时，甲方应及时组织办理相应的验收手续。</w:t>
      </w:r>
    </w:p>
    <w:p w14:paraId="017D3851">
      <w:pPr>
        <w:rPr>
          <w:rFonts w:hint="eastAsia" w:ascii="宋体" w:hAnsi="宋体"/>
          <w:szCs w:val="21"/>
          <w:highlight w:val="none"/>
        </w:rPr>
      </w:pPr>
      <w:r>
        <w:rPr>
          <w:rFonts w:hint="eastAsia" w:ascii="宋体" w:hAnsi="宋体"/>
          <w:szCs w:val="21"/>
          <w:highlight w:val="none"/>
        </w:rPr>
        <w:t>9.4  指派专人与乙方保持密切联系，及时答复乙方提出的有关问题。</w:t>
      </w:r>
    </w:p>
    <w:p w14:paraId="4670845A">
      <w:pPr>
        <w:ind w:left="525" w:hanging="525" w:hangingChars="250"/>
        <w:rPr>
          <w:rFonts w:hint="eastAsia" w:ascii="宋体" w:hAnsi="宋体"/>
          <w:szCs w:val="21"/>
          <w:highlight w:val="none"/>
        </w:rPr>
      </w:pPr>
      <w:r>
        <w:rPr>
          <w:rFonts w:hint="eastAsia" w:ascii="宋体" w:hAnsi="宋体"/>
          <w:szCs w:val="21"/>
          <w:highlight w:val="none"/>
        </w:rPr>
        <w:t>9.5  甲方根据工程需要，提出本合同范围以外的与勘察测量及岩土工程设计相关的工作内容，乙方应予以执行，所发生费用，双方另行协商解决。</w:t>
      </w:r>
    </w:p>
    <w:p w14:paraId="3CFB80CA">
      <w:pPr>
        <w:ind w:left="525" w:hanging="525" w:hangingChars="250"/>
        <w:rPr>
          <w:rFonts w:hint="eastAsia" w:ascii="宋体" w:hAnsi="宋体"/>
          <w:szCs w:val="21"/>
          <w:highlight w:val="none"/>
        </w:rPr>
      </w:pPr>
      <w:r>
        <w:rPr>
          <w:rFonts w:hint="eastAsia" w:ascii="宋体" w:hAnsi="宋体"/>
          <w:szCs w:val="21"/>
          <w:highlight w:val="none"/>
        </w:rPr>
        <w:t>9.6  甲方有权根据工程需要，要求乙方自行抽查、校核或另行委托其他单位抽查、校核乙方的成果，若抽查、校核的部分成果不合格，乙方要承担相应费用及处罚。</w:t>
      </w:r>
    </w:p>
    <w:p w14:paraId="0DCA7C26">
      <w:pPr>
        <w:ind w:left="525" w:hanging="525" w:hangingChars="250"/>
        <w:rPr>
          <w:rFonts w:hint="eastAsia" w:ascii="宋体" w:hAnsi="宋体"/>
          <w:szCs w:val="21"/>
          <w:highlight w:val="none"/>
        </w:rPr>
      </w:pPr>
      <w:r>
        <w:rPr>
          <w:rFonts w:hint="eastAsia" w:ascii="宋体" w:hAnsi="宋体"/>
          <w:szCs w:val="21"/>
          <w:highlight w:val="none"/>
        </w:rPr>
        <w:t>9.7  甲方有权对乙方在本项目合同执行的全过程按甲方提供的“勘察合同履约情况表”施行履约评价，并根据评价结果进行表扬或处罚。处罚的方式包括但不限于：各类媒体上的通告、3个月至2年内暂停或限制投标人参与甲方主办的招投标活动、上报建设行政主管部门等。乙方不得以任何理由要求甲方对因履约评价对自身产生的不良后果承担责任。</w:t>
      </w:r>
    </w:p>
    <w:p w14:paraId="231B014F">
      <w:pPr>
        <w:tabs>
          <w:tab w:val="left" w:pos="1800"/>
        </w:tabs>
        <w:ind w:left="525" w:hanging="525" w:hangingChars="250"/>
        <w:rPr>
          <w:rFonts w:hint="eastAsia" w:ascii="宋体" w:hAnsi="宋体"/>
          <w:szCs w:val="21"/>
          <w:highlight w:val="none"/>
        </w:rPr>
      </w:pPr>
    </w:p>
    <w:p w14:paraId="3CF56BBD">
      <w:pPr>
        <w:outlineLvl w:val="1"/>
        <w:rPr>
          <w:rFonts w:hint="eastAsia" w:ascii="黑体" w:eastAsia="黑体"/>
          <w:b/>
          <w:bCs/>
          <w:szCs w:val="21"/>
          <w:highlight w:val="none"/>
        </w:rPr>
      </w:pPr>
      <w:r>
        <w:rPr>
          <w:rFonts w:hint="eastAsia" w:ascii="黑体" w:eastAsia="黑体"/>
          <w:b/>
          <w:bCs/>
          <w:szCs w:val="21"/>
          <w:highlight w:val="none"/>
        </w:rPr>
        <w:t>十、乙方的权利和义务</w:t>
      </w:r>
    </w:p>
    <w:p w14:paraId="3114D2E8">
      <w:pPr>
        <w:ind w:left="525" w:hanging="525" w:hangingChars="250"/>
        <w:rPr>
          <w:rFonts w:hint="eastAsia" w:ascii="宋体" w:hAnsi="宋体"/>
          <w:szCs w:val="21"/>
          <w:highlight w:val="none"/>
        </w:rPr>
      </w:pPr>
      <w:r>
        <w:rPr>
          <w:rFonts w:hint="eastAsia" w:ascii="宋体" w:hAnsi="宋体"/>
          <w:szCs w:val="21"/>
          <w:highlight w:val="none"/>
        </w:rPr>
        <w:t>10.1 乙方应根据本合同工程项目的具体情况，按项目地质勘察技术要求的规定及国家有关的技术规范、相关标准的规定，在合同规定的期限内完成本合同的地质勘察工作，并确保满足设计要求。</w:t>
      </w:r>
    </w:p>
    <w:p w14:paraId="183967BD">
      <w:pPr>
        <w:ind w:left="525" w:hanging="525" w:hangingChars="250"/>
        <w:rPr>
          <w:rFonts w:hint="eastAsia" w:ascii="宋体" w:hAnsi="宋体"/>
          <w:szCs w:val="21"/>
          <w:highlight w:val="none"/>
        </w:rPr>
      </w:pPr>
      <w:r>
        <w:rPr>
          <w:rFonts w:hint="eastAsia" w:ascii="宋体" w:hAnsi="宋体"/>
          <w:szCs w:val="21"/>
          <w:highlight w:val="none"/>
        </w:rPr>
        <w:t>10.2  乙方应在勘察过程中实行勘察日报，每日汇报勘察进展；遇到不良地质情况应及时反馈，以便采取相应的验收处理措施。</w:t>
      </w:r>
    </w:p>
    <w:p w14:paraId="66D58674">
      <w:pPr>
        <w:ind w:left="525" w:hanging="525" w:hangingChars="250"/>
        <w:rPr>
          <w:rFonts w:hint="eastAsia" w:ascii="宋体" w:hAnsi="宋体"/>
          <w:szCs w:val="21"/>
          <w:highlight w:val="none"/>
        </w:rPr>
      </w:pPr>
      <w:r>
        <w:rPr>
          <w:rFonts w:hint="eastAsia" w:ascii="宋体" w:hAnsi="宋体"/>
          <w:szCs w:val="21"/>
          <w:highlight w:val="none"/>
        </w:rPr>
        <w:t>10.3  乙方应根据甲方要求，分批、分阶段提供所需的阶段成果资料，合同期满后，再提供全部的工作成果文件。</w:t>
      </w:r>
    </w:p>
    <w:p w14:paraId="54B8EF00">
      <w:pPr>
        <w:ind w:left="525" w:hanging="525" w:hangingChars="250"/>
        <w:rPr>
          <w:rFonts w:hint="eastAsia" w:ascii="宋体" w:hAnsi="宋体"/>
          <w:szCs w:val="21"/>
          <w:highlight w:val="none"/>
        </w:rPr>
      </w:pPr>
      <w:r>
        <w:rPr>
          <w:rFonts w:hint="eastAsia" w:ascii="宋体" w:hAnsi="宋体"/>
          <w:szCs w:val="21"/>
          <w:highlight w:val="none"/>
        </w:rPr>
        <w:t>10.4  乙方应对地质勘察及岩土工程设计成果文件的准确性负责，甲方对乙方所做的验收或认可均不能免除或减轻合同规定的应由乙方承担的责任。合同履行完毕后，乙方有义务协助甲方完善属乙方职责范围内的相关工作。</w:t>
      </w:r>
    </w:p>
    <w:p w14:paraId="2AEACE4B">
      <w:pPr>
        <w:ind w:left="525" w:hanging="525" w:hangingChars="250"/>
        <w:rPr>
          <w:rFonts w:hint="eastAsia" w:ascii="宋体" w:hAnsi="宋体"/>
          <w:szCs w:val="21"/>
          <w:highlight w:val="none"/>
        </w:rPr>
      </w:pPr>
      <w:r>
        <w:rPr>
          <w:rFonts w:hint="eastAsia" w:ascii="宋体" w:hAnsi="宋体"/>
          <w:szCs w:val="21"/>
          <w:highlight w:val="none"/>
        </w:rPr>
        <w:t>10.5  对甲方提出的与本工程有关但本合同范围内未列明的与勘察测量、岩土工程设计、地质灾害等相关的工作内容，乙方应在甲方规定的时间内无条件执行，所发生的费用，纳入合同结算或另行协商解决。</w:t>
      </w:r>
    </w:p>
    <w:p w14:paraId="5A869A65">
      <w:pPr>
        <w:ind w:left="525" w:hanging="525" w:hangingChars="250"/>
        <w:rPr>
          <w:rFonts w:hint="eastAsia" w:ascii="宋体" w:hAnsi="宋体"/>
          <w:szCs w:val="21"/>
          <w:highlight w:val="none"/>
        </w:rPr>
      </w:pPr>
      <w:r>
        <w:rPr>
          <w:rFonts w:hint="eastAsia" w:ascii="宋体" w:hAnsi="宋体"/>
          <w:szCs w:val="21"/>
          <w:highlight w:val="none"/>
        </w:rPr>
        <w:t>10.6 乙方应配合甲方完成决算审计工作。乙方在接到甲方决算审计通知后，</w:t>
      </w:r>
      <w:r>
        <w:rPr>
          <w:rFonts w:hint="eastAsia" w:ascii="宋体" w:hAnsi="宋体"/>
          <w:szCs w:val="21"/>
          <w:highlight w:val="none"/>
          <w:u w:val="single"/>
        </w:rPr>
        <w:t xml:space="preserve"> 15</w:t>
      </w:r>
      <w:r>
        <w:rPr>
          <w:rFonts w:hint="eastAsia" w:ascii="宋体" w:hAnsi="宋体"/>
          <w:szCs w:val="21"/>
          <w:highlight w:val="none"/>
        </w:rPr>
        <w:t>个工作日内将审计工作要求的相关资料备齐送审，乙方如超时，甲方将对乙方进行履约评价记录。</w:t>
      </w:r>
    </w:p>
    <w:p w14:paraId="4338E57C">
      <w:pPr>
        <w:ind w:left="525" w:hanging="525" w:hangingChars="250"/>
        <w:outlineLvl w:val="2"/>
        <w:rPr>
          <w:rFonts w:hint="eastAsia" w:ascii="宋体" w:hAnsi="宋体"/>
          <w:szCs w:val="21"/>
          <w:highlight w:val="none"/>
        </w:rPr>
      </w:pPr>
      <w:r>
        <w:rPr>
          <w:rFonts w:hint="eastAsia" w:ascii="宋体" w:hAnsi="宋体"/>
          <w:szCs w:val="21"/>
          <w:highlight w:val="none"/>
        </w:rPr>
        <w:t>10.7、安全管理条款</w:t>
      </w:r>
    </w:p>
    <w:p w14:paraId="5BCA5568">
      <w:pPr>
        <w:ind w:left="525" w:hanging="525" w:hangingChars="250"/>
        <w:rPr>
          <w:rFonts w:hint="eastAsia" w:ascii="宋体" w:hAnsi="宋体"/>
          <w:szCs w:val="21"/>
          <w:highlight w:val="none"/>
        </w:rPr>
      </w:pPr>
      <w:r>
        <w:rPr>
          <w:rFonts w:hint="eastAsia" w:ascii="宋体" w:hAnsi="宋体"/>
          <w:szCs w:val="21"/>
          <w:highlight w:val="none"/>
        </w:rPr>
        <w:t>10.7.1乙方应遵守勘察工程安全生产有关管理规定，严格按照安全标准组织施工，承担由于自身安全措施不力造成事故的责任和因此产生的费用。</w:t>
      </w:r>
    </w:p>
    <w:p w14:paraId="293F8A11">
      <w:pPr>
        <w:ind w:left="525" w:hanging="525" w:hangingChars="250"/>
        <w:rPr>
          <w:rFonts w:hint="eastAsia" w:ascii="宋体" w:hAnsi="宋体"/>
          <w:szCs w:val="21"/>
          <w:highlight w:val="none"/>
        </w:rPr>
      </w:pPr>
      <w:r>
        <w:rPr>
          <w:rFonts w:hint="eastAsia" w:ascii="宋体" w:hAnsi="宋体"/>
          <w:szCs w:val="21"/>
          <w:highlight w:val="none"/>
        </w:rPr>
        <w:t>10.7.2乙方负责人为安全生产责任人，负责该工程项目的日常安全管理工作，严格遵守安全生产规章制度，并指定具有安全员资质人员负责监管安全施工作业。</w:t>
      </w:r>
    </w:p>
    <w:p w14:paraId="36B39C93">
      <w:pPr>
        <w:ind w:left="525" w:hanging="525" w:hangingChars="250"/>
        <w:rPr>
          <w:rFonts w:hint="eastAsia" w:ascii="宋体" w:hAnsi="宋体"/>
          <w:szCs w:val="21"/>
          <w:highlight w:val="none"/>
        </w:rPr>
      </w:pPr>
      <w:r>
        <w:rPr>
          <w:rFonts w:hint="eastAsia" w:ascii="宋体" w:hAnsi="宋体"/>
          <w:szCs w:val="21"/>
          <w:highlight w:val="none"/>
        </w:rPr>
        <w:t>10.7.3乙方应在设计文件中对项目的危险源情况进行辨识和梳理，并针对该项目后续施工的安全生产提出书面意见提交甲方。</w:t>
      </w:r>
    </w:p>
    <w:p w14:paraId="424E9D1A">
      <w:pPr>
        <w:ind w:firstLine="420" w:firstLineChars="200"/>
        <w:rPr>
          <w:rFonts w:hint="eastAsia" w:ascii="宋体" w:hAnsi="宋体"/>
          <w:szCs w:val="21"/>
          <w:highlight w:val="none"/>
        </w:rPr>
      </w:pPr>
    </w:p>
    <w:p w14:paraId="77796382">
      <w:pPr>
        <w:outlineLvl w:val="1"/>
        <w:rPr>
          <w:rFonts w:hint="eastAsia" w:ascii="黑体" w:eastAsia="黑体"/>
          <w:b/>
          <w:bCs/>
          <w:szCs w:val="21"/>
          <w:highlight w:val="none"/>
        </w:rPr>
      </w:pPr>
      <w:r>
        <w:rPr>
          <w:rFonts w:hint="eastAsia" w:ascii="黑体" w:eastAsia="黑体"/>
          <w:b/>
          <w:bCs/>
          <w:szCs w:val="21"/>
          <w:highlight w:val="none"/>
        </w:rPr>
        <w:t>十一、违约责任与奖惩</w:t>
      </w:r>
    </w:p>
    <w:p w14:paraId="52578547">
      <w:pPr>
        <w:outlineLvl w:val="2"/>
        <w:rPr>
          <w:rFonts w:hint="eastAsia" w:ascii="宋体" w:hAnsi="宋体"/>
          <w:szCs w:val="21"/>
          <w:highlight w:val="none"/>
        </w:rPr>
      </w:pPr>
      <w:r>
        <w:rPr>
          <w:rFonts w:hint="eastAsia" w:ascii="宋体" w:hAnsi="宋体"/>
          <w:szCs w:val="21"/>
          <w:highlight w:val="none"/>
        </w:rPr>
        <w:t>11.1  甲方违约</w:t>
      </w:r>
    </w:p>
    <w:p w14:paraId="0755AFC9">
      <w:pPr>
        <w:ind w:firstLine="420" w:firstLineChars="200"/>
        <w:rPr>
          <w:rFonts w:hint="eastAsia" w:ascii="宋体" w:hAnsi="宋体"/>
          <w:b/>
          <w:bCs/>
          <w:szCs w:val="21"/>
          <w:highlight w:val="none"/>
        </w:rPr>
      </w:pPr>
      <w:r>
        <w:rPr>
          <w:rFonts w:hint="eastAsia" w:ascii="宋体" w:hAnsi="宋体"/>
          <w:szCs w:val="21"/>
          <w:highlight w:val="none"/>
        </w:rPr>
        <w:t>11.1.1 本合同下所有付款均以政府财政或发改部门划拨款项到位后支付，出现付款延迟支付的情况，发包人无需承担支付利息等违约责任，设计人不要求发包人承担违约责任。</w:t>
      </w:r>
    </w:p>
    <w:p w14:paraId="1C18FDE6">
      <w:pPr>
        <w:ind w:firstLine="420" w:firstLineChars="200"/>
        <w:rPr>
          <w:rFonts w:hint="eastAsia" w:ascii="宋体" w:hAnsi="宋体"/>
          <w:szCs w:val="21"/>
          <w:highlight w:val="none"/>
        </w:rPr>
      </w:pPr>
      <w:r>
        <w:rPr>
          <w:rFonts w:hint="eastAsia" w:ascii="宋体" w:hAnsi="宋体"/>
          <w:szCs w:val="21"/>
          <w:highlight w:val="none"/>
        </w:rPr>
        <w:t>11.1.2 在合同履行期间，非因乙方的过错，甲方要求中止或解除合同，如果乙方尚未开始工作，甲方应补偿乙方实际发生的费用和工时费。如已开始工作且实际工作量价款少于已付的合同款，乙方不退还差额部分；如实际已完成工作量价款大于已付的合同款时，不足部分由甲方补齐。</w:t>
      </w:r>
    </w:p>
    <w:p w14:paraId="1515A94C">
      <w:pPr>
        <w:outlineLvl w:val="2"/>
        <w:rPr>
          <w:rFonts w:hint="eastAsia" w:ascii="宋体" w:hAnsi="宋体"/>
          <w:szCs w:val="21"/>
          <w:highlight w:val="none"/>
        </w:rPr>
      </w:pPr>
      <w:r>
        <w:rPr>
          <w:rFonts w:hint="eastAsia" w:ascii="宋体" w:hAnsi="宋体"/>
          <w:szCs w:val="21"/>
          <w:highlight w:val="none"/>
        </w:rPr>
        <w:t>11.2  乙方违约</w:t>
      </w:r>
    </w:p>
    <w:p w14:paraId="313D7B94">
      <w:pPr>
        <w:ind w:firstLine="420" w:firstLineChars="200"/>
        <w:rPr>
          <w:rFonts w:hint="eastAsia" w:ascii="宋体" w:hAnsi="宋体"/>
          <w:szCs w:val="21"/>
          <w:highlight w:val="none"/>
        </w:rPr>
      </w:pPr>
      <w:r>
        <w:rPr>
          <w:rFonts w:hint="eastAsia" w:ascii="宋体" w:hAnsi="宋体"/>
          <w:szCs w:val="21"/>
          <w:highlight w:val="none"/>
        </w:rPr>
        <w:t>11.2.1 乙方未按合同约定履行职责的，甲方有权要求乙方立即纠正并就因此而遭受的损失提出索赔，乙方收到甲方通知后五日内未予纠正的，甲方有权停付工程费并提出进一步索赔，直至解除合同关系。</w:t>
      </w:r>
    </w:p>
    <w:p w14:paraId="5427CCF3">
      <w:pPr>
        <w:ind w:firstLine="420" w:firstLineChars="200"/>
        <w:rPr>
          <w:rFonts w:hint="eastAsia" w:ascii="宋体" w:hAnsi="宋体"/>
          <w:szCs w:val="21"/>
          <w:highlight w:val="none"/>
        </w:rPr>
      </w:pPr>
      <w:r>
        <w:rPr>
          <w:rFonts w:hint="eastAsia" w:ascii="宋体" w:hAnsi="宋体"/>
          <w:szCs w:val="21"/>
          <w:highlight w:val="none"/>
        </w:rPr>
        <w:t>11.2.2乙方应对测量报告、地质勘察及岩土工程设计成果文件的准确性负责。每出现一次管线错漏按5000元/次的标准向甲方支付违约金。因勘察报告或岩土工程设计文件的错误而造成工程的任何损失，由乙方承担全部损失1</w:t>
      </w:r>
      <w:r>
        <w:rPr>
          <w:rFonts w:ascii="宋体" w:hAnsi="宋体"/>
          <w:szCs w:val="21"/>
          <w:highlight w:val="none"/>
        </w:rPr>
        <w:t>0</w:t>
      </w:r>
      <w:r>
        <w:rPr>
          <w:rFonts w:hint="eastAsia" w:ascii="宋体" w:hAnsi="宋体"/>
          <w:szCs w:val="21"/>
          <w:highlight w:val="none"/>
        </w:rPr>
        <w:t>%的赔偿责任。</w:t>
      </w:r>
    </w:p>
    <w:p w14:paraId="5D14D8BE">
      <w:pPr>
        <w:ind w:firstLine="420" w:firstLineChars="200"/>
        <w:rPr>
          <w:rFonts w:hint="eastAsia" w:ascii="宋体" w:hAnsi="宋体"/>
          <w:szCs w:val="21"/>
          <w:highlight w:val="none"/>
        </w:rPr>
      </w:pPr>
      <w:r>
        <w:rPr>
          <w:rFonts w:hint="eastAsia" w:ascii="宋体" w:hAnsi="宋体"/>
          <w:szCs w:val="21"/>
          <w:highlight w:val="none"/>
        </w:rPr>
        <w:t>11.2.3 乙方未按合同约定提交勘察及岩土工程设计成果文件的，每延迟一天，处以当期应支付费用每日千分之三计收违约金，违约金的限额为当期应支付工程费的数额。</w:t>
      </w:r>
    </w:p>
    <w:p w14:paraId="2377160F">
      <w:pPr>
        <w:ind w:firstLine="420" w:firstLineChars="200"/>
        <w:rPr>
          <w:rFonts w:hint="eastAsia" w:ascii="宋体" w:hAnsi="宋体"/>
          <w:szCs w:val="21"/>
          <w:highlight w:val="none"/>
        </w:rPr>
      </w:pPr>
      <w:r>
        <w:rPr>
          <w:rFonts w:hint="eastAsia" w:ascii="宋体" w:hAnsi="宋体"/>
          <w:szCs w:val="21"/>
          <w:highlight w:val="none"/>
        </w:rPr>
        <w:t>11.2.4 合同生效后，乙方如要求终止或解除合同，乙方应在三十日内双倍返还甲方已支付的合同款。</w:t>
      </w:r>
    </w:p>
    <w:p w14:paraId="395148A4">
      <w:pPr>
        <w:ind w:firstLine="420" w:firstLineChars="200"/>
        <w:rPr>
          <w:rFonts w:hint="eastAsia" w:ascii="宋体" w:hAnsi="宋体"/>
          <w:szCs w:val="21"/>
          <w:highlight w:val="none"/>
        </w:rPr>
      </w:pPr>
      <w:r>
        <w:rPr>
          <w:rFonts w:hint="eastAsia" w:ascii="宋体" w:hAnsi="宋体"/>
          <w:szCs w:val="21"/>
          <w:highlight w:val="none"/>
        </w:rPr>
        <w:t>11.2.5 乙方应按甲方要求参加在项目现场召开的工地例会，因故无法参加的应向甲方履行请假手续。每缺席一次且未履行请假手续按1000元/次的标准向甲方支付违约金。</w:t>
      </w:r>
    </w:p>
    <w:p w14:paraId="2E3BF19E">
      <w:pPr>
        <w:ind w:firstLine="420" w:firstLineChars="200"/>
        <w:rPr>
          <w:rFonts w:hint="eastAsia" w:ascii="宋体" w:hAnsi="宋体"/>
          <w:szCs w:val="21"/>
          <w:highlight w:val="none"/>
        </w:rPr>
      </w:pPr>
      <w:r>
        <w:rPr>
          <w:rFonts w:hint="eastAsia" w:ascii="宋体" w:hAnsi="宋体"/>
          <w:szCs w:val="21"/>
          <w:highlight w:val="none"/>
        </w:rPr>
        <w:t>11.2.6 乙方应及时完成设计变更图纸，未按时或未达到甲方要求的按2000元/次的标准向甲方支付违约金。</w:t>
      </w:r>
    </w:p>
    <w:p w14:paraId="44A9D077">
      <w:pPr>
        <w:ind w:firstLine="420" w:firstLineChars="200"/>
        <w:rPr>
          <w:rFonts w:hint="eastAsia" w:ascii="宋体" w:hAnsi="宋体"/>
          <w:szCs w:val="21"/>
          <w:highlight w:val="none"/>
        </w:rPr>
      </w:pPr>
      <w:r>
        <w:rPr>
          <w:rFonts w:hint="eastAsia" w:ascii="宋体" w:hAnsi="宋体"/>
          <w:szCs w:val="21"/>
          <w:highlight w:val="none"/>
        </w:rPr>
        <w:t>11.2.7乙方应做好水土保持工作，出现水土流失情况的，由乙方承担因水土流失对甲方或第三人造成的所有直接损失。除承担上述损失责任外，乙方还应按5000元/次的标准向甲方支付违约金。</w:t>
      </w:r>
    </w:p>
    <w:p w14:paraId="4AFCEA74">
      <w:pPr>
        <w:outlineLvl w:val="1"/>
        <w:rPr>
          <w:rFonts w:hint="eastAsia" w:ascii="黑体" w:eastAsia="黑体"/>
          <w:b/>
          <w:bCs/>
          <w:szCs w:val="21"/>
          <w:highlight w:val="none"/>
        </w:rPr>
      </w:pPr>
      <w:r>
        <w:rPr>
          <w:rFonts w:hint="eastAsia" w:ascii="黑体" w:eastAsia="黑体"/>
          <w:b/>
          <w:bCs/>
          <w:szCs w:val="21"/>
          <w:highlight w:val="none"/>
        </w:rPr>
        <w:t>十二、合同生效、变更、中止、解除和终止</w:t>
      </w:r>
    </w:p>
    <w:p w14:paraId="4373D5C2">
      <w:pPr>
        <w:rPr>
          <w:rFonts w:hint="eastAsia" w:ascii="宋体" w:hAnsi="宋体"/>
          <w:szCs w:val="21"/>
          <w:highlight w:val="none"/>
        </w:rPr>
      </w:pPr>
      <w:r>
        <w:rPr>
          <w:rFonts w:hint="eastAsia" w:ascii="宋体" w:hAnsi="宋体"/>
          <w:szCs w:val="21"/>
          <w:highlight w:val="none"/>
        </w:rPr>
        <w:t>12.1  本合同生效的时间以双方签署的协议书上注明的时间为准。</w:t>
      </w:r>
    </w:p>
    <w:p w14:paraId="2DDCB8C2">
      <w:pPr>
        <w:ind w:left="525" w:hanging="525" w:hangingChars="250"/>
        <w:rPr>
          <w:rFonts w:hint="eastAsia" w:ascii="宋体" w:hAnsi="宋体"/>
          <w:szCs w:val="21"/>
          <w:highlight w:val="none"/>
        </w:rPr>
      </w:pPr>
      <w:r>
        <w:rPr>
          <w:rFonts w:hint="eastAsia" w:ascii="宋体" w:hAnsi="宋体"/>
          <w:szCs w:val="21"/>
          <w:highlight w:val="none"/>
        </w:rPr>
        <w:t>12.2  对本合同条款的任何变更、修改或增减，应经双方协商同意并经双方法定代表人或授权代理人签署书面文件方为有效，作为本合同的组成部分。</w:t>
      </w:r>
    </w:p>
    <w:p w14:paraId="27B45E42">
      <w:pPr>
        <w:outlineLvl w:val="2"/>
        <w:rPr>
          <w:rFonts w:hint="eastAsia" w:ascii="宋体" w:hAnsi="宋体"/>
          <w:szCs w:val="21"/>
          <w:highlight w:val="none"/>
        </w:rPr>
      </w:pPr>
      <w:r>
        <w:rPr>
          <w:rFonts w:hint="eastAsia" w:ascii="宋体" w:hAnsi="宋体"/>
          <w:szCs w:val="21"/>
          <w:highlight w:val="none"/>
        </w:rPr>
        <w:t>12.3  双方协商一致，可以解除合同。</w:t>
      </w:r>
    </w:p>
    <w:p w14:paraId="7D64F9EE">
      <w:pPr>
        <w:ind w:left="525" w:hanging="525" w:hangingChars="250"/>
        <w:rPr>
          <w:rFonts w:hint="eastAsia" w:ascii="宋体" w:hAnsi="宋体"/>
          <w:szCs w:val="21"/>
          <w:highlight w:val="none"/>
        </w:rPr>
      </w:pPr>
      <w:r>
        <w:rPr>
          <w:rFonts w:hint="eastAsia" w:ascii="宋体" w:hAnsi="宋体"/>
          <w:szCs w:val="21"/>
          <w:highlight w:val="none"/>
        </w:rPr>
        <w:t>12.4  双方因不可抗力致使合同无法履行，任何一方可以解除合同。但解除方应同时提供其受不可抗力影响之证据。</w:t>
      </w:r>
    </w:p>
    <w:p w14:paraId="6CF5906C">
      <w:pPr>
        <w:rPr>
          <w:rFonts w:hint="eastAsia" w:ascii="黑体" w:hAnsi="宋体" w:eastAsia="黑体"/>
          <w:b/>
          <w:szCs w:val="21"/>
          <w:highlight w:val="none"/>
        </w:rPr>
      </w:pPr>
    </w:p>
    <w:p w14:paraId="4CAFDAD9">
      <w:pPr>
        <w:outlineLvl w:val="1"/>
        <w:rPr>
          <w:rFonts w:hint="eastAsia" w:ascii="黑体" w:eastAsia="黑体"/>
          <w:b/>
          <w:bCs/>
          <w:szCs w:val="21"/>
          <w:highlight w:val="none"/>
        </w:rPr>
      </w:pPr>
      <w:r>
        <w:rPr>
          <w:rFonts w:hint="eastAsia" w:ascii="黑体" w:eastAsia="黑体"/>
          <w:b/>
          <w:bCs/>
          <w:szCs w:val="21"/>
          <w:highlight w:val="none"/>
        </w:rPr>
        <w:t>十三、争议及解决</w:t>
      </w:r>
    </w:p>
    <w:p w14:paraId="73A431DB">
      <w:pPr>
        <w:ind w:left="525" w:hanging="525" w:hangingChars="250"/>
        <w:rPr>
          <w:rFonts w:ascii="宋体" w:hAnsi="宋体"/>
          <w:szCs w:val="21"/>
          <w:highlight w:val="none"/>
        </w:rPr>
      </w:pPr>
      <w:bookmarkStart w:id="19" w:name="_Toc297207338"/>
      <w:r>
        <w:rPr>
          <w:rFonts w:hint="eastAsia" w:ascii="宋体" w:hAnsi="宋体"/>
          <w:szCs w:val="21"/>
          <w:highlight w:val="none"/>
        </w:rPr>
        <w:t>13.1本合同争议解决方式由当事人在合同约定从下列两种方式中选择第（一）种</w:t>
      </w:r>
      <w:r>
        <w:rPr>
          <w:rFonts w:ascii="宋体" w:hAnsi="宋体"/>
          <w:szCs w:val="21"/>
          <w:highlight w:val="none"/>
        </w:rPr>
        <w:t>;</w:t>
      </w:r>
    </w:p>
    <w:p w14:paraId="69083EA1">
      <w:pPr>
        <w:ind w:left="525" w:hanging="525" w:hangingChars="250"/>
        <w:rPr>
          <w:rFonts w:ascii="宋体" w:hAnsi="宋体"/>
          <w:szCs w:val="21"/>
          <w:highlight w:val="none"/>
        </w:rPr>
      </w:pPr>
      <w:r>
        <w:rPr>
          <w:rFonts w:hint="eastAsia" w:ascii="宋体" w:hAnsi="宋体"/>
          <w:szCs w:val="21"/>
          <w:highlight w:val="none"/>
        </w:rPr>
        <w:t>（一）因履行本合同发生的争议，由当事人协商解决，协商不成的，提交深圳仲裁委员会进行仲裁</w:t>
      </w:r>
      <w:r>
        <w:rPr>
          <w:rFonts w:ascii="宋体" w:hAnsi="宋体"/>
          <w:szCs w:val="21"/>
          <w:highlight w:val="none"/>
        </w:rPr>
        <w:t>;</w:t>
      </w:r>
    </w:p>
    <w:p w14:paraId="2E68398B">
      <w:pPr>
        <w:ind w:left="525" w:hanging="525" w:hangingChars="250"/>
        <w:rPr>
          <w:rFonts w:ascii="宋体" w:hAnsi="宋体"/>
          <w:szCs w:val="21"/>
          <w:highlight w:val="none"/>
        </w:rPr>
      </w:pPr>
      <w:r>
        <w:rPr>
          <w:rFonts w:hint="eastAsia" w:ascii="宋体" w:hAnsi="宋体"/>
          <w:szCs w:val="21"/>
          <w:highlight w:val="none"/>
        </w:rPr>
        <w:t>（二）因履行本合同发生的争议，由当事人协商解决，协商不成的</w:t>
      </w:r>
      <w:r>
        <w:rPr>
          <w:rFonts w:ascii="宋体" w:hAnsi="宋体"/>
          <w:szCs w:val="21"/>
          <w:highlight w:val="none"/>
        </w:rPr>
        <w:t>,</w:t>
      </w:r>
      <w:r>
        <w:rPr>
          <w:rFonts w:hint="eastAsia" w:ascii="宋体" w:hAnsi="宋体"/>
          <w:szCs w:val="21"/>
          <w:highlight w:val="none"/>
        </w:rPr>
        <w:t>依法向人民法院诉讼。</w:t>
      </w:r>
    </w:p>
    <w:p w14:paraId="3C81BF2E">
      <w:pPr>
        <w:rPr>
          <w:rFonts w:hint="eastAsia" w:ascii="宋体" w:hAnsi="宋体"/>
          <w:szCs w:val="21"/>
          <w:highlight w:val="none"/>
        </w:rPr>
      </w:pPr>
      <w:r>
        <w:rPr>
          <w:rFonts w:ascii="宋体" w:hAnsi="宋体"/>
          <w:szCs w:val="21"/>
          <w:highlight w:val="none"/>
        </w:rPr>
        <w:br w:type="page"/>
      </w:r>
    </w:p>
    <w:p w14:paraId="3E6A6B33">
      <w:pPr>
        <w:pStyle w:val="5"/>
        <w:tabs>
          <w:tab w:val="clear" w:pos="720"/>
        </w:tabs>
        <w:spacing w:before="120" w:after="0" w:line="240" w:lineRule="auto"/>
        <w:jc w:val="center"/>
        <w:outlineLvl w:val="0"/>
        <w:rPr>
          <w:rFonts w:hint="eastAsia" w:ascii="黑体" w:hAnsi="宋体"/>
          <w:bCs w:val="0"/>
          <w:highlight w:val="none"/>
        </w:rPr>
      </w:pPr>
      <w:r>
        <w:rPr>
          <w:rFonts w:hint="eastAsia" w:ascii="黑体" w:hAnsi="宋体"/>
          <w:bCs w:val="0"/>
          <w:highlight w:val="none"/>
        </w:rPr>
        <w:t>第三部分 合同专用条款</w:t>
      </w:r>
      <w:bookmarkEnd w:id="19"/>
    </w:p>
    <w:p w14:paraId="402BC0DC">
      <w:pPr>
        <w:rPr>
          <w:rFonts w:hint="eastAsia"/>
          <w:highlight w:val="none"/>
        </w:rPr>
      </w:pPr>
    </w:p>
    <w:p w14:paraId="5F6D86C5">
      <w:pPr>
        <w:outlineLvl w:val="1"/>
        <w:rPr>
          <w:rFonts w:hint="eastAsia" w:ascii="黑体" w:eastAsia="黑体"/>
          <w:b/>
          <w:bCs/>
          <w:szCs w:val="21"/>
          <w:highlight w:val="none"/>
        </w:rPr>
      </w:pPr>
      <w:r>
        <w:rPr>
          <w:rFonts w:hint="eastAsia" w:ascii="黑体" w:eastAsia="黑体"/>
          <w:b/>
          <w:bCs/>
          <w:szCs w:val="21"/>
          <w:highlight w:val="none"/>
        </w:rPr>
        <w:t>四、工作内容及要求</w:t>
      </w:r>
    </w:p>
    <w:p w14:paraId="48697517">
      <w:pPr>
        <w:rPr>
          <w:rFonts w:hint="eastAsia" w:ascii="宋体" w:hAnsi="宋体"/>
          <w:szCs w:val="21"/>
          <w:highlight w:val="none"/>
        </w:rPr>
      </w:pPr>
      <w:r>
        <w:rPr>
          <w:rFonts w:hint="eastAsia" w:ascii="宋体" w:hAnsi="宋体"/>
          <w:szCs w:val="21"/>
          <w:highlight w:val="none"/>
        </w:rPr>
        <w:t>4.1本合同工作内容：</w:t>
      </w:r>
      <w:r>
        <w:rPr>
          <w:rFonts w:hint="eastAsia" w:ascii="宋体" w:hAnsi="宋体"/>
          <w:szCs w:val="21"/>
          <w:highlight w:val="none"/>
          <w:u w:val="single"/>
        </w:rPr>
        <w:t xml:space="preserve">  除合同通用条款4.1外，合同暂估价超过500万的，如需开展相关课题研究费，乙方不得拒绝，所需费用包含在合同总价中。通用条款4.1.2 不适用本合同。  </w:t>
      </w:r>
      <w:r>
        <w:rPr>
          <w:rFonts w:hint="eastAsia" w:ascii="宋体" w:hAnsi="宋体"/>
          <w:szCs w:val="21"/>
          <w:highlight w:val="none"/>
        </w:rPr>
        <w:t xml:space="preserve">  </w:t>
      </w:r>
    </w:p>
    <w:p w14:paraId="066F5D16">
      <w:pPr>
        <w:outlineLvl w:val="2"/>
        <w:rPr>
          <w:rFonts w:hint="eastAsia" w:ascii="宋体" w:hAnsi="宋体"/>
          <w:szCs w:val="21"/>
          <w:highlight w:val="none"/>
        </w:rPr>
      </w:pPr>
      <w:r>
        <w:rPr>
          <w:rFonts w:hint="eastAsia" w:ascii="宋体" w:hAnsi="宋体"/>
          <w:szCs w:val="21"/>
          <w:highlight w:val="none"/>
        </w:rPr>
        <w:t>4.2.2工作进度：</w:t>
      </w:r>
    </w:p>
    <w:p w14:paraId="1441A6C6">
      <w:pPr>
        <w:ind w:firstLine="420" w:firstLineChars="200"/>
        <w:rPr>
          <w:rFonts w:hint="eastAsia" w:ascii="宋体" w:hAnsi="宋体"/>
          <w:szCs w:val="21"/>
          <w:highlight w:val="none"/>
          <w:u w:val="single"/>
        </w:rPr>
      </w:pPr>
      <w:r>
        <w:rPr>
          <w:rFonts w:hint="eastAsia" w:ascii="宋体" w:hAnsi="宋体"/>
          <w:szCs w:val="21"/>
          <w:highlight w:val="none"/>
          <w:u w:val="single"/>
        </w:rPr>
        <w:t>4.2.2.1接到勘察测量任务书后</w:t>
      </w:r>
      <w:r>
        <w:rPr>
          <w:rFonts w:hint="eastAsia" w:ascii="宋体" w:hAnsi="宋体"/>
          <w:color w:val="FF0000"/>
          <w:szCs w:val="21"/>
          <w:highlight w:val="none"/>
          <w:u w:val="single"/>
          <w:lang w:eastAsia="zh-CN"/>
        </w:rPr>
        <w:t>3</w:t>
      </w:r>
      <w:r>
        <w:rPr>
          <w:rFonts w:hint="eastAsia" w:ascii="宋体" w:hAnsi="宋体"/>
          <w:color w:val="FF0000"/>
          <w:szCs w:val="21"/>
          <w:highlight w:val="none"/>
          <w:u w:val="single"/>
          <w:lang w:val="en-US" w:eastAsia="zh-CN"/>
        </w:rPr>
        <w:t>0</w:t>
      </w:r>
      <w:r>
        <w:rPr>
          <w:rFonts w:hint="eastAsia" w:ascii="宋体" w:hAnsi="宋体"/>
          <w:szCs w:val="21"/>
          <w:highlight w:val="none"/>
          <w:u w:val="single"/>
        </w:rPr>
        <w:t>天内完成工程勘察测量，并提交相应的报告。</w:t>
      </w:r>
    </w:p>
    <w:p w14:paraId="54315291">
      <w:pPr>
        <w:ind w:firstLine="420" w:firstLineChars="200"/>
        <w:rPr>
          <w:rFonts w:hint="eastAsia" w:ascii="宋体" w:hAnsi="宋体"/>
          <w:szCs w:val="21"/>
          <w:highlight w:val="none"/>
          <w:u w:val="single"/>
        </w:rPr>
      </w:pPr>
      <w:r>
        <w:rPr>
          <w:rFonts w:hint="eastAsia" w:ascii="宋体" w:hAnsi="宋体"/>
          <w:szCs w:val="21"/>
          <w:highlight w:val="none"/>
          <w:u w:val="single"/>
        </w:rPr>
        <w:t>4.2.2.2勘察结算资料在岩土工程(</w:t>
      </w:r>
      <w:r>
        <w:rPr>
          <w:rFonts w:hint="eastAsia" w:ascii="宋体" w:hAnsi="宋体" w:cs="宋体"/>
          <w:kern w:val="0"/>
          <w:szCs w:val="21"/>
          <w:highlight w:val="none"/>
          <w:u w:val="single"/>
        </w:rPr>
        <w:t>有且不限于基坑、边坡支护、路基处理、桩基等工程</w:t>
      </w:r>
      <w:r>
        <w:rPr>
          <w:rFonts w:hint="eastAsia" w:ascii="宋体" w:hAnsi="宋体"/>
          <w:szCs w:val="21"/>
          <w:highlight w:val="none"/>
          <w:u w:val="single"/>
        </w:rPr>
        <w:t>)施工完成并通过验收后30天报送甲方。</w:t>
      </w:r>
    </w:p>
    <w:p w14:paraId="24262319">
      <w:pPr>
        <w:outlineLvl w:val="3"/>
        <w:rPr>
          <w:rFonts w:hint="eastAsia" w:ascii="宋体" w:hAnsi="宋体"/>
          <w:szCs w:val="21"/>
          <w:highlight w:val="none"/>
          <w:u w:val="single"/>
        </w:rPr>
      </w:pPr>
      <w:r>
        <w:rPr>
          <w:rFonts w:hint="eastAsia" w:ascii="黑体" w:hAnsi="宋体" w:eastAsia="黑体"/>
          <w:szCs w:val="21"/>
          <w:highlight w:val="none"/>
        </w:rPr>
        <w:t>4.3具体要求</w:t>
      </w:r>
    </w:p>
    <w:p w14:paraId="1A23ECBD">
      <w:pPr>
        <w:rPr>
          <w:rFonts w:hint="eastAsia" w:ascii="黑体" w:hAnsi="宋体" w:eastAsia="黑体"/>
          <w:szCs w:val="21"/>
          <w:highlight w:val="none"/>
        </w:rPr>
      </w:pPr>
      <w:r>
        <w:rPr>
          <w:rFonts w:hint="eastAsia" w:ascii="宋体" w:hAnsi="宋体"/>
          <w:szCs w:val="21"/>
          <w:highlight w:val="none"/>
          <w:u w:val="single"/>
        </w:rPr>
        <w:t xml:space="preserve">通用条款4.3.2 不适用本合同。 </w:t>
      </w:r>
    </w:p>
    <w:p w14:paraId="1AA17996">
      <w:pPr>
        <w:rPr>
          <w:rFonts w:hint="eastAsia" w:ascii="黑体" w:hAnsi="宋体" w:eastAsia="黑体"/>
          <w:szCs w:val="21"/>
          <w:highlight w:val="none"/>
        </w:rPr>
      </w:pPr>
    </w:p>
    <w:p w14:paraId="3DFD5E54">
      <w:pPr>
        <w:outlineLvl w:val="1"/>
        <w:rPr>
          <w:rFonts w:hint="eastAsia" w:ascii="黑体" w:eastAsia="黑体"/>
          <w:b/>
          <w:bCs/>
          <w:szCs w:val="21"/>
          <w:highlight w:val="none"/>
        </w:rPr>
      </w:pPr>
      <w:r>
        <w:rPr>
          <w:rFonts w:hint="eastAsia" w:ascii="黑体" w:eastAsia="黑体"/>
          <w:b/>
          <w:bCs/>
          <w:szCs w:val="21"/>
          <w:highlight w:val="none"/>
        </w:rPr>
        <w:t>五、成果文件数量</w:t>
      </w:r>
    </w:p>
    <w:p w14:paraId="3052BF25">
      <w:pPr>
        <w:rPr>
          <w:rFonts w:hint="eastAsia" w:ascii="黑体" w:hAnsi="宋体" w:eastAsia="黑体"/>
          <w:szCs w:val="21"/>
          <w:highlight w:val="none"/>
          <w:u w:val="single"/>
        </w:rPr>
      </w:pPr>
      <w:r>
        <w:rPr>
          <w:rFonts w:hint="eastAsia" w:ascii="宋体" w:hAnsi="宋体"/>
          <w:szCs w:val="21"/>
          <w:highlight w:val="none"/>
          <w:u w:val="single"/>
        </w:rPr>
        <w:t xml:space="preserve"> 详见通用条款，其中5.2条不适用本合同。   </w:t>
      </w:r>
    </w:p>
    <w:p w14:paraId="5EC3FF62">
      <w:pPr>
        <w:rPr>
          <w:rFonts w:hint="eastAsia" w:ascii="黑体" w:hAnsi="宋体" w:eastAsia="黑体"/>
          <w:szCs w:val="21"/>
          <w:highlight w:val="none"/>
        </w:rPr>
      </w:pPr>
    </w:p>
    <w:p w14:paraId="353008E3">
      <w:pPr>
        <w:outlineLvl w:val="1"/>
        <w:rPr>
          <w:rFonts w:hint="eastAsia" w:ascii="黑体" w:eastAsia="黑体"/>
          <w:b/>
          <w:bCs/>
          <w:szCs w:val="21"/>
          <w:highlight w:val="none"/>
        </w:rPr>
      </w:pPr>
      <w:r>
        <w:rPr>
          <w:rFonts w:hint="eastAsia" w:ascii="黑体" w:eastAsia="黑体"/>
          <w:b/>
          <w:bCs/>
          <w:szCs w:val="21"/>
          <w:highlight w:val="none"/>
        </w:rPr>
        <w:t>六、合同价</w:t>
      </w:r>
    </w:p>
    <w:p w14:paraId="5889AB93">
      <w:pPr>
        <w:rPr>
          <w:rFonts w:hint="eastAsia" w:ascii="宋体" w:hAnsi="宋体"/>
          <w:szCs w:val="21"/>
          <w:highlight w:val="none"/>
        </w:rPr>
      </w:pPr>
      <w:r>
        <w:rPr>
          <w:rFonts w:hint="eastAsia" w:ascii="宋体" w:hAnsi="宋体"/>
          <w:szCs w:val="21"/>
          <w:highlight w:val="none"/>
        </w:rPr>
        <w:t>6.1.4合同暂定价：人民币</w:t>
      </w:r>
      <w:r>
        <w:rPr>
          <w:rFonts w:hint="eastAsia" w:ascii="宋体" w:hAnsi="宋体"/>
          <w:szCs w:val="21"/>
          <w:highlight w:val="none"/>
          <w:u w:val="single"/>
        </w:rPr>
        <w:t xml:space="preserve">        </w:t>
      </w:r>
      <w:r>
        <w:rPr>
          <w:rFonts w:hint="eastAsia" w:ascii="宋体" w:hAnsi="宋体"/>
          <w:szCs w:val="21"/>
          <w:highlight w:val="none"/>
        </w:rPr>
        <w:t>元 （大写：</w:t>
      </w:r>
      <w:r>
        <w:rPr>
          <w:rFonts w:hint="eastAsia" w:ascii="宋体" w:hAnsi="宋体"/>
          <w:szCs w:val="21"/>
          <w:highlight w:val="none"/>
          <w:u w:val="single"/>
        </w:rPr>
        <w:t xml:space="preserve">              </w:t>
      </w:r>
      <w:r>
        <w:rPr>
          <w:rFonts w:hint="eastAsia" w:ascii="宋体" w:hAnsi="宋体"/>
          <w:szCs w:val="21"/>
          <w:highlight w:val="none"/>
        </w:rPr>
        <w:t>），详细计算过程如下：</w:t>
      </w:r>
    </w:p>
    <w:p w14:paraId="6F2A5556">
      <w:pPr>
        <w:rPr>
          <w:rFonts w:ascii="宋体" w:hAnsi="宋体"/>
          <w:szCs w:val="21"/>
          <w:highlight w:val="none"/>
          <w:u w:val="single"/>
        </w:rPr>
      </w:pPr>
      <w:r>
        <w:rPr>
          <w:rFonts w:hint="eastAsia" w:ascii="宋体" w:hAnsi="宋体"/>
          <w:szCs w:val="21"/>
          <w:highlight w:val="none"/>
          <w:u w:val="single"/>
        </w:rPr>
        <w:t>勘察费：       万元</w:t>
      </w:r>
    </w:p>
    <w:p w14:paraId="3F1B116F">
      <w:pPr>
        <w:rPr>
          <w:rFonts w:ascii="宋体" w:hAnsi="宋体"/>
          <w:szCs w:val="21"/>
          <w:highlight w:val="none"/>
          <w:u w:val="single"/>
        </w:rPr>
      </w:pPr>
      <w:r>
        <w:rPr>
          <w:rFonts w:hint="eastAsia" w:ascii="宋体" w:hAnsi="宋体"/>
          <w:szCs w:val="21"/>
          <w:highlight w:val="none"/>
          <w:u w:val="single"/>
        </w:rPr>
        <w:t xml:space="preserve">地质灾害危险性评估费：       </w:t>
      </w:r>
      <w:r>
        <w:rPr>
          <w:rFonts w:ascii="宋体" w:hAnsi="宋体"/>
          <w:szCs w:val="21"/>
          <w:highlight w:val="none"/>
          <w:u w:val="single"/>
        </w:rPr>
        <w:t>万元</w:t>
      </w:r>
    </w:p>
    <w:p w14:paraId="5F45E7FF">
      <w:pPr>
        <w:rPr>
          <w:rFonts w:ascii="宋体" w:hAnsi="宋体"/>
          <w:szCs w:val="21"/>
          <w:highlight w:val="none"/>
          <w:u w:val="single"/>
        </w:rPr>
      </w:pPr>
      <w:r>
        <w:rPr>
          <w:rFonts w:hint="eastAsia" w:ascii="宋体" w:hAnsi="宋体"/>
          <w:szCs w:val="21"/>
          <w:highlight w:val="none"/>
          <w:u w:val="single"/>
        </w:rPr>
        <w:t xml:space="preserve">（勘察费+地质灾害危险性评估费）*（1-投标下浮率）=    万元 </w:t>
      </w:r>
    </w:p>
    <w:p w14:paraId="6A4E229F">
      <w:pPr>
        <w:rPr>
          <w:rFonts w:ascii="宋体" w:hAnsi="宋体"/>
          <w:szCs w:val="21"/>
          <w:highlight w:val="none"/>
          <w:u w:val="single"/>
        </w:rPr>
      </w:pPr>
      <w:r>
        <w:rPr>
          <w:rFonts w:hint="eastAsia" w:ascii="宋体" w:hAnsi="宋体"/>
          <w:szCs w:val="21"/>
          <w:highlight w:val="none"/>
          <w:u w:val="single"/>
        </w:rPr>
        <w:t>6.2.1结算：①勘察、测量等费用根据甲方或甲方授权单位确认的工程量，按照《工程勘察设计收费标准》2002年修订本(计价格[2002]10号)（以下简称“02标准”）计算并下浮</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后计取；但其中:a. 超前钻费用按照120元/米的固定综合单价进行计算；b.工程勘察的复杂程度根据项目的实际情况按《工程勘察设计收费标准》(计价格[2002]10号)规定选取。c.</w:t>
      </w:r>
      <w:r>
        <w:rPr>
          <w:rFonts w:hint="eastAsia" w:ascii="宋体" w:hAnsi="宋体"/>
          <w:szCs w:val="21"/>
          <w:highlight w:val="none"/>
          <w:u w:val="single"/>
          <w:lang w:val="en-US" w:eastAsia="zh-CN"/>
        </w:rPr>
        <w:t>勘察费</w:t>
      </w:r>
      <w:r>
        <w:rPr>
          <w:rFonts w:hint="eastAsia" w:ascii="宋体" w:hAnsi="宋体"/>
          <w:szCs w:val="21"/>
          <w:highlight w:val="none"/>
          <w:u w:val="single"/>
        </w:rPr>
        <w:t>结算金额不超过概算批复勘察费。</w:t>
      </w:r>
    </w:p>
    <w:p w14:paraId="36932A73">
      <w:pPr>
        <w:rPr>
          <w:rFonts w:ascii="宋体" w:hAnsi="宋体"/>
          <w:szCs w:val="21"/>
          <w:highlight w:val="none"/>
          <w:u w:val="single"/>
        </w:rPr>
      </w:pPr>
      <w:r>
        <w:rPr>
          <w:rFonts w:hint="eastAsia" w:ascii="宋体" w:hAnsi="宋体"/>
          <w:szCs w:val="21"/>
          <w:highlight w:val="none"/>
          <w:u w:val="single"/>
        </w:rPr>
        <w:t>地质灾害危险性评估费用按《国家发展改革委办公厅、国土资源部办公厅关于征求对地质灾害危险性评估收费管理办法意见的函》（发改办价格【2006】745号）并下浮    %计取。评估级别按</w:t>
      </w:r>
      <w:r>
        <w:rPr>
          <w:rFonts w:hint="eastAsia" w:ascii="宋体" w:hAnsi="宋体"/>
          <w:szCs w:val="21"/>
          <w:highlight w:val="none"/>
          <w:u w:val="single"/>
          <w:lang w:val="en-US" w:eastAsia="zh-CN"/>
        </w:rPr>
        <w:t>一级</w:t>
      </w:r>
      <w:r>
        <w:rPr>
          <w:rFonts w:hint="eastAsia" w:ascii="宋体" w:hAnsi="宋体"/>
          <w:szCs w:val="21"/>
          <w:highlight w:val="none"/>
          <w:u w:val="single"/>
        </w:rPr>
        <w:t>、复杂程度为</w:t>
      </w:r>
      <w:r>
        <w:rPr>
          <w:rFonts w:hint="eastAsia" w:ascii="宋体" w:hAnsi="宋体"/>
          <w:szCs w:val="21"/>
          <w:highlight w:val="none"/>
          <w:u w:val="single"/>
          <w:lang w:val="en-US" w:eastAsia="zh-CN"/>
        </w:rPr>
        <w:t>复杂</w:t>
      </w:r>
      <w:r>
        <w:rPr>
          <w:rFonts w:hint="eastAsia" w:ascii="宋体" w:hAnsi="宋体"/>
          <w:szCs w:val="21"/>
          <w:highlight w:val="none"/>
          <w:u w:val="single"/>
        </w:rPr>
        <w:t>，工程类别调整系数取0.8，工程规模调整系数取1.0，地区调整系数取0.8计算。</w:t>
      </w:r>
    </w:p>
    <w:p w14:paraId="4BB6121A">
      <w:pPr>
        <w:rPr>
          <w:rFonts w:hint="eastAsia" w:ascii="宋体" w:hAnsi="宋体"/>
          <w:szCs w:val="21"/>
          <w:highlight w:val="none"/>
          <w:u w:val="single"/>
        </w:rPr>
      </w:pPr>
      <w:r>
        <w:rPr>
          <w:rFonts w:hint="eastAsia" w:ascii="宋体" w:hAnsi="宋体"/>
          <w:szCs w:val="21"/>
          <w:highlight w:val="none"/>
          <w:u w:val="single"/>
        </w:rPr>
        <w:t xml:space="preserve">最终结算价以政府相关部门审定或评审结果为准。 </w:t>
      </w:r>
    </w:p>
    <w:p w14:paraId="35522DCB">
      <w:pPr>
        <w:rPr>
          <w:rFonts w:hint="eastAsia" w:ascii="宋体" w:hAnsi="宋体"/>
          <w:szCs w:val="21"/>
          <w:highlight w:val="none"/>
          <w:u w:val="single"/>
        </w:rPr>
      </w:pPr>
    </w:p>
    <w:p w14:paraId="78E22DF7">
      <w:pPr>
        <w:outlineLvl w:val="1"/>
        <w:rPr>
          <w:rFonts w:hint="eastAsia" w:ascii="黑体" w:eastAsia="黑体"/>
          <w:b/>
          <w:bCs/>
          <w:szCs w:val="21"/>
          <w:highlight w:val="none"/>
        </w:rPr>
      </w:pPr>
      <w:r>
        <w:rPr>
          <w:rFonts w:hint="eastAsia" w:ascii="黑体" w:eastAsia="黑体"/>
          <w:b/>
          <w:bCs/>
          <w:szCs w:val="21"/>
          <w:highlight w:val="none"/>
        </w:rPr>
        <w:t>七、费用支付</w:t>
      </w:r>
    </w:p>
    <w:p w14:paraId="4BD9D277">
      <w:pPr>
        <w:rPr>
          <w:rFonts w:ascii="宋体" w:hAnsi="宋体" w:cs="宋体"/>
          <w:kern w:val="0"/>
          <w:szCs w:val="21"/>
          <w:highlight w:val="none"/>
          <w:u w:val="single"/>
        </w:rPr>
      </w:pPr>
      <w:r>
        <w:rPr>
          <w:rFonts w:hint="eastAsia" w:ascii="宋体" w:hAnsi="宋体" w:cs="宋体"/>
          <w:kern w:val="0"/>
          <w:szCs w:val="21"/>
          <w:highlight w:val="none"/>
          <w:u w:val="single"/>
        </w:rPr>
        <w:t>通用条款7.1.1替换为系列内容：</w:t>
      </w:r>
    </w:p>
    <w:p w14:paraId="45D6479B">
      <w:pPr>
        <w:rPr>
          <w:rFonts w:ascii="宋体" w:hAnsi="宋体" w:cs="宋体"/>
          <w:kern w:val="0"/>
          <w:szCs w:val="21"/>
          <w:highlight w:val="none"/>
          <w:u w:val="single"/>
        </w:rPr>
      </w:pPr>
      <w:r>
        <w:rPr>
          <w:rFonts w:hint="eastAsia" w:ascii="宋体" w:hAnsi="宋体" w:cs="宋体"/>
          <w:kern w:val="0"/>
          <w:szCs w:val="21"/>
          <w:highlight w:val="none"/>
          <w:u w:val="single"/>
        </w:rPr>
        <w:t>7.1.1勘察设计工作正常进行时，费用按阶段分期进行支付，具体步骤如下：</w:t>
      </w:r>
    </w:p>
    <w:p w14:paraId="64DD52BE">
      <w:pPr>
        <w:rPr>
          <w:rFonts w:ascii="宋体" w:hAnsi="宋体" w:cs="宋体"/>
          <w:kern w:val="0"/>
          <w:szCs w:val="21"/>
          <w:highlight w:val="none"/>
          <w:u w:val="single"/>
        </w:rPr>
      </w:pPr>
      <w:r>
        <w:rPr>
          <w:rFonts w:hint="eastAsia" w:ascii="宋体" w:hAnsi="宋体" w:cs="宋体"/>
          <w:kern w:val="0"/>
          <w:szCs w:val="21"/>
          <w:highlight w:val="none"/>
          <w:u w:val="single"/>
        </w:rPr>
        <w:t xml:space="preserve">(1) 完成勘察测量工作且成果经甲方确认，支付至实际完成工作产值的70%； </w:t>
      </w:r>
    </w:p>
    <w:p w14:paraId="4E27DE0A">
      <w:pPr>
        <w:rPr>
          <w:rFonts w:ascii="宋体" w:hAnsi="宋体" w:cs="宋体"/>
          <w:kern w:val="0"/>
          <w:szCs w:val="21"/>
          <w:highlight w:val="none"/>
          <w:u w:val="single"/>
        </w:rPr>
      </w:pPr>
      <w:r>
        <w:rPr>
          <w:rFonts w:hint="eastAsia" w:ascii="宋体" w:hAnsi="宋体" w:cs="宋体"/>
          <w:kern w:val="0"/>
          <w:szCs w:val="21"/>
          <w:highlight w:val="none"/>
          <w:u w:val="single"/>
        </w:rPr>
        <w:t xml:space="preserve">(2) </w:t>
      </w:r>
      <w:r>
        <w:rPr>
          <w:rFonts w:hint="eastAsia" w:ascii="宋体" w:hAnsi="宋体" w:cs="宋体"/>
          <w:kern w:val="0"/>
          <w:szCs w:val="21"/>
          <w:highlight w:val="none"/>
          <w:u w:val="single"/>
          <w:lang w:val="en-US" w:eastAsia="zh-CN"/>
        </w:rPr>
        <w:t>岩土</w:t>
      </w:r>
      <w:r>
        <w:rPr>
          <w:rFonts w:hint="eastAsia" w:ascii="宋体" w:hAnsi="宋体" w:cs="宋体"/>
          <w:kern w:val="0"/>
          <w:szCs w:val="21"/>
          <w:highlight w:val="none"/>
          <w:u w:val="single"/>
        </w:rPr>
        <w:t>工程(有且不限于基坑、边坡支护、路基处理、桩基等工程)施工完成通过相关检测，支付至合同结算价的85%；</w:t>
      </w:r>
    </w:p>
    <w:p w14:paraId="1025058B">
      <w:pPr>
        <w:rPr>
          <w:rFonts w:ascii="宋体" w:hAnsi="宋体" w:cs="宋体"/>
          <w:kern w:val="0"/>
          <w:szCs w:val="21"/>
          <w:highlight w:val="none"/>
          <w:u w:val="single"/>
        </w:rPr>
      </w:pPr>
      <w:r>
        <w:rPr>
          <w:rFonts w:hint="eastAsia" w:ascii="宋体" w:hAnsi="宋体" w:cs="宋体"/>
          <w:kern w:val="0"/>
          <w:szCs w:val="21"/>
          <w:highlight w:val="none"/>
          <w:u w:val="single"/>
        </w:rPr>
        <w:t>(3) 工程竣工验收并经</w:t>
      </w:r>
      <w:r>
        <w:rPr>
          <w:rFonts w:hint="eastAsia" w:ascii="宋体" w:hAnsi="宋体" w:cs="宋体"/>
          <w:color w:val="000000"/>
          <w:kern w:val="0"/>
          <w:szCs w:val="21"/>
          <w:highlight w:val="none"/>
          <w:u w:val="single"/>
        </w:rPr>
        <w:t>政府部门审核</w:t>
      </w:r>
      <w:r>
        <w:rPr>
          <w:rFonts w:hint="eastAsia" w:ascii="宋体" w:hAnsi="宋体" w:cs="宋体"/>
          <w:kern w:val="0"/>
          <w:szCs w:val="21"/>
          <w:highlight w:val="none"/>
          <w:u w:val="single"/>
        </w:rPr>
        <w:t>后按审定结果支付余额（若出现超付现象，乙方必须退还超付款项）</w:t>
      </w:r>
    </w:p>
    <w:p w14:paraId="3E99BC58">
      <w:pPr>
        <w:rPr>
          <w:rFonts w:hint="eastAsia" w:ascii="宋体" w:hAnsi="宋体" w:cs="宋体"/>
          <w:kern w:val="0"/>
          <w:szCs w:val="21"/>
          <w:highlight w:val="none"/>
          <w:u w:val="single"/>
        </w:rPr>
      </w:pPr>
      <w:r>
        <w:rPr>
          <w:rFonts w:hint="eastAsia" w:ascii="宋体" w:hAnsi="宋体" w:cs="宋体"/>
          <w:kern w:val="0"/>
          <w:szCs w:val="21"/>
          <w:highlight w:val="none"/>
          <w:u w:val="single"/>
        </w:rPr>
        <w:t>7.3</w:t>
      </w:r>
      <w:r>
        <w:rPr>
          <w:rFonts w:hint="eastAsia" w:ascii="宋体" w:hAnsi="宋体" w:cs="Times New Roman"/>
          <w:color w:val="auto"/>
          <w:szCs w:val="21"/>
          <w:highlight w:val="none"/>
          <w:lang w:val="en-US" w:eastAsia="zh-CN"/>
        </w:rPr>
        <w:t>发包</w:t>
      </w:r>
      <w:r>
        <w:rPr>
          <w:rFonts w:hint="default" w:ascii="宋体" w:hAnsi="宋体" w:eastAsia="宋体" w:cs="Times New Roman"/>
          <w:color w:val="auto"/>
          <w:szCs w:val="21"/>
          <w:highlight w:val="none"/>
          <w:lang w:val="en-US" w:eastAsia="zh-CN"/>
        </w:rPr>
        <w:t>人</w:t>
      </w:r>
      <w:r>
        <w:rPr>
          <w:rFonts w:hint="default" w:ascii="宋体" w:hAnsi="宋体" w:eastAsia="宋体" w:cs="Times New Roman"/>
          <w:color w:val="auto"/>
          <w:szCs w:val="21"/>
          <w:highlight w:val="none"/>
        </w:rPr>
        <w:t>对</w:t>
      </w:r>
      <w:r>
        <w:rPr>
          <w:rFonts w:hint="eastAsia" w:ascii="宋体" w:hAnsi="宋体" w:cs="Times New Roman"/>
          <w:color w:val="auto"/>
          <w:szCs w:val="21"/>
          <w:highlight w:val="none"/>
          <w:lang w:val="en-US" w:eastAsia="zh-CN"/>
        </w:rPr>
        <w:t>勘察</w:t>
      </w:r>
      <w:r>
        <w:rPr>
          <w:rFonts w:hint="default" w:ascii="宋体" w:hAnsi="宋体" w:eastAsia="宋体" w:cs="Times New Roman"/>
          <w:color w:val="auto"/>
          <w:szCs w:val="21"/>
          <w:highlight w:val="none"/>
          <w:lang w:val="en-US" w:eastAsia="zh-CN"/>
        </w:rPr>
        <w:t>人</w:t>
      </w:r>
      <w:r>
        <w:rPr>
          <w:rFonts w:hint="default" w:ascii="宋体" w:hAnsi="宋体" w:eastAsia="宋体" w:cs="Times New Roman"/>
          <w:color w:val="auto"/>
          <w:szCs w:val="21"/>
          <w:highlight w:val="none"/>
        </w:rPr>
        <w:t>提交的付款申请审核无误后提交建设单位审批协助</w:t>
      </w:r>
      <w:r>
        <w:rPr>
          <w:rFonts w:hint="eastAsia" w:ascii="宋体" w:hAnsi="宋体" w:cs="Times New Roman"/>
          <w:color w:val="auto"/>
          <w:szCs w:val="21"/>
          <w:highlight w:val="none"/>
          <w:lang w:val="en-US" w:eastAsia="zh-CN"/>
        </w:rPr>
        <w:t>乙方</w:t>
      </w:r>
      <w:r>
        <w:rPr>
          <w:rFonts w:hint="default" w:ascii="宋体" w:hAnsi="宋体" w:eastAsia="宋体" w:cs="Times New Roman"/>
          <w:color w:val="auto"/>
          <w:szCs w:val="21"/>
          <w:highlight w:val="none"/>
        </w:rPr>
        <w:t>向建设单位申请合同款，合同款由建设单位支付。因</w:t>
      </w:r>
      <w:r>
        <w:rPr>
          <w:rFonts w:hint="eastAsia" w:ascii="宋体" w:hAnsi="宋体" w:cs="Times New Roman"/>
          <w:color w:val="auto"/>
          <w:szCs w:val="21"/>
          <w:highlight w:val="none"/>
          <w:lang w:val="en-US" w:eastAsia="zh-CN"/>
        </w:rPr>
        <w:t>乙方</w:t>
      </w:r>
      <w:r>
        <w:rPr>
          <w:rFonts w:hint="default" w:ascii="宋体" w:hAnsi="宋体" w:eastAsia="宋体" w:cs="Times New Roman"/>
          <w:color w:val="auto"/>
          <w:szCs w:val="21"/>
          <w:highlight w:val="none"/>
        </w:rPr>
        <w:t>未及时提供有效发票导致付款逾期的责任由</w:t>
      </w:r>
      <w:r>
        <w:rPr>
          <w:rFonts w:hint="eastAsia" w:ascii="宋体" w:hAnsi="宋体" w:cs="Times New Roman"/>
          <w:color w:val="auto"/>
          <w:szCs w:val="21"/>
          <w:highlight w:val="none"/>
          <w:lang w:val="en-US" w:eastAsia="zh-CN"/>
        </w:rPr>
        <w:t>乙方</w:t>
      </w:r>
      <w:r>
        <w:rPr>
          <w:rFonts w:hint="default" w:ascii="宋体" w:hAnsi="宋体" w:eastAsia="宋体" w:cs="Times New Roman"/>
          <w:color w:val="auto"/>
          <w:szCs w:val="21"/>
          <w:highlight w:val="none"/>
        </w:rPr>
        <w:t>自行承担。</w:t>
      </w:r>
    </w:p>
    <w:p w14:paraId="607D03E1">
      <w:pPr>
        <w:spacing w:line="240" w:lineRule="auto"/>
        <w:ind w:firstLine="0" w:firstLineChars="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建设单位</w:t>
      </w:r>
      <w:r>
        <w:rPr>
          <w:rFonts w:hint="default" w:ascii="宋体" w:hAnsi="宋体" w:eastAsia="宋体" w:cs="Times New Roman"/>
          <w:color w:val="auto"/>
          <w:szCs w:val="21"/>
          <w:highlight w:val="none"/>
          <w:lang w:val="en-US" w:eastAsia="zh-CN"/>
        </w:rPr>
        <w:t>基本开票信息</w:t>
      </w:r>
      <w:r>
        <w:rPr>
          <w:rFonts w:hint="eastAsia" w:ascii="宋体" w:hAnsi="宋体" w:eastAsia="宋体" w:cs="Times New Roman"/>
          <w:color w:val="auto"/>
          <w:szCs w:val="21"/>
          <w:highlight w:val="none"/>
          <w:lang w:val="en-US" w:eastAsia="zh-CN"/>
        </w:rPr>
        <w:t>：</w:t>
      </w:r>
    </w:p>
    <w:p w14:paraId="182E7499">
      <w:pPr>
        <w:spacing w:line="240" w:lineRule="auto"/>
        <w:ind w:firstLine="0" w:firstLineChars="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名称：深圳市龙岗区建筑工务署</w:t>
      </w:r>
    </w:p>
    <w:p w14:paraId="5ECD436D">
      <w:pPr>
        <w:spacing w:line="240" w:lineRule="auto"/>
        <w:ind w:firstLine="0" w:firstLineChars="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统一社会信用代码</w:t>
      </w:r>
      <w:r>
        <w:rPr>
          <w:rFonts w:hint="default" w:ascii="宋体" w:hAnsi="宋体" w:eastAsia="宋体" w:cs="Times New Roman"/>
          <w:color w:val="auto"/>
          <w:szCs w:val="21"/>
          <w:highlight w:val="none"/>
          <w:lang w:val="en-US" w:eastAsia="zh-CN"/>
        </w:rPr>
        <w:t>：12440307455756779E</w:t>
      </w:r>
    </w:p>
    <w:p w14:paraId="62F55FB3">
      <w:pPr>
        <w:spacing w:line="240" w:lineRule="auto"/>
        <w:ind w:firstLine="0" w:firstLineChars="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地址、电话：深圳市龙岗区龙城街道中心城清林中路教育大楼北座1、4、5、6楼、0755-89551256</w:t>
      </w:r>
    </w:p>
    <w:p w14:paraId="00A2BA3D">
      <w:pPr>
        <w:rPr>
          <w:rFonts w:hint="default"/>
          <w:highlight w:val="none"/>
          <w:lang w:val="en-US" w:eastAsia="zh-CN"/>
        </w:rPr>
      </w:pPr>
      <w:r>
        <w:rPr>
          <w:rFonts w:hint="default" w:ascii="宋体" w:hAnsi="宋体" w:eastAsia="宋体" w:cs="Times New Roman"/>
          <w:color w:val="auto"/>
          <w:szCs w:val="21"/>
          <w:highlight w:val="none"/>
          <w:lang w:val="en-US" w:eastAsia="zh-CN"/>
        </w:rPr>
        <w:t>开户行及账号：平安银行深圳中心城支行0272100077327</w:t>
      </w:r>
    </w:p>
    <w:p w14:paraId="7E64392F">
      <w:pPr>
        <w:outlineLvl w:val="1"/>
        <w:rPr>
          <w:rFonts w:hint="eastAsia" w:ascii="黑体" w:eastAsia="黑体"/>
          <w:b/>
          <w:bCs/>
          <w:szCs w:val="21"/>
          <w:highlight w:val="none"/>
        </w:rPr>
      </w:pPr>
      <w:r>
        <w:rPr>
          <w:rFonts w:hint="eastAsia" w:ascii="宋体" w:hAnsi="宋体" w:cs="宋体"/>
          <w:kern w:val="0"/>
          <w:szCs w:val="21"/>
          <w:highlight w:val="none"/>
          <w:u w:val="single"/>
        </w:rPr>
        <w:br w:type="textWrapping"/>
      </w:r>
      <w:r>
        <w:rPr>
          <w:rFonts w:hint="eastAsia" w:ascii="黑体" w:eastAsia="黑体"/>
          <w:b/>
          <w:bCs/>
          <w:szCs w:val="21"/>
          <w:highlight w:val="none"/>
        </w:rPr>
        <w:t>八、双方代表</w:t>
      </w:r>
    </w:p>
    <w:p w14:paraId="0F96152F">
      <w:pPr>
        <w:rPr>
          <w:rFonts w:hint="eastAsia" w:ascii="宋体" w:hAnsi="宋体"/>
          <w:szCs w:val="21"/>
          <w:highlight w:val="none"/>
        </w:rPr>
      </w:pPr>
      <w:r>
        <w:rPr>
          <w:rFonts w:hint="eastAsia" w:ascii="宋体" w:hAnsi="宋体"/>
          <w:szCs w:val="21"/>
          <w:highlight w:val="none"/>
        </w:rPr>
        <w:t>8.1.1甲方代表为：</w:t>
      </w:r>
      <w:r>
        <w:rPr>
          <w:rFonts w:hint="eastAsia" w:ascii="宋体" w:hAnsi="宋体"/>
          <w:szCs w:val="21"/>
          <w:highlight w:val="none"/>
          <w:u w:val="single"/>
        </w:rPr>
        <w:t xml:space="preserve">          </w:t>
      </w:r>
      <w:r>
        <w:rPr>
          <w:rFonts w:hint="eastAsia" w:ascii="宋体" w:hAnsi="宋体"/>
          <w:szCs w:val="21"/>
          <w:highlight w:val="none"/>
        </w:rPr>
        <w:t>； 联系电话：</w:t>
      </w:r>
      <w:r>
        <w:rPr>
          <w:rFonts w:hint="eastAsia" w:ascii="宋体" w:hAnsi="宋体"/>
          <w:szCs w:val="21"/>
          <w:highlight w:val="none"/>
          <w:u w:val="single"/>
        </w:rPr>
        <w:t xml:space="preserve">           </w:t>
      </w:r>
      <w:r>
        <w:rPr>
          <w:rFonts w:hint="eastAsia" w:ascii="宋体" w:hAnsi="宋体"/>
          <w:szCs w:val="21"/>
          <w:highlight w:val="none"/>
        </w:rPr>
        <w:t>。</w:t>
      </w:r>
    </w:p>
    <w:p w14:paraId="527B352B">
      <w:pPr>
        <w:pStyle w:val="98"/>
        <w:ind w:firstLine="0" w:firstLineChars="0"/>
        <w:rPr>
          <w:rFonts w:ascii="宋体" w:hAnsi="宋体"/>
          <w:b/>
          <w:szCs w:val="21"/>
          <w:highlight w:val="none"/>
        </w:rPr>
      </w:pPr>
      <w:r>
        <w:rPr>
          <w:rFonts w:hint="eastAsia" w:ascii="宋体" w:hAnsi="宋体"/>
          <w:szCs w:val="21"/>
          <w:highlight w:val="none"/>
        </w:rPr>
        <w:t>8.1.2乙方代表为：</w:t>
      </w:r>
      <w:r>
        <w:rPr>
          <w:rFonts w:hint="eastAsia" w:ascii="宋体" w:hAnsi="宋体"/>
          <w:szCs w:val="21"/>
          <w:highlight w:val="none"/>
          <w:u w:val="single"/>
        </w:rPr>
        <w:t xml:space="preserve">          </w:t>
      </w:r>
      <w:r>
        <w:rPr>
          <w:rFonts w:hint="eastAsia" w:ascii="宋体" w:hAnsi="宋体"/>
          <w:szCs w:val="21"/>
          <w:highlight w:val="none"/>
        </w:rPr>
        <w:t>； 联系电话：</w:t>
      </w:r>
      <w:r>
        <w:rPr>
          <w:rFonts w:hint="eastAsia" w:ascii="宋体" w:hAnsi="宋体"/>
          <w:szCs w:val="21"/>
          <w:highlight w:val="none"/>
          <w:u w:val="single"/>
        </w:rPr>
        <w:t xml:space="preserve">           </w:t>
      </w:r>
      <w:r>
        <w:rPr>
          <w:rFonts w:hint="eastAsia" w:ascii="宋体" w:hAnsi="宋体"/>
          <w:szCs w:val="21"/>
          <w:highlight w:val="none"/>
        </w:rPr>
        <w:t>。</w:t>
      </w:r>
    </w:p>
    <w:p w14:paraId="6984CB6E">
      <w:pPr>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szCs w:val="21"/>
          <w:highlight w:val="none"/>
        </w:rPr>
        <w:t>8.1.3 合同暂定价超过1000万元（含），乙方需派一名常驻甲方代表，岗位招聘条件以甲方要求为准</w:t>
      </w:r>
      <w:r>
        <w:rPr>
          <w:rFonts w:hint="eastAsia" w:ascii="宋体" w:hAnsi="宋体"/>
          <w:szCs w:val="21"/>
          <w:highlight w:val="none"/>
          <w:lang w:eastAsia="zh-CN"/>
        </w:rPr>
        <w:t>，相关费用已包含在合同总价中，不得另行收费</w:t>
      </w:r>
      <w:r>
        <w:rPr>
          <w:rFonts w:hint="eastAsia" w:ascii="宋体" w:hAnsi="宋体"/>
          <w:szCs w:val="21"/>
          <w:highlight w:val="none"/>
        </w:rPr>
        <w:t>。</w:t>
      </w:r>
    </w:p>
    <w:p w14:paraId="154D61D4">
      <w:pPr>
        <w:pStyle w:val="163"/>
        <w:autoSpaceDE w:val="0"/>
        <w:autoSpaceDN w:val="0"/>
        <w:adjustRightInd w:val="0"/>
        <w:jc w:val="left"/>
        <w:outlineLvl w:val="2"/>
        <w:rPr>
          <w:rFonts w:ascii="宋体" w:hAnsi="宋体"/>
          <w:sz w:val="30"/>
          <w:szCs w:val="30"/>
          <w:highlight w:val="none"/>
        </w:rPr>
      </w:pPr>
      <w:r>
        <w:rPr>
          <w:rFonts w:hint="eastAsia" w:ascii="宋体" w:hAnsi="宋体"/>
          <w:sz w:val="30"/>
          <w:szCs w:val="30"/>
          <w:highlight w:val="none"/>
        </w:rPr>
        <w:t>附件1</w:t>
      </w:r>
    </w:p>
    <w:p w14:paraId="661AD310">
      <w:pPr>
        <w:pStyle w:val="163"/>
        <w:autoSpaceDE w:val="0"/>
        <w:autoSpaceDN w:val="0"/>
        <w:adjustRightInd w:val="0"/>
        <w:jc w:val="center"/>
        <w:rPr>
          <w:rFonts w:ascii="黑体" w:hAnsi="Arial" w:eastAsia="黑体"/>
          <w:kern w:val="0"/>
          <w:sz w:val="36"/>
          <w:szCs w:val="36"/>
          <w:highlight w:val="none"/>
        </w:rPr>
      </w:pPr>
      <w:r>
        <w:rPr>
          <w:rFonts w:hint="eastAsia" w:ascii="黑体" w:hAnsi="Arial" w:eastAsia="黑体"/>
          <w:kern w:val="0"/>
          <w:sz w:val="36"/>
          <w:szCs w:val="36"/>
          <w:highlight w:val="none"/>
        </w:rPr>
        <w:t>建设工程廉政责任合同</w:t>
      </w:r>
    </w:p>
    <w:p w14:paraId="2A72F6EC">
      <w:pPr>
        <w:pStyle w:val="163"/>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 xml:space="preserve"> </w:t>
      </w:r>
    </w:p>
    <w:p w14:paraId="0519473F">
      <w:pPr>
        <w:pStyle w:val="163"/>
        <w:autoSpaceDE w:val="0"/>
        <w:autoSpaceDN w:val="0"/>
        <w:adjustRightInd w:val="0"/>
        <w:spacing w:line="300" w:lineRule="auto"/>
        <w:ind w:firstLine="420" w:firstLineChars="200"/>
        <w:rPr>
          <w:rFonts w:hint="default" w:ascii="宋体" w:hAnsi="宋体"/>
          <w:b w:val="0"/>
          <w:sz w:val="21"/>
          <w:szCs w:val="21"/>
          <w:highlight w:val="none"/>
          <w:u w:val="single"/>
          <w:lang w:eastAsia="zh-CN"/>
        </w:rPr>
      </w:pPr>
      <w:r>
        <w:rPr>
          <w:rFonts w:hint="default" w:ascii="宋体" w:hAnsi="宋体"/>
          <w:sz w:val="21"/>
          <w:szCs w:val="21"/>
          <w:highlight w:val="none"/>
        </w:rPr>
        <w:t>发包人（甲方）：</w:t>
      </w:r>
      <w:r>
        <w:rPr>
          <w:rFonts w:hint="default" w:ascii="宋体" w:hAnsi="宋体"/>
          <w:b w:val="0"/>
          <w:sz w:val="21"/>
          <w:szCs w:val="21"/>
          <w:highlight w:val="none"/>
          <w:u w:val="single"/>
          <w:lang w:eastAsia="zh-CN"/>
        </w:rPr>
        <w:t>深圳市龙岗区城投高新技术产业投资开发有限公司</w:t>
      </w:r>
      <w:r>
        <w:rPr>
          <w:rFonts w:hint="eastAsia" w:ascii="宋体" w:hAnsi="宋体"/>
          <w:b w:val="0"/>
          <w:sz w:val="21"/>
          <w:szCs w:val="21"/>
          <w:highlight w:val="none"/>
          <w:u w:val="single"/>
          <w:lang w:val="en-US" w:eastAsia="zh-CN"/>
        </w:rPr>
        <w:t xml:space="preserve">     </w:t>
      </w:r>
    </w:p>
    <w:p w14:paraId="0F740FDD">
      <w:pPr>
        <w:pStyle w:val="163"/>
        <w:autoSpaceDE w:val="0"/>
        <w:autoSpaceDN w:val="0"/>
        <w:adjustRightInd w:val="0"/>
        <w:spacing w:line="300" w:lineRule="auto"/>
        <w:ind w:firstLine="420" w:firstLineChars="200"/>
        <w:rPr>
          <w:rFonts w:hint="default" w:ascii="宋体" w:hAnsi="宋体"/>
          <w:b w:val="0"/>
          <w:sz w:val="21"/>
          <w:szCs w:val="21"/>
          <w:highlight w:val="none"/>
          <w:u w:val="none"/>
        </w:rPr>
      </w:pPr>
      <w:r>
        <w:rPr>
          <w:rFonts w:hint="default" w:ascii="宋体" w:hAnsi="宋体"/>
          <w:sz w:val="21"/>
          <w:szCs w:val="21"/>
          <w:highlight w:val="none"/>
        </w:rPr>
        <w:t>勘察人（乙方）：</w:t>
      </w:r>
      <w:r>
        <w:rPr>
          <w:rFonts w:hint="eastAsia" w:ascii="宋体" w:hAnsi="宋体"/>
          <w:b w:val="0"/>
          <w:sz w:val="21"/>
          <w:szCs w:val="21"/>
          <w:highlight w:val="none"/>
          <w:u w:val="single"/>
          <w:lang w:val="en-US" w:eastAsia="zh-CN"/>
        </w:rPr>
        <w:t xml:space="preserve">                                              </w:t>
      </w:r>
      <w:r>
        <w:rPr>
          <w:rFonts w:hint="default" w:ascii="宋体" w:hAnsi="宋体"/>
          <w:b w:val="0"/>
          <w:sz w:val="21"/>
          <w:szCs w:val="21"/>
          <w:highlight w:val="none"/>
          <w:u w:val="none"/>
        </w:rPr>
        <w:t xml:space="preserve">   </w:t>
      </w:r>
    </w:p>
    <w:p w14:paraId="1A4C2356">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为加强工程建设中的廉政建设，规范工程项目双方的各项活动，防止发生各种谋取不正当利益的违法违纪行为，确保建设项目工程质量达到国家有关规定，根据国家有关工程建设的法律法规和廉政建设规定，特订立本廉政合同。</w:t>
      </w:r>
    </w:p>
    <w:p w14:paraId="4F650455">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第一条　双方的权利和义务</w:t>
      </w:r>
    </w:p>
    <w:p w14:paraId="24AC1165">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（一）严格遵守国家关于市场准入、勘测设计、施工监理、招标投标、工程施工、设备安装和市场经营活动等有关法律法规和相关政策，以及廉政建设的各项规定。</w:t>
      </w:r>
    </w:p>
    <w:p w14:paraId="3D4983BB">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r>
        <w:rPr>
          <w:rFonts w:hint="eastAsia" w:ascii="宋体" w:hAnsi="宋体"/>
          <w:szCs w:val="21"/>
          <w:highlight w:val="none"/>
        </w:rPr>
        <w:t xml:space="preserve"> </w:t>
      </w:r>
    </w:p>
    <w:p w14:paraId="0AFE213B">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7179F943">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第二条　</w:t>
      </w:r>
      <w:r>
        <w:rPr>
          <w:rFonts w:hint="eastAsia" w:ascii="宋体" w:hAnsi="宋体"/>
          <w:szCs w:val="21"/>
          <w:highlight w:val="none"/>
        </w:rPr>
        <w:t>委托人</w:t>
      </w:r>
      <w:r>
        <w:rPr>
          <w:rFonts w:ascii="宋体" w:hAnsi="宋体"/>
          <w:szCs w:val="21"/>
          <w:highlight w:val="none"/>
        </w:rPr>
        <w:t>的责任</w:t>
      </w:r>
    </w:p>
    <w:p w14:paraId="3A6B37C7">
      <w:pPr>
        <w:pStyle w:val="163"/>
        <w:autoSpaceDE w:val="0"/>
        <w:autoSpaceDN w:val="0"/>
        <w:adjustRightInd w:val="0"/>
        <w:spacing w:line="300" w:lineRule="auto"/>
        <w:ind w:firstLine="420" w:firstLineChars="200"/>
        <w:jc w:val="left"/>
        <w:rPr>
          <w:rFonts w:ascii="宋体" w:hAnsi="宋体"/>
          <w:szCs w:val="21"/>
          <w:highlight w:val="none"/>
        </w:rPr>
      </w:pPr>
      <w:r>
        <w:rPr>
          <w:rFonts w:hint="eastAsia" w:ascii="宋体" w:hAnsi="宋体"/>
          <w:szCs w:val="21"/>
          <w:highlight w:val="none"/>
        </w:rPr>
        <w:t>委托人</w:t>
      </w:r>
      <w:r>
        <w:rPr>
          <w:rFonts w:ascii="宋体" w:hAnsi="宋体"/>
          <w:szCs w:val="21"/>
          <w:highlight w:val="none"/>
        </w:rPr>
        <w:t>的负责人和从事该工程项目的工作人员，在工程项目的事前、事中、事后应遵守以下规定：</w:t>
      </w:r>
    </w:p>
    <w:p w14:paraId="436ECF56">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（一）不得以任何理由向</w:t>
      </w:r>
      <w:r>
        <w:rPr>
          <w:rFonts w:hint="eastAsia" w:ascii="宋体" w:hAnsi="宋体"/>
          <w:szCs w:val="21"/>
          <w:highlight w:val="none"/>
          <w:lang w:eastAsia="zh-CN"/>
        </w:rPr>
        <w:t>勘察人</w:t>
      </w:r>
      <w:r>
        <w:rPr>
          <w:rFonts w:ascii="宋体" w:hAnsi="宋体"/>
          <w:szCs w:val="21"/>
          <w:highlight w:val="none"/>
        </w:rPr>
        <w:t>索要或接受现金、有价证券、通讯工具、交通工具、高档办公用品及其它物品。</w:t>
      </w:r>
    </w:p>
    <w:p w14:paraId="44FF9BAA">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（二）不得在</w:t>
      </w:r>
      <w:r>
        <w:rPr>
          <w:rFonts w:hint="eastAsia" w:ascii="宋体" w:hAnsi="宋体"/>
          <w:szCs w:val="21"/>
          <w:highlight w:val="none"/>
          <w:lang w:eastAsia="zh-CN"/>
        </w:rPr>
        <w:t>勘察人</w:t>
      </w:r>
      <w:r>
        <w:rPr>
          <w:rFonts w:ascii="宋体" w:hAnsi="宋体"/>
          <w:szCs w:val="21"/>
          <w:highlight w:val="none"/>
        </w:rPr>
        <w:t>报销应由</w:t>
      </w:r>
      <w:r>
        <w:rPr>
          <w:rFonts w:hint="eastAsia" w:ascii="宋体" w:hAnsi="宋体"/>
          <w:szCs w:val="21"/>
          <w:highlight w:val="none"/>
        </w:rPr>
        <w:t>委托人</w:t>
      </w:r>
      <w:r>
        <w:rPr>
          <w:rFonts w:ascii="宋体" w:hAnsi="宋体"/>
          <w:szCs w:val="21"/>
          <w:highlight w:val="none"/>
        </w:rPr>
        <w:t>单位或个人支付的费用。</w:t>
      </w:r>
    </w:p>
    <w:p w14:paraId="6DAB2472">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（三）不得参加</w:t>
      </w:r>
      <w:r>
        <w:rPr>
          <w:rFonts w:hint="eastAsia" w:ascii="宋体" w:hAnsi="宋体"/>
          <w:szCs w:val="21"/>
          <w:highlight w:val="none"/>
          <w:lang w:eastAsia="zh-CN"/>
        </w:rPr>
        <w:t>勘察人</w:t>
      </w:r>
      <w:r>
        <w:rPr>
          <w:rFonts w:ascii="宋体" w:hAnsi="宋体"/>
          <w:szCs w:val="21"/>
          <w:highlight w:val="none"/>
        </w:rPr>
        <w:t>安排的宴请及其他消费活动。</w:t>
      </w:r>
    </w:p>
    <w:p w14:paraId="20AAD678">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（四）不得要求、暗示和接受</w:t>
      </w:r>
      <w:r>
        <w:rPr>
          <w:rFonts w:hint="eastAsia" w:ascii="宋体" w:hAnsi="宋体"/>
          <w:szCs w:val="21"/>
          <w:highlight w:val="none"/>
          <w:lang w:eastAsia="zh-CN"/>
        </w:rPr>
        <w:t>勘察人</w:t>
      </w:r>
      <w:r>
        <w:rPr>
          <w:rFonts w:ascii="宋体" w:hAnsi="宋体"/>
          <w:szCs w:val="21"/>
          <w:highlight w:val="none"/>
        </w:rPr>
        <w:t>为个人装修房屋及为配偶子女的工作安排以及本人或亲属旅游等提供方便。</w:t>
      </w:r>
    </w:p>
    <w:p w14:paraId="653DD8E6">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（五）其配偶、子女不得从事与</w:t>
      </w:r>
      <w:r>
        <w:rPr>
          <w:rFonts w:hint="eastAsia" w:ascii="宋体" w:hAnsi="宋体"/>
          <w:szCs w:val="21"/>
          <w:highlight w:val="none"/>
          <w:lang w:eastAsia="zh-CN"/>
        </w:rPr>
        <w:t>勘察人</w:t>
      </w:r>
      <w:r>
        <w:rPr>
          <w:rFonts w:ascii="宋体" w:hAnsi="宋体"/>
          <w:szCs w:val="21"/>
          <w:highlight w:val="none"/>
        </w:rPr>
        <w:t>承包工程有关的设备材料供应、工程分包、劳务等经济活动。</w:t>
      </w:r>
    </w:p>
    <w:p w14:paraId="31A7B5DF">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（六）不得以任何理由向</w:t>
      </w:r>
      <w:r>
        <w:rPr>
          <w:rFonts w:hint="eastAsia" w:ascii="宋体" w:hAnsi="宋体"/>
          <w:szCs w:val="21"/>
          <w:highlight w:val="none"/>
          <w:lang w:eastAsia="zh-CN"/>
        </w:rPr>
        <w:t>勘察人</w:t>
      </w:r>
      <w:r>
        <w:rPr>
          <w:rFonts w:ascii="宋体" w:hAnsi="宋体"/>
          <w:szCs w:val="21"/>
          <w:highlight w:val="none"/>
        </w:rPr>
        <w:t>推荐分包单位或要求</w:t>
      </w:r>
      <w:r>
        <w:rPr>
          <w:rFonts w:hint="eastAsia" w:ascii="宋体" w:hAnsi="宋体"/>
          <w:szCs w:val="21"/>
          <w:highlight w:val="none"/>
          <w:lang w:eastAsia="zh-CN"/>
        </w:rPr>
        <w:t>勘察人</w:t>
      </w:r>
      <w:r>
        <w:rPr>
          <w:rFonts w:ascii="宋体" w:hAnsi="宋体"/>
          <w:szCs w:val="21"/>
          <w:highlight w:val="none"/>
        </w:rPr>
        <w:t>购买项目合同规定以外的材料、设备和服务等。</w:t>
      </w:r>
    </w:p>
    <w:p w14:paraId="7C9D9E52">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（七）不得串通</w:t>
      </w:r>
      <w:r>
        <w:rPr>
          <w:rFonts w:hint="eastAsia" w:ascii="宋体" w:hAnsi="宋体"/>
          <w:szCs w:val="21"/>
          <w:highlight w:val="none"/>
          <w:lang w:eastAsia="zh-CN"/>
        </w:rPr>
        <w:t>勘察人</w:t>
      </w:r>
      <w:r>
        <w:rPr>
          <w:rFonts w:ascii="宋体" w:hAnsi="宋体"/>
          <w:szCs w:val="21"/>
          <w:highlight w:val="none"/>
        </w:rPr>
        <w:t>人员在工程质量、工程经济技术签证等方面</w:t>
      </w:r>
      <w:r>
        <w:rPr>
          <w:rFonts w:hint="eastAsia" w:ascii="宋体" w:hAnsi="宋体"/>
          <w:szCs w:val="21"/>
          <w:highlight w:val="none"/>
          <w:lang w:eastAsia="zh-CN"/>
        </w:rPr>
        <w:t>弄虚作假</w:t>
      </w:r>
      <w:r>
        <w:rPr>
          <w:rFonts w:ascii="宋体" w:hAnsi="宋体"/>
          <w:szCs w:val="21"/>
          <w:highlight w:val="none"/>
        </w:rPr>
        <w:t>，牟取私利。</w:t>
      </w:r>
    </w:p>
    <w:p w14:paraId="45E1E045">
      <w:pPr>
        <w:pStyle w:val="163"/>
        <w:autoSpaceDE w:val="0"/>
        <w:autoSpaceDN w:val="0"/>
        <w:adjustRightInd w:val="0"/>
        <w:spacing w:line="300" w:lineRule="auto"/>
        <w:ind w:firstLine="420" w:firstLineChars="200"/>
        <w:jc w:val="left"/>
        <w:outlineLvl w:val="3"/>
        <w:rPr>
          <w:rFonts w:ascii="宋体" w:hAnsi="宋体"/>
          <w:szCs w:val="21"/>
          <w:highlight w:val="none"/>
        </w:rPr>
      </w:pPr>
      <w:r>
        <w:rPr>
          <w:rFonts w:ascii="宋体" w:hAnsi="宋体"/>
          <w:szCs w:val="21"/>
          <w:highlight w:val="none"/>
        </w:rPr>
        <w:t>（八）不得肢解工程、指定工程分包单位。</w:t>
      </w:r>
    </w:p>
    <w:p w14:paraId="296B9F12">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第三条　</w:t>
      </w:r>
      <w:r>
        <w:rPr>
          <w:rFonts w:hint="eastAsia" w:ascii="宋体" w:hAnsi="宋体"/>
          <w:szCs w:val="21"/>
          <w:highlight w:val="none"/>
          <w:lang w:eastAsia="zh-CN"/>
        </w:rPr>
        <w:t>勘察人</w:t>
      </w:r>
      <w:r>
        <w:rPr>
          <w:rFonts w:ascii="宋体" w:hAnsi="宋体"/>
          <w:szCs w:val="21"/>
          <w:highlight w:val="none"/>
        </w:rPr>
        <w:t>的责任</w:t>
      </w:r>
    </w:p>
    <w:p w14:paraId="4A34F658">
      <w:pPr>
        <w:pStyle w:val="163"/>
        <w:autoSpaceDE w:val="0"/>
        <w:autoSpaceDN w:val="0"/>
        <w:adjustRightInd w:val="0"/>
        <w:spacing w:line="300" w:lineRule="auto"/>
        <w:ind w:firstLine="420" w:firstLineChars="200"/>
        <w:jc w:val="left"/>
        <w:rPr>
          <w:rFonts w:ascii="宋体" w:hAnsi="宋体"/>
          <w:szCs w:val="21"/>
          <w:highlight w:val="none"/>
        </w:rPr>
      </w:pPr>
      <w:r>
        <w:rPr>
          <w:rFonts w:hint="eastAsia" w:ascii="宋体" w:hAnsi="宋体"/>
          <w:szCs w:val="21"/>
          <w:highlight w:val="none"/>
          <w:lang w:eastAsia="zh-CN"/>
        </w:rPr>
        <w:t>勘察人</w:t>
      </w:r>
      <w:r>
        <w:rPr>
          <w:rFonts w:ascii="宋体" w:hAnsi="宋体"/>
          <w:szCs w:val="21"/>
          <w:highlight w:val="none"/>
        </w:rPr>
        <w:t>应与</w:t>
      </w:r>
      <w:r>
        <w:rPr>
          <w:rFonts w:hint="eastAsia" w:ascii="宋体" w:hAnsi="宋体"/>
          <w:szCs w:val="21"/>
          <w:highlight w:val="none"/>
        </w:rPr>
        <w:t>委托人</w:t>
      </w:r>
      <w:r>
        <w:rPr>
          <w:rFonts w:ascii="宋体" w:hAnsi="宋体"/>
          <w:szCs w:val="21"/>
          <w:highlight w:val="none"/>
        </w:rPr>
        <w:t>保持正常的业务交往，按照有关法律法规和程序开展业务活动，严格执行工程建设的有关方针、政策，尤其是有关强制性标准和规范，并遵守以下规定：</w:t>
      </w:r>
    </w:p>
    <w:p w14:paraId="4EA56AC6">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（一）不得以任何理由向</w:t>
      </w:r>
      <w:r>
        <w:rPr>
          <w:rFonts w:hint="eastAsia" w:ascii="宋体" w:hAnsi="宋体"/>
          <w:szCs w:val="21"/>
          <w:highlight w:val="none"/>
        </w:rPr>
        <w:t>委托人</w:t>
      </w:r>
      <w:r>
        <w:rPr>
          <w:rFonts w:ascii="宋体" w:hAnsi="宋体"/>
          <w:szCs w:val="21"/>
          <w:highlight w:val="none"/>
        </w:rPr>
        <w:t>及其工作人员行贿或赠送现金、有价证券、贵重物品。</w:t>
      </w:r>
    </w:p>
    <w:p w14:paraId="0F5CCE75">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（二）不得以任何名义为</w:t>
      </w:r>
      <w:r>
        <w:rPr>
          <w:rFonts w:hint="eastAsia" w:ascii="宋体" w:hAnsi="宋体"/>
          <w:szCs w:val="21"/>
          <w:highlight w:val="none"/>
        </w:rPr>
        <w:t>委托人</w:t>
      </w:r>
      <w:r>
        <w:rPr>
          <w:rFonts w:ascii="宋体" w:hAnsi="宋体"/>
          <w:szCs w:val="21"/>
          <w:highlight w:val="none"/>
        </w:rPr>
        <w:t>及其工作人员报销应由对方支付的费用。</w:t>
      </w:r>
    </w:p>
    <w:p w14:paraId="660C57E1">
      <w:pPr>
        <w:pStyle w:val="163"/>
        <w:autoSpaceDE w:val="0"/>
        <w:autoSpaceDN w:val="0"/>
        <w:adjustRightInd w:val="0"/>
        <w:spacing w:line="300" w:lineRule="auto"/>
        <w:ind w:firstLine="420" w:firstLineChars="200"/>
        <w:jc w:val="left"/>
        <w:outlineLvl w:val="3"/>
        <w:rPr>
          <w:rFonts w:ascii="宋体" w:hAnsi="宋体"/>
          <w:szCs w:val="21"/>
          <w:highlight w:val="none"/>
        </w:rPr>
      </w:pPr>
      <w:r>
        <w:rPr>
          <w:rFonts w:ascii="宋体" w:hAnsi="宋体"/>
          <w:szCs w:val="21"/>
          <w:highlight w:val="none"/>
        </w:rPr>
        <w:t>（三）不得以任何理由宴请</w:t>
      </w:r>
      <w:r>
        <w:rPr>
          <w:rFonts w:hint="eastAsia" w:ascii="宋体" w:hAnsi="宋体"/>
          <w:szCs w:val="21"/>
          <w:highlight w:val="none"/>
        </w:rPr>
        <w:t>委托人</w:t>
      </w:r>
      <w:r>
        <w:rPr>
          <w:rFonts w:ascii="宋体" w:hAnsi="宋体"/>
          <w:szCs w:val="21"/>
          <w:highlight w:val="none"/>
        </w:rPr>
        <w:t>工作人员或安排其他消费活动。</w:t>
      </w:r>
    </w:p>
    <w:p w14:paraId="0A0352C5">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（四）不为</w:t>
      </w:r>
      <w:r>
        <w:rPr>
          <w:rFonts w:hint="eastAsia" w:ascii="宋体" w:hAnsi="宋体"/>
          <w:szCs w:val="21"/>
          <w:highlight w:val="none"/>
        </w:rPr>
        <w:t>委托人</w:t>
      </w:r>
      <w:r>
        <w:rPr>
          <w:rFonts w:ascii="宋体" w:hAnsi="宋体"/>
          <w:szCs w:val="21"/>
          <w:highlight w:val="none"/>
        </w:rPr>
        <w:t>单位和工作人员购置或提供通讯工具、交通工具、高档办公用品和装修住房等。</w:t>
      </w:r>
    </w:p>
    <w:p w14:paraId="361C5145">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（五）不得串通</w:t>
      </w:r>
      <w:r>
        <w:rPr>
          <w:rFonts w:hint="eastAsia" w:ascii="宋体" w:hAnsi="宋体"/>
          <w:szCs w:val="21"/>
          <w:highlight w:val="none"/>
        </w:rPr>
        <w:t>委托人</w:t>
      </w:r>
      <w:r>
        <w:rPr>
          <w:rFonts w:ascii="宋体" w:hAnsi="宋体"/>
          <w:szCs w:val="21"/>
          <w:highlight w:val="none"/>
        </w:rPr>
        <w:t>人员在工程质量、工程隐蔽、工程经济技术签证等方面</w:t>
      </w:r>
      <w:r>
        <w:rPr>
          <w:rFonts w:hint="eastAsia" w:ascii="宋体" w:hAnsi="宋体"/>
          <w:szCs w:val="21"/>
          <w:highlight w:val="none"/>
          <w:lang w:eastAsia="zh-CN"/>
        </w:rPr>
        <w:t>弄虚作假</w:t>
      </w:r>
      <w:r>
        <w:rPr>
          <w:rFonts w:ascii="宋体" w:hAnsi="宋体"/>
          <w:szCs w:val="21"/>
          <w:highlight w:val="none"/>
        </w:rPr>
        <w:t>，牟取私利。</w:t>
      </w:r>
    </w:p>
    <w:p w14:paraId="734304E4">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（六）不得</w:t>
      </w:r>
      <w:r>
        <w:rPr>
          <w:rFonts w:hint="eastAsia" w:ascii="宋体" w:hAnsi="宋体"/>
          <w:szCs w:val="21"/>
          <w:highlight w:val="none"/>
        </w:rPr>
        <w:t>串通承包人将</w:t>
      </w:r>
      <w:r>
        <w:rPr>
          <w:rFonts w:ascii="宋体" w:hAnsi="宋体"/>
          <w:szCs w:val="21"/>
          <w:highlight w:val="none"/>
        </w:rPr>
        <w:t>承包工程转包，挂靠承包。</w:t>
      </w:r>
    </w:p>
    <w:p w14:paraId="1EA58371">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（七）不得违反工程造价管理规定，编制工程预算、决算。</w:t>
      </w:r>
    </w:p>
    <w:p w14:paraId="0AE06026">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第四条　违约责任</w:t>
      </w:r>
    </w:p>
    <w:p w14:paraId="766C3C24">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w:t>
      </w:r>
      <w:r>
        <w:rPr>
          <w:rFonts w:hint="eastAsia" w:ascii="宋体" w:hAnsi="宋体"/>
          <w:szCs w:val="21"/>
          <w:highlight w:val="none"/>
        </w:rPr>
        <w:t>委托人</w:t>
      </w:r>
      <w:r>
        <w:rPr>
          <w:rFonts w:ascii="宋体" w:hAnsi="宋体"/>
          <w:szCs w:val="21"/>
          <w:highlight w:val="none"/>
        </w:rPr>
        <w:t>工作人员有违反本合同第一、二条责任行为的，按照管理权限，依据有关规定予以处理；涉嫌犯罪的，移交司法机关追究刑事责任；给</w:t>
      </w:r>
      <w:r>
        <w:rPr>
          <w:rFonts w:hint="eastAsia" w:ascii="宋体" w:hAnsi="宋体"/>
          <w:szCs w:val="21"/>
          <w:highlight w:val="none"/>
          <w:lang w:eastAsia="zh-CN"/>
        </w:rPr>
        <w:t>勘察人</w:t>
      </w:r>
      <w:r>
        <w:rPr>
          <w:rFonts w:ascii="宋体" w:hAnsi="宋体"/>
          <w:szCs w:val="21"/>
          <w:highlight w:val="none"/>
        </w:rPr>
        <w:t>单位造成经济损失的，应予赔偿。</w:t>
      </w:r>
    </w:p>
    <w:p w14:paraId="0FF01DA4">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w:t>
      </w:r>
      <w:r>
        <w:rPr>
          <w:rFonts w:hint="eastAsia" w:ascii="宋体" w:hAnsi="宋体"/>
          <w:szCs w:val="21"/>
          <w:highlight w:val="none"/>
          <w:lang w:eastAsia="zh-CN"/>
        </w:rPr>
        <w:t>勘察人</w:t>
      </w:r>
      <w:r>
        <w:rPr>
          <w:rFonts w:ascii="宋体" w:hAnsi="宋体"/>
          <w:szCs w:val="21"/>
          <w:highlight w:val="none"/>
        </w:rPr>
        <w:t>工作人员有违反本合同第一、三条责任行为的，按照管理权限，依据有关规定予以处理；涉嫌犯罪的，移交司法机关追究刑事责任；给</w:t>
      </w:r>
      <w:r>
        <w:rPr>
          <w:rFonts w:hint="eastAsia" w:ascii="宋体" w:hAnsi="宋体"/>
          <w:szCs w:val="21"/>
          <w:highlight w:val="none"/>
        </w:rPr>
        <w:t>委托人</w:t>
      </w:r>
      <w:r>
        <w:rPr>
          <w:rFonts w:ascii="宋体" w:hAnsi="宋体"/>
          <w:szCs w:val="21"/>
          <w:highlight w:val="none"/>
        </w:rPr>
        <w:t>单位造成经济损失的，应予赔偿。</w:t>
      </w:r>
    </w:p>
    <w:p w14:paraId="1A34EC29">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第五条　双方约定：在自觉履行合同的同时，由</w:t>
      </w:r>
      <w:r>
        <w:rPr>
          <w:rFonts w:hint="eastAsia" w:ascii="宋体" w:hAnsi="宋体"/>
          <w:szCs w:val="21"/>
          <w:highlight w:val="none"/>
        </w:rPr>
        <w:t>委托人</w:t>
      </w:r>
      <w:r>
        <w:rPr>
          <w:rFonts w:ascii="宋体" w:hAnsi="宋体"/>
          <w:szCs w:val="21"/>
          <w:highlight w:val="none"/>
        </w:rPr>
        <w:t>监督单位负责对本合同履行情况进行监督检查。</w:t>
      </w:r>
    </w:p>
    <w:p w14:paraId="124D71CB">
      <w:pPr>
        <w:pStyle w:val="163"/>
        <w:autoSpaceDE w:val="0"/>
        <w:autoSpaceDN w:val="0"/>
        <w:adjustRightInd w:val="0"/>
        <w:spacing w:line="300" w:lineRule="auto"/>
        <w:jc w:val="left"/>
        <w:rPr>
          <w:rFonts w:ascii="宋体" w:hAnsi="宋体"/>
          <w:szCs w:val="21"/>
          <w:highlight w:val="none"/>
        </w:rPr>
      </w:pPr>
    </w:p>
    <w:p w14:paraId="6729633C">
      <w:pPr>
        <w:adjustRightInd w:val="0"/>
        <w:snapToGrid w:val="0"/>
        <w:spacing w:line="520" w:lineRule="exact"/>
        <w:rPr>
          <w:rFonts w:ascii="宋体" w:hAnsi="宋体"/>
          <w:szCs w:val="21"/>
          <w:highlight w:val="none"/>
        </w:rPr>
      </w:pPr>
      <w:r>
        <w:rPr>
          <w:rFonts w:hint="eastAsia" w:ascii="宋体" w:hAnsi="宋体"/>
          <w:szCs w:val="21"/>
          <w:highlight w:val="none"/>
        </w:rPr>
        <w:t>委托人</w:t>
      </w:r>
      <w:r>
        <w:rPr>
          <w:rFonts w:ascii="宋体" w:hAnsi="宋体"/>
          <w:szCs w:val="21"/>
          <w:highlight w:val="none"/>
        </w:rPr>
        <w:t xml:space="preserve">单位（盖章）： 　  </w:t>
      </w:r>
      <w:r>
        <w:rPr>
          <w:rFonts w:hint="eastAsia" w:ascii="宋体" w:hAnsi="宋体"/>
          <w:szCs w:val="21"/>
          <w:highlight w:val="none"/>
        </w:rPr>
        <w:t xml:space="preserve">                        </w:t>
      </w:r>
      <w:r>
        <w:rPr>
          <w:rFonts w:hint="eastAsia" w:ascii="宋体" w:hAnsi="宋体"/>
          <w:szCs w:val="21"/>
          <w:highlight w:val="none"/>
          <w:lang w:eastAsia="zh-CN"/>
        </w:rPr>
        <w:t>勘察人</w:t>
      </w:r>
      <w:r>
        <w:rPr>
          <w:rFonts w:ascii="宋体" w:hAnsi="宋体"/>
          <w:szCs w:val="21"/>
          <w:highlight w:val="none"/>
        </w:rPr>
        <w:t>单位（盖章）：</w:t>
      </w:r>
    </w:p>
    <w:p w14:paraId="3B8A83DB">
      <w:pPr>
        <w:adjustRightInd w:val="0"/>
        <w:snapToGrid w:val="0"/>
        <w:spacing w:line="520" w:lineRule="exact"/>
        <w:ind w:firstLine="2730" w:firstLineChars="1300"/>
        <w:rPr>
          <w:rFonts w:ascii="宋体" w:hAnsi="宋体"/>
          <w:szCs w:val="21"/>
          <w:highlight w:val="none"/>
        </w:rPr>
      </w:pPr>
      <w:r>
        <w:rPr>
          <w:rFonts w:ascii="宋体" w:hAnsi="宋体"/>
          <w:szCs w:val="21"/>
          <w:highlight w:val="none"/>
        </w:rPr>
        <w:t xml:space="preserve">                         </w:t>
      </w:r>
    </w:p>
    <w:p w14:paraId="76607B57">
      <w:pPr>
        <w:pStyle w:val="163"/>
        <w:autoSpaceDE w:val="0"/>
        <w:autoSpaceDN w:val="0"/>
        <w:adjustRightInd w:val="0"/>
        <w:spacing w:line="300" w:lineRule="auto"/>
        <w:jc w:val="left"/>
        <w:rPr>
          <w:rFonts w:ascii="宋体" w:hAnsi="宋体"/>
          <w:szCs w:val="21"/>
          <w:highlight w:val="none"/>
        </w:rPr>
      </w:pPr>
    </w:p>
    <w:p w14:paraId="42DFD4DA">
      <w:pPr>
        <w:pStyle w:val="163"/>
        <w:autoSpaceDE w:val="0"/>
        <w:autoSpaceDN w:val="0"/>
        <w:adjustRightInd w:val="0"/>
        <w:spacing w:line="300" w:lineRule="auto"/>
        <w:jc w:val="left"/>
        <w:rPr>
          <w:rFonts w:ascii="宋体" w:hAnsi="宋体"/>
          <w:szCs w:val="21"/>
          <w:highlight w:val="none"/>
        </w:rPr>
      </w:pPr>
      <w:r>
        <w:rPr>
          <w:rFonts w:ascii="宋体" w:hAnsi="宋体"/>
          <w:szCs w:val="21"/>
          <w:highlight w:val="none"/>
        </w:rPr>
        <w:t xml:space="preserve">法定代表人：　　　　　　　　　              </w:t>
      </w:r>
      <w:r>
        <w:rPr>
          <w:rFonts w:hint="eastAsia" w:ascii="宋体" w:hAnsi="宋体"/>
          <w:szCs w:val="21"/>
          <w:highlight w:val="none"/>
        </w:rPr>
        <w:t xml:space="preserve">     </w:t>
      </w:r>
      <w:r>
        <w:rPr>
          <w:rFonts w:ascii="宋体" w:hAnsi="宋体"/>
          <w:szCs w:val="21"/>
          <w:highlight w:val="none"/>
        </w:rPr>
        <w:t>法定代表人：</w:t>
      </w:r>
    </w:p>
    <w:p w14:paraId="1ACA4D6B">
      <w:pPr>
        <w:pStyle w:val="163"/>
        <w:autoSpaceDE w:val="0"/>
        <w:autoSpaceDN w:val="0"/>
        <w:adjustRightInd w:val="0"/>
        <w:spacing w:line="300" w:lineRule="auto"/>
        <w:jc w:val="left"/>
        <w:rPr>
          <w:rFonts w:ascii="宋体" w:hAnsi="宋体"/>
          <w:szCs w:val="21"/>
          <w:highlight w:val="none"/>
        </w:rPr>
      </w:pPr>
    </w:p>
    <w:p w14:paraId="5B8072A5">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或授权授权代理人：                               或授权代理人：</w:t>
      </w:r>
    </w:p>
    <w:p w14:paraId="2D69B3A2">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 xml:space="preserve"> </w:t>
      </w:r>
    </w:p>
    <w:p w14:paraId="4C6E5035">
      <w:pPr>
        <w:pStyle w:val="163"/>
        <w:autoSpaceDE w:val="0"/>
        <w:autoSpaceDN w:val="0"/>
        <w:adjustRightInd w:val="0"/>
        <w:spacing w:line="300" w:lineRule="auto"/>
        <w:jc w:val="left"/>
        <w:rPr>
          <w:rFonts w:ascii="宋体" w:hAnsi="宋体"/>
          <w:szCs w:val="21"/>
          <w:highlight w:val="none"/>
        </w:rPr>
      </w:pPr>
      <w:r>
        <w:rPr>
          <w:rFonts w:ascii="宋体" w:hAnsi="宋体"/>
          <w:szCs w:val="21"/>
          <w:highlight w:val="none"/>
        </w:rPr>
        <w:t xml:space="preserve">监督电话：0755-89890158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监督电话：</w:t>
      </w:r>
    </w:p>
    <w:p w14:paraId="1E6328CD">
      <w:pPr>
        <w:pStyle w:val="163"/>
        <w:autoSpaceDE w:val="0"/>
        <w:autoSpaceDN w:val="0"/>
        <w:adjustRightInd w:val="0"/>
        <w:spacing w:line="300" w:lineRule="auto"/>
        <w:jc w:val="left"/>
        <w:rPr>
          <w:rFonts w:ascii="宋体" w:hAnsi="宋体"/>
          <w:szCs w:val="21"/>
          <w:highlight w:val="none"/>
        </w:rPr>
      </w:pPr>
    </w:p>
    <w:p w14:paraId="1EBEFA3B">
      <w:pPr>
        <w:pStyle w:val="147"/>
        <w:autoSpaceDE w:val="0"/>
        <w:autoSpaceDN w:val="0"/>
        <w:adjustRightInd w:val="0"/>
        <w:spacing w:line="300" w:lineRule="auto"/>
        <w:ind w:firstLine="630" w:firstLineChars="300"/>
        <w:jc w:val="left"/>
        <w:rPr>
          <w:rFonts w:ascii="宋体" w:hAnsi="宋体"/>
          <w:szCs w:val="21"/>
          <w:highlight w:val="none"/>
        </w:rPr>
      </w:pPr>
      <w:r>
        <w:rPr>
          <w:rFonts w:ascii="宋体" w:hAnsi="宋体"/>
          <w:szCs w:val="21"/>
          <w:highlight w:val="none"/>
        </w:rPr>
        <w:t>年　　月　　日　　　　　                  　</w:t>
      </w:r>
      <w:r>
        <w:rPr>
          <w:rFonts w:hint="eastAsia" w:ascii="宋体" w:hAnsi="宋体"/>
          <w:szCs w:val="21"/>
          <w:highlight w:val="none"/>
        </w:rPr>
        <w:t xml:space="preserve">      </w:t>
      </w:r>
      <w:r>
        <w:rPr>
          <w:rFonts w:ascii="宋体" w:hAnsi="宋体"/>
          <w:szCs w:val="21"/>
          <w:highlight w:val="none"/>
        </w:rPr>
        <w:t>年　　月　　日</w:t>
      </w:r>
    </w:p>
    <w:p w14:paraId="0AACFB2D">
      <w:pPr>
        <w:pStyle w:val="163"/>
        <w:rPr>
          <w:rFonts w:ascii="宋体" w:hAnsi="宋体"/>
          <w:szCs w:val="21"/>
          <w:highlight w:val="none"/>
        </w:rPr>
      </w:pPr>
    </w:p>
    <w:p w14:paraId="7E91C4F9">
      <w:pPr>
        <w:pStyle w:val="52"/>
        <w:ind w:firstLine="480"/>
        <w:rPr>
          <w:rFonts w:ascii="宋体" w:hAnsi="宋体"/>
          <w:sz w:val="24"/>
          <w:szCs w:val="24"/>
          <w:highlight w:val="none"/>
        </w:rPr>
      </w:pPr>
    </w:p>
    <w:p w14:paraId="04CCF483">
      <w:pPr>
        <w:pStyle w:val="52"/>
        <w:ind w:firstLine="480"/>
        <w:rPr>
          <w:rFonts w:ascii="宋体" w:hAnsi="宋体"/>
          <w:sz w:val="24"/>
          <w:szCs w:val="24"/>
          <w:highlight w:val="none"/>
        </w:rPr>
      </w:pPr>
    </w:p>
    <w:p w14:paraId="17B7F3F6">
      <w:pPr>
        <w:pStyle w:val="163"/>
        <w:autoSpaceDE w:val="0"/>
        <w:autoSpaceDN w:val="0"/>
        <w:adjustRightInd w:val="0"/>
        <w:jc w:val="left"/>
        <w:rPr>
          <w:rFonts w:hint="eastAsia" w:ascii="宋体" w:hAnsi="宋体"/>
          <w:sz w:val="30"/>
          <w:szCs w:val="30"/>
          <w:highlight w:val="none"/>
        </w:rPr>
        <w:sectPr>
          <w:pgSz w:w="11906" w:h="16838"/>
          <w:pgMar w:top="1440" w:right="1800" w:bottom="1440" w:left="1800" w:header="851" w:footer="992" w:gutter="0"/>
          <w:cols w:space="720" w:num="1"/>
          <w:docGrid w:type="lines" w:linePitch="312" w:charSpace="0"/>
        </w:sectPr>
      </w:pPr>
    </w:p>
    <w:p w14:paraId="2987D58A">
      <w:pPr>
        <w:pStyle w:val="163"/>
        <w:autoSpaceDE w:val="0"/>
        <w:autoSpaceDN w:val="0"/>
        <w:adjustRightInd w:val="0"/>
        <w:jc w:val="left"/>
        <w:outlineLvl w:val="1"/>
        <w:rPr>
          <w:rFonts w:ascii="宋体" w:hAnsi="宋体"/>
          <w:sz w:val="30"/>
          <w:szCs w:val="30"/>
          <w:highlight w:val="none"/>
        </w:rPr>
      </w:pPr>
      <w:r>
        <w:rPr>
          <w:rFonts w:hint="eastAsia" w:ascii="宋体" w:hAnsi="宋体"/>
          <w:sz w:val="30"/>
          <w:szCs w:val="30"/>
          <w:highlight w:val="none"/>
        </w:rPr>
        <w:t>附件2</w:t>
      </w:r>
    </w:p>
    <w:p w14:paraId="6E6E3AC8">
      <w:pPr>
        <w:pStyle w:val="163"/>
        <w:autoSpaceDE w:val="0"/>
        <w:autoSpaceDN w:val="0"/>
        <w:adjustRightInd w:val="0"/>
        <w:jc w:val="center"/>
        <w:rPr>
          <w:rFonts w:ascii="黑体" w:hAnsi="Arial" w:eastAsia="黑体"/>
          <w:kern w:val="0"/>
          <w:sz w:val="36"/>
          <w:szCs w:val="36"/>
          <w:highlight w:val="none"/>
        </w:rPr>
      </w:pPr>
      <w:r>
        <w:rPr>
          <w:rFonts w:hint="eastAsia" w:ascii="黑体" w:hAnsi="Arial" w:eastAsia="黑体"/>
          <w:kern w:val="0"/>
          <w:sz w:val="36"/>
          <w:szCs w:val="36"/>
          <w:highlight w:val="none"/>
        </w:rPr>
        <w:t>安全生产责任书</w:t>
      </w:r>
    </w:p>
    <w:p w14:paraId="137A141F">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为在</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szCs w:val="21"/>
          <w:highlight w:val="none"/>
        </w:rPr>
        <w:t>建设过程中创造安全、高效的施工环境，切实搞好本项目的安全管理工作，本项目业主深圳市龙岗区城市建设投资集团有限公司（以下简称“委托人”）与</w:t>
      </w:r>
      <w:r>
        <w:rPr>
          <w:rFonts w:hint="eastAsia" w:ascii="宋体" w:hAnsi="宋体"/>
          <w:szCs w:val="21"/>
          <w:highlight w:val="none"/>
          <w:lang w:eastAsia="zh-CN"/>
        </w:rPr>
        <w:t>勘察人</w:t>
      </w:r>
      <w:r>
        <w:rPr>
          <w:rFonts w:hint="eastAsia" w:ascii="宋体" w:hAnsi="宋体"/>
          <w:szCs w:val="21"/>
          <w:highlight w:val="none"/>
        </w:rPr>
        <w:t>__________________________________ （以下简称“</w:t>
      </w:r>
      <w:r>
        <w:rPr>
          <w:rFonts w:hint="eastAsia" w:ascii="宋体" w:hAnsi="宋体"/>
          <w:szCs w:val="21"/>
          <w:highlight w:val="none"/>
          <w:lang w:eastAsia="zh-CN"/>
        </w:rPr>
        <w:t>勘察人</w:t>
      </w:r>
      <w:r>
        <w:rPr>
          <w:rFonts w:hint="eastAsia" w:ascii="宋体" w:hAnsi="宋体"/>
          <w:szCs w:val="21"/>
          <w:highlight w:val="none"/>
        </w:rPr>
        <w:t>”）特此签订安全生产合同：</w:t>
      </w:r>
    </w:p>
    <w:p w14:paraId="510046CE">
      <w:pPr>
        <w:pStyle w:val="163"/>
        <w:autoSpaceDE w:val="0"/>
        <w:autoSpaceDN w:val="0"/>
        <w:adjustRightInd w:val="0"/>
        <w:spacing w:line="360" w:lineRule="exact"/>
        <w:ind w:firstLine="420" w:firstLineChars="200"/>
        <w:jc w:val="left"/>
        <w:outlineLvl w:val="1"/>
        <w:rPr>
          <w:rFonts w:ascii="宋体" w:hAnsi="宋体"/>
          <w:szCs w:val="21"/>
          <w:highlight w:val="none"/>
        </w:rPr>
      </w:pPr>
      <w:r>
        <w:rPr>
          <w:rFonts w:hint="eastAsia" w:ascii="宋体" w:hAnsi="宋体"/>
          <w:szCs w:val="21"/>
          <w:highlight w:val="none"/>
        </w:rPr>
        <w:t>一、委托人职责</w:t>
      </w:r>
    </w:p>
    <w:p w14:paraId="08724A8B">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1．严格遵守国家有关安全生产的法律法规，认真执行工程施工承包合同中的有关安全要求，督促、检查</w:t>
      </w:r>
      <w:r>
        <w:rPr>
          <w:rFonts w:hint="eastAsia" w:ascii="宋体" w:hAnsi="宋体"/>
          <w:szCs w:val="21"/>
          <w:highlight w:val="none"/>
          <w:lang w:eastAsia="zh-CN"/>
        </w:rPr>
        <w:t>勘察人</w:t>
      </w:r>
      <w:r>
        <w:rPr>
          <w:rFonts w:hint="eastAsia" w:ascii="宋体" w:hAnsi="宋体"/>
          <w:szCs w:val="21"/>
          <w:highlight w:val="none"/>
        </w:rPr>
        <w:t>做好安全生产工作。</w:t>
      </w:r>
    </w:p>
    <w:p w14:paraId="6F6CDC72">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2．重要的安全设施必须坚持与主体工程“三同时”原则中“同时设计，审批，同时验收，投入使用”两大原则。</w:t>
      </w:r>
    </w:p>
    <w:p w14:paraId="338607B2">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3．传达中央及地方有关安全生产的精神，听取</w:t>
      </w:r>
      <w:r>
        <w:rPr>
          <w:rFonts w:hint="eastAsia" w:ascii="宋体" w:hAnsi="宋体"/>
          <w:szCs w:val="21"/>
          <w:highlight w:val="none"/>
          <w:lang w:eastAsia="zh-CN"/>
        </w:rPr>
        <w:t>勘察人</w:t>
      </w:r>
      <w:r>
        <w:rPr>
          <w:rFonts w:hint="eastAsia" w:ascii="宋体" w:hAnsi="宋体"/>
          <w:szCs w:val="21"/>
          <w:highlight w:val="none"/>
        </w:rPr>
        <w:t>安全生产工作汇报，参与各施工单位安全生产评比。</w:t>
      </w:r>
    </w:p>
    <w:p w14:paraId="3308EA15">
      <w:pPr>
        <w:pStyle w:val="163"/>
        <w:autoSpaceDE w:val="0"/>
        <w:autoSpaceDN w:val="0"/>
        <w:adjustRightInd w:val="0"/>
        <w:spacing w:line="360" w:lineRule="exact"/>
        <w:ind w:firstLine="420" w:firstLineChars="200"/>
        <w:jc w:val="left"/>
        <w:outlineLvl w:val="1"/>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勘察人</w:t>
      </w:r>
      <w:r>
        <w:rPr>
          <w:rFonts w:hint="eastAsia" w:ascii="宋体" w:hAnsi="宋体"/>
          <w:szCs w:val="21"/>
          <w:highlight w:val="none"/>
        </w:rPr>
        <w:t>职责</w:t>
      </w:r>
    </w:p>
    <w:p w14:paraId="478BC474">
      <w:pPr>
        <w:pStyle w:val="163"/>
        <w:autoSpaceDE w:val="0"/>
        <w:autoSpaceDN w:val="0"/>
        <w:adjustRightInd w:val="0"/>
        <w:spacing w:line="360" w:lineRule="exact"/>
        <w:ind w:firstLine="420" w:firstLineChars="200"/>
        <w:jc w:val="left"/>
        <w:outlineLvl w:val="2"/>
        <w:rPr>
          <w:rFonts w:ascii="宋体" w:hAnsi="宋体"/>
          <w:szCs w:val="21"/>
          <w:highlight w:val="none"/>
        </w:rPr>
      </w:pPr>
      <w:r>
        <w:rPr>
          <w:rFonts w:hint="eastAsia" w:ascii="宋体" w:hAnsi="宋体"/>
          <w:szCs w:val="21"/>
          <w:highlight w:val="none"/>
        </w:rPr>
        <w:t>施工安全及文明施工监理的主要内容</w:t>
      </w:r>
    </w:p>
    <w:p w14:paraId="6EC6C895">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勘察人</w:t>
      </w:r>
      <w:r>
        <w:rPr>
          <w:rFonts w:hint="eastAsia" w:ascii="宋体" w:hAnsi="宋体"/>
          <w:szCs w:val="21"/>
          <w:highlight w:val="none"/>
        </w:rPr>
        <w:t>应贯彻执行</w:t>
      </w:r>
      <w:r>
        <w:rPr>
          <w:rFonts w:hint="eastAsia" w:ascii="宋体" w:hAnsi="宋体"/>
          <w:szCs w:val="21"/>
          <w:highlight w:val="none"/>
          <w:lang w:eastAsia="zh-CN"/>
        </w:rPr>
        <w:t>《中华人民共和国安全生产法》</w:t>
      </w:r>
      <w:r>
        <w:rPr>
          <w:rFonts w:hint="eastAsia" w:ascii="宋体" w:hAnsi="宋体"/>
          <w:szCs w:val="21"/>
          <w:highlight w:val="none"/>
        </w:rPr>
        <w:t>律、法规、规章和标准，按照深圳市监理管理条例和业主安全管理的有关规定，把施工安全及文明施工监督纳入监理范围，与工程质量、工期和投资控制同步实施。监理规划和监理实施细则中应专门列入施工安全级文明施工监理的内容，制定安全监理方案，建立、健全和完善安全管理制度；</w:t>
      </w:r>
    </w:p>
    <w:p w14:paraId="22799A7C">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勘察人</w:t>
      </w:r>
      <w:r>
        <w:rPr>
          <w:rFonts w:hint="eastAsia" w:ascii="宋体" w:hAnsi="宋体"/>
          <w:szCs w:val="21"/>
          <w:highlight w:val="none"/>
        </w:rPr>
        <w:t>将对承包商的文明施工、安全检查工作及事故预防工作作为监理的日常工作，掌握标段安全生产状况，对重要的薄弱环节、重大危险点、危险源，进行安全监理旁站；</w:t>
      </w:r>
    </w:p>
    <w:p w14:paraId="718F9F26">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勘察人</w:t>
      </w:r>
      <w:r>
        <w:rPr>
          <w:rFonts w:hint="eastAsia" w:ascii="宋体" w:hAnsi="宋体"/>
          <w:szCs w:val="21"/>
          <w:highlight w:val="none"/>
        </w:rPr>
        <w:t>必须按照有关的施工安全法规、规范及标准的要求对承包商的施工组织设计的安全技术措施进行审查；</w:t>
      </w:r>
    </w:p>
    <w:p w14:paraId="1D72B81A">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勘察人</w:t>
      </w:r>
      <w:r>
        <w:rPr>
          <w:rFonts w:hint="eastAsia" w:ascii="宋体" w:hAnsi="宋体"/>
          <w:szCs w:val="21"/>
          <w:highlight w:val="none"/>
        </w:rPr>
        <w:t>员应对施工过程进行有目的巡查，督促承包商建立与完善安全生产、文明施工管理制度及安全技术操作规程，落实安全技术措施；</w:t>
      </w:r>
    </w:p>
    <w:p w14:paraId="062CDCD5">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勘察人</w:t>
      </w:r>
      <w:r>
        <w:rPr>
          <w:rFonts w:hint="eastAsia" w:ascii="宋体" w:hAnsi="宋体"/>
          <w:szCs w:val="21"/>
          <w:highlight w:val="none"/>
        </w:rPr>
        <w:t>应针对施工中的不安全因素与安全工作中的薄弱环节进行研究，书面提出要求并督促承包商改进；</w:t>
      </w:r>
    </w:p>
    <w:p w14:paraId="359AA861">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勘察人</w:t>
      </w:r>
      <w:r>
        <w:rPr>
          <w:rFonts w:hint="eastAsia" w:ascii="宋体" w:hAnsi="宋体"/>
          <w:szCs w:val="21"/>
          <w:highlight w:val="none"/>
        </w:rPr>
        <w:t>应对涉及施工安全的支撑体系、大型垂直运输设备等重要临时设施的施工方案进行审查，确保其符合有关法规、规范及标准的要求，不符合要求的，应向承包商提出改进意见并督促落实；</w:t>
      </w:r>
    </w:p>
    <w:p w14:paraId="69E0715D">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勘察人</w:t>
      </w:r>
      <w:r>
        <w:rPr>
          <w:rFonts w:hint="eastAsia" w:ascii="宋体" w:hAnsi="宋体"/>
          <w:szCs w:val="21"/>
          <w:highlight w:val="none"/>
        </w:rPr>
        <w:t>应审查特殊机械和特殊工种的操作人员的资格证、上岗证及年检合格证；</w:t>
      </w:r>
    </w:p>
    <w:p w14:paraId="19D6BA79">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勘察人</w:t>
      </w:r>
      <w:r>
        <w:rPr>
          <w:rFonts w:hint="eastAsia" w:ascii="宋体" w:hAnsi="宋体"/>
          <w:szCs w:val="21"/>
          <w:highlight w:val="none"/>
        </w:rPr>
        <w:t>应组织定期和不定期的安全检查，配合深圳市施工安全监督站对标段的监督检查，对检查发现的隐患应立即发出监理通知，按监理通知和深圳市施工安全监督站发出的整改通知书的要求，督促、跟踪承包商“定人、定时、定措施”落实整改。对未按要求整改的承包商，即再发出第二次监理通知。对两次发出整改通知而拒不整改的承包商，监理以书面形式向业主安全管理职能部门报告，并配合业主采取必要的措施，落实整改；</w:t>
      </w:r>
    </w:p>
    <w:p w14:paraId="4745BE10">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9.合同执行期间，监理单位必须接受业主安全管理职能部门的监督，按统一的表格形式（如以标段为单位），逐月向业主安全管理等职能部门递交书面安全监理工作报告，如实反映标段本月的安全生产状况和下月安全监理的工作重点；</w:t>
      </w:r>
    </w:p>
    <w:p w14:paraId="459CC959">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10.一旦发生安全事故，监理单位必须作出快速反映，在一小时以内向业主安全管理职能部门报告，并督促承包商进行事故的及时上报和配合调查、处理与统计工作。</w:t>
      </w:r>
    </w:p>
    <w:p w14:paraId="56398DE3">
      <w:pPr>
        <w:pStyle w:val="163"/>
        <w:autoSpaceDE w:val="0"/>
        <w:autoSpaceDN w:val="0"/>
        <w:adjustRightInd w:val="0"/>
        <w:spacing w:line="360" w:lineRule="exact"/>
        <w:ind w:firstLine="420" w:firstLineChars="200"/>
        <w:jc w:val="left"/>
        <w:outlineLvl w:val="2"/>
        <w:rPr>
          <w:rFonts w:ascii="宋体" w:hAnsi="宋体"/>
          <w:szCs w:val="21"/>
          <w:highlight w:val="none"/>
        </w:rPr>
      </w:pPr>
      <w:r>
        <w:rPr>
          <w:rFonts w:hint="eastAsia" w:ascii="宋体" w:hAnsi="宋体"/>
          <w:szCs w:val="21"/>
          <w:highlight w:val="none"/>
        </w:rPr>
        <w:t>11.协助业主做好以下施工安全管理工作：</w:t>
      </w:r>
    </w:p>
    <w:p w14:paraId="3ECFB4C8">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1)协助业主编制施工安全管理程序及施工安全控制计划，制订安全控制保证措施；</w:t>
      </w:r>
    </w:p>
    <w:p w14:paraId="663F688A">
      <w:pPr>
        <w:pStyle w:val="163"/>
        <w:autoSpaceDE w:val="0"/>
        <w:autoSpaceDN w:val="0"/>
        <w:adjustRightInd w:val="0"/>
        <w:spacing w:line="360" w:lineRule="exact"/>
        <w:ind w:firstLine="420" w:firstLineChars="200"/>
        <w:jc w:val="left"/>
        <w:outlineLvl w:val="3"/>
        <w:rPr>
          <w:rFonts w:ascii="宋体" w:hAnsi="宋体"/>
          <w:szCs w:val="21"/>
          <w:highlight w:val="none"/>
        </w:rPr>
      </w:pPr>
      <w:r>
        <w:rPr>
          <w:rFonts w:hint="eastAsia" w:ascii="宋体" w:hAnsi="宋体"/>
          <w:szCs w:val="21"/>
          <w:highlight w:val="none"/>
        </w:rPr>
        <w:t>2)协助业主制定施工安全目标，编制安全、文明施工管理办法；</w:t>
      </w:r>
    </w:p>
    <w:p w14:paraId="5C5C092C">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3)抽查承包商的安全教育（三级教育）情况，抽验承包商特种工人上岗证，检查承包商的安全保证体系运行情况；</w:t>
      </w:r>
    </w:p>
    <w:p w14:paraId="70299BBD">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4)对施工现场进行安全巡视，参加每月定期安全检查，协助业主建立安全工作</w:t>
      </w:r>
      <w:r>
        <w:rPr>
          <w:rFonts w:hint="eastAsia" w:ascii="宋体" w:hAnsi="宋体"/>
          <w:szCs w:val="21"/>
          <w:highlight w:val="none"/>
          <w:lang w:eastAsia="zh-CN"/>
        </w:rPr>
        <w:t>台账</w:t>
      </w:r>
      <w:r>
        <w:rPr>
          <w:rFonts w:hint="eastAsia" w:ascii="宋体" w:hAnsi="宋体"/>
          <w:szCs w:val="21"/>
          <w:highlight w:val="none"/>
        </w:rPr>
        <w:t>，分析安全状况并提出安全预控意见。</w:t>
      </w:r>
    </w:p>
    <w:p w14:paraId="2794995E">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5)参加事故现场调查和安全事故分析会议，协助业主处理安全事故，起草事故调查分析报告；</w:t>
      </w:r>
    </w:p>
    <w:p w14:paraId="3CF760C1">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6)每月提交安全、文明检查报告，协助业主总结每季度的情况是否达到施工安全目标；</w:t>
      </w:r>
    </w:p>
    <w:p w14:paraId="5761432F">
      <w:pPr>
        <w:pStyle w:val="163"/>
        <w:autoSpaceDE w:val="0"/>
        <w:autoSpaceDN w:val="0"/>
        <w:adjustRightInd w:val="0"/>
        <w:spacing w:line="360" w:lineRule="exact"/>
        <w:ind w:firstLine="420" w:firstLineChars="200"/>
        <w:jc w:val="left"/>
        <w:outlineLvl w:val="3"/>
        <w:rPr>
          <w:rFonts w:ascii="宋体" w:hAnsi="宋体"/>
          <w:szCs w:val="21"/>
          <w:highlight w:val="none"/>
        </w:rPr>
      </w:pPr>
      <w:r>
        <w:rPr>
          <w:rFonts w:hint="eastAsia" w:ascii="宋体" w:hAnsi="宋体"/>
          <w:szCs w:val="21"/>
          <w:highlight w:val="none"/>
        </w:rPr>
        <w:t>7)每季度提交安全文明检查评比报告。</w:t>
      </w:r>
    </w:p>
    <w:p w14:paraId="32ABF183">
      <w:pPr>
        <w:pStyle w:val="163"/>
        <w:autoSpaceDE w:val="0"/>
        <w:autoSpaceDN w:val="0"/>
        <w:adjustRightInd w:val="0"/>
        <w:spacing w:line="360" w:lineRule="exact"/>
        <w:ind w:firstLine="420" w:firstLineChars="200"/>
        <w:jc w:val="left"/>
        <w:outlineLvl w:val="2"/>
        <w:rPr>
          <w:rFonts w:ascii="宋体" w:hAnsi="宋体"/>
          <w:szCs w:val="21"/>
          <w:highlight w:val="none"/>
        </w:rPr>
      </w:pPr>
      <w:r>
        <w:rPr>
          <w:rFonts w:hint="eastAsia" w:ascii="宋体" w:hAnsi="宋体"/>
          <w:szCs w:val="21"/>
          <w:highlight w:val="none"/>
        </w:rPr>
        <w:t>12.协助业主组织质量安全文明施工检查考核：</w:t>
      </w:r>
    </w:p>
    <w:p w14:paraId="3301460E">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1)协助业主组织施工监理组、施工单位做好质量安全文明施工检查和合同履约考核；</w:t>
      </w:r>
    </w:p>
    <w:p w14:paraId="684AFA5E">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2)制定巡视和检查制度，制定质量检查评比办法，每季度组织一次质量大检查，奖优罚劣；</w:t>
      </w:r>
    </w:p>
    <w:p w14:paraId="386FFD0B">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 根据工程需要组织审核进场工程材料（混凝土、防水材料、石材、钢材等）、构配件、机械设备的质量证明资料，对进场实物按照有关工程质量安全管理的规定按比例抽检或见证取样、送样检验工作；</w:t>
      </w:r>
    </w:p>
    <w:p w14:paraId="4FFAB47F">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4)当施工存在重大质量安全隐患，可能造成质量安全事故或已经造成质量安全事故时，立刻下达工程停工令，责令承包商停工整改并跟踪整改；</w:t>
      </w:r>
    </w:p>
    <w:p w14:paraId="6B9B6362">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5)及时提交有关质量事故的书面报告，划分质量事故责任，整理质量事故处理记录等资料，并负责归档；</w:t>
      </w:r>
    </w:p>
    <w:p w14:paraId="4A4DEBBE">
      <w:pPr>
        <w:pStyle w:val="163"/>
        <w:autoSpaceDE w:val="0"/>
        <w:autoSpaceDN w:val="0"/>
        <w:adjustRightInd w:val="0"/>
        <w:spacing w:line="360" w:lineRule="exact"/>
        <w:ind w:firstLine="420" w:firstLineChars="200"/>
        <w:jc w:val="left"/>
        <w:outlineLvl w:val="3"/>
        <w:rPr>
          <w:rFonts w:ascii="宋体" w:hAnsi="宋体"/>
          <w:szCs w:val="21"/>
          <w:highlight w:val="none"/>
        </w:rPr>
      </w:pPr>
      <w:r>
        <w:rPr>
          <w:rFonts w:hint="eastAsia" w:ascii="宋体" w:hAnsi="宋体"/>
          <w:szCs w:val="21"/>
          <w:highlight w:val="none"/>
        </w:rPr>
        <w:t>6)编制并提交工程质量安全报告，汇报工程的质量安全情况。</w:t>
      </w:r>
    </w:p>
    <w:p w14:paraId="63AC887A">
      <w:pPr>
        <w:pStyle w:val="163"/>
        <w:autoSpaceDE w:val="0"/>
        <w:autoSpaceDN w:val="0"/>
        <w:adjustRightInd w:val="0"/>
        <w:spacing w:line="360" w:lineRule="exact"/>
        <w:ind w:firstLine="420" w:firstLineChars="200"/>
        <w:jc w:val="left"/>
        <w:outlineLvl w:val="1"/>
        <w:rPr>
          <w:rFonts w:ascii="宋体" w:hAnsi="宋体"/>
          <w:szCs w:val="21"/>
          <w:highlight w:val="none"/>
        </w:rPr>
      </w:pPr>
      <w:r>
        <w:rPr>
          <w:rFonts w:hint="eastAsia" w:ascii="宋体" w:hAnsi="宋体"/>
          <w:szCs w:val="21"/>
          <w:highlight w:val="none"/>
        </w:rPr>
        <w:t xml:space="preserve">三、违约责任  </w:t>
      </w:r>
    </w:p>
    <w:p w14:paraId="2BCD3AAA">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如因委托人或</w:t>
      </w:r>
      <w:r>
        <w:rPr>
          <w:rFonts w:hint="eastAsia" w:ascii="宋体" w:hAnsi="宋体"/>
          <w:szCs w:val="21"/>
          <w:highlight w:val="none"/>
          <w:lang w:eastAsia="zh-CN"/>
        </w:rPr>
        <w:t>勘察人</w:t>
      </w:r>
      <w:r>
        <w:rPr>
          <w:rFonts w:hint="eastAsia" w:ascii="宋体" w:hAnsi="宋体"/>
          <w:szCs w:val="21"/>
          <w:highlight w:val="none"/>
        </w:rPr>
        <w:t xml:space="preserve">违约造成安全事故，将依法追究责任。 </w:t>
      </w:r>
    </w:p>
    <w:p w14:paraId="1696E434">
      <w:pPr>
        <w:pStyle w:val="163"/>
        <w:autoSpaceDE w:val="0"/>
        <w:autoSpaceDN w:val="0"/>
        <w:adjustRightInd w:val="0"/>
        <w:spacing w:line="300" w:lineRule="auto"/>
        <w:ind w:firstLine="420" w:firstLineChars="200"/>
        <w:jc w:val="left"/>
        <w:rPr>
          <w:rFonts w:ascii="宋体" w:hAnsi="宋体"/>
          <w:szCs w:val="21"/>
          <w:highlight w:val="none"/>
        </w:rPr>
      </w:pPr>
    </w:p>
    <w:p w14:paraId="07615BAE">
      <w:pPr>
        <w:adjustRightInd w:val="0"/>
        <w:snapToGrid w:val="0"/>
        <w:spacing w:line="520" w:lineRule="exact"/>
        <w:rPr>
          <w:rFonts w:ascii="宋体" w:hAnsi="宋体"/>
          <w:szCs w:val="21"/>
          <w:highlight w:val="none"/>
        </w:rPr>
      </w:pPr>
      <w:r>
        <w:rPr>
          <w:rFonts w:hint="eastAsia" w:ascii="宋体" w:hAnsi="宋体"/>
          <w:szCs w:val="21"/>
          <w:highlight w:val="none"/>
        </w:rPr>
        <w:t>委托人</w:t>
      </w:r>
      <w:r>
        <w:rPr>
          <w:rFonts w:ascii="宋体" w:hAnsi="宋体"/>
          <w:szCs w:val="21"/>
          <w:highlight w:val="none"/>
        </w:rPr>
        <w:t xml:space="preserve">单位（盖章）：　  </w:t>
      </w:r>
      <w:r>
        <w:rPr>
          <w:rFonts w:hint="eastAsia" w:ascii="宋体" w:hAnsi="宋体"/>
          <w:szCs w:val="21"/>
          <w:highlight w:val="none"/>
        </w:rPr>
        <w:t xml:space="preserve">                         </w:t>
      </w:r>
      <w:r>
        <w:rPr>
          <w:rFonts w:hint="eastAsia" w:ascii="宋体" w:hAnsi="宋体"/>
          <w:szCs w:val="21"/>
          <w:highlight w:val="none"/>
          <w:lang w:eastAsia="zh-CN"/>
        </w:rPr>
        <w:t>勘察人</w:t>
      </w:r>
      <w:r>
        <w:rPr>
          <w:rFonts w:ascii="宋体" w:hAnsi="宋体"/>
          <w:szCs w:val="21"/>
          <w:highlight w:val="none"/>
        </w:rPr>
        <w:t>单位（盖章）：</w:t>
      </w:r>
      <w:r>
        <w:rPr>
          <w:rFonts w:hint="eastAsia" w:ascii="宋体" w:hAnsi="宋体"/>
          <w:szCs w:val="21"/>
          <w:highlight w:val="none"/>
        </w:rPr>
        <w:t xml:space="preserve"> </w:t>
      </w:r>
    </w:p>
    <w:p w14:paraId="51436756">
      <w:pPr>
        <w:adjustRightInd w:val="0"/>
        <w:snapToGrid w:val="0"/>
        <w:spacing w:line="520" w:lineRule="exact"/>
        <w:ind w:firstLine="2310" w:firstLineChars="1100"/>
        <w:rPr>
          <w:rFonts w:ascii="宋体" w:hAnsi="宋体"/>
          <w:szCs w:val="21"/>
          <w:highlight w:val="none"/>
        </w:rPr>
      </w:pPr>
      <w:r>
        <w:rPr>
          <w:rFonts w:ascii="宋体" w:hAnsi="宋体"/>
          <w:szCs w:val="21"/>
          <w:highlight w:val="none"/>
        </w:rPr>
        <w:t xml:space="preserve">                       </w:t>
      </w:r>
    </w:p>
    <w:p w14:paraId="5DC8F726">
      <w:pPr>
        <w:pStyle w:val="163"/>
        <w:autoSpaceDE w:val="0"/>
        <w:autoSpaceDN w:val="0"/>
        <w:adjustRightInd w:val="0"/>
        <w:spacing w:line="300" w:lineRule="auto"/>
        <w:jc w:val="left"/>
        <w:rPr>
          <w:rFonts w:ascii="宋体" w:hAnsi="宋体"/>
          <w:szCs w:val="21"/>
          <w:highlight w:val="none"/>
        </w:rPr>
      </w:pPr>
      <w:r>
        <w:rPr>
          <w:rFonts w:ascii="宋体" w:hAnsi="宋体"/>
          <w:szCs w:val="21"/>
          <w:highlight w:val="none"/>
        </w:rPr>
        <w:t xml:space="preserve">法定代表人：　　　　　　　　　              </w:t>
      </w:r>
      <w:r>
        <w:rPr>
          <w:rFonts w:hint="eastAsia" w:ascii="宋体" w:hAnsi="宋体"/>
          <w:szCs w:val="21"/>
          <w:highlight w:val="none"/>
        </w:rPr>
        <w:t xml:space="preserve">    </w:t>
      </w:r>
      <w:r>
        <w:rPr>
          <w:rFonts w:ascii="宋体" w:hAnsi="宋体"/>
          <w:szCs w:val="21"/>
          <w:highlight w:val="none"/>
        </w:rPr>
        <w:t>法定代表人：</w:t>
      </w:r>
    </w:p>
    <w:p w14:paraId="6D701BBD">
      <w:pPr>
        <w:pStyle w:val="163"/>
        <w:autoSpaceDE w:val="0"/>
        <w:autoSpaceDN w:val="0"/>
        <w:adjustRightInd w:val="0"/>
        <w:spacing w:line="300" w:lineRule="auto"/>
        <w:jc w:val="left"/>
        <w:rPr>
          <w:rFonts w:ascii="宋体" w:hAnsi="宋体"/>
          <w:szCs w:val="21"/>
          <w:highlight w:val="none"/>
        </w:rPr>
      </w:pPr>
    </w:p>
    <w:p w14:paraId="708F9994">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授权代理人：                                    授权代理人：</w:t>
      </w:r>
    </w:p>
    <w:p w14:paraId="35A58B1A">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 xml:space="preserve"> </w:t>
      </w:r>
    </w:p>
    <w:p w14:paraId="5BD65897">
      <w:pPr>
        <w:pStyle w:val="147"/>
        <w:ind w:firstLine="630" w:firstLineChars="300"/>
        <w:rPr>
          <w:rFonts w:ascii="宋体" w:hAnsi="宋体"/>
          <w:szCs w:val="21"/>
          <w:highlight w:val="none"/>
        </w:rPr>
      </w:pPr>
      <w:r>
        <w:rPr>
          <w:rFonts w:ascii="宋体" w:hAnsi="宋体"/>
          <w:szCs w:val="21"/>
          <w:highlight w:val="none"/>
        </w:rPr>
        <w:t>年　　</w:t>
      </w:r>
      <w:r>
        <w:rPr>
          <w:rFonts w:hint="eastAsia" w:ascii="宋体" w:hAnsi="宋体"/>
          <w:szCs w:val="21"/>
          <w:highlight w:val="none"/>
        </w:rPr>
        <w:t xml:space="preserve"> </w:t>
      </w:r>
      <w:r>
        <w:rPr>
          <w:rFonts w:ascii="宋体" w:hAnsi="宋体"/>
          <w:szCs w:val="21"/>
          <w:highlight w:val="none"/>
        </w:rPr>
        <w:t>月　　日　　　　　                  　</w:t>
      </w:r>
      <w:r>
        <w:rPr>
          <w:rFonts w:hint="eastAsia" w:ascii="宋体" w:hAnsi="宋体"/>
          <w:szCs w:val="21"/>
          <w:highlight w:val="none"/>
        </w:rPr>
        <w:t xml:space="preserve">      </w:t>
      </w:r>
      <w:r>
        <w:rPr>
          <w:rFonts w:ascii="宋体" w:hAnsi="宋体"/>
          <w:szCs w:val="21"/>
          <w:highlight w:val="none"/>
        </w:rPr>
        <w:t>年　　月　　日</w:t>
      </w:r>
    </w:p>
    <w:p w14:paraId="50956080">
      <w:pPr>
        <w:pStyle w:val="4"/>
        <w:numPr>
          <w:ilvl w:val="0"/>
          <w:numId w:val="0"/>
        </w:numPr>
        <w:tabs>
          <w:tab w:val="clear" w:pos="1080"/>
        </w:tabs>
        <w:spacing w:line="360" w:lineRule="auto"/>
        <w:outlineLvl w:val="9"/>
        <w:rPr>
          <w:rFonts w:hint="eastAsia" w:ascii="宋体" w:hAnsi="宋体" w:eastAsia="宋体" w:cs="Times New Roman"/>
          <w:b w:val="0"/>
          <w:bCs w:val="0"/>
          <w:kern w:val="2"/>
          <w:sz w:val="30"/>
          <w:szCs w:val="30"/>
          <w:highlight w:val="none"/>
          <w:lang w:val="en-US" w:eastAsia="zh-CN" w:bidi="ar-SA"/>
        </w:rPr>
        <w:sectPr>
          <w:pgSz w:w="11906" w:h="16838"/>
          <w:pgMar w:top="1440" w:right="1800" w:bottom="1440" w:left="1800" w:header="851" w:footer="992" w:gutter="0"/>
          <w:cols w:space="720" w:num="1"/>
          <w:docGrid w:type="lines" w:linePitch="312" w:charSpace="0"/>
        </w:sectPr>
      </w:pPr>
    </w:p>
    <w:p w14:paraId="38C335C9">
      <w:pPr>
        <w:pStyle w:val="4"/>
        <w:numPr>
          <w:ilvl w:val="0"/>
          <w:numId w:val="0"/>
        </w:numPr>
        <w:tabs>
          <w:tab w:val="clear" w:pos="1080"/>
        </w:tabs>
        <w:spacing w:line="360" w:lineRule="auto"/>
        <w:outlineLvl w:val="2"/>
        <w:rPr>
          <w:rFonts w:ascii="宋体" w:hAnsi="宋体" w:cs="宋体"/>
          <w:sz w:val="24"/>
          <w:szCs w:val="24"/>
          <w:highlight w:val="none"/>
        </w:rPr>
      </w:pPr>
      <w:r>
        <w:rPr>
          <w:rFonts w:hint="eastAsia" w:ascii="宋体" w:hAnsi="宋体" w:eastAsia="宋体" w:cs="Times New Roman"/>
          <w:b w:val="0"/>
          <w:bCs w:val="0"/>
          <w:kern w:val="2"/>
          <w:sz w:val="30"/>
          <w:szCs w:val="30"/>
          <w:highlight w:val="none"/>
          <w:lang w:val="en-US" w:eastAsia="zh-CN" w:bidi="ar-SA"/>
        </w:rPr>
        <w:t xml:space="preserve">附件3 </w:t>
      </w:r>
      <w:r>
        <w:rPr>
          <w:rFonts w:hint="eastAsia" w:ascii="宋体" w:hAnsi="宋体" w:cs="宋体"/>
          <w:sz w:val="24"/>
          <w:szCs w:val="24"/>
          <w:highlight w:val="none"/>
        </w:rPr>
        <w:t xml:space="preserve">             </w:t>
      </w:r>
    </w:p>
    <w:p w14:paraId="1D056D1C">
      <w:pPr>
        <w:pStyle w:val="2"/>
        <w:spacing w:line="520" w:lineRule="exact"/>
        <w:ind w:firstLine="1606" w:firstLineChars="500"/>
        <w:rPr>
          <w:rStyle w:val="150"/>
          <w:rFonts w:ascii="宋体" w:hAnsi="宋体" w:eastAsia="宋体" w:cs="宋体"/>
          <w:sz w:val="24"/>
          <w:szCs w:val="24"/>
          <w:highlight w:val="none"/>
        </w:rPr>
      </w:pPr>
      <w:r>
        <w:rPr>
          <w:rStyle w:val="149"/>
          <w:rFonts w:hint="eastAsia" w:ascii="宋体" w:hAnsi="宋体" w:eastAsia="宋体" w:cs="宋体"/>
          <w:b/>
          <w:bCs/>
          <w:sz w:val="32"/>
          <w:szCs w:val="32"/>
          <w:highlight w:val="none"/>
        </w:rPr>
        <w:t>龙岗区进一步规范政商交往行为告知书</w:t>
      </w:r>
      <w:r>
        <w:rPr>
          <w:rFonts w:hint="eastAsia" w:hAnsi="宋体" w:cs="宋体"/>
          <w:color w:val="000000"/>
          <w:sz w:val="24"/>
          <w:szCs w:val="24"/>
          <w:highlight w:val="none"/>
        </w:rPr>
        <w:br w:type="textWrapping"/>
      </w:r>
      <w:r>
        <w:rPr>
          <w:rFonts w:hint="eastAsia" w:hAnsi="宋体" w:cs="宋体"/>
          <w:color w:val="000000"/>
          <w:sz w:val="24"/>
          <w:szCs w:val="24"/>
          <w:highlight w:val="none"/>
        </w:rPr>
        <w:t xml:space="preserve">    </w:t>
      </w:r>
      <w:r>
        <w:rPr>
          <w:rStyle w:val="150"/>
          <w:rFonts w:hint="eastAsia" w:ascii="宋体" w:hAnsi="宋体" w:eastAsia="宋体" w:cs="宋体"/>
          <w:sz w:val="24"/>
          <w:szCs w:val="24"/>
          <w:highlight w:val="none"/>
        </w:rPr>
        <w:t>为深入构建“亲”“清”新型政商关系， 努力打造尊商、 亲商、 助商、安商良好营商环境</w:t>
      </w:r>
      <w:r>
        <w:rPr>
          <w:rStyle w:val="150"/>
          <w:rFonts w:hint="eastAsia" w:ascii="宋体" w:hAnsi="宋体" w:cs="宋体"/>
          <w:sz w:val="24"/>
          <w:szCs w:val="24"/>
          <w:highlight w:val="none"/>
        </w:rPr>
        <w:t>，</w:t>
      </w:r>
      <w:r>
        <w:rPr>
          <w:rStyle w:val="150"/>
          <w:rFonts w:hint="eastAsia" w:ascii="宋体" w:hAnsi="宋体" w:eastAsia="宋体" w:cs="宋体"/>
          <w:sz w:val="24"/>
          <w:szCs w:val="24"/>
          <w:highlight w:val="none"/>
        </w:rPr>
        <w:t>龙岗区委区政府制定了《龙岗区公职人员政商交往“十个不准”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一、 不得向公职人员赠送礼品、 礼金、 消费卡等财物。</w:t>
      </w:r>
    </w:p>
    <w:p w14:paraId="12FB2D58">
      <w:pPr>
        <w:pStyle w:val="2"/>
        <w:numPr>
          <w:ilvl w:val="0"/>
          <w:numId w:val="3"/>
        </w:numPr>
        <w:spacing w:line="520" w:lineRule="exact"/>
        <w:ind w:firstLine="480" w:firstLineChars="200"/>
        <w:outlineLvl w:val="1"/>
        <w:rPr>
          <w:rStyle w:val="150"/>
          <w:rFonts w:ascii="宋体" w:hAnsi="宋体" w:eastAsia="宋体" w:cs="宋体"/>
          <w:sz w:val="24"/>
          <w:szCs w:val="24"/>
          <w:highlight w:val="none"/>
        </w:rPr>
      </w:pPr>
      <w:r>
        <w:rPr>
          <w:rStyle w:val="150"/>
          <w:rFonts w:hint="eastAsia" w:ascii="宋体" w:hAnsi="宋体" w:eastAsia="宋体" w:cs="宋体"/>
          <w:sz w:val="24"/>
          <w:szCs w:val="24"/>
          <w:highlight w:val="none"/>
        </w:rPr>
        <w:t>不得违规向公职人员提供宴请、 旅游、 娱乐等安排。</w:t>
      </w:r>
    </w:p>
    <w:p w14:paraId="37CA29BE">
      <w:pPr>
        <w:pStyle w:val="2"/>
        <w:numPr>
          <w:ilvl w:val="0"/>
          <w:numId w:val="3"/>
        </w:numPr>
        <w:spacing w:line="520" w:lineRule="exact"/>
        <w:ind w:firstLine="480" w:firstLineChars="200"/>
        <w:rPr>
          <w:rStyle w:val="150"/>
          <w:rFonts w:ascii="宋体" w:hAnsi="宋体" w:eastAsia="宋体" w:cs="宋体"/>
          <w:sz w:val="24"/>
          <w:szCs w:val="24"/>
          <w:highlight w:val="none"/>
        </w:rPr>
      </w:pPr>
      <w:r>
        <w:rPr>
          <w:rStyle w:val="150"/>
          <w:rFonts w:hint="eastAsia" w:ascii="宋体" w:hAnsi="宋体" w:eastAsia="宋体" w:cs="宋体"/>
          <w:sz w:val="24"/>
          <w:szCs w:val="24"/>
          <w:highlight w:val="none"/>
        </w:rPr>
        <w:t>不得通过打麻将等形式向公职人员输送利益。</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四、 不得为公职人员报销应由其个人支付的费用。</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五、 不得违规向公职人员及其亲友借贷款。</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六、 不得违规将车辆、 住房等借给公职人员使用。</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七、 不得在招投标中与公职人员搞暗箱操作、 围标串标。</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八、 不得为利益相关人和公职人员牵线搭桥或者代为传递信息、 传递财物。</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九、 不得让公职人员在企业违规兼职取酬。</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十、 不得为公职人员亲友违规承揽业务提供便利。</w:t>
      </w:r>
    </w:p>
    <w:p w14:paraId="38D1E338">
      <w:pPr>
        <w:pStyle w:val="2"/>
        <w:spacing w:line="520" w:lineRule="exact"/>
        <w:ind w:firstLine="480" w:firstLineChars="200"/>
        <w:jc w:val="left"/>
        <w:rPr>
          <w:rStyle w:val="150"/>
          <w:rFonts w:ascii="宋体" w:hAnsi="宋体" w:cs="宋体"/>
          <w:sz w:val="24"/>
          <w:szCs w:val="24"/>
          <w:highlight w:val="none"/>
        </w:rPr>
      </w:pPr>
      <w:r>
        <w:rPr>
          <w:rStyle w:val="150"/>
          <w:rFonts w:hint="eastAsia" w:ascii="宋体" w:hAnsi="宋体" w:eastAsia="宋体" w:cs="宋体"/>
          <w:sz w:val="24"/>
          <w:szCs w:val="24"/>
          <w:highlight w:val="none"/>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p>
    <w:p w14:paraId="5B0B07C2">
      <w:pPr>
        <w:pStyle w:val="2"/>
        <w:spacing w:line="520" w:lineRule="exact"/>
        <w:ind w:firstLine="480" w:firstLineChars="200"/>
        <w:jc w:val="left"/>
        <w:rPr>
          <w:rStyle w:val="150"/>
          <w:rFonts w:ascii="宋体" w:hAnsi="宋体" w:cs="宋体"/>
          <w:sz w:val="24"/>
          <w:szCs w:val="24"/>
          <w:highlight w:val="none"/>
        </w:rPr>
      </w:pPr>
      <w:r>
        <w:rPr>
          <w:rStyle w:val="150"/>
          <w:rFonts w:hint="eastAsia" w:ascii="宋体" w:hAnsi="宋体" w:eastAsia="宋体" w:cs="宋体"/>
          <w:sz w:val="24"/>
          <w:szCs w:val="24"/>
          <w:highlight w:val="none"/>
        </w:rPr>
        <w:t>本人已知晓上述告知内容， 并愿意遵照执行（签名） ：</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p>
    <w:p w14:paraId="6956D442">
      <w:pPr>
        <w:pStyle w:val="2"/>
        <w:spacing w:line="520" w:lineRule="exact"/>
        <w:ind w:firstLine="5280" w:firstLineChars="2200"/>
        <w:jc w:val="left"/>
        <w:outlineLvl w:val="0"/>
        <w:rPr>
          <w:rStyle w:val="150"/>
          <w:rFonts w:ascii="宋体" w:hAnsi="宋体" w:eastAsia="宋体" w:cs="宋体"/>
          <w:sz w:val="24"/>
          <w:szCs w:val="24"/>
          <w:highlight w:val="none"/>
        </w:rPr>
      </w:pPr>
      <w:r>
        <w:rPr>
          <w:rStyle w:val="150"/>
          <w:rFonts w:hint="eastAsia" w:ascii="宋体" w:hAnsi="宋体" w:eastAsia="宋体" w:cs="宋体"/>
          <w:sz w:val="24"/>
          <w:szCs w:val="24"/>
          <w:highlight w:val="none"/>
          <w:lang w:val="en-US" w:eastAsia="zh-CN"/>
        </w:rPr>
        <w:t xml:space="preserve">20   </w:t>
      </w:r>
      <w:r>
        <w:rPr>
          <w:rStyle w:val="150"/>
          <w:rFonts w:hint="eastAsia" w:ascii="宋体" w:hAnsi="宋体" w:eastAsia="宋体" w:cs="宋体"/>
          <w:sz w:val="24"/>
          <w:szCs w:val="24"/>
          <w:highlight w:val="none"/>
        </w:rPr>
        <w:t xml:space="preserve">年 </w:t>
      </w:r>
      <w:r>
        <w:rPr>
          <w:rStyle w:val="150"/>
          <w:rFonts w:hint="eastAsia" w:hAnsi="宋体" w:eastAsia="宋体" w:cs="宋体"/>
          <w:sz w:val="24"/>
          <w:szCs w:val="24"/>
          <w:highlight w:val="none"/>
        </w:rPr>
        <w:t xml:space="preserve">   </w:t>
      </w:r>
      <w:r>
        <w:rPr>
          <w:rStyle w:val="150"/>
          <w:rFonts w:hint="eastAsia" w:ascii="宋体" w:hAnsi="宋体" w:eastAsia="宋体" w:cs="宋体"/>
          <w:sz w:val="24"/>
          <w:szCs w:val="24"/>
          <w:highlight w:val="none"/>
        </w:rPr>
        <w:t>月</w:t>
      </w:r>
      <w:r>
        <w:rPr>
          <w:rStyle w:val="150"/>
          <w:rFonts w:hint="eastAsia" w:hAnsi="宋体" w:eastAsia="宋体" w:cs="宋体"/>
          <w:sz w:val="24"/>
          <w:szCs w:val="24"/>
          <w:highlight w:val="none"/>
        </w:rPr>
        <w:t xml:space="preserve">  </w:t>
      </w:r>
      <w:r>
        <w:rPr>
          <w:rStyle w:val="150"/>
          <w:rFonts w:hint="eastAsia" w:ascii="宋体" w:hAnsi="宋体" w:eastAsia="宋体" w:cs="宋体"/>
          <w:sz w:val="24"/>
          <w:szCs w:val="24"/>
          <w:highlight w:val="none"/>
        </w:rPr>
        <w:t xml:space="preserve"> 日</w:t>
      </w:r>
    </w:p>
    <w:p w14:paraId="099E25F7">
      <w:pPr>
        <w:pStyle w:val="2"/>
        <w:rPr>
          <w:highlight w:val="none"/>
        </w:rPr>
      </w:pPr>
    </w:p>
    <w:p w14:paraId="7ED2A422">
      <w:pPr>
        <w:spacing w:line="360" w:lineRule="auto"/>
        <w:ind w:firstLine="0" w:firstLineChars="0"/>
        <w:jc w:val="left"/>
        <w:rPr>
          <w:rFonts w:hint="default" w:ascii="Times New Roman" w:hAnsi="Times New Roman" w:eastAsia="仿宋"/>
          <w:sz w:val="28"/>
          <w:szCs w:val="24"/>
          <w:lang w:val="en-US" w:eastAsia="zh-CN"/>
        </w:rPr>
      </w:pPr>
    </w:p>
    <w:bookmarkEnd w:id="15"/>
    <w:bookmarkEnd w:id="16"/>
    <w:bookmarkEnd w:id="17"/>
    <w:p w14:paraId="330C5D70">
      <w:pPr>
        <w:spacing w:line="360" w:lineRule="auto"/>
        <w:jc w:val="center"/>
        <w:outlineLvl w:val="2"/>
        <w:rPr>
          <w:rFonts w:hint="eastAsia" w:ascii="宋体" w:hAnsi="宋体"/>
          <w:b/>
          <w:snapToGrid w:val="0"/>
          <w:kern w:val="0"/>
          <w:sz w:val="32"/>
          <w:szCs w:val="32"/>
          <w:lang w:val="en-US" w:eastAsia="zh-CN"/>
        </w:rPr>
        <w:sectPr>
          <w:pgSz w:w="11906" w:h="16838"/>
          <w:pgMar w:top="1276" w:right="1351" w:bottom="1135" w:left="1414" w:header="851" w:footer="992" w:gutter="0"/>
          <w:cols w:space="720" w:num="1"/>
          <w:docGrid w:type="lines" w:linePitch="312" w:charSpace="0"/>
        </w:sectPr>
      </w:pPr>
      <w:bookmarkStart w:id="20" w:name="_Toc509669699"/>
    </w:p>
    <w:p w14:paraId="27AD7C80">
      <w:pPr>
        <w:spacing w:line="360" w:lineRule="auto"/>
        <w:jc w:val="center"/>
        <w:outlineLvl w:val="2"/>
        <w:rPr>
          <w:rFonts w:hint="eastAsia" w:ascii="宋体" w:hAnsi="宋体"/>
          <w:b/>
          <w:snapToGrid w:val="0"/>
          <w:kern w:val="0"/>
          <w:sz w:val="32"/>
          <w:szCs w:val="32"/>
          <w:lang w:val="en-US" w:eastAsia="zh-CN"/>
        </w:rPr>
      </w:pPr>
      <w:r>
        <w:rPr>
          <w:rFonts w:hint="eastAsia" w:ascii="宋体" w:hAnsi="宋体"/>
          <w:b/>
          <w:snapToGrid w:val="0"/>
          <w:kern w:val="0"/>
          <w:sz w:val="32"/>
          <w:szCs w:val="32"/>
          <w:lang w:val="en-US" w:eastAsia="zh-CN"/>
        </w:rPr>
        <w:t>第四章  投标文件格式</w:t>
      </w:r>
      <w:bookmarkEnd w:id="20"/>
    </w:p>
    <w:p w14:paraId="6E5389CE"/>
    <w:p w14:paraId="088ABBA7">
      <w:pPr>
        <w:pStyle w:val="2"/>
        <w:ind w:firstLine="840"/>
      </w:pPr>
    </w:p>
    <w:p w14:paraId="5ED33342">
      <w:pPr>
        <w:spacing w:before="156" w:beforeLines="50" w:after="312" w:afterLines="100" w:line="360" w:lineRule="auto"/>
        <w:jc w:val="center"/>
        <w:rPr>
          <w:rFonts w:hint="eastAsia" w:ascii="宋体" w:hAnsi="宋体"/>
          <w:b/>
          <w:sz w:val="44"/>
          <w:szCs w:val="44"/>
          <w:lang w:eastAsia="zh-CN"/>
        </w:rPr>
      </w:pPr>
      <w:r>
        <w:rPr>
          <w:rFonts w:hint="eastAsia" w:ascii="宋体" w:hAnsi="宋体"/>
          <w:b/>
          <w:sz w:val="44"/>
          <w:szCs w:val="44"/>
          <w:lang w:eastAsia="zh-CN"/>
        </w:rPr>
        <w:t>深圳工业软件园新建人行连廊工程（勘察）</w:t>
      </w:r>
    </w:p>
    <w:p w14:paraId="67A6D5CC">
      <w:pPr>
        <w:spacing w:before="156" w:beforeLines="50" w:after="312" w:afterLines="100" w:line="360" w:lineRule="auto"/>
        <w:jc w:val="center"/>
        <w:rPr>
          <w:rFonts w:ascii="宋体" w:hAnsi="宋体"/>
          <w:b/>
          <w:sz w:val="44"/>
          <w:szCs w:val="44"/>
        </w:rPr>
      </w:pPr>
      <w:r>
        <w:rPr>
          <w:rFonts w:hint="eastAsia" w:ascii="宋体" w:hAnsi="宋体"/>
          <w:b/>
          <w:sz w:val="44"/>
          <w:szCs w:val="44"/>
        </w:rPr>
        <w:t>投标文件</w:t>
      </w:r>
    </w:p>
    <w:p w14:paraId="3CE38937">
      <w:pPr>
        <w:spacing w:line="360" w:lineRule="auto"/>
        <w:jc w:val="center"/>
        <w:rPr>
          <w:rFonts w:ascii="宋体" w:hAnsi="宋体"/>
          <w:b/>
          <w:sz w:val="52"/>
          <w:szCs w:val="52"/>
        </w:rPr>
      </w:pPr>
    </w:p>
    <w:p w14:paraId="65448021">
      <w:pPr>
        <w:spacing w:line="360" w:lineRule="auto"/>
        <w:rPr>
          <w:rFonts w:ascii="宋体" w:hAnsi="宋体"/>
          <w:b/>
          <w:sz w:val="32"/>
          <w:szCs w:val="32"/>
        </w:rPr>
      </w:pPr>
    </w:p>
    <w:p w14:paraId="4E345F3A">
      <w:pPr>
        <w:spacing w:line="360" w:lineRule="auto"/>
        <w:rPr>
          <w:rFonts w:ascii="宋体" w:hAnsi="宋体"/>
          <w:b/>
          <w:sz w:val="32"/>
          <w:szCs w:val="32"/>
        </w:rPr>
      </w:pPr>
    </w:p>
    <w:p w14:paraId="162C2FCF">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640A50A1">
      <w:pPr>
        <w:spacing w:line="360" w:lineRule="auto"/>
        <w:ind w:firstLine="840" w:firstLineChars="300"/>
        <w:rPr>
          <w:rFonts w:ascii="宋体" w:hAnsi="宋体"/>
          <w:sz w:val="28"/>
          <w:szCs w:val="28"/>
        </w:rPr>
      </w:pPr>
    </w:p>
    <w:p w14:paraId="5767C918">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65D54359">
      <w:pPr>
        <w:spacing w:line="360" w:lineRule="auto"/>
        <w:ind w:firstLine="840" w:firstLineChars="300"/>
        <w:rPr>
          <w:rFonts w:ascii="宋体" w:hAnsi="宋体"/>
          <w:sz w:val="28"/>
          <w:szCs w:val="28"/>
        </w:rPr>
      </w:pPr>
    </w:p>
    <w:p w14:paraId="237C5CC4">
      <w:pPr>
        <w:spacing w:line="360" w:lineRule="auto"/>
        <w:ind w:firstLine="840" w:firstLineChars="300"/>
        <w:rPr>
          <w:rFonts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2B9E772A">
      <w:pPr>
        <w:rPr>
          <w:rFonts w:ascii="宋体" w:hAnsi="宋体"/>
          <w:sz w:val="28"/>
          <w:szCs w:val="28"/>
        </w:rPr>
      </w:pPr>
      <w:r>
        <w:rPr>
          <w:rFonts w:hint="eastAsia" w:ascii="宋体" w:hAnsi="宋体"/>
          <w:sz w:val="28"/>
          <w:szCs w:val="28"/>
        </w:rPr>
        <w:br w:type="page"/>
      </w:r>
    </w:p>
    <w:p w14:paraId="30389F06">
      <w:pPr>
        <w:pStyle w:val="2"/>
        <w:spacing w:line="520" w:lineRule="exact"/>
        <w:ind w:firstLine="0" w:firstLineChars="0"/>
        <w:jc w:val="center"/>
        <w:rPr>
          <w:sz w:val="36"/>
          <w:szCs w:val="36"/>
        </w:rPr>
      </w:pPr>
      <w:bookmarkStart w:id="21" w:name="_Toc306716065"/>
      <w:bookmarkStart w:id="22" w:name="_Toc509669700"/>
      <w:bookmarkStart w:id="23" w:name="_Toc306716063"/>
      <w:r>
        <w:rPr>
          <w:rFonts w:hint="eastAsia"/>
          <w:sz w:val="36"/>
          <w:szCs w:val="36"/>
        </w:rPr>
        <w:t>投标承诺函</w:t>
      </w:r>
    </w:p>
    <w:p w14:paraId="5066908B">
      <w:pPr>
        <w:spacing w:line="540" w:lineRule="exact"/>
        <w:ind w:right="960"/>
        <w:rPr>
          <w:rFonts w:hint="eastAsia" w:hAnsi="宋体" w:eastAsia="宋体"/>
          <w:bCs/>
          <w:sz w:val="24"/>
          <w:szCs w:val="24"/>
          <w:u w:val="single"/>
          <w:lang w:eastAsia="zh-CN"/>
        </w:rPr>
      </w:pPr>
      <w:r>
        <w:rPr>
          <w:rFonts w:hint="eastAsia" w:hAnsi="宋体"/>
          <w:bCs/>
          <w:sz w:val="24"/>
          <w:szCs w:val="24"/>
        </w:rPr>
        <w:t>致招标人:</w:t>
      </w:r>
      <w:r>
        <w:rPr>
          <w:rFonts w:hint="eastAsia" w:hAnsi="宋体"/>
          <w:sz w:val="24"/>
          <w:szCs w:val="24"/>
          <w:u w:val="single"/>
        </w:rPr>
        <w:t xml:space="preserve"> </w:t>
      </w:r>
      <w:r>
        <w:rPr>
          <w:rFonts w:hint="eastAsia" w:hAnsi="宋体"/>
          <w:sz w:val="24"/>
          <w:szCs w:val="24"/>
          <w:u w:val="single"/>
          <w:lang w:eastAsia="zh-CN"/>
        </w:rPr>
        <w:t>深圳市龙岗区城投高新技术产业投资开发有限公司</w:t>
      </w:r>
    </w:p>
    <w:p w14:paraId="1A8FE5FB">
      <w:pPr>
        <w:pStyle w:val="2"/>
        <w:spacing w:line="520" w:lineRule="exact"/>
        <w:ind w:left="0" w:leftChars="0" w:firstLine="480" w:firstLineChars="200"/>
      </w:pPr>
      <w:r>
        <w:rPr>
          <w:rFonts w:hint="eastAsia"/>
          <w:sz w:val="24"/>
          <w:szCs w:val="24"/>
        </w:rPr>
        <w:t>为了确保本工程相关工作顺利进行，我方将严格执行建设工程招标投标管理的法律法规，并完全接受</w:t>
      </w:r>
      <w:r>
        <w:rPr>
          <w:rFonts w:hint="eastAsia"/>
          <w:sz w:val="24"/>
          <w:szCs w:val="24"/>
          <w:u w:val="single"/>
        </w:rPr>
        <w:t xml:space="preserve"> </w:t>
      </w:r>
      <w:r>
        <w:rPr>
          <w:rFonts w:hint="eastAsia"/>
          <w:sz w:val="24"/>
          <w:szCs w:val="24"/>
          <w:u w:val="single"/>
          <w:lang w:eastAsia="zh-CN"/>
        </w:rPr>
        <w:t>深圳工业软件园新建人行连廊工程（勘察）</w:t>
      </w:r>
      <w:r>
        <w:rPr>
          <w:rFonts w:hint="eastAsia"/>
          <w:sz w:val="24"/>
          <w:szCs w:val="24"/>
          <w:u w:val="single"/>
          <w:lang w:val="en-US" w:eastAsia="zh-CN"/>
        </w:rPr>
        <w:t xml:space="preserve"> </w:t>
      </w:r>
      <w:r>
        <w:rPr>
          <w:rFonts w:hint="eastAsia" w:ascii="Calibri"/>
          <w:sz w:val="24"/>
          <w:szCs w:val="24"/>
        </w:rPr>
        <w:t>的</w:t>
      </w:r>
      <w:r>
        <w:rPr>
          <w:rFonts w:hint="eastAsia"/>
          <w:sz w:val="24"/>
          <w:szCs w:val="24"/>
        </w:rPr>
        <w:t>招标文件所有内容，为此作出如下承诺</w:t>
      </w:r>
      <w:r>
        <w:rPr>
          <w:rFonts w:hint="eastAsia"/>
        </w:rPr>
        <w:t>：</w:t>
      </w:r>
    </w:p>
    <w:p w14:paraId="357FAEE8">
      <w:pPr>
        <w:pStyle w:val="2"/>
        <w:spacing w:line="520" w:lineRule="exact"/>
        <w:ind w:firstLine="480" w:firstLineChars="200"/>
        <w:rPr>
          <w:sz w:val="24"/>
          <w:szCs w:val="24"/>
          <w:u w:val="single"/>
        </w:rPr>
      </w:pPr>
      <w:r>
        <w:rPr>
          <w:rFonts w:hint="eastAsia"/>
          <w:bCs/>
          <w:sz w:val="24"/>
          <w:szCs w:val="24"/>
          <w:u w:val="single"/>
        </w:rPr>
        <w:t>1、根</w:t>
      </w:r>
      <w:r>
        <w:rPr>
          <w:rFonts w:hint="eastAsia"/>
          <w:sz w:val="24"/>
          <w:szCs w:val="24"/>
          <w:u w:val="single"/>
        </w:rPr>
        <w:t xml:space="preserve">据企业自身情况，理性报价，不会以低于成本的报价竞标，报价金额      元。按招标文件要求承包本项目 </w:t>
      </w:r>
      <w:r>
        <w:rPr>
          <w:rFonts w:hint="eastAsia"/>
          <w:sz w:val="24"/>
          <w:szCs w:val="24"/>
          <w:u w:val="single"/>
          <w:lang w:val="en-US" w:eastAsia="zh-CN"/>
        </w:rPr>
        <w:t>勘察 工作</w:t>
      </w:r>
      <w:r>
        <w:rPr>
          <w:rFonts w:hint="eastAsia" w:ascii="Calibri"/>
          <w:b/>
          <w:bCs/>
          <w:sz w:val="24"/>
          <w:szCs w:val="24"/>
          <w:u w:val="single"/>
        </w:rPr>
        <w:t xml:space="preserve"> </w:t>
      </w:r>
      <w:r>
        <w:rPr>
          <w:rFonts w:hint="eastAsia"/>
          <w:sz w:val="24"/>
          <w:szCs w:val="24"/>
          <w:u w:val="single"/>
        </w:rPr>
        <w:t>。否则，我方愿意承担任何风险。（投标人填写）</w:t>
      </w:r>
    </w:p>
    <w:p w14:paraId="6FF538F6">
      <w:pPr>
        <w:spacing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DF8362D">
      <w:pPr>
        <w:pStyle w:val="2"/>
        <w:spacing w:line="520" w:lineRule="exact"/>
        <w:ind w:firstLine="480" w:firstLineChars="200"/>
        <w:rPr>
          <w:bCs/>
          <w:sz w:val="24"/>
          <w:szCs w:val="24"/>
        </w:rPr>
      </w:pPr>
      <w:r>
        <w:rPr>
          <w:rFonts w:hint="eastAsia"/>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34E522A">
      <w:pPr>
        <w:spacing w:line="360" w:lineRule="auto"/>
        <w:ind w:firstLine="480" w:firstLineChars="200"/>
        <w:rPr>
          <w:rFonts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30 </w:t>
      </w:r>
      <w:r>
        <w:rPr>
          <w:rFonts w:hint="eastAsia" w:ascii="宋体" w:hAnsi="宋体" w:cs="Courier New"/>
          <w:bCs/>
          <w:sz w:val="24"/>
          <w:szCs w:val="24"/>
        </w:rPr>
        <w:t>日内，与贵方按招标文件、委托函中的内容签订合同文件，否则，视为我方自愿放弃中标资格。</w:t>
      </w:r>
    </w:p>
    <w:p w14:paraId="79925902">
      <w:pPr>
        <w:spacing w:line="360" w:lineRule="auto"/>
        <w:ind w:firstLine="480" w:firstLineChars="200"/>
        <w:rPr>
          <w:rFonts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14:paraId="064EA2E0">
      <w:pPr>
        <w:adjustRightInd w:val="0"/>
        <w:snapToGrid w:val="0"/>
        <w:spacing w:line="560" w:lineRule="exact"/>
        <w:ind w:firstLine="480" w:firstLineChars="200"/>
        <w:rPr>
          <w:rFonts w:ascii="宋体" w:hAnsi="宋体"/>
          <w:bCs/>
          <w:sz w:val="24"/>
          <w:szCs w:val="24"/>
        </w:rPr>
      </w:pPr>
      <w:r>
        <w:rPr>
          <w:rFonts w:hint="eastAsia" w:ascii="宋体" w:hAnsi="宋体"/>
          <w:bCs/>
          <w:sz w:val="24"/>
          <w:szCs w:val="24"/>
        </w:rPr>
        <w:t>6、按规定完成本项目工作，质量达到合格标准的要求，质量目标为合格。</w:t>
      </w:r>
    </w:p>
    <w:p w14:paraId="6C17EDC8">
      <w:pPr>
        <w:pStyle w:val="2"/>
        <w:spacing w:line="520" w:lineRule="exact"/>
        <w:ind w:firstLine="480" w:firstLineChars="200"/>
        <w:rPr>
          <w:sz w:val="24"/>
          <w:szCs w:val="24"/>
        </w:rPr>
      </w:pPr>
      <w:r>
        <w:rPr>
          <w:rFonts w:hint="eastAsia"/>
          <w:sz w:val="24"/>
          <w:szCs w:val="24"/>
        </w:rPr>
        <w:t>7、如果违反本承诺书中任何条款，我方愿意接受：</w:t>
      </w:r>
    </w:p>
    <w:p w14:paraId="3416BD98">
      <w:pPr>
        <w:pStyle w:val="2"/>
        <w:spacing w:line="520" w:lineRule="exact"/>
        <w:ind w:firstLine="480" w:firstLineChars="200"/>
        <w:rPr>
          <w:sz w:val="24"/>
          <w:szCs w:val="24"/>
        </w:rPr>
      </w:pPr>
      <w:r>
        <w:rPr>
          <w:rFonts w:hint="eastAsia"/>
          <w:sz w:val="24"/>
          <w:szCs w:val="24"/>
        </w:rPr>
        <w:t>（1）视作我方单方面违约，并按照合同规定向贵方支付违约金或解除合同；</w:t>
      </w:r>
    </w:p>
    <w:p w14:paraId="6314FA8B">
      <w:pPr>
        <w:pStyle w:val="2"/>
        <w:spacing w:line="520" w:lineRule="exact"/>
        <w:ind w:firstLine="480" w:firstLineChars="200"/>
        <w:rPr>
          <w:sz w:val="24"/>
          <w:szCs w:val="24"/>
        </w:rPr>
      </w:pPr>
      <w:r>
        <w:rPr>
          <w:rFonts w:hint="eastAsia"/>
          <w:sz w:val="24"/>
          <w:szCs w:val="24"/>
        </w:rPr>
        <w:t>（2）履约评价评定为合格及以下；</w:t>
      </w:r>
    </w:p>
    <w:p w14:paraId="0FADE46A">
      <w:pPr>
        <w:pStyle w:val="2"/>
        <w:spacing w:line="520" w:lineRule="exact"/>
        <w:ind w:firstLine="480" w:firstLineChars="200"/>
        <w:rPr>
          <w:sz w:val="24"/>
          <w:szCs w:val="24"/>
        </w:rPr>
      </w:pPr>
      <w:r>
        <w:rPr>
          <w:rFonts w:hint="eastAsia"/>
          <w:sz w:val="24"/>
          <w:szCs w:val="24"/>
        </w:rPr>
        <w:t>（3）招标人今后可拒绝我方参与投标；</w:t>
      </w:r>
    </w:p>
    <w:p w14:paraId="0A59896F">
      <w:pPr>
        <w:pStyle w:val="2"/>
        <w:spacing w:line="520" w:lineRule="exact"/>
        <w:ind w:firstLine="480" w:firstLineChars="200"/>
        <w:rPr>
          <w:sz w:val="24"/>
          <w:szCs w:val="24"/>
        </w:rPr>
      </w:pPr>
      <w:r>
        <w:rPr>
          <w:rFonts w:hint="eastAsia"/>
          <w:sz w:val="24"/>
          <w:szCs w:val="24"/>
        </w:rPr>
        <w:t>（4）建设行政主管部门或相关主管部门的不良行为记录、行政处罚。</w:t>
      </w:r>
    </w:p>
    <w:p w14:paraId="27F994AA">
      <w:pPr>
        <w:spacing w:line="360" w:lineRule="auto"/>
        <w:rPr>
          <w:rFonts w:ascii="宋体" w:hAnsi="宋体"/>
          <w:sz w:val="24"/>
        </w:rPr>
      </w:pPr>
      <w:r>
        <w:rPr>
          <w:rFonts w:hint="eastAsia" w:ascii="宋体" w:hAnsi="宋体"/>
          <w:sz w:val="24"/>
        </w:rPr>
        <w:t>投标人（单位公章）：</w:t>
      </w:r>
    </w:p>
    <w:p w14:paraId="7AA6F0BC">
      <w:pPr>
        <w:spacing w:line="360" w:lineRule="auto"/>
        <w:rPr>
          <w:rFonts w:ascii="宋体" w:hAnsi="宋体"/>
          <w:sz w:val="24"/>
        </w:rPr>
      </w:pPr>
      <w:r>
        <w:rPr>
          <w:rFonts w:hint="eastAsia" w:ascii="宋体" w:hAnsi="宋体"/>
          <w:sz w:val="24"/>
        </w:rPr>
        <w:t>单位地址：</w:t>
      </w:r>
    </w:p>
    <w:p w14:paraId="760B3CDF">
      <w:pPr>
        <w:spacing w:line="360" w:lineRule="auto"/>
        <w:rPr>
          <w:rFonts w:hint="eastAsia" w:hAnsi="宋体"/>
          <w:bCs/>
          <w:sz w:val="24"/>
        </w:rPr>
        <w:sectPr>
          <w:pgSz w:w="11906" w:h="16838"/>
          <w:pgMar w:top="1276" w:right="1351" w:bottom="1135" w:left="1414" w:header="851" w:footer="992" w:gutter="0"/>
          <w:cols w:space="720" w:num="1"/>
          <w:docGrid w:type="lines" w:linePitch="312" w:charSpace="0"/>
        </w:sectPr>
      </w:pPr>
      <w:r>
        <w:rPr>
          <w:rFonts w:hint="eastAsia" w:ascii="宋体" w:hAnsi="宋体"/>
          <w:sz w:val="24"/>
        </w:rPr>
        <w:t xml:space="preserve">邮政编码：电话： 传真：                                  </w:t>
      </w:r>
      <w:r>
        <w:rPr>
          <w:rFonts w:hint="eastAsia" w:hAnsi="宋体"/>
          <w:bCs/>
          <w:sz w:val="24"/>
        </w:rPr>
        <w:t>年   月   日</w:t>
      </w:r>
    </w:p>
    <w:p w14:paraId="43587A63">
      <w:pPr>
        <w:keepNext/>
        <w:keepLines/>
        <w:widowControl w:val="0"/>
        <w:bidi w:val="0"/>
        <w:spacing w:beforeLines="0" w:beforeAutospacing="0" w:afterLines="0" w:afterAutospacing="0" w:line="360" w:lineRule="auto"/>
        <w:ind w:firstLine="0" w:firstLineChars="0"/>
        <w:outlineLvl w:val="1"/>
        <w:rPr>
          <w:rFonts w:hint="default" w:ascii="Arial" w:hAnsi="Arial" w:eastAsia="仿宋" w:cs="Times New Roman"/>
          <w:b/>
          <w:kern w:val="2"/>
          <w:sz w:val="30"/>
          <w:szCs w:val="24"/>
          <w:lang w:val="en-US" w:eastAsia="zh-CN" w:bidi="ar-SA"/>
        </w:rPr>
      </w:pPr>
      <w:r>
        <w:rPr>
          <w:rFonts w:hint="eastAsia" w:ascii="Arial" w:hAnsi="Arial" w:eastAsia="仿宋" w:cs="Times New Roman"/>
          <w:b/>
          <w:kern w:val="2"/>
          <w:sz w:val="30"/>
          <w:szCs w:val="24"/>
          <w:lang w:val="en-US" w:eastAsia="zh-CN" w:bidi="ar-SA"/>
        </w:rPr>
        <w:t>告知书</w:t>
      </w:r>
    </w:p>
    <w:p w14:paraId="3A8417F5">
      <w:pPr>
        <w:spacing w:line="36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65E3CC6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0B11873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一、不得向公职人员赠送礼品、礼金、消费卡等财物。</w:t>
      </w:r>
    </w:p>
    <w:p w14:paraId="7D7AD3E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二、不得违规向公职人员提供宴请、旅游、娱乐等安排。</w:t>
      </w:r>
    </w:p>
    <w:p w14:paraId="0758900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三、不得通过打麻将等形式向公职人员输送利益。</w:t>
      </w:r>
    </w:p>
    <w:p w14:paraId="73482BE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四、不得为公职人员报销应由其个人支付的费用。</w:t>
      </w:r>
    </w:p>
    <w:p w14:paraId="7A41BCC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五、不得违规向公职人员及其亲友借贷款。</w:t>
      </w:r>
    </w:p>
    <w:p w14:paraId="2CD4931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六、不得违规将车辆、住房等借给公职人员使用。</w:t>
      </w:r>
    </w:p>
    <w:p w14:paraId="4AE8521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七、不得在招投标中与公职人员搞暗箱操作、围标串标。</w:t>
      </w:r>
    </w:p>
    <w:p w14:paraId="0CC4EF5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八、不得为利益相关人和公职人员牵线搭桥或者代为传递信息、传递财物。</w:t>
      </w:r>
    </w:p>
    <w:p w14:paraId="713BDE7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九、不得让公职人员在企业违规兼职取酬。</w:t>
      </w:r>
    </w:p>
    <w:p w14:paraId="7237980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十、不得为公职人员亲友违规承揽业务提供便利。</w:t>
      </w:r>
    </w:p>
    <w:p w14:paraId="43CDA79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68E6491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本人已知晓上述告知内容，并愿意遵照执行（</w:t>
      </w:r>
      <w:r>
        <w:rPr>
          <w:rFonts w:hint="eastAsia" w:ascii="Times New Roman" w:hAnsi="Times New Roman" w:eastAsia="仿宋"/>
          <w:sz w:val="28"/>
          <w:szCs w:val="24"/>
          <w:highlight w:val="none"/>
          <w:lang w:val="en-US" w:eastAsia="zh-CN"/>
        </w:rPr>
        <w:t>签字盖章</w:t>
      </w:r>
      <w:r>
        <w:rPr>
          <w:rFonts w:hint="eastAsia" w:ascii="Times New Roman" w:hAnsi="Times New Roman" w:eastAsia="仿宋"/>
          <w:sz w:val="28"/>
          <w:szCs w:val="24"/>
          <w:highlight w:val="none"/>
        </w:rPr>
        <w:t>）：</w:t>
      </w:r>
    </w:p>
    <w:p w14:paraId="3F8C1865">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1"/>
          <w:szCs w:val="21"/>
          <w:highlight w:val="none"/>
        </w:rPr>
      </w:pPr>
    </w:p>
    <w:p w14:paraId="352E0CA4">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仿宋"/>
          <w:sz w:val="28"/>
          <w:szCs w:val="24"/>
          <w:lang w:val="en-US" w:eastAsia="zh-CN"/>
        </w:rPr>
      </w:pPr>
      <w:r>
        <w:rPr>
          <w:rFonts w:hint="eastAsia" w:ascii="Times New Roman" w:hAnsi="Times New Roman" w:eastAsia="仿宋"/>
          <w:sz w:val="28"/>
          <w:szCs w:val="24"/>
          <w:highlight w:val="none"/>
          <w:lang w:val="en-US" w:eastAsia="zh-CN"/>
        </w:rPr>
        <w:t>2025</w:t>
      </w:r>
      <w:r>
        <w:rPr>
          <w:rFonts w:hint="eastAsia" w:ascii="Times New Roman" w:hAnsi="Times New Roman" w:eastAsia="仿宋"/>
          <w:sz w:val="28"/>
          <w:szCs w:val="24"/>
          <w:highlight w:val="none"/>
        </w:rPr>
        <w:t>年  月  日</w:t>
      </w:r>
    </w:p>
    <w:p w14:paraId="76FEF9F6">
      <w:pPr>
        <w:pStyle w:val="51"/>
        <w:rPr>
          <w:rFonts w:hint="eastAsia"/>
        </w:rPr>
        <w:sectPr>
          <w:pgSz w:w="11906" w:h="16838"/>
          <w:pgMar w:top="1276" w:right="1351" w:bottom="1135" w:left="1414" w:header="851" w:footer="992" w:gutter="0"/>
          <w:cols w:space="720" w:num="1"/>
          <w:docGrid w:type="lines" w:linePitch="312" w:charSpace="0"/>
        </w:sectPr>
      </w:pPr>
    </w:p>
    <w:p w14:paraId="7086D8AF">
      <w:pPr>
        <w:pStyle w:val="51"/>
        <w:rPr>
          <w:rFonts w:hint="eastAsia" w:hAnsi="宋体"/>
          <w:bCs/>
          <w:sz w:val="24"/>
        </w:rPr>
      </w:pPr>
    </w:p>
    <w:p w14:paraId="7D414A70">
      <w:pPr>
        <w:pStyle w:val="51"/>
        <w:ind w:left="0" w:leftChars="0" w:firstLine="0" w:firstLineChars="0"/>
        <w:rPr>
          <w:rFonts w:hint="eastAsia" w:hAnsi="宋体"/>
          <w:bCs/>
          <w:sz w:val="24"/>
        </w:rPr>
      </w:pPr>
    </w:p>
    <w:p w14:paraId="502865F8">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Unicode MS" w:hAnsi="Arial Unicode MS" w:eastAsia="Arial Unicode MS" w:cs="Arial Unicode MS"/>
          <w:sz w:val="44"/>
          <w:szCs w:val="44"/>
          <w:lang w:eastAsia="zh-CN"/>
        </w:rPr>
      </w:pPr>
      <w:r>
        <w:rPr>
          <w:rFonts w:hint="eastAsia" w:ascii="Arial Unicode MS" w:hAnsi="Arial Unicode MS" w:eastAsia="Arial Unicode MS" w:cs="Arial Unicode MS"/>
          <w:sz w:val="44"/>
          <w:szCs w:val="44"/>
          <w:lang w:val="en-US" w:eastAsia="zh-CN"/>
        </w:rPr>
        <w:t xml:space="preserve">报 </w:t>
      </w:r>
      <w:r>
        <w:rPr>
          <w:rFonts w:hint="eastAsia" w:ascii="Arial Unicode MS" w:hAnsi="Arial Unicode MS" w:eastAsia="Arial Unicode MS" w:cs="Arial Unicode MS"/>
          <w:sz w:val="44"/>
          <w:szCs w:val="44"/>
          <w:lang w:eastAsia="zh-CN"/>
        </w:rPr>
        <w:t>价</w:t>
      </w:r>
      <w:r>
        <w:rPr>
          <w:rFonts w:hint="eastAsia" w:ascii="Arial Unicode MS" w:hAnsi="Arial Unicode MS" w:eastAsia="Arial Unicode MS" w:cs="Arial Unicode MS"/>
          <w:sz w:val="44"/>
          <w:szCs w:val="44"/>
          <w:lang w:val="en-US" w:eastAsia="zh-CN"/>
        </w:rPr>
        <w:t xml:space="preserve"> </w:t>
      </w:r>
      <w:r>
        <w:rPr>
          <w:rFonts w:hint="eastAsia" w:ascii="Arial Unicode MS" w:hAnsi="Arial Unicode MS" w:eastAsia="Arial Unicode MS" w:cs="Arial Unicode MS"/>
          <w:sz w:val="44"/>
          <w:szCs w:val="44"/>
          <w:lang w:eastAsia="zh-CN"/>
        </w:rPr>
        <w:t>表</w:t>
      </w:r>
    </w:p>
    <w:p w14:paraId="3F9855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lang w:eastAsia="zh-CN"/>
        </w:rPr>
      </w:pPr>
    </w:p>
    <w:p w14:paraId="36729CA0">
      <w:pPr>
        <w:spacing w:line="360" w:lineRule="auto"/>
        <w:ind w:firstLine="360" w:firstLineChars="100"/>
        <w:rPr>
          <w:rFonts w:hint="eastAsia" w:ascii="宋体" w:hAnsi="宋体"/>
          <w:sz w:val="24"/>
          <w:highlight w:val="none"/>
        </w:rPr>
      </w:pPr>
      <w:r>
        <w:rPr>
          <w:rFonts w:ascii="宋体" w:hAnsi="宋体" w:eastAsia="宋体" w:cs="宋体"/>
          <w:i w:val="0"/>
          <w:iCs w:val="0"/>
          <w:caps w:val="0"/>
          <w:color w:val="000000"/>
          <w:spacing w:val="0"/>
          <w:sz w:val="36"/>
          <w:szCs w:val="36"/>
          <w:shd w:val="clear" w:fill="FFFFFF"/>
        </w:rPr>
        <w:t>报价计算过程</w:t>
      </w:r>
    </w:p>
    <w:p w14:paraId="246F209F">
      <w:pPr>
        <w:spacing w:line="360" w:lineRule="auto"/>
        <w:ind w:firstLine="240" w:firstLineChars="100"/>
        <w:rPr>
          <w:rFonts w:hint="eastAsia" w:ascii="宋体" w:hAnsi="宋体"/>
          <w:sz w:val="24"/>
          <w:highlight w:val="none"/>
        </w:rPr>
      </w:pPr>
    </w:p>
    <w:bookmarkEnd w:id="21"/>
    <w:bookmarkEnd w:id="22"/>
    <w:bookmarkEnd w:id="23"/>
    <w:p w14:paraId="44FAD207">
      <w:pPr>
        <w:rPr>
          <w:sz w:val="44"/>
          <w:szCs w:val="44"/>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FFE761-CEBA-4B59-ABD7-B8DB90D7F6E0}"/>
  </w:font>
  <w:font w:name="黑体">
    <w:panose1 w:val="02010609060101010101"/>
    <w:charset w:val="86"/>
    <w:family w:val="auto"/>
    <w:pitch w:val="default"/>
    <w:sig w:usb0="800002BF" w:usb1="38CF7CFA" w:usb2="00000016" w:usb3="00000000" w:csb0="00040001" w:csb1="00000000"/>
    <w:embedRegular r:id="rId2" w:fontKey="{BC40CC1E-6F1D-4E98-913E-D7151BF78CC7}"/>
  </w:font>
  <w:font w:name="Courier New">
    <w:panose1 w:val="02070309020205020404"/>
    <w:charset w:val="01"/>
    <w:family w:val="modern"/>
    <w:pitch w:val="default"/>
    <w:sig w:usb0="E0002EFF" w:usb1="C0007843" w:usb2="00000009" w:usb3="00000000" w:csb0="400001FF" w:csb1="FFFF0000"/>
    <w:embedRegular r:id="rId3" w:fontKey="{9083EC77-66A6-41C6-8339-85D9BEEF419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B77F4D5-6399-4887-8559-5BA5637DC729}"/>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panose1 w:val="020B0604020202020204"/>
    <w:charset w:val="86"/>
    <w:family w:val="swiss"/>
    <w:pitch w:val="default"/>
    <w:sig w:usb0="FFFFFFFF" w:usb1="E9FFFFFF" w:usb2="0000003F" w:usb3="00000000" w:csb0="603F01FF" w:csb1="FFFF0000"/>
    <w:embedRegular r:id="rId5" w:fontKey="{9217B853-E0F1-4687-8065-96F8C4DFBFF2}"/>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B8E6C4D5-2169-4582-A213-681E7E20F0B0}"/>
  </w:font>
  <w:font w:name="仿宋">
    <w:panose1 w:val="02010609060101010101"/>
    <w:charset w:val="86"/>
    <w:family w:val="modern"/>
    <w:pitch w:val="default"/>
    <w:sig w:usb0="800002BF" w:usb1="38CF7CFA" w:usb2="00000016" w:usb3="00000000" w:csb0="00040001" w:csb1="00000000"/>
    <w:embedRegular r:id="rId7" w:fontKey="{2BFD9BF8-80E9-48FE-B845-6C49EF79F05F}"/>
  </w:font>
  <w:font w:name="Wingdings 2">
    <w:panose1 w:val="05020102010507070707"/>
    <w:charset w:val="02"/>
    <w:family w:val="roman"/>
    <w:pitch w:val="default"/>
    <w:sig w:usb0="00000000" w:usb1="00000000" w:usb2="00000000" w:usb3="00000000" w:csb0="80000000" w:csb1="00000000"/>
    <w:embedRegular r:id="rId8" w:fontKey="{F24532D4-F420-4B36-8058-E57E8C0B450B}"/>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3BD5">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483A0">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13483A0">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36B340F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C20E">
    <w:pPr>
      <w:pStyle w:val="34"/>
      <w:jc w:val="center"/>
    </w:pPr>
    <w:r>
      <w:fldChar w:fldCharType="begin"/>
    </w:r>
    <w:r>
      <w:instrText xml:space="preserve"> PAGE   \* MERGEFORMAT </w:instrText>
    </w:r>
    <w:r>
      <w:fldChar w:fldCharType="separate"/>
    </w:r>
    <w:r>
      <w:rPr>
        <w:lang w:val="zh-CN"/>
      </w:rPr>
      <w:t>11</w:t>
    </w:r>
    <w:r>
      <w:fldChar w:fldCharType="end"/>
    </w:r>
  </w:p>
  <w:p w14:paraId="7207312C">
    <w:pPr>
      <w:pStyle w:val="3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67E8">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A74B">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C923">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abstractNum w:abstractNumId="1">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44429C2"/>
    <w:rsid w:val="04695794"/>
    <w:rsid w:val="04810C52"/>
    <w:rsid w:val="04A05004"/>
    <w:rsid w:val="05056095"/>
    <w:rsid w:val="055B7332"/>
    <w:rsid w:val="056A3FE9"/>
    <w:rsid w:val="059F4FD1"/>
    <w:rsid w:val="05BE2B4E"/>
    <w:rsid w:val="05D070DB"/>
    <w:rsid w:val="061D0302"/>
    <w:rsid w:val="064F66A3"/>
    <w:rsid w:val="066F200F"/>
    <w:rsid w:val="067C7D80"/>
    <w:rsid w:val="06A00B12"/>
    <w:rsid w:val="06D7755B"/>
    <w:rsid w:val="06E6452A"/>
    <w:rsid w:val="0714449E"/>
    <w:rsid w:val="071A149F"/>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9137B3"/>
    <w:rsid w:val="0EB12E2A"/>
    <w:rsid w:val="0EBE69D9"/>
    <w:rsid w:val="0ECB20BE"/>
    <w:rsid w:val="0EEB113D"/>
    <w:rsid w:val="0F0C75A2"/>
    <w:rsid w:val="0F8B77D5"/>
    <w:rsid w:val="0FBE5D9F"/>
    <w:rsid w:val="0FD36B3B"/>
    <w:rsid w:val="0FD47E3C"/>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767A09"/>
    <w:rsid w:val="137A2F78"/>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40B6C"/>
    <w:rsid w:val="21611713"/>
    <w:rsid w:val="218A325D"/>
    <w:rsid w:val="21A41CB8"/>
    <w:rsid w:val="21F42BC1"/>
    <w:rsid w:val="22203EB3"/>
    <w:rsid w:val="22255D12"/>
    <w:rsid w:val="227605BB"/>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ED2F97"/>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C95E5B"/>
    <w:rsid w:val="31DD0F28"/>
    <w:rsid w:val="32290279"/>
    <w:rsid w:val="32527C83"/>
    <w:rsid w:val="32655415"/>
    <w:rsid w:val="3294292F"/>
    <w:rsid w:val="32C51A10"/>
    <w:rsid w:val="32F07D5C"/>
    <w:rsid w:val="33A06705"/>
    <w:rsid w:val="33D80D3F"/>
    <w:rsid w:val="33EE637D"/>
    <w:rsid w:val="344352E2"/>
    <w:rsid w:val="34624864"/>
    <w:rsid w:val="346D778B"/>
    <w:rsid w:val="34AE59AA"/>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3D24BC"/>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5750F1"/>
    <w:rsid w:val="3C6E37E5"/>
    <w:rsid w:val="3C7922D7"/>
    <w:rsid w:val="3C9342B0"/>
    <w:rsid w:val="3CAD36D2"/>
    <w:rsid w:val="3CC81535"/>
    <w:rsid w:val="3CD26729"/>
    <w:rsid w:val="3CEA275C"/>
    <w:rsid w:val="3CEC25F5"/>
    <w:rsid w:val="3CF50FF2"/>
    <w:rsid w:val="3D052A2E"/>
    <w:rsid w:val="3D0659AA"/>
    <w:rsid w:val="3D602B13"/>
    <w:rsid w:val="3D8F09E6"/>
    <w:rsid w:val="3DB946E3"/>
    <w:rsid w:val="3DF577A6"/>
    <w:rsid w:val="3E0755D2"/>
    <w:rsid w:val="3E873A58"/>
    <w:rsid w:val="3EA7555E"/>
    <w:rsid w:val="3EA826CA"/>
    <w:rsid w:val="3ECB3379"/>
    <w:rsid w:val="3EF35410"/>
    <w:rsid w:val="3EF64E80"/>
    <w:rsid w:val="3EF74D5D"/>
    <w:rsid w:val="3F6566F9"/>
    <w:rsid w:val="40095305"/>
    <w:rsid w:val="400A016F"/>
    <w:rsid w:val="401869D9"/>
    <w:rsid w:val="4073545D"/>
    <w:rsid w:val="40EA2C99"/>
    <w:rsid w:val="411E4CFA"/>
    <w:rsid w:val="422C654A"/>
    <w:rsid w:val="42474BD5"/>
    <w:rsid w:val="42847BD2"/>
    <w:rsid w:val="428739CE"/>
    <w:rsid w:val="42BC3919"/>
    <w:rsid w:val="42E0623A"/>
    <w:rsid w:val="42ED199D"/>
    <w:rsid w:val="42F830BA"/>
    <w:rsid w:val="43001D3E"/>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F10090"/>
    <w:rsid w:val="480A6EB1"/>
    <w:rsid w:val="48DB2498"/>
    <w:rsid w:val="491178F4"/>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F4E02"/>
    <w:rsid w:val="4E927C05"/>
    <w:rsid w:val="4EB3025E"/>
    <w:rsid w:val="4F174104"/>
    <w:rsid w:val="4F262EAE"/>
    <w:rsid w:val="4F493CE1"/>
    <w:rsid w:val="4FAA5715"/>
    <w:rsid w:val="4FB8704D"/>
    <w:rsid w:val="4FD03A76"/>
    <w:rsid w:val="4FDA6D84"/>
    <w:rsid w:val="4FDD4C36"/>
    <w:rsid w:val="50090FD4"/>
    <w:rsid w:val="503A0AC9"/>
    <w:rsid w:val="50AC1BAF"/>
    <w:rsid w:val="50DB41FF"/>
    <w:rsid w:val="512340BA"/>
    <w:rsid w:val="513F6058"/>
    <w:rsid w:val="514F1E89"/>
    <w:rsid w:val="5214061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CD7CB9"/>
    <w:rsid w:val="55056B34"/>
    <w:rsid w:val="55684A1A"/>
    <w:rsid w:val="559521BD"/>
    <w:rsid w:val="55AD43BA"/>
    <w:rsid w:val="55C81083"/>
    <w:rsid w:val="55CA6BD2"/>
    <w:rsid w:val="56231C41"/>
    <w:rsid w:val="564163D1"/>
    <w:rsid w:val="56AC2568"/>
    <w:rsid w:val="56C41358"/>
    <w:rsid w:val="56DE70A5"/>
    <w:rsid w:val="57125BA7"/>
    <w:rsid w:val="5782519E"/>
    <w:rsid w:val="57A44EC0"/>
    <w:rsid w:val="57DC3357"/>
    <w:rsid w:val="580F7106"/>
    <w:rsid w:val="582664D1"/>
    <w:rsid w:val="58310F9B"/>
    <w:rsid w:val="58311772"/>
    <w:rsid w:val="583A6878"/>
    <w:rsid w:val="58754A86"/>
    <w:rsid w:val="58795B3D"/>
    <w:rsid w:val="587B2CDE"/>
    <w:rsid w:val="588A63B0"/>
    <w:rsid w:val="58E54DF2"/>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F2D0E8F"/>
    <w:rsid w:val="5FEB2BA4"/>
    <w:rsid w:val="609A4BC4"/>
    <w:rsid w:val="60D0211B"/>
    <w:rsid w:val="60F5158E"/>
    <w:rsid w:val="6104719B"/>
    <w:rsid w:val="61406F7C"/>
    <w:rsid w:val="6171498D"/>
    <w:rsid w:val="61EE441B"/>
    <w:rsid w:val="61F20540"/>
    <w:rsid w:val="620D3BAE"/>
    <w:rsid w:val="62483940"/>
    <w:rsid w:val="62756CD8"/>
    <w:rsid w:val="629D6F4C"/>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93B07"/>
    <w:rsid w:val="67DD08A6"/>
    <w:rsid w:val="67F535C2"/>
    <w:rsid w:val="68A51D8F"/>
    <w:rsid w:val="68AD105E"/>
    <w:rsid w:val="68E63001"/>
    <w:rsid w:val="6902695F"/>
    <w:rsid w:val="692D337C"/>
    <w:rsid w:val="69507E77"/>
    <w:rsid w:val="69CE7367"/>
    <w:rsid w:val="6A3A435E"/>
    <w:rsid w:val="6A911D7B"/>
    <w:rsid w:val="6ABE35C7"/>
    <w:rsid w:val="6B1765A5"/>
    <w:rsid w:val="6B3C4D16"/>
    <w:rsid w:val="6C0C66AB"/>
    <w:rsid w:val="6C1D5A8D"/>
    <w:rsid w:val="6C506D05"/>
    <w:rsid w:val="6C781169"/>
    <w:rsid w:val="6CAB3449"/>
    <w:rsid w:val="6CB5299E"/>
    <w:rsid w:val="6CC91D04"/>
    <w:rsid w:val="6CD754CF"/>
    <w:rsid w:val="6CD9476D"/>
    <w:rsid w:val="6D3F6E6A"/>
    <w:rsid w:val="6E5626ED"/>
    <w:rsid w:val="6E8F7551"/>
    <w:rsid w:val="6E942999"/>
    <w:rsid w:val="6EB966E9"/>
    <w:rsid w:val="6ECA468E"/>
    <w:rsid w:val="6F1A3F97"/>
    <w:rsid w:val="6F241291"/>
    <w:rsid w:val="6F660A69"/>
    <w:rsid w:val="6FCC795E"/>
    <w:rsid w:val="700A4990"/>
    <w:rsid w:val="700F154C"/>
    <w:rsid w:val="7061300B"/>
    <w:rsid w:val="714C49C7"/>
    <w:rsid w:val="71EC67DB"/>
    <w:rsid w:val="72221950"/>
    <w:rsid w:val="72AD02ED"/>
    <w:rsid w:val="72F80286"/>
    <w:rsid w:val="7395083C"/>
    <w:rsid w:val="73C21591"/>
    <w:rsid w:val="741C6F6F"/>
    <w:rsid w:val="74396504"/>
    <w:rsid w:val="74B06E8E"/>
    <w:rsid w:val="74B100E6"/>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5B19C1"/>
    <w:rsid w:val="7A5C1D7E"/>
    <w:rsid w:val="7A7B5E5C"/>
    <w:rsid w:val="7AC34054"/>
    <w:rsid w:val="7AD6524D"/>
    <w:rsid w:val="7AD71832"/>
    <w:rsid w:val="7B8F410F"/>
    <w:rsid w:val="7BF55D0D"/>
    <w:rsid w:val="7C2C1A43"/>
    <w:rsid w:val="7C2C344B"/>
    <w:rsid w:val="7CD34258"/>
    <w:rsid w:val="7CFA5AC2"/>
    <w:rsid w:val="7D1D57F3"/>
    <w:rsid w:val="7D4A7313"/>
    <w:rsid w:val="7D62210E"/>
    <w:rsid w:val="7DA737B9"/>
    <w:rsid w:val="7DF41070"/>
    <w:rsid w:val="7E1069C4"/>
    <w:rsid w:val="7E3E5CEE"/>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toc 7"/>
    <w:basedOn w:val="1"/>
    <w:next w:val="1"/>
    <w:unhideWhenUsed/>
    <w:qFormat/>
    <w:uiPriority w:val="0"/>
    <w:pPr>
      <w:ind w:left="2520" w:leftChars="1200"/>
    </w:pPr>
  </w:style>
  <w:style w:type="paragraph" w:styleId="14">
    <w:name w:val="Note Heading"/>
    <w:basedOn w:val="1"/>
    <w:next w:val="1"/>
    <w:link w:val="116"/>
    <w:semiHidden/>
    <w:qFormat/>
    <w:uiPriority w:val="0"/>
    <w:pPr>
      <w:jc w:val="center"/>
    </w:pPr>
    <w:rPr>
      <w:rFonts w:ascii="Times New Roman" w:hAnsi="Times New Roman"/>
      <w:szCs w:val="24"/>
    </w:rPr>
  </w:style>
  <w:style w:type="paragraph" w:styleId="15">
    <w:name w:val="E-mail Signature"/>
    <w:basedOn w:val="1"/>
    <w:link w:val="117"/>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8"/>
    <w:semiHidden/>
    <w:qFormat/>
    <w:uiPriority w:val="0"/>
    <w:rPr>
      <w:rFonts w:ascii="Times New Roman" w:hAnsi="Times New Roman"/>
      <w:szCs w:val="24"/>
    </w:rPr>
  </w:style>
  <w:style w:type="paragraph" w:styleId="22">
    <w:name w:val="Body Text 3"/>
    <w:basedOn w:val="1"/>
    <w:link w:val="119"/>
    <w:semiHidden/>
    <w:qFormat/>
    <w:uiPriority w:val="0"/>
    <w:pPr>
      <w:spacing w:after="120"/>
    </w:pPr>
    <w:rPr>
      <w:rFonts w:ascii="Times New Roman" w:hAnsi="Times New Roman"/>
      <w:sz w:val="16"/>
      <w:szCs w:val="16"/>
    </w:rPr>
  </w:style>
  <w:style w:type="paragraph" w:styleId="23">
    <w:name w:val="Closing"/>
    <w:basedOn w:val="1"/>
    <w:link w:val="120"/>
    <w:semiHidden/>
    <w:qFormat/>
    <w:uiPriority w:val="0"/>
    <w:pPr>
      <w:ind w:left="100" w:leftChars="2100"/>
    </w:pPr>
    <w:rPr>
      <w:rFonts w:ascii="Times New Roman" w:hAnsi="Times New Roman"/>
      <w:szCs w:val="24"/>
    </w:rPr>
  </w:style>
  <w:style w:type="paragraph" w:styleId="24">
    <w:name w:val="Body Text"/>
    <w:basedOn w:val="1"/>
    <w:next w:val="1"/>
    <w:link w:val="88"/>
    <w:qFormat/>
    <w:uiPriority w:val="99"/>
    <w:pPr>
      <w:spacing w:line="360" w:lineRule="auto"/>
    </w:pPr>
    <w:rPr>
      <w:rFonts w:ascii="宋体" w:hAnsi="宋体"/>
      <w:kern w:val="0"/>
      <w:sz w:val="24"/>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1"/>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toc 8"/>
    <w:basedOn w:val="1"/>
    <w:next w:val="1"/>
    <w:semiHidden/>
    <w:qFormat/>
    <w:uiPriority w:val="0"/>
    <w:pPr>
      <w:ind w:left="2940" w:leftChars="1400"/>
    </w:pPr>
  </w:style>
  <w:style w:type="paragraph" w:styleId="30">
    <w:name w:val="Date"/>
    <w:basedOn w:val="1"/>
    <w:next w:val="1"/>
    <w:link w:val="122"/>
    <w:unhideWhenUsed/>
    <w:qFormat/>
    <w:uiPriority w:val="0"/>
    <w:pPr>
      <w:ind w:left="100" w:leftChars="2500"/>
    </w:pPr>
    <w:rPr>
      <w:rFonts w:ascii="Times New Roman" w:hAnsi="Times New Roman"/>
      <w:szCs w:val="20"/>
    </w:rPr>
  </w:style>
  <w:style w:type="paragraph" w:styleId="31">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4"/>
    <w:semiHidden/>
    <w:qFormat/>
    <w:uiPriority w:val="0"/>
    <w:pPr>
      <w:snapToGrid w:val="0"/>
      <w:jc w:val="left"/>
    </w:pPr>
    <w:rPr>
      <w:rFonts w:ascii="Times New Roman" w:hAnsi="Times New Roman"/>
      <w:szCs w:val="24"/>
    </w:rPr>
  </w:style>
  <w:style w:type="paragraph" w:styleId="33">
    <w:name w:val="Balloon Text"/>
    <w:basedOn w:val="1"/>
    <w:link w:val="90"/>
    <w:unhideWhenUsed/>
    <w:qFormat/>
    <w:uiPriority w:val="0"/>
    <w:rPr>
      <w:kern w:val="0"/>
      <w:sz w:val="18"/>
      <w:szCs w:val="18"/>
    </w:rPr>
  </w:style>
  <w:style w:type="paragraph" w:styleId="34">
    <w:name w:val="footer"/>
    <w:basedOn w:val="1"/>
    <w:link w:val="89"/>
    <w:unhideWhenUsed/>
    <w:qFormat/>
    <w:uiPriority w:val="0"/>
    <w:pPr>
      <w:tabs>
        <w:tab w:val="center" w:pos="4153"/>
        <w:tab w:val="right" w:pos="8306"/>
      </w:tabs>
      <w:snapToGrid w:val="0"/>
      <w:jc w:val="left"/>
    </w:pPr>
    <w:rPr>
      <w:kern w:val="0"/>
      <w:sz w:val="18"/>
      <w:szCs w:val="18"/>
    </w:rPr>
  </w:style>
  <w:style w:type="paragraph" w:styleId="35">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5"/>
    <w:semiHidden/>
    <w:qFormat/>
    <w:uiPriority w:val="0"/>
    <w:pPr>
      <w:ind w:left="100" w:leftChars="2100"/>
    </w:pPr>
    <w:rPr>
      <w:rFonts w:ascii="Times New Roman" w:hAnsi="Times New Roman"/>
      <w:szCs w:val="24"/>
    </w:rPr>
  </w:style>
  <w:style w:type="paragraph" w:styleId="37">
    <w:name w:val="toc 1"/>
    <w:basedOn w:val="1"/>
    <w:next w:val="1"/>
    <w:unhideWhenUsed/>
    <w:qFormat/>
    <w:uiPriority w:val="0"/>
  </w:style>
  <w:style w:type="paragraph" w:styleId="38">
    <w:name w:val="toc 4"/>
    <w:basedOn w:val="1"/>
    <w:next w:val="1"/>
    <w:unhideWhenUsed/>
    <w:qFormat/>
    <w:uiPriority w:val="0"/>
    <w:pPr>
      <w:ind w:left="1260" w:leftChars="600"/>
    </w:pPr>
  </w:style>
  <w:style w:type="paragraph" w:styleId="39">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semiHidden/>
    <w:qFormat/>
    <w:uiPriority w:val="0"/>
    <w:pPr>
      <w:ind w:left="200" w:hanging="200" w:hangingChars="200"/>
    </w:pPr>
    <w:rPr>
      <w:rFonts w:ascii="Times New Roman" w:hAnsi="Times New Roman"/>
      <w:szCs w:val="24"/>
    </w:rPr>
  </w:style>
  <w:style w:type="paragraph" w:styleId="41">
    <w:name w:val="footnote text"/>
    <w:basedOn w:val="1"/>
    <w:link w:val="126"/>
    <w:semiHidden/>
    <w:qFormat/>
    <w:uiPriority w:val="0"/>
    <w:pPr>
      <w:snapToGrid w:val="0"/>
      <w:jc w:val="left"/>
    </w:pPr>
    <w:rPr>
      <w:rFonts w:ascii="Times New Roman" w:hAnsi="Times New Roman"/>
      <w:sz w:val="18"/>
      <w:szCs w:val="20"/>
    </w:rPr>
  </w:style>
  <w:style w:type="paragraph" w:styleId="42">
    <w:name w:val="toc 6"/>
    <w:basedOn w:val="1"/>
    <w:next w:val="1"/>
    <w:unhideWhenUsed/>
    <w:qFormat/>
    <w:uiPriority w:val="0"/>
    <w:pPr>
      <w:ind w:left="2100" w:leftChars="1000"/>
    </w:pPr>
  </w:style>
  <w:style w:type="paragraph" w:styleId="43">
    <w:name w:val="toc 2"/>
    <w:basedOn w:val="1"/>
    <w:next w:val="1"/>
    <w:unhideWhenUsed/>
    <w:qFormat/>
    <w:uiPriority w:val="0"/>
    <w:pPr>
      <w:ind w:left="420" w:leftChars="200"/>
    </w:pPr>
  </w:style>
  <w:style w:type="paragraph" w:styleId="44">
    <w:name w:val="toc 9"/>
    <w:basedOn w:val="1"/>
    <w:next w:val="1"/>
    <w:unhideWhenUsed/>
    <w:qFormat/>
    <w:uiPriority w:val="0"/>
    <w:pPr>
      <w:ind w:left="3360" w:leftChars="1600"/>
    </w:pPr>
  </w:style>
  <w:style w:type="paragraph" w:styleId="45">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unhideWhenUsed/>
    <w:qFormat/>
    <w:uiPriority w:val="0"/>
    <w:rPr>
      <w:b/>
      <w:bCs/>
    </w:rPr>
  </w:style>
  <w:style w:type="paragraph" w:styleId="51">
    <w:name w:val="Body Text First Indent"/>
    <w:basedOn w:val="24"/>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4"/>
    <w:qFormat/>
    <w:uiPriority w:val="0"/>
    <w:rPr>
      <w:b/>
      <w:bCs/>
      <w:kern w:val="44"/>
      <w:sz w:val="44"/>
      <w:szCs w:val="44"/>
    </w:rPr>
  </w:style>
  <w:style w:type="character" w:customStyle="1" w:styleId="74">
    <w:name w:val="标题 2 字符"/>
    <w:basedOn w:val="57"/>
    <w:link w:val="5"/>
    <w:qFormat/>
    <w:uiPriority w:val="0"/>
    <w:rPr>
      <w:rFonts w:ascii="Cambria" w:hAnsi="Cambria" w:eastAsia="宋体"/>
      <w:b/>
      <w:bCs/>
      <w:kern w:val="2"/>
      <w:sz w:val="32"/>
      <w:szCs w:val="32"/>
      <w:lang w:val="en-US" w:eastAsia="zh-CN" w:bidi="ar-SA"/>
    </w:rPr>
  </w:style>
  <w:style w:type="character" w:customStyle="1" w:styleId="75">
    <w:name w:val="标题 3 字符"/>
    <w:link w:val="6"/>
    <w:qFormat/>
    <w:uiPriority w:val="0"/>
    <w:rPr>
      <w:rFonts w:ascii="Calibri" w:hAnsi="Calibri" w:eastAsia="宋体"/>
      <w:b/>
      <w:bCs/>
      <w:kern w:val="2"/>
      <w:sz w:val="32"/>
      <w:szCs w:val="32"/>
      <w:lang w:val="en-US" w:eastAsia="zh-CN" w:bidi="ar-SA"/>
    </w:rPr>
  </w:style>
  <w:style w:type="character" w:customStyle="1" w:styleId="76">
    <w:name w:val="标题 4 字符"/>
    <w:link w:val="7"/>
    <w:qFormat/>
    <w:uiPriority w:val="0"/>
    <w:rPr>
      <w:rFonts w:ascii="宋体" w:hAnsi="宋体" w:eastAsia="宋体" w:cs="宋体"/>
      <w:b/>
      <w:bCs/>
      <w:sz w:val="24"/>
      <w:szCs w:val="24"/>
      <w:lang w:val="en-US" w:eastAsia="zh-CN" w:bidi="ar-SA"/>
    </w:rPr>
  </w:style>
  <w:style w:type="character" w:customStyle="1" w:styleId="77">
    <w:name w:val="标题 5 字符"/>
    <w:basedOn w:val="57"/>
    <w:link w:val="8"/>
    <w:qFormat/>
    <w:uiPriority w:val="0"/>
    <w:rPr>
      <w:rFonts w:ascii="Times New Roman" w:hAnsi="Times New Roman"/>
    </w:rPr>
  </w:style>
  <w:style w:type="character" w:customStyle="1" w:styleId="78">
    <w:name w:val="标题 6 字符"/>
    <w:basedOn w:val="57"/>
    <w:link w:val="9"/>
    <w:qFormat/>
    <w:uiPriority w:val="0"/>
    <w:rPr>
      <w:rFonts w:ascii="Times New Roman" w:hAnsi="Times New Roman"/>
    </w:rPr>
  </w:style>
  <w:style w:type="character" w:customStyle="1" w:styleId="79">
    <w:name w:val="标题 7 字符"/>
    <w:link w:val="10"/>
    <w:qFormat/>
    <w:uiPriority w:val="0"/>
    <w:rPr>
      <w:rFonts w:ascii="Calibri" w:hAnsi="Calibri" w:eastAsia="宋体"/>
      <w:b/>
      <w:bCs/>
      <w:kern w:val="2"/>
      <w:sz w:val="24"/>
      <w:szCs w:val="24"/>
      <w:lang w:val="en-US" w:eastAsia="zh-CN" w:bidi="ar-SA"/>
    </w:rPr>
  </w:style>
  <w:style w:type="character" w:customStyle="1" w:styleId="80">
    <w:name w:val="标题 8 字符"/>
    <w:basedOn w:val="57"/>
    <w:link w:val="11"/>
    <w:qFormat/>
    <w:uiPriority w:val="0"/>
    <w:rPr>
      <w:rFonts w:ascii="Times New Roman" w:hAnsi="Times New Roman"/>
    </w:rPr>
  </w:style>
  <w:style w:type="character" w:customStyle="1" w:styleId="81">
    <w:name w:val="标题 9 字符"/>
    <w:basedOn w:val="57"/>
    <w:link w:val="12"/>
    <w:qFormat/>
    <w:uiPriority w:val="0"/>
    <w:rPr>
      <w:rFonts w:ascii="Times New Roman" w:hAnsi="Times New Roman"/>
    </w:rPr>
  </w:style>
  <w:style w:type="character" w:customStyle="1" w:styleId="82">
    <w:name w:val="页眉 字符"/>
    <w:link w:val="35"/>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5"/>
    <w:semiHidden/>
    <w:qFormat/>
    <w:uiPriority w:val="99"/>
  </w:style>
  <w:style w:type="character" w:customStyle="1" w:styleId="87">
    <w:name w:val="批注文字 字符"/>
    <w:link w:val="20"/>
    <w:semiHidden/>
    <w:qFormat/>
    <w:uiPriority w:val="0"/>
    <w:rPr>
      <w:kern w:val="2"/>
      <w:sz w:val="21"/>
      <w:szCs w:val="22"/>
    </w:rPr>
  </w:style>
  <w:style w:type="character" w:customStyle="1" w:styleId="88">
    <w:name w:val="正文文本 字符"/>
    <w:link w:val="24"/>
    <w:qFormat/>
    <w:uiPriority w:val="99"/>
    <w:rPr>
      <w:rFonts w:ascii="宋体" w:hAnsi="宋体" w:eastAsia="宋体" w:cs="Times New Roman"/>
      <w:sz w:val="24"/>
      <w:szCs w:val="24"/>
    </w:rPr>
  </w:style>
  <w:style w:type="character" w:customStyle="1" w:styleId="89">
    <w:name w:val="页脚 字符"/>
    <w:link w:val="34"/>
    <w:qFormat/>
    <w:uiPriority w:val="0"/>
    <w:rPr>
      <w:sz w:val="18"/>
      <w:szCs w:val="18"/>
    </w:rPr>
  </w:style>
  <w:style w:type="character" w:customStyle="1" w:styleId="90">
    <w:name w:val="批注框文本 字符"/>
    <w:link w:val="33"/>
    <w:semiHidden/>
    <w:qFormat/>
    <w:uiPriority w:val="0"/>
    <w:rPr>
      <w:sz w:val="18"/>
      <w:szCs w:val="18"/>
    </w:rPr>
  </w:style>
  <w:style w:type="character" w:customStyle="1" w:styleId="91">
    <w:name w:val="纯文本 字符"/>
    <w:link w:val="2"/>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6"/>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19"/>
    <w:qFormat/>
    <w:uiPriority w:val="0"/>
    <w:rPr>
      <w:rFonts w:ascii="宋体"/>
      <w:kern w:val="2"/>
      <w:sz w:val="18"/>
      <w:szCs w:val="18"/>
    </w:rPr>
  </w:style>
  <w:style w:type="character" w:customStyle="1" w:styleId="96">
    <w:name w:val="批注主题 字符"/>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5"/>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4"/>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24"/>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51"/>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4"/>
    <w:semiHidden/>
    <w:qFormat/>
    <w:uiPriority w:val="0"/>
    <w:rPr>
      <w:rFonts w:ascii="Times New Roman" w:hAnsi="Times New Roman"/>
      <w:kern w:val="2"/>
      <w:sz w:val="21"/>
      <w:szCs w:val="24"/>
    </w:rPr>
  </w:style>
  <w:style w:type="character" w:customStyle="1" w:styleId="117">
    <w:name w:val="电子邮件签名 字符"/>
    <w:basedOn w:val="57"/>
    <w:link w:val="15"/>
    <w:semiHidden/>
    <w:qFormat/>
    <w:uiPriority w:val="0"/>
    <w:rPr>
      <w:rFonts w:ascii="Times New Roman" w:hAnsi="Times New Roman"/>
      <w:kern w:val="2"/>
      <w:sz w:val="21"/>
      <w:szCs w:val="24"/>
    </w:rPr>
  </w:style>
  <w:style w:type="character" w:customStyle="1" w:styleId="118">
    <w:name w:val="称呼 字符"/>
    <w:basedOn w:val="57"/>
    <w:link w:val="21"/>
    <w:semiHidden/>
    <w:qFormat/>
    <w:uiPriority w:val="0"/>
    <w:rPr>
      <w:rFonts w:ascii="Times New Roman" w:hAnsi="Times New Roman"/>
      <w:kern w:val="2"/>
      <w:sz w:val="21"/>
      <w:szCs w:val="24"/>
    </w:rPr>
  </w:style>
  <w:style w:type="character" w:customStyle="1" w:styleId="119">
    <w:name w:val="正文文本 3 字符"/>
    <w:basedOn w:val="57"/>
    <w:link w:val="22"/>
    <w:semiHidden/>
    <w:qFormat/>
    <w:uiPriority w:val="0"/>
    <w:rPr>
      <w:rFonts w:ascii="Times New Roman" w:hAnsi="Times New Roman"/>
      <w:kern w:val="2"/>
      <w:sz w:val="16"/>
      <w:szCs w:val="16"/>
    </w:rPr>
  </w:style>
  <w:style w:type="character" w:customStyle="1" w:styleId="120">
    <w:name w:val="结束语 字符"/>
    <w:basedOn w:val="57"/>
    <w:link w:val="23"/>
    <w:semiHidden/>
    <w:qFormat/>
    <w:uiPriority w:val="0"/>
    <w:rPr>
      <w:rFonts w:ascii="Times New Roman" w:hAnsi="Times New Roman"/>
      <w:kern w:val="2"/>
      <w:sz w:val="21"/>
      <w:szCs w:val="24"/>
    </w:rPr>
  </w:style>
  <w:style w:type="character" w:customStyle="1" w:styleId="121">
    <w:name w:val="HTML 地址 字符"/>
    <w:basedOn w:val="57"/>
    <w:link w:val="26"/>
    <w:semiHidden/>
    <w:qFormat/>
    <w:uiPriority w:val="0"/>
    <w:rPr>
      <w:rFonts w:ascii="Times New Roman" w:hAnsi="Times New Roman"/>
      <w:i/>
      <w:iCs/>
      <w:kern w:val="2"/>
      <w:sz w:val="21"/>
      <w:szCs w:val="24"/>
    </w:rPr>
  </w:style>
  <w:style w:type="character" w:customStyle="1" w:styleId="122">
    <w:name w:val="日期 字符"/>
    <w:basedOn w:val="57"/>
    <w:link w:val="30"/>
    <w:qFormat/>
    <w:uiPriority w:val="0"/>
    <w:rPr>
      <w:rFonts w:ascii="Times New Roman" w:hAnsi="Times New Roman"/>
      <w:kern w:val="2"/>
      <w:sz w:val="21"/>
    </w:rPr>
  </w:style>
  <w:style w:type="character" w:customStyle="1" w:styleId="123">
    <w:name w:val="正文文本缩进 2 字符"/>
    <w:basedOn w:val="57"/>
    <w:link w:val="31"/>
    <w:semiHidden/>
    <w:qFormat/>
    <w:uiPriority w:val="0"/>
    <w:rPr>
      <w:rFonts w:ascii="Times New Roman" w:hAnsi="Times New Roman"/>
      <w:kern w:val="2"/>
      <w:sz w:val="21"/>
      <w:szCs w:val="24"/>
    </w:rPr>
  </w:style>
  <w:style w:type="character" w:customStyle="1" w:styleId="124">
    <w:name w:val="尾注文本 字符"/>
    <w:basedOn w:val="57"/>
    <w:link w:val="32"/>
    <w:semiHidden/>
    <w:qFormat/>
    <w:uiPriority w:val="0"/>
    <w:rPr>
      <w:rFonts w:ascii="Times New Roman" w:hAnsi="Times New Roman"/>
      <w:kern w:val="2"/>
      <w:sz w:val="21"/>
      <w:szCs w:val="24"/>
    </w:rPr>
  </w:style>
  <w:style w:type="character" w:customStyle="1" w:styleId="125">
    <w:name w:val="签名 字符"/>
    <w:basedOn w:val="57"/>
    <w:link w:val="36"/>
    <w:semiHidden/>
    <w:qFormat/>
    <w:uiPriority w:val="0"/>
    <w:rPr>
      <w:rFonts w:ascii="Times New Roman" w:hAnsi="Times New Roman"/>
      <w:kern w:val="2"/>
      <w:sz w:val="21"/>
      <w:szCs w:val="24"/>
    </w:rPr>
  </w:style>
  <w:style w:type="character" w:customStyle="1" w:styleId="126">
    <w:name w:val="脚注文本 字符"/>
    <w:basedOn w:val="57"/>
    <w:link w:val="41"/>
    <w:semiHidden/>
    <w:qFormat/>
    <w:uiPriority w:val="0"/>
    <w:rPr>
      <w:rFonts w:ascii="Times New Roman" w:hAnsi="Times New Roman"/>
      <w:kern w:val="2"/>
      <w:sz w:val="18"/>
    </w:rPr>
  </w:style>
  <w:style w:type="character" w:customStyle="1" w:styleId="127">
    <w:name w:val="信息标题 字符"/>
    <w:basedOn w:val="57"/>
    <w:link w:val="45"/>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6"/>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39"/>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5"/>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19919</Words>
  <Characters>21017</Characters>
  <Lines>247</Lines>
  <Paragraphs>69</Paragraphs>
  <TotalTime>40</TotalTime>
  <ScaleCrop>false</ScaleCrop>
  <LinksUpToDate>false</LinksUpToDate>
  <CharactersWithSpaces>22210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2025-10-21T08:32:57Z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BE5A300BD7F748368D561837BEA53372</vt:lpwstr>
  </property>
  <property fmtid="{D5CDD505-2E9C-101B-9397-08002B2CF9AE}" pid="4" name="KSOTemplateDocerSaveRecord">
    <vt:lpwstr>eyJoZGlkIjoiZjYxZTUyYjc1MzQwNWRmNjlmMWQyYmQ2NmM1M2U4MmMiLCJ1c2VySWQiOiI2OTk3NTA5NDAifQ==</vt:lpwstr>
  </property>
</Properties>
</file>