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both"/>
        <w:rPr>
          <w:rFonts w:hint="eastAsia" w:ascii="宋体" w:hAnsi="宋体" w:eastAsia="宋体"/>
          <w:b/>
          <w:bCs/>
          <w:sz w:val="44"/>
          <w:lang w:eastAsia="zh-CN"/>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pStyle w:val="8"/>
      </w:pPr>
    </w:p>
    <w:p>
      <w:pPr>
        <w:pStyle w:val="20"/>
        <w:numPr>
          <w:ilvl w:val="0"/>
          <w:numId w:val="0"/>
        </w:numPr>
        <w:spacing w:line="460" w:lineRule="exact"/>
        <w:rPr>
          <w:rFonts w:hint="default"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深圳市龙岗区第七人民医院医疗纠纷调解服务项目</w:t>
      </w:r>
    </w:p>
    <w:p>
      <w:pPr>
        <w:snapToGrid w:val="0"/>
        <w:spacing w:line="360" w:lineRule="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kern w:val="2"/>
          <w:sz w:val="36"/>
          <w:szCs w:val="36"/>
          <w:lang w:val="en-US" w:eastAsia="zh-CN" w:bidi="ar-SA"/>
        </w:rPr>
        <w:t>深龙七医采[LGQY2025YW002]</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服务</w:t>
      </w:r>
      <w:r>
        <w:rPr>
          <w:rFonts w:hint="eastAsia" w:ascii="仿宋_GB2312" w:hAnsi="仿宋_GB2312" w:eastAsia="仿宋_GB2312" w:cs="仿宋_GB2312"/>
          <w:sz w:val="36"/>
          <w:szCs w:val="36"/>
        </w:rPr>
        <w:t>类</w:t>
      </w:r>
    </w:p>
    <w:p>
      <w:pPr>
        <w:snapToGrid w:val="0"/>
        <w:spacing w:line="360" w:lineRule="auto"/>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jc w:val="left"/>
        <w:rPr>
          <w:rFonts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sz w:val="36"/>
          <w:szCs w:val="36"/>
          <w:lang w:val="en-US" w:eastAsia="zh-CN"/>
        </w:rPr>
        <w:t>15万元</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w:t>
      </w:r>
      <w:r>
        <w:rPr>
          <w:rFonts w:hint="eastAsia" w:ascii="仿宋_GB2312" w:hAnsi="仿宋_GB2312" w:eastAsia="仿宋_GB2312" w:cs="仿宋_GB2312"/>
          <w:sz w:val="36"/>
          <w:szCs w:val="36"/>
          <w:lang w:val="en-US" w:eastAsia="zh-CN"/>
        </w:rPr>
        <w:t>招标</w:t>
      </w:r>
      <w:r>
        <w:rPr>
          <w:rFonts w:hint="eastAsia" w:ascii="仿宋_GB2312" w:hAnsi="仿宋_GB2312" w:eastAsia="仿宋_GB2312" w:cs="仿宋_GB2312"/>
          <w:sz w:val="36"/>
          <w:szCs w:val="36"/>
        </w:rPr>
        <w:t>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9"/>
        <w:rPr>
          <w:rFonts w:hint="default"/>
        </w:rPr>
      </w:pPr>
    </w:p>
    <w:p>
      <w:pPr>
        <w:pStyle w:val="9"/>
        <w:rPr>
          <w:rFonts w:hint="default"/>
          <w:szCs w:val="20"/>
        </w:rPr>
      </w:pPr>
    </w:p>
    <w:p>
      <w:pPr>
        <w:pStyle w:val="5"/>
      </w:pPr>
    </w:p>
    <w:p/>
    <w:p>
      <w:pPr>
        <w:pStyle w:val="2"/>
      </w:pPr>
    </w:p>
    <w:p/>
    <w:p>
      <w:pPr>
        <w:pStyle w:val="2"/>
        <w:ind w:firstLine="1920" w:firstLineChars="600"/>
        <w:rPr>
          <w:rFonts w:cs="宋体"/>
          <w:sz w:val="40"/>
          <w:szCs w:val="40"/>
        </w:rPr>
      </w:pPr>
      <w:r>
        <w:rPr>
          <w:rFonts w:ascii="仿宋_GB2312" w:hAnsi="仿宋_GB2312" w:eastAsia="仿宋_GB2312" w:cs="仿宋_GB2312"/>
          <w:sz w:val="32"/>
          <w:szCs w:val="32"/>
        </w:rPr>
        <w:t>日期：     年    月    日</w:t>
      </w:r>
    </w:p>
    <w:p>
      <w:pPr>
        <w:spacing w:line="360" w:lineRule="auto"/>
        <w:rPr>
          <w:rFonts w:ascii="宋体" w:hAnsi="宋体" w:cs="宋体"/>
          <w:b/>
          <w:bCs/>
          <w:sz w:val="40"/>
          <w:szCs w:val="40"/>
        </w:rPr>
      </w:pPr>
    </w:p>
    <w:p>
      <w:pPr>
        <w:spacing w:line="360" w:lineRule="auto"/>
        <w:jc w:val="center"/>
        <w:rPr>
          <w:rFonts w:ascii="宋体" w:hAnsi="宋体" w:cs="宋体"/>
          <w:b/>
          <w:bCs/>
          <w:sz w:val="40"/>
          <w:szCs w:val="40"/>
        </w:rPr>
      </w:pPr>
    </w:p>
    <w:p>
      <w:pPr>
        <w:pStyle w:val="8"/>
      </w:pPr>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spacing w:line="480" w:lineRule="exact"/>
        <w:jc w:val="center"/>
        <w:rPr>
          <w:rFonts w:hint="eastAsia" w:ascii="宋体" w:hAnsi="宋体"/>
          <w:sz w:val="40"/>
          <w:szCs w:val="40"/>
          <w:lang w:val="en-US" w:eastAsia="zh-CN"/>
        </w:rPr>
      </w:pPr>
      <w:r>
        <w:rPr>
          <w:rFonts w:hint="eastAsia" w:ascii="宋体" w:hAnsi="宋体"/>
          <w:sz w:val="40"/>
          <w:szCs w:val="40"/>
        </w:rPr>
        <w:t>深圳市龙岗区第七人民医院关于</w:t>
      </w:r>
      <w:r>
        <w:rPr>
          <w:rFonts w:hint="eastAsia" w:ascii="宋体" w:hAnsi="宋体"/>
          <w:sz w:val="40"/>
          <w:szCs w:val="40"/>
          <w:lang w:val="en-US" w:eastAsia="zh-CN"/>
        </w:rPr>
        <w:t>医疗纠纷调解</w:t>
      </w:r>
    </w:p>
    <w:p>
      <w:pPr>
        <w:spacing w:line="480" w:lineRule="exact"/>
        <w:jc w:val="center"/>
        <w:rPr>
          <w:rFonts w:hint="eastAsia" w:ascii="宋体" w:hAnsi="宋体"/>
          <w:sz w:val="40"/>
          <w:szCs w:val="40"/>
        </w:rPr>
      </w:pPr>
      <w:r>
        <w:rPr>
          <w:rFonts w:hint="eastAsia" w:ascii="宋体" w:hAnsi="宋体"/>
          <w:sz w:val="40"/>
          <w:szCs w:val="40"/>
          <w:lang w:val="en-US" w:eastAsia="zh-CN"/>
        </w:rPr>
        <w:t>服务项目</w:t>
      </w:r>
      <w:r>
        <w:rPr>
          <w:rFonts w:hint="eastAsia" w:ascii="宋体" w:hAnsi="宋体"/>
          <w:sz w:val="40"/>
          <w:szCs w:val="40"/>
        </w:rPr>
        <w:t>院内公开采购的公告</w:t>
      </w:r>
    </w:p>
    <w:p>
      <w:pPr>
        <w:pStyle w:val="8"/>
      </w:pPr>
    </w:p>
    <w:p>
      <w:pPr>
        <w:spacing w:line="480" w:lineRule="exact"/>
        <w:ind w:firstLine="560" w:firstLineChars="200"/>
        <w:rPr>
          <w:rFonts w:ascii="仿宋_GB2312" w:eastAsia="仿宋_GB2312"/>
          <w:sz w:val="28"/>
          <w:szCs w:val="28"/>
        </w:rPr>
      </w:pPr>
      <w:r>
        <w:rPr>
          <w:rFonts w:hint="eastAsia" w:ascii="仿宋_GB2312" w:hAnsi="宋体" w:eastAsia="仿宋_GB2312"/>
          <w:sz w:val="28"/>
          <w:szCs w:val="28"/>
        </w:rPr>
        <w:t>根据《中华人民共和国政府采购法》和《深圳经济特区政府采购条例实施细则》的有关规定</w:t>
      </w:r>
      <w:r>
        <w:rPr>
          <w:rFonts w:hint="eastAsia" w:ascii="仿宋_GB2312" w:eastAsia="仿宋_GB2312"/>
          <w:sz w:val="28"/>
          <w:szCs w:val="28"/>
        </w:rPr>
        <w:t>，我院拟对以下项目进行院内公开采购，欢迎符合条件具有供应能力的供应商或厂家前来报名参加。</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一、采购项目</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（一）项目编号：</w:t>
      </w:r>
      <w:r>
        <w:rPr>
          <w:rFonts w:hint="eastAsia" w:ascii="仿宋_GB2312" w:hAnsi="仿宋_GB2312" w:eastAsia="仿宋_GB2312" w:cs="仿宋_GB2312"/>
          <w:sz w:val="28"/>
          <w:szCs w:val="28"/>
          <w:lang w:val="en-US" w:eastAsia="zh-CN"/>
        </w:rPr>
        <w:t>深龙七医采[LGQY2025YW002]</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（二）项目名称：深圳市龙岗区第七人民医院</w:t>
      </w:r>
      <w:r>
        <w:rPr>
          <w:rFonts w:hint="eastAsia" w:ascii="仿宋_GB2312" w:hAnsi="仿宋_GB2312" w:eastAsia="仿宋_GB2312" w:cs="仿宋_GB2312"/>
          <w:sz w:val="28"/>
          <w:szCs w:val="28"/>
          <w:lang w:val="en-US" w:eastAsia="zh-CN"/>
        </w:rPr>
        <w:t>医疗纠纷调解服务项目</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（三）采购数量：1项</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（四）预算金额（最高限价）：15万元</w:t>
      </w:r>
    </w:p>
    <w:p>
      <w:pPr>
        <w:pStyle w:val="21"/>
        <w:spacing w:line="400" w:lineRule="exact"/>
        <w:ind w:firstLine="560"/>
        <w:jc w:val="left"/>
        <w:rPr>
          <w:rFonts w:hint="eastAsia" w:ascii="仿宋_GB2312" w:hAnsi="Calibri" w:eastAsia="仿宋_GB2312" w:cs="黑体"/>
          <w:kern w:val="2"/>
          <w:sz w:val="28"/>
          <w:szCs w:val="28"/>
          <w:lang w:val="en-US" w:eastAsia="zh-CN" w:bidi="ar-SA"/>
        </w:rPr>
      </w:pPr>
      <w:r>
        <w:rPr>
          <w:rFonts w:hint="eastAsia" w:ascii="仿宋_GB2312" w:hAnsi="Calibri" w:eastAsia="仿宋_GB2312" w:cs="黑体"/>
          <w:kern w:val="2"/>
          <w:sz w:val="28"/>
          <w:szCs w:val="28"/>
          <w:lang w:val="en-US" w:eastAsia="zh-CN" w:bidi="ar-SA"/>
        </w:rPr>
        <w:t>二、资质要求</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（二）本项目的特定资格要求（须按本项目投标文件格式要求提供《投标及履约承诺函》加盖投标人公章）：</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1.参与本项目采购活动前三年内，在经营活动中没有重大违法记录；</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2.参与本项目采购活动时不存在被有关部门禁止参与政府采购活动且在有效期内的情况；</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3.除单一来源采购项目外，为采购项目提供整体设计、规范编制或者项目管理、监理、检测等服务的供应商，不得再参加该采购项目的其他采购活动；</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4.参与本项目采购活动不存在与其他采购参加人串通投标，隐瞒真实情况，提供虚假资料等违法违规情形；</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7.法律、行政法规和国家有关规定对供应商从事特定经营活动有资质、资格规定的，供应商应当具备的相应条件；</w:t>
      </w:r>
    </w:p>
    <w:p>
      <w:pPr>
        <w:pStyle w:val="20"/>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8.本项目不接受联合体投标，不允许非法分包或转包。</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三</w:t>
      </w:r>
      <w:r>
        <w:rPr>
          <w:rFonts w:hint="eastAsia" w:ascii="仿宋_GB2312" w:hAnsi="仿宋_GB2312" w:eastAsia="仿宋_GB2312" w:cs="仿宋_GB2312"/>
          <w:kern w:val="2"/>
          <w:sz w:val="28"/>
          <w:szCs w:val="28"/>
          <w:lang w:val="en-US" w:eastAsia="zh-CN" w:bidi="ar-SA"/>
        </w:rPr>
        <w:t>、采购方式：院内公开招标采购</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四</w:t>
      </w:r>
      <w:r>
        <w:rPr>
          <w:rFonts w:hint="eastAsia" w:ascii="仿宋_GB2312" w:hAnsi="仿宋_GB2312" w:eastAsia="仿宋_GB2312" w:cs="仿宋_GB2312"/>
          <w:kern w:val="2"/>
          <w:sz w:val="28"/>
          <w:szCs w:val="28"/>
          <w:lang w:val="en-US" w:eastAsia="zh-CN" w:bidi="ar-SA"/>
        </w:rPr>
        <w:t>、评标方法：综合评分法</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五</w:t>
      </w:r>
      <w:r>
        <w:rPr>
          <w:rFonts w:hint="eastAsia" w:ascii="仿宋_GB2312" w:hAnsi="仿宋_GB2312" w:eastAsia="仿宋_GB2312" w:cs="仿宋_GB2312"/>
          <w:kern w:val="2"/>
          <w:sz w:val="28"/>
          <w:szCs w:val="28"/>
          <w:lang w:val="en-US" w:eastAsia="zh-CN" w:bidi="ar-SA"/>
        </w:rPr>
        <w:t>、投标人报名资料要求</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（一）院内采购报名表。</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（三）提供具有独立承担民事责任能力的法人或其他组织或个体工商户的营业执照或法人证书等证明材料复印件或扫描件。</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（四）供应商基本情况表。</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（五）提供法定代表人、主要经营负责人、投标授权代表人、项目负责人（如有）、主要技术人员（如有）最近一个月的社保证明。</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（六）通过以下3个官网的信用信息查询记录网络截图件并加盖投标人公章：①信用中国②中国政府采购网③深圳市政府采购监管网。相关信息以开标当日的查询结果为准。</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（七）投标及履约承诺函。</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以上资料均需在有效期内并加盖投标方公章。本项目实行资格预审，投标人报名时将进行资格审查，未经审查或审查未通过的不能参与投标。</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六、报名截止时间及地点：2025年10月27日17:00，简竹护理院行政楼三楼招采办。</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七、递交投标文件及开标时间及地点：2025年10月29日10：00，深圳市龙岗区南湾街道吉厦社区简竹路12号简竹护理院行政楼五楼活动室（如有变动，另行通知）。</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八、联系人及联系电话：陈女士，0755-28740471。</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九、公告日期：自公告发布之日起5个工作日。</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p>
    <w:p>
      <w:pPr>
        <w:pStyle w:val="21"/>
        <w:keepNext w:val="0"/>
        <w:keepLines w:val="0"/>
        <w:pageBreakBefore w:val="0"/>
        <w:kinsoku/>
        <w:wordWrap/>
        <w:overflowPunct/>
        <w:topLinePunct w:val="0"/>
        <w:autoSpaceDE/>
        <w:autoSpaceDN/>
        <w:bidi w:val="0"/>
        <w:adjustRightInd/>
        <w:snapToGrid/>
        <w:spacing w:line="400" w:lineRule="exact"/>
        <w:ind w:left="0" w:leftChars="0" w:firstLine="56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0"/>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宋体" w:eastAsia="仿宋_GB2312" w:cs="黑体"/>
          <w:kern w:val="2"/>
          <w:sz w:val="28"/>
          <w:szCs w:val="28"/>
          <w:lang w:val="en-US" w:eastAsia="zh-CN" w:bidi="ar-SA"/>
        </w:rPr>
        <w:t>深圳市龙岗区第七人民医院</w:t>
      </w:r>
      <w:r>
        <w:rPr>
          <w:rFonts w:hint="eastAsia" w:ascii="仿宋_GB2312" w:hAnsi="仿宋_GB2312" w:eastAsia="仿宋_GB2312" w:cs="仿宋_GB2312"/>
          <w:sz w:val="28"/>
          <w:szCs w:val="28"/>
          <w:lang w:val="en-US" w:eastAsia="zh-CN"/>
        </w:rPr>
        <w:t>医疗纠纷调解服务项目</w:t>
      </w:r>
      <w:r>
        <w:rPr>
          <w:rFonts w:hint="eastAsia" w:ascii="仿宋_GB2312" w:hAnsi="仿宋_GB2312" w:eastAsia="仿宋_GB2312" w:cs="仿宋_GB2312"/>
          <w:kern w:val="2"/>
          <w:sz w:val="28"/>
          <w:szCs w:val="28"/>
          <w:lang w:val="en-US" w:eastAsia="zh-CN" w:bidi="ar-SA"/>
        </w:rPr>
        <w:t>招标文件</w:t>
      </w:r>
    </w:p>
    <w:p>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ascii="仿宋_GB2312" w:eastAsia="仿宋_GB2312"/>
          <w:sz w:val="28"/>
          <w:szCs w:val="28"/>
          <w:highlight w:val="none"/>
        </w:rPr>
      </w:pPr>
    </w:p>
    <w:p>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ascii="仿宋_GB2312" w:eastAsia="仿宋_GB2312"/>
          <w:sz w:val="28"/>
          <w:szCs w:val="28"/>
          <w:highlight w:val="none"/>
        </w:rPr>
      </w:pPr>
    </w:p>
    <w:p>
      <w:pPr>
        <w:pStyle w:val="21"/>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深圳市龙岗区第七人民医院</w:t>
      </w:r>
    </w:p>
    <w:p>
      <w:pPr>
        <w:pStyle w:val="21"/>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2025年10月20日</w:t>
      </w:r>
    </w:p>
    <w:p/>
    <w:p>
      <w:pPr>
        <w:pStyle w:val="13"/>
      </w:pPr>
    </w:p>
    <w:p>
      <w:pPr>
        <w:pStyle w:val="13"/>
      </w:pPr>
    </w:p>
    <w:p>
      <w:pPr>
        <w:pStyle w:val="13"/>
      </w:pPr>
    </w:p>
    <w:p>
      <w:pPr>
        <w:pStyle w:val="13"/>
      </w:pPr>
    </w:p>
    <w:p>
      <w:pPr>
        <w:pStyle w:val="13"/>
      </w:pPr>
    </w:p>
    <w:p>
      <w:pPr>
        <w:pStyle w:val="13"/>
      </w:pPr>
    </w:p>
    <w:p>
      <w:pPr>
        <w:numPr>
          <w:ilvl w:val="0"/>
          <w:numId w:val="1"/>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widowControl/>
        <w:spacing w:line="500" w:lineRule="exact"/>
        <w:ind w:firstLine="560" w:firstLineChars="200"/>
        <w:jc w:val="left"/>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b/>
          <w:bCs/>
          <w:kern w:val="0"/>
          <w:sz w:val="28"/>
          <w:szCs w:val="28"/>
          <w:lang w:val="en-US" w:eastAsia="zh-CN" w:bidi="ar-SA"/>
        </w:rPr>
        <w:t>一、项目概况</w:t>
      </w:r>
      <w:r>
        <w:rPr>
          <w:rFonts w:hint="eastAsia" w:ascii="仿宋_GB2312" w:hAnsi="仿宋_GB2312" w:eastAsia="仿宋_GB2312" w:cs="仿宋_GB2312"/>
          <w:b/>
          <w:bCs/>
          <w:sz w:val="28"/>
          <w:szCs w:val="28"/>
        </w:rPr>
        <w:t>：</w:t>
      </w:r>
      <w:r>
        <w:rPr>
          <w:rFonts w:hint="eastAsia" w:ascii="仿宋" w:hAnsi="仿宋" w:eastAsia="仿宋" w:cs="仿宋"/>
          <w:b w:val="0"/>
          <w:bCs w:val="0"/>
          <w:kern w:val="0"/>
          <w:sz w:val="28"/>
          <w:szCs w:val="28"/>
          <w:lang w:val="en-US" w:eastAsia="zh-CN" w:bidi="ar-SA"/>
        </w:rPr>
        <w:t>根据平安医院建设要求，医院要完善院内调解、人民调解、司法调解、医疗风险负担机制有机结合的“三调解一保险”制度体系建设，完善医患纠纷第三方调解机制，快速有效地处理医疗争议，化解医患矛盾，拟采购医疗纠纷调解服务。</w:t>
      </w:r>
    </w:p>
    <w:p>
      <w:pPr>
        <w:pStyle w:val="2"/>
        <w:keepNext w:val="0"/>
        <w:keepLines w:val="0"/>
        <w:pageBreakBefore w:val="0"/>
        <w:kinsoku/>
        <w:wordWrap/>
        <w:overflowPunct/>
        <w:topLinePunct w:val="0"/>
        <w:bidi w:val="0"/>
        <w:adjustRightInd/>
        <w:snapToGrid/>
        <w:spacing w:line="40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二、预算价格：</w:t>
      </w:r>
      <w:r>
        <w:rPr>
          <w:rFonts w:hint="eastAsia" w:ascii="仿宋" w:hAnsi="仿宋" w:eastAsia="仿宋" w:cs="仿宋"/>
          <w:b w:val="0"/>
          <w:bCs w:val="0"/>
          <w:sz w:val="28"/>
          <w:szCs w:val="28"/>
        </w:rPr>
        <w:t>预算金额为</w:t>
      </w:r>
      <w:r>
        <w:rPr>
          <w:rFonts w:hint="eastAsia" w:ascii="仿宋" w:hAnsi="仿宋" w:eastAsia="仿宋" w:cs="仿宋"/>
          <w:b w:val="0"/>
          <w:bCs w:val="0"/>
          <w:sz w:val="28"/>
          <w:szCs w:val="28"/>
          <w:lang w:val="en-US" w:eastAsia="zh-CN"/>
        </w:rPr>
        <w:t>15</w:t>
      </w:r>
      <w:r>
        <w:rPr>
          <w:rFonts w:hint="eastAsia" w:ascii="仿宋" w:hAnsi="仿宋" w:eastAsia="仿宋" w:cs="仿宋"/>
          <w:b w:val="0"/>
          <w:bCs w:val="0"/>
          <w:sz w:val="28"/>
          <w:szCs w:val="28"/>
        </w:rPr>
        <w:t>万元，此预算金额为最高</w:t>
      </w:r>
      <w:r>
        <w:rPr>
          <w:rFonts w:hint="eastAsia" w:ascii="仿宋" w:hAnsi="仿宋" w:eastAsia="仿宋" w:cs="仿宋"/>
          <w:b w:val="0"/>
          <w:bCs w:val="0"/>
          <w:sz w:val="28"/>
          <w:szCs w:val="28"/>
          <w:lang w:val="en-US" w:eastAsia="zh-CN"/>
        </w:rPr>
        <w:t>报价</w:t>
      </w:r>
      <w:r>
        <w:rPr>
          <w:rFonts w:hint="eastAsia" w:ascii="仿宋" w:hAnsi="仿宋" w:eastAsia="仿宋" w:cs="仿宋"/>
          <w:b w:val="0"/>
          <w:bCs w:val="0"/>
          <w:sz w:val="28"/>
          <w:szCs w:val="28"/>
        </w:rPr>
        <w:t>上限</w:t>
      </w:r>
      <w:r>
        <w:rPr>
          <w:rFonts w:hint="eastAsia" w:ascii="仿宋" w:hAnsi="仿宋" w:eastAsia="仿宋" w:cs="仿宋"/>
          <w:b w:val="0"/>
          <w:bCs w:val="0"/>
          <w:sz w:val="28"/>
          <w:szCs w:val="36"/>
        </w:rPr>
        <w:t>。</w:t>
      </w:r>
      <w:r>
        <w:rPr>
          <w:rFonts w:hint="eastAsia" w:ascii="仿宋" w:hAnsi="仿宋" w:eastAsia="仿宋" w:cs="仿宋"/>
          <w:b w:val="0"/>
          <w:bCs w:val="0"/>
          <w:sz w:val="28"/>
          <w:szCs w:val="28"/>
        </w:rPr>
        <w:t>（报价高于标的，本次投标视为无效投标）</w:t>
      </w:r>
    </w:p>
    <w:p>
      <w:pPr>
        <w:pStyle w:val="20"/>
        <w:keepNext w:val="0"/>
        <w:keepLines w:val="0"/>
        <w:pageBreakBefore w:val="0"/>
        <w:kinsoku/>
        <w:wordWrap/>
        <w:overflowPunct/>
        <w:topLinePunct w:val="0"/>
        <w:bidi w:val="0"/>
        <w:adjustRightInd/>
        <w:snapToGrid/>
        <w:spacing w:line="40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三、采购活动时间要求</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w:t>
      </w:r>
    </w:p>
    <w:p>
      <w:pPr>
        <w:pStyle w:val="20"/>
        <w:keepNext w:val="0"/>
        <w:keepLines w:val="0"/>
        <w:pageBreakBefore w:val="0"/>
        <w:kinsoku/>
        <w:wordWrap/>
        <w:overflowPunct/>
        <w:topLinePunct w:val="0"/>
        <w:bidi w:val="0"/>
        <w:adjustRightInd/>
        <w:snapToGrid/>
        <w:spacing w:line="4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四、采购组织形式</w:t>
      </w:r>
      <w:r>
        <w:rPr>
          <w:rFonts w:hint="eastAsia" w:ascii="仿宋_GB2312" w:hAnsi="仿宋_GB2312" w:eastAsia="仿宋_GB2312" w:cs="仿宋_GB2312"/>
          <w:b/>
          <w:bCs/>
          <w:color w:val="auto"/>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政府集中采购□、院内集中采购☑、院内委托代理采购□、集团联合采购□、其他□。</w:t>
      </w:r>
    </w:p>
    <w:p>
      <w:pPr>
        <w:keepNext w:val="0"/>
        <w:keepLines w:val="0"/>
        <w:pageBreakBefore w:val="0"/>
        <w:kinsoku/>
        <w:wordWrap/>
        <w:overflowPunct/>
        <w:topLinePunct w:val="0"/>
        <w:bidi w:val="0"/>
        <w:adjustRightInd/>
        <w:snapToGrid/>
        <w:spacing w:line="400" w:lineRule="exact"/>
        <w:textAlignment w:val="auto"/>
      </w:pPr>
      <w:r>
        <w:rPr>
          <w:rFonts w:hint="eastAsia" w:ascii="仿宋_GB2312" w:hAnsi="仿宋_GB2312" w:eastAsia="仿宋_GB2312" w:cs="仿宋_GB2312"/>
          <w:b/>
          <w:bCs/>
          <w:sz w:val="28"/>
          <w:szCs w:val="28"/>
        </w:rPr>
        <w:t xml:space="preserve">    五、采购方</w:t>
      </w:r>
      <w:r>
        <w:rPr>
          <w:rFonts w:hint="eastAsia" w:ascii="仿宋_GB2312" w:hAnsi="仿宋_GB2312" w:eastAsia="仿宋_GB2312" w:cs="仿宋_GB2312"/>
          <w:b/>
          <w:bCs/>
          <w:color w:val="auto"/>
          <w:sz w:val="28"/>
          <w:szCs w:val="28"/>
        </w:rPr>
        <w:t>式（勾选）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院内招标☑、院内竞价□、院内邀标□、院内询价□、竞争性磋商□、院内直接议价□、其他□。</w:t>
      </w:r>
    </w:p>
    <w:p>
      <w:pPr>
        <w:keepNext w:val="0"/>
        <w:keepLines w:val="0"/>
        <w:pageBreakBefore w:val="0"/>
        <w:widowControl/>
        <w:kinsoku/>
        <w:wordWrap/>
        <w:overflowPunct/>
        <w:topLinePunct w:val="0"/>
        <w:bidi w:val="0"/>
        <w:adjustRightInd/>
        <w:snapToGrid/>
        <w:spacing w:line="400" w:lineRule="exact"/>
        <w:ind w:firstLine="562" w:firstLineChars="200"/>
        <w:jc w:val="left"/>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六、投标人资格要求</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（二）本项目的特定资格要求（须按本项目投标文件格式要求提供《投标及履约承诺函》加盖投标人公章）：</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1.参与本项目采购活动前三年内，在经营活动中没有重大违法记录；</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2.参与本项目采购活动时不存在被有关部门禁止参与政府采购活动且在有效期内的情况；</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3.除单一来源采购项目外，为采购项目提供整体设计、规范编制或者项目管理、监理、检测等服务的供应商，不得再参加该采购项目的其他采购活动；</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4.参与本项目采购活动不存在与其他采购参加人串通投标，隐瞒真实情况，提供虚假资料等违法违规情形；</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7.法律、行政法规和国家有关规定对供应商从事特定经营活动有资质、资格规定的，供应商应当具备的相应条件；</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8.本项目不接受联合体投标，不允许非法分包或转包。</w:t>
      </w:r>
    </w:p>
    <w:p>
      <w:pPr>
        <w:pStyle w:val="20"/>
        <w:keepNext w:val="0"/>
        <w:keepLines w:val="0"/>
        <w:pageBreakBefore w:val="0"/>
        <w:numPr>
          <w:ilvl w:val="0"/>
          <w:numId w:val="2"/>
        </w:numPr>
        <w:kinsoku/>
        <w:wordWrap/>
        <w:overflowPunct/>
        <w:topLinePunct w:val="0"/>
        <w:bidi w:val="0"/>
        <w:adjustRightInd/>
        <w:snapToGrid/>
        <w:spacing w:line="4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服务内容及要求</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（一）服务内容</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1.医疗纠纷的院内处理工作；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2.医疗纠纷的院外处理工作；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3.负责缠访、上访案件的协调处理工作；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4.医疗纠纷的鉴定工作；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5.医疗纠纷的分类、汇总、分析及汇报服务；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6.医闹的防范、协调、处理服务；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7.医疗纠纷的档案管理服务；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8.保险理赔服务；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9.防范督导、相关培训服务；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10.负责协助医务科处理日常事务；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11.法律服务；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12.其他需协助的服务。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（二）工作人员要求</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配置1名项目负责人对接医院医疗纠纷调解服务事宜，项目负责人具有在医疗纠纷调解服务项目中担任项目负责人的经验，具有本科或以上法学专业学历；配置1名工作人员常驻医院，五天八小时工作制；配置1-3名机动工作人员，根据工作需要随时接受调派，前往医院协助处理重大医疗纠纷或突发事件。</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岗位不限性别，身体健康，工作人员具备本科或以上法学专业学历，具有1年或以上医疗纠纷调解服务工作经验，符合各岗位职责要求，能熟练地运用电脑及相关的电子设备，有一定的沟通能力、文字书写能力等。</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3.品行修养良好，任劳任怨，无不良操守记录。</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4.正常工作时间，接到医院的通知后20分钟内做出明确的响应和安排；非工作时间有紧急情况时，紧急问题60分钟内给予回应，需提供现场服务的，服务团队在2小时内到达服务现场。</w:t>
      </w:r>
    </w:p>
    <w:p>
      <w:pPr>
        <w:pStyle w:val="20"/>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、验收工作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2"/>
          <w:sz w:val="28"/>
          <w:szCs w:val="28"/>
          <w:lang w:val="en-US" w:eastAsia="zh-CN" w:bidi="ar-SA"/>
        </w:rPr>
        <w:t>采购人依照本项目招标文件需求内容、签署的采购合同及中标人在投标中所作的一切投标响应进行验收，经履约评价为优或良好视为验收合格。</w:t>
      </w:r>
    </w:p>
    <w:p>
      <w:pPr>
        <w:pStyle w:val="7"/>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ind w:left="0" w:leftChars="0" w:firstLine="562" w:firstLineChars="200"/>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color w:val="auto"/>
          <w:sz w:val="28"/>
          <w:szCs w:val="28"/>
          <w:highlight w:val="none"/>
          <w:lang w:val="en-US" w:eastAsia="zh-CN"/>
        </w:rPr>
        <w:t>九、服务期限：</w:t>
      </w:r>
      <w:r>
        <w:rPr>
          <w:rFonts w:hint="eastAsia" w:ascii="仿宋_GB2312" w:hAnsi="仿宋_GB2312" w:eastAsia="仿宋_GB2312" w:cs="仿宋_GB2312"/>
          <w:kern w:val="2"/>
          <w:sz w:val="28"/>
          <w:szCs w:val="28"/>
          <w:lang w:val="en-US" w:eastAsia="zh-CN" w:bidi="ar-SA"/>
        </w:rPr>
        <w:t>自合同签订之日起一年。本项目为长期服务项目，采购单位将根据第一年的项目执行情况授予第二年、第三年的服务合同，合同履行期限最长不超过三十六个月。</w:t>
      </w:r>
    </w:p>
    <w:p>
      <w:pPr>
        <w:pStyle w:val="7"/>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ind w:left="0" w:leftChars="0" w:firstLine="560" w:firstLineChars="200"/>
        <w:textAlignment w:val="baseline"/>
        <w:rPr>
          <w:rFonts w:hint="default" w:ascii="黑体" w:hAnsi="黑体" w:eastAsia="黑体" w:cs="黑体"/>
          <w:b w:val="0"/>
          <w:bCs w:val="0"/>
          <w:sz w:val="32"/>
          <w:szCs w:val="32"/>
          <w:lang w:val="en-US" w:eastAsia="zh-CN"/>
        </w:rPr>
      </w:pPr>
      <w:r>
        <w:rPr>
          <w:rFonts w:hint="eastAsia" w:ascii="仿宋_GB2312" w:hAnsi="仿宋_GB2312" w:eastAsia="仿宋_GB2312" w:cs="仿宋_GB2312"/>
          <w:kern w:val="2"/>
          <w:sz w:val="28"/>
          <w:szCs w:val="28"/>
          <w:lang w:val="en-US" w:eastAsia="zh-CN" w:bidi="ar-SA"/>
        </w:rPr>
        <w:t>次年费用</w:t>
      </w:r>
      <w:r>
        <w:rPr>
          <w:rFonts w:hint="default" w:ascii="仿宋_GB2312" w:hAnsi="仿宋_GB2312" w:eastAsia="仿宋_GB2312" w:cs="仿宋_GB2312"/>
          <w:kern w:val="2"/>
          <w:sz w:val="28"/>
          <w:szCs w:val="28"/>
          <w:lang w:val="en-US" w:eastAsia="zh-CN" w:bidi="ar-SA"/>
        </w:rPr>
        <w:t>如</w:t>
      </w:r>
      <w:r>
        <w:rPr>
          <w:rFonts w:hint="eastAsia" w:ascii="仿宋_GB2312" w:hAnsi="仿宋_GB2312" w:eastAsia="仿宋_GB2312" w:cs="仿宋_GB2312"/>
          <w:kern w:val="2"/>
          <w:sz w:val="28"/>
          <w:szCs w:val="28"/>
          <w:lang w:val="en-US" w:eastAsia="zh-CN" w:bidi="ar-SA"/>
        </w:rPr>
        <w:t>有调整</w:t>
      </w:r>
      <w:r>
        <w:rPr>
          <w:rFonts w:hint="default" w:ascii="仿宋_GB2312" w:hAnsi="仿宋_GB2312" w:eastAsia="仿宋_GB2312" w:cs="仿宋_GB2312"/>
          <w:kern w:val="2"/>
          <w:sz w:val="28"/>
          <w:szCs w:val="28"/>
          <w:lang w:val="en-US" w:eastAsia="zh-CN" w:bidi="ar-SA"/>
        </w:rPr>
        <w:t>，中标人可与采购人协商，经采购人同意，</w:t>
      </w:r>
      <w:r>
        <w:rPr>
          <w:rFonts w:hint="eastAsia" w:ascii="仿宋_GB2312" w:hAnsi="仿宋_GB2312" w:eastAsia="仿宋_GB2312" w:cs="仿宋_GB2312"/>
          <w:kern w:val="2"/>
          <w:sz w:val="28"/>
          <w:szCs w:val="28"/>
          <w:lang w:val="en-US" w:eastAsia="zh-CN" w:bidi="ar-SA"/>
        </w:rPr>
        <w:t>费用</w:t>
      </w:r>
      <w:r>
        <w:rPr>
          <w:rFonts w:hint="default" w:ascii="仿宋_GB2312" w:hAnsi="仿宋_GB2312" w:eastAsia="仿宋_GB2312" w:cs="仿宋_GB2312"/>
          <w:kern w:val="2"/>
          <w:sz w:val="28"/>
          <w:szCs w:val="28"/>
          <w:lang w:val="en-US" w:eastAsia="zh-CN" w:bidi="ar-SA"/>
        </w:rPr>
        <w:t>可</w:t>
      </w:r>
      <w:r>
        <w:rPr>
          <w:rFonts w:hint="eastAsia" w:ascii="仿宋_GB2312" w:hAnsi="仿宋_GB2312" w:eastAsia="仿宋_GB2312" w:cs="仿宋_GB2312"/>
          <w:kern w:val="2"/>
          <w:sz w:val="28"/>
          <w:szCs w:val="28"/>
          <w:lang w:val="en-US" w:eastAsia="zh-CN" w:bidi="ar-SA"/>
        </w:rPr>
        <w:t>适当</w:t>
      </w:r>
      <w:r>
        <w:rPr>
          <w:rFonts w:hint="default" w:ascii="仿宋_GB2312" w:hAnsi="仿宋_GB2312" w:eastAsia="仿宋_GB2312" w:cs="仿宋_GB2312"/>
          <w:kern w:val="2"/>
          <w:sz w:val="28"/>
          <w:szCs w:val="28"/>
          <w:lang w:val="en-US" w:eastAsia="zh-CN" w:bidi="ar-SA"/>
        </w:rPr>
        <w:t>调</w:t>
      </w:r>
      <w:r>
        <w:rPr>
          <w:rFonts w:hint="eastAsia" w:ascii="仿宋_GB2312" w:hAnsi="仿宋_GB2312" w:eastAsia="仿宋_GB2312" w:cs="仿宋_GB2312"/>
          <w:kern w:val="2"/>
          <w:sz w:val="28"/>
          <w:szCs w:val="28"/>
          <w:lang w:val="en-US" w:eastAsia="zh-CN" w:bidi="ar-SA"/>
        </w:rPr>
        <w:t>整</w:t>
      </w:r>
      <w:r>
        <w:rPr>
          <w:rFonts w:hint="default" w:ascii="仿宋_GB2312" w:hAnsi="仿宋_GB2312" w:eastAsia="仿宋_GB2312" w:cs="仿宋_GB2312"/>
          <w:kern w:val="2"/>
          <w:sz w:val="28"/>
          <w:szCs w:val="28"/>
          <w:lang w:val="en-US" w:eastAsia="zh-CN" w:bidi="ar-SA"/>
        </w:rPr>
        <w:t>，但上调金额不得超过</w:t>
      </w:r>
      <w:r>
        <w:rPr>
          <w:rFonts w:hint="eastAsia" w:ascii="仿宋_GB2312" w:hAnsi="仿宋_GB2312" w:eastAsia="仿宋_GB2312" w:cs="仿宋_GB2312"/>
          <w:kern w:val="2"/>
          <w:sz w:val="28"/>
          <w:szCs w:val="28"/>
          <w:lang w:val="en-US" w:eastAsia="zh-CN" w:bidi="ar-SA"/>
        </w:rPr>
        <w:t>原合同金额</w:t>
      </w:r>
      <w:r>
        <w:rPr>
          <w:rFonts w:hint="default" w:ascii="仿宋_GB2312" w:hAnsi="仿宋_GB2312" w:eastAsia="仿宋_GB2312" w:cs="仿宋_GB2312"/>
          <w:kern w:val="2"/>
          <w:sz w:val="28"/>
          <w:szCs w:val="28"/>
          <w:lang w:val="en-US" w:eastAsia="zh-CN" w:bidi="ar-SA"/>
        </w:rPr>
        <w:t>的10%，否则采购人需重新对外进行公开招标</w:t>
      </w:r>
      <w:r>
        <w:rPr>
          <w:rFonts w:hint="eastAsia" w:ascii="仿宋_GB2312" w:hAnsi="仿宋_GB2312" w:eastAsia="仿宋_GB2312" w:cs="仿宋_GB2312"/>
          <w:kern w:val="2"/>
          <w:sz w:val="28"/>
          <w:szCs w:val="28"/>
          <w:lang w:val="en-US" w:eastAsia="zh-CN" w:bidi="ar-SA"/>
        </w:rPr>
        <w:t>。</w:t>
      </w:r>
    </w:p>
    <w:p>
      <w:pPr>
        <w:pStyle w:val="20"/>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十、报价要求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（一）人民币报价：投标总价（人民币）须是完成该项目的一切费用总和，包括技术培训费、售后服务费、国家规定的各项税费等全部费用；</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（二）付款方式：双方签订合同，中标方进驻医院后，院方15日内一次性全额付清。</w:t>
      </w:r>
    </w:p>
    <w:p>
      <w:pPr>
        <w:pStyle w:val="20"/>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、项目地点：</w:t>
      </w:r>
      <w:r>
        <w:rPr>
          <w:rFonts w:hint="eastAsia" w:ascii="仿宋_GB2312" w:hAnsi="仿宋_GB2312" w:eastAsia="仿宋_GB2312" w:cs="仿宋_GB2312"/>
          <w:sz w:val="28"/>
          <w:szCs w:val="28"/>
        </w:rPr>
        <w:t>深圳市</w:t>
      </w:r>
      <w:r>
        <w:rPr>
          <w:rFonts w:hint="eastAsia" w:ascii="仿宋_GB2312" w:hAnsi="仿宋_GB2312" w:eastAsia="仿宋_GB2312" w:cs="仿宋_GB2312"/>
          <w:kern w:val="2"/>
          <w:sz w:val="28"/>
          <w:szCs w:val="28"/>
        </w:rPr>
        <w:t>龙岗区</w:t>
      </w:r>
      <w:r>
        <w:rPr>
          <w:rFonts w:hint="eastAsia" w:ascii="仿宋_GB2312" w:hAnsi="仿宋_GB2312" w:eastAsia="仿宋_GB2312" w:cs="仿宋_GB2312"/>
          <w:sz w:val="28"/>
          <w:szCs w:val="28"/>
        </w:rPr>
        <w:t>第七人民医院指定地点。</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val="en-US" w:eastAsia="zh-CN"/>
        </w:rPr>
        <w:t>二</w:t>
      </w:r>
      <w:r>
        <w:rPr>
          <w:rFonts w:hint="eastAsia" w:ascii="仿宋_GB2312" w:hAnsi="仿宋_GB2312" w:eastAsia="仿宋_GB2312" w:cs="仿宋_GB2312"/>
          <w:b/>
          <w:bCs/>
          <w:kern w:val="0"/>
          <w:sz w:val="28"/>
          <w:szCs w:val="28"/>
        </w:rPr>
        <w:t>、评标标准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评标方法：综合评分法。按照招标文件中规定的各项因素进行量化打分，以评标总得分的平均分最高的投标人为中标候选供应商；采购人根据评标委员会评审结果确定中标候选供应商为中标人。</w:t>
      </w:r>
    </w:p>
    <w:tbl>
      <w:tblPr>
        <w:tblStyle w:val="15"/>
        <w:tblpPr w:leftFromText="180" w:rightFromText="180" w:vertAnchor="text" w:horzAnchor="page" w:tblpX="1893" w:tblpY="280"/>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82"/>
        <w:gridCol w:w="795"/>
        <w:gridCol w:w="471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b/>
                <w:kern w:val="0"/>
                <w:szCs w:val="21"/>
              </w:rPr>
            </w:pPr>
            <w:r>
              <w:rPr>
                <w:b/>
                <w:kern w:val="0"/>
                <w:szCs w:val="21"/>
              </w:rPr>
              <w:t> 序号</w:t>
            </w:r>
          </w:p>
        </w:tc>
        <w:tc>
          <w:tcPr>
            <w:tcW w:w="709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rPr>
                <w:b/>
                <w:kern w:val="0"/>
                <w:szCs w:val="21"/>
              </w:rPr>
            </w:pPr>
            <w:r>
              <w:rPr>
                <w:rFonts w:hint="eastAsia"/>
                <w:b/>
                <w:kern w:val="0"/>
                <w:sz w:val="24"/>
              </w:rPr>
              <w:t xml:space="preserve">                      </w:t>
            </w:r>
            <w:r>
              <w:rPr>
                <w:b/>
                <w:kern w:val="0"/>
                <w:sz w:val="24"/>
              </w:rPr>
              <w:t>评分项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eastAsia="宋体"/>
                <w:b/>
                <w:kern w:val="0"/>
                <w:szCs w:val="21"/>
                <w:lang w:eastAsia="zh-CN"/>
              </w:rPr>
            </w:pPr>
            <w:r>
              <w:rPr>
                <w:rFonts w:hint="eastAsia"/>
                <w:b/>
                <w:kern w:val="0"/>
                <w:szCs w:val="21"/>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8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b/>
                <w:kern w:val="0"/>
                <w:szCs w:val="21"/>
              </w:rPr>
            </w:pPr>
            <w:r>
              <w:rPr>
                <w:b/>
                <w:kern w:val="0"/>
                <w:sz w:val="24"/>
              </w:rPr>
              <w:t>价</w:t>
            </w:r>
            <w:r>
              <w:rPr>
                <w:rFonts w:hint="eastAsia"/>
                <w:b/>
                <w:kern w:val="0"/>
                <w:sz w:val="24"/>
              </w:rPr>
              <w:t xml:space="preserve">   </w:t>
            </w:r>
            <w:r>
              <w:rPr>
                <w:b/>
                <w:kern w:val="0"/>
                <w:sz w:val="24"/>
              </w:rPr>
              <w:t>格</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b/>
                <w:kern w:val="0"/>
                <w:szCs w:val="21"/>
              </w:rPr>
            </w:pPr>
            <w:r>
              <w:rPr>
                <w:rFonts w:hint="eastAsia"/>
                <w:b/>
                <w:kern w:val="0"/>
                <w:szCs w:val="21"/>
                <w:lang w:val="en-US" w:eastAsia="zh-CN"/>
              </w:rPr>
              <w:t>1</w:t>
            </w:r>
            <w:r>
              <w:rPr>
                <w:rFonts w:hint="eastAsia"/>
                <w:b/>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kern w:val="0"/>
                <w:szCs w:val="21"/>
              </w:rPr>
            </w:pPr>
            <w:r>
              <w:rPr>
                <w:rFonts w:hint="eastAsia"/>
                <w:kern w:val="0"/>
                <w:szCs w:val="21"/>
              </w:rPr>
              <w:t>1</w:t>
            </w:r>
          </w:p>
        </w:tc>
        <w:tc>
          <w:tcPr>
            <w:tcW w:w="709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eastAsia="宋体"/>
                <w:szCs w:val="21"/>
                <w:lang w:eastAsia="zh-CN"/>
              </w:rPr>
            </w:pPr>
            <w:r>
              <w:rPr>
                <w:szCs w:val="21"/>
              </w:rPr>
              <w:t>价格分统一采用低价优先法计算</w:t>
            </w:r>
            <w:r>
              <w:rPr>
                <w:rFonts w:hint="eastAsia"/>
                <w:szCs w:val="21"/>
                <w:lang w:eastAsia="zh-CN"/>
              </w:rPr>
              <w:t>，</w:t>
            </w:r>
            <w:r>
              <w:rPr>
                <w:szCs w:val="21"/>
              </w:rPr>
              <w:t>即满足招标文件要求且投标价格最低的投标报价为评标基准价</w:t>
            </w:r>
            <w:r>
              <w:rPr>
                <w:rFonts w:hint="eastAsia"/>
                <w:szCs w:val="21"/>
                <w:lang w:eastAsia="zh-CN"/>
              </w:rPr>
              <w:t>，</w:t>
            </w:r>
            <w:r>
              <w:rPr>
                <w:szCs w:val="21"/>
              </w:rPr>
              <w:t>其价格分为满分。其他投标人的价格分统一按照下列公式计算：投标报价得分=</w:t>
            </w:r>
            <w:r>
              <w:rPr>
                <w:rFonts w:hint="eastAsia"/>
                <w:szCs w:val="21"/>
                <w:lang w:eastAsia="zh-CN"/>
              </w:rPr>
              <w:t>（</w:t>
            </w:r>
            <w:r>
              <w:rPr>
                <w:szCs w:val="21"/>
              </w:rPr>
              <w:t>评标基准价/投标报价</w:t>
            </w:r>
            <w:r>
              <w:rPr>
                <w:rFonts w:hint="eastAsia"/>
                <w:szCs w:val="21"/>
                <w:lang w:eastAsia="zh-CN"/>
              </w:rPr>
              <w:t>）</w:t>
            </w:r>
            <w:r>
              <w:rPr>
                <w:szCs w:val="21"/>
              </w:rPr>
              <w:t>×</w:t>
            </w:r>
            <w:r>
              <w:rPr>
                <w:rFonts w:hint="eastAsia"/>
                <w:szCs w:val="21"/>
                <w:lang w:val="en-US" w:eastAsia="zh-CN"/>
              </w:rPr>
              <w:t>分值</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评分方式按公式计算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8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b/>
                <w:kern w:val="0"/>
                <w:szCs w:val="21"/>
              </w:rPr>
            </w:pPr>
            <w:r>
              <w:rPr>
                <w:rFonts w:hint="eastAsia"/>
                <w:b/>
                <w:kern w:val="0"/>
                <w:sz w:val="24"/>
                <w:lang w:val="en-US" w:eastAsia="zh-CN"/>
              </w:rPr>
              <w:t>商务</w:t>
            </w:r>
            <w:r>
              <w:rPr>
                <w:rFonts w:hint="eastAsia"/>
                <w:b/>
                <w:kern w:val="0"/>
                <w:sz w:val="24"/>
              </w:rPr>
              <w:t>部分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default" w:eastAsia="宋体"/>
                <w:b/>
                <w:kern w:val="0"/>
                <w:szCs w:val="21"/>
                <w:lang w:val="en-US" w:eastAsia="zh-CN"/>
              </w:rPr>
            </w:pPr>
            <w:r>
              <w:rPr>
                <w:rFonts w:hint="eastAsia" w:eastAsia="宋体"/>
                <w:b/>
                <w:kern w:val="0"/>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 w:lineRule="atLeast"/>
              <w:jc w:val="center"/>
              <w:rPr>
                <w:rFonts w:hint="eastAsia" w:ascii="宋体" w:hAnsi="宋体" w:cs="宋体"/>
                <w:bCs/>
                <w:kern w:val="0"/>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 w:lineRule="atLeast"/>
              <w:jc w:val="center"/>
              <w:rPr>
                <w:rFonts w:hint="eastAsia"/>
                <w:b/>
                <w:kern w:val="0"/>
                <w:szCs w:val="21"/>
              </w:rPr>
            </w:pPr>
            <w:r>
              <w:rPr>
                <w:rFonts w:hint="eastAsia"/>
                <w:b/>
                <w:kern w:val="0"/>
                <w:szCs w:val="21"/>
              </w:rPr>
              <w:t>评分因素</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 w:lineRule="atLeast"/>
              <w:jc w:val="center"/>
              <w:rPr>
                <w:rFonts w:hint="eastAsia" w:eastAsia="宋体"/>
                <w:lang w:eastAsia="zh-CN"/>
              </w:rPr>
            </w:pPr>
            <w:r>
              <w:rPr>
                <w:rFonts w:hint="eastAsia"/>
                <w:b/>
                <w:kern w:val="0"/>
                <w:szCs w:val="21"/>
                <w:lang w:val="en-US" w:eastAsia="zh-CN"/>
              </w:rPr>
              <w:t>分值</w:t>
            </w:r>
          </w:p>
        </w:tc>
        <w:tc>
          <w:tcPr>
            <w:tcW w:w="471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 w:lineRule="atLeast"/>
              <w:jc w:val="center"/>
              <w:rPr>
                <w:b/>
                <w:kern w:val="0"/>
                <w:szCs w:val="21"/>
              </w:rPr>
            </w:pPr>
            <w:r>
              <w:rPr>
                <w:b/>
                <w:kern w:val="0"/>
                <w:szCs w:val="21"/>
              </w:rPr>
              <w:t>评分</w:t>
            </w:r>
            <w:r>
              <w:rPr>
                <w:rFonts w:hint="eastAsia"/>
                <w:b/>
                <w:kern w:val="0"/>
                <w:szCs w:val="21"/>
              </w:rPr>
              <w:t>准则</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 w:lineRule="atLeast"/>
              <w:jc w:val="center"/>
              <w:rPr>
                <w:b/>
                <w:kern w:val="0"/>
                <w:szCs w:val="21"/>
              </w:rPr>
            </w:pPr>
            <w:r>
              <w:rPr>
                <w:b/>
                <w:kern w:val="0"/>
                <w:szCs w:val="21"/>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1</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kern w:val="2"/>
                <w:sz w:val="21"/>
                <w:szCs w:val="24"/>
                <w:lang w:val="en-US" w:eastAsia="zh-CN" w:bidi="ar-SA"/>
              </w:rPr>
            </w:pPr>
            <w:r>
              <w:rPr>
                <w:rFonts w:hint="eastAsia"/>
              </w:rPr>
              <w:t>同</w:t>
            </w:r>
            <w:r>
              <w:rPr>
                <w:rFonts w:hint="eastAsia" w:eastAsia="宋体"/>
              </w:rPr>
              <w:t>类</w:t>
            </w:r>
            <w:r>
              <w:rPr>
                <w:rFonts w:hint="eastAsia" w:eastAsia="宋体"/>
                <w:lang w:val="en-US" w:eastAsia="zh-CN"/>
              </w:rPr>
              <w:t>项目</w:t>
            </w:r>
            <w:r>
              <w:rPr>
                <w:rFonts w:hint="eastAsia" w:eastAsia="宋体"/>
              </w:rPr>
              <w:t>业绩</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240" w:lineRule="atLeast"/>
              <w:jc w:val="center"/>
              <w:rPr>
                <w:rFonts w:hint="default" w:eastAsia="宋体"/>
                <w:kern w:val="2"/>
                <w:sz w:val="21"/>
                <w:szCs w:val="24"/>
                <w:highlight w:val="none"/>
                <w:lang w:val="en-US" w:eastAsia="zh-CN" w:bidi="ar-SA"/>
              </w:rPr>
            </w:pPr>
            <w:r>
              <w:rPr>
                <w:rFonts w:hint="eastAsia" w:ascii="宋体" w:hAnsi="宋体"/>
                <w:szCs w:val="21"/>
                <w:highlight w:val="none"/>
                <w:lang w:val="en-US" w:eastAsia="zh-CN"/>
              </w:rPr>
              <w:t>15</w:t>
            </w:r>
          </w:p>
        </w:tc>
        <w:tc>
          <w:tcPr>
            <w:tcW w:w="4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Cs w:val="21"/>
                <w:highlight w:val="none"/>
              </w:rPr>
            </w:pPr>
            <w:r>
              <w:rPr>
                <w:rFonts w:hint="eastAsia" w:ascii="宋体" w:eastAsia="宋体" w:cs="宋体"/>
                <w:color w:val="auto"/>
                <w:sz w:val="21"/>
                <w:szCs w:val="21"/>
                <w:highlight w:val="none"/>
              </w:rPr>
              <w:t>投标人</w:t>
            </w: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eastAsia="宋体" w:cs="宋体"/>
                <w:color w:val="auto"/>
                <w:szCs w:val="21"/>
                <w:highlight w:val="none"/>
              </w:rPr>
              <w:t>1日至本项目投标截止之日（以合同签订日期为准）具有</w:t>
            </w:r>
            <w:r>
              <w:rPr>
                <w:rFonts w:hint="eastAsia" w:ascii="宋体" w:hAnsi="宋体"/>
                <w:color w:val="auto"/>
                <w:szCs w:val="21"/>
                <w:highlight w:val="none"/>
                <w:lang w:val="en-US" w:eastAsia="zh-CN"/>
              </w:rPr>
              <w:t>医疗机构</w:t>
            </w:r>
            <w:r>
              <w:rPr>
                <w:rFonts w:hint="eastAsia" w:ascii="宋体" w:hAnsi="宋体"/>
                <w:color w:val="auto"/>
                <w:szCs w:val="21"/>
                <w:highlight w:val="none"/>
              </w:rPr>
              <w:t>医疗纠纷调解项目经验</w:t>
            </w:r>
            <w:r>
              <w:rPr>
                <w:rFonts w:hint="eastAsia" w:ascii="宋体" w:hAnsi="宋体"/>
                <w:color w:val="auto"/>
                <w:szCs w:val="21"/>
                <w:highlight w:val="none"/>
                <w:lang w:val="en-US" w:eastAsia="zh-CN"/>
              </w:rPr>
              <w:t>的</w:t>
            </w:r>
            <w:r>
              <w:rPr>
                <w:rFonts w:hint="eastAsia" w:ascii="宋体" w:hAnsi="宋体" w:cs="宋体"/>
                <w:color w:val="auto"/>
                <w:szCs w:val="21"/>
                <w:highlight w:val="none"/>
              </w:rPr>
              <w:t>，每项业绩得2分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满分</w:t>
            </w:r>
            <w:r>
              <w:rPr>
                <w:rFonts w:hint="eastAsia" w:ascii="宋体" w:hAnsi="宋体" w:eastAsia="宋体"/>
                <w:color w:val="auto"/>
                <w:szCs w:val="21"/>
                <w:highlight w:val="none"/>
                <w:lang w:val="en-US" w:eastAsia="zh-CN"/>
              </w:rPr>
              <w:t>15</w:t>
            </w:r>
            <w:r>
              <w:rPr>
                <w:rFonts w:hint="eastAsia" w:ascii="宋体" w:hAnsi="宋体" w:eastAsia="宋体"/>
                <w:color w:val="auto"/>
                <w:szCs w:val="21"/>
                <w:highlight w:val="none"/>
              </w:rPr>
              <w:t>分</w:t>
            </w:r>
            <w:r>
              <w:rPr>
                <w:rFonts w:hint="eastAsia" w:ascii="宋体" w:hAnsi="宋体" w:cs="宋体"/>
                <w:color w:val="auto"/>
                <w:szCs w:val="21"/>
                <w:highlight w:val="none"/>
              </w:rPr>
              <w:t>。</w:t>
            </w:r>
          </w:p>
          <w:p>
            <w:pPr>
              <w:jc w:val="left"/>
              <w:rPr>
                <w:rFonts w:hint="eastAsia" w:eastAsia="宋体"/>
                <w:color w:val="auto"/>
                <w:highlight w:val="none"/>
                <w:lang w:val="en-US" w:eastAsia="zh-CN"/>
              </w:rPr>
            </w:pPr>
            <w:r>
              <w:rPr>
                <w:rFonts w:hint="eastAsia" w:ascii="宋体" w:hAnsi="宋体" w:eastAsia="宋体"/>
                <w:color w:val="auto"/>
                <w:szCs w:val="21"/>
                <w:highlight w:val="none"/>
                <w:lang w:val="en-US" w:eastAsia="zh-CN"/>
              </w:rPr>
              <w:t>要求</w:t>
            </w:r>
            <w:r>
              <w:rPr>
                <w:rFonts w:hint="eastAsia" w:ascii="宋体" w:hAnsi="宋体" w:eastAsia="宋体"/>
                <w:color w:val="auto"/>
                <w:szCs w:val="21"/>
                <w:highlight w:val="none"/>
              </w:rPr>
              <w:t>提供合同</w:t>
            </w:r>
            <w:r>
              <w:rPr>
                <w:rFonts w:hint="eastAsia" w:ascii="宋体" w:hAnsi="宋体" w:eastAsia="宋体"/>
                <w:color w:val="auto"/>
                <w:szCs w:val="21"/>
                <w:highlight w:val="none"/>
                <w:lang w:val="en-US" w:eastAsia="zh-CN"/>
              </w:rPr>
              <w:t>关键页</w:t>
            </w:r>
            <w:r>
              <w:rPr>
                <w:rFonts w:hint="eastAsia" w:ascii="宋体" w:hAnsi="宋体" w:eastAsia="宋体"/>
                <w:color w:val="auto"/>
                <w:szCs w:val="21"/>
                <w:highlight w:val="none"/>
              </w:rPr>
              <w:t>（通过合同关键信息无法判断是否得分的，也可以提供能证明得分的</w:t>
            </w:r>
            <w:r>
              <w:rPr>
                <w:rFonts w:hint="eastAsia" w:ascii="宋体" w:hAnsi="宋体" w:eastAsia="宋体"/>
                <w:color w:val="auto"/>
                <w:szCs w:val="21"/>
                <w:highlight w:val="none"/>
                <w:lang w:eastAsia="zh-CN"/>
              </w:rPr>
              <w:t>其他证明</w:t>
            </w:r>
            <w:r>
              <w:rPr>
                <w:rFonts w:hint="eastAsia" w:ascii="宋体" w:hAnsi="宋体" w:eastAsia="宋体"/>
                <w:color w:val="auto"/>
                <w:szCs w:val="21"/>
                <w:highlight w:val="none"/>
              </w:rPr>
              <w:t>资料，如项目报告或合同甲方出具的证明文件等；以上材料提供复印件或扫描件，原件备查，加盖公章）</w:t>
            </w:r>
            <w:r>
              <w:rPr>
                <w:rFonts w:hint="eastAsia"/>
                <w:color w:val="auto"/>
                <w:highlight w:val="none"/>
                <w:lang w:val="en-US" w:eastAsia="zh-CN"/>
              </w:rPr>
              <w:t>等证明文件</w:t>
            </w:r>
            <w:r>
              <w:rPr>
                <w:rFonts w:hint="eastAsia" w:ascii="宋体" w:hAnsi="宋体" w:eastAsia="宋体"/>
                <w:color w:val="auto"/>
                <w:szCs w:val="21"/>
                <w:highlight w:val="none"/>
              </w:rPr>
              <w:t>，评分中出现无证明资料或专家无法凭所提供资料判断是否得分的情况，一律作不得分处理。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1" w:lineRule="atLeast"/>
              <w:jc w:val="center"/>
              <w:rPr>
                <w:color w:val="auto"/>
                <w:kern w:val="0"/>
                <w:sz w:val="21"/>
                <w:szCs w:val="21"/>
                <w:lang w:val="en-US" w:eastAsia="zh-CN" w:bidi="ar-SA"/>
              </w:rPr>
            </w:pPr>
            <w:r>
              <w:rPr>
                <w:color w:val="auto"/>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2</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kern w:val="2"/>
                <w:sz w:val="21"/>
                <w:szCs w:val="24"/>
                <w:lang w:val="en-US" w:eastAsia="zh-CN" w:bidi="ar-SA"/>
              </w:rPr>
            </w:pPr>
            <w:r>
              <w:rPr>
                <w:rFonts w:hint="eastAsia"/>
              </w:rPr>
              <w:t>履约评价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default" w:eastAsia="宋体"/>
                <w:kern w:val="2"/>
                <w:sz w:val="21"/>
                <w:szCs w:val="24"/>
                <w:highlight w:val="none"/>
                <w:lang w:val="en-US" w:eastAsia="zh-CN" w:bidi="ar-SA"/>
              </w:rPr>
            </w:pPr>
            <w:r>
              <w:rPr>
                <w:rFonts w:hint="eastAsia" w:ascii="宋体" w:hAnsi="宋体"/>
                <w:szCs w:val="21"/>
                <w:highlight w:val="none"/>
                <w:lang w:val="en-US" w:eastAsia="zh-CN"/>
              </w:rPr>
              <w:t>15</w:t>
            </w:r>
          </w:p>
        </w:tc>
        <w:tc>
          <w:tcPr>
            <w:tcW w:w="4718" w:type="dxa"/>
            <w:tcBorders>
              <w:top w:val="single" w:color="auto" w:sz="4" w:space="0"/>
              <w:left w:val="single" w:color="auto" w:sz="4" w:space="0"/>
              <w:bottom w:val="single" w:color="auto" w:sz="4" w:space="0"/>
              <w:right w:val="single" w:color="auto" w:sz="4" w:space="0"/>
            </w:tcBorders>
            <w:noWrap w:val="0"/>
            <w:vAlign w:val="top"/>
          </w:tcPr>
          <w:p>
            <w:pPr>
              <w:wordWrap w:val="0"/>
              <w:spacing w:line="240" w:lineRule="auto"/>
              <w:rPr>
                <w:rFonts w:hint="eastAsia" w:eastAsia="宋体"/>
                <w:bCs/>
                <w:kern w:val="0"/>
                <w:szCs w:val="21"/>
                <w:highlight w:val="none"/>
                <w:lang w:eastAsia="zh-CN"/>
              </w:rPr>
            </w:pPr>
            <w:r>
              <w:rPr>
                <w:rFonts w:hint="eastAsia"/>
                <w:bCs/>
                <w:kern w:val="0"/>
                <w:szCs w:val="21"/>
                <w:highlight w:val="none"/>
              </w:rPr>
              <w:t>提供</w:t>
            </w:r>
            <w:r>
              <w:rPr>
                <w:rFonts w:hint="eastAsia"/>
                <w:bCs/>
                <w:kern w:val="0"/>
                <w:szCs w:val="21"/>
                <w:highlight w:val="none"/>
                <w:lang w:val="en-US" w:eastAsia="zh-CN"/>
              </w:rPr>
              <w:t>上述同类项目业绩用户出具的</w:t>
            </w:r>
            <w:r>
              <w:rPr>
                <w:rFonts w:hint="eastAsia"/>
                <w:bCs/>
                <w:kern w:val="0"/>
                <w:szCs w:val="21"/>
                <w:highlight w:val="none"/>
              </w:rPr>
              <w:t>履约评价，</w:t>
            </w:r>
            <w:r>
              <w:rPr>
                <w:rFonts w:hint="eastAsia" w:ascii="宋体" w:hAnsi="宋体"/>
                <w:szCs w:val="21"/>
                <w:highlight w:val="none"/>
              </w:rPr>
              <w:t>评价为</w:t>
            </w:r>
            <w:r>
              <w:rPr>
                <w:rFonts w:hint="eastAsia" w:ascii="宋体" w:hAnsi="宋体"/>
                <w:szCs w:val="21"/>
                <w:highlight w:val="none"/>
                <w:lang w:val="en-US" w:eastAsia="zh-CN"/>
              </w:rPr>
              <w:t>优或同类评价中最高级的</w:t>
            </w:r>
            <w:r>
              <w:rPr>
                <w:rFonts w:hint="eastAsia"/>
                <w:bCs/>
                <w:kern w:val="0"/>
                <w:szCs w:val="21"/>
                <w:highlight w:val="none"/>
                <w:shd w:val="clear" w:color="auto" w:fill="auto"/>
              </w:rPr>
              <w:t>，每</w:t>
            </w:r>
            <w:r>
              <w:rPr>
                <w:rFonts w:hint="eastAsia"/>
                <w:bCs/>
                <w:kern w:val="0"/>
                <w:szCs w:val="21"/>
                <w:highlight w:val="none"/>
              </w:rPr>
              <w:t>提供一项证明资料得</w:t>
            </w:r>
            <w:r>
              <w:rPr>
                <w:rFonts w:hint="eastAsia"/>
                <w:bCs/>
                <w:kern w:val="0"/>
                <w:szCs w:val="21"/>
                <w:highlight w:val="none"/>
                <w:lang w:val="en-US" w:eastAsia="zh-CN"/>
              </w:rPr>
              <w:t>2</w:t>
            </w:r>
            <w:r>
              <w:rPr>
                <w:rFonts w:hint="eastAsia"/>
                <w:bCs/>
                <w:kern w:val="0"/>
                <w:szCs w:val="21"/>
                <w:highlight w:val="none"/>
              </w:rPr>
              <w:t>分，满分</w:t>
            </w:r>
            <w:r>
              <w:rPr>
                <w:rFonts w:hint="eastAsia" w:ascii="宋体" w:hAnsi="宋体" w:cs="宋体"/>
                <w:color w:val="auto"/>
                <w:szCs w:val="21"/>
                <w:highlight w:val="none"/>
                <w:lang w:val="en-US" w:eastAsia="zh-CN"/>
              </w:rPr>
              <w:t>15</w:t>
            </w:r>
            <w:r>
              <w:rPr>
                <w:rFonts w:hint="eastAsia"/>
                <w:bCs/>
                <w:kern w:val="0"/>
                <w:szCs w:val="21"/>
                <w:highlight w:val="none"/>
              </w:rPr>
              <w:t>分</w:t>
            </w:r>
            <w:r>
              <w:rPr>
                <w:rFonts w:hint="eastAsia"/>
                <w:bCs/>
                <w:kern w:val="0"/>
                <w:szCs w:val="21"/>
                <w:highlight w:val="none"/>
                <w:lang w:eastAsia="zh-CN"/>
              </w:rPr>
              <w:t>。</w:t>
            </w:r>
          </w:p>
          <w:p>
            <w:pPr>
              <w:wordWrap w:val="0"/>
              <w:spacing w:line="240" w:lineRule="auto"/>
              <w:rPr>
                <w:rFonts w:hint="eastAsia" w:eastAsia="宋体"/>
                <w:kern w:val="2"/>
                <w:sz w:val="21"/>
                <w:szCs w:val="24"/>
                <w:highlight w:val="none"/>
                <w:lang w:val="en-US" w:eastAsia="zh-CN" w:bidi="ar-SA"/>
              </w:rPr>
            </w:pPr>
            <w:r>
              <w:rPr>
                <w:rFonts w:hint="eastAsia"/>
                <w:highlight w:val="none"/>
                <w:lang w:val="en-US" w:eastAsia="zh-CN"/>
              </w:rPr>
              <w:t>要求履约评价有合作单位盖章（公章、业务章、部门章均可），</w:t>
            </w:r>
            <w:r>
              <w:rPr>
                <w:rFonts w:hint="eastAsia" w:ascii="宋体" w:hAnsi="宋体" w:eastAsia="宋体"/>
                <w:color w:val="auto"/>
                <w:szCs w:val="21"/>
                <w:highlight w:val="none"/>
              </w:rPr>
              <w:t>评分中出现无证明资料或专家无法凭所提供资料判断是否得分的情况，一律作不得分处理。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1" w:lineRule="atLeast"/>
              <w:jc w:val="center"/>
              <w:rPr>
                <w:rFonts w:hint="eastAsia" w:eastAsia="宋体"/>
                <w:kern w:val="0"/>
                <w:sz w:val="21"/>
                <w:szCs w:val="21"/>
                <w:lang w:val="en-US" w:eastAsia="zh-CN" w:bidi="ar-SA"/>
              </w:rPr>
            </w:pPr>
            <w:r>
              <w:rPr>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3</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asciiTheme="minorEastAsia" w:hAnsiTheme="minorEastAsia" w:eastAsiaTheme="minorEastAsia" w:cstheme="minorEastAsia"/>
                <w:szCs w:val="21"/>
                <w:lang w:val="en-US" w:eastAsia="zh-CN" w:bidi="ar-SA"/>
              </w:rPr>
              <w:t>服务</w:t>
            </w:r>
            <w:r>
              <w:rPr>
                <w:rFonts w:hint="eastAsia" w:asciiTheme="minorEastAsia" w:hAnsiTheme="minorEastAsia" w:eastAsiaTheme="minorEastAsia" w:cstheme="minorEastAsia"/>
                <w:szCs w:val="21"/>
                <w:lang w:val="en-US" w:bidi="ar-SA"/>
              </w:rPr>
              <w:t>响应时间</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5</w:t>
            </w:r>
          </w:p>
        </w:tc>
        <w:tc>
          <w:tcPr>
            <w:tcW w:w="4718" w:type="dxa"/>
            <w:tcBorders>
              <w:top w:val="single" w:color="auto" w:sz="4" w:space="0"/>
              <w:left w:val="single" w:color="auto" w:sz="4" w:space="0"/>
              <w:bottom w:val="single" w:color="auto" w:sz="4" w:space="0"/>
              <w:right w:val="single" w:color="auto" w:sz="4" w:space="0"/>
            </w:tcBorders>
            <w:noWrap w:val="0"/>
            <w:vAlign w:val="top"/>
          </w:tcPr>
          <w:p>
            <w:pPr>
              <w:wordWrap w:val="0"/>
              <w:spacing w:line="24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（一）评审内容：</w:t>
            </w:r>
          </w:p>
          <w:p>
            <w:pPr>
              <w:wordWrap w:val="0"/>
              <w:spacing w:line="24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投标人承诺：</w:t>
            </w:r>
          </w:p>
          <w:p>
            <w:pPr>
              <w:wordWrap w:val="0"/>
              <w:spacing w:line="240" w:lineRule="auto"/>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正常工作时间，接到医院的通知后20分钟内做出明确的响应和安排；非工作时间有紧急情况时，紧急问题60分钟内给予回应，需提供现场服务的，服务团队在2小时内到达服务现场。</w:t>
            </w:r>
          </w:p>
          <w:p>
            <w:pPr>
              <w:wordWrap w:val="0"/>
              <w:spacing w:line="240" w:lineRule="auto"/>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承诺以上内容得5分。</w:t>
            </w:r>
          </w:p>
          <w:p>
            <w:pPr>
              <w:wordWrap w:val="0"/>
              <w:spacing w:line="24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（二）评分依据</w:t>
            </w:r>
          </w:p>
          <w:p>
            <w:pPr>
              <w:wordWrap w:val="0"/>
              <w:spacing w:line="240" w:lineRule="auto"/>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投标人提供承诺函（格式自拟）。评分中出现无证明资料或专家无法凭所提供资料判断是否得分的情况，一律作不得分处理。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1" w:lineRule="atLeast"/>
              <w:jc w:val="center"/>
              <w:rPr>
                <w:kern w:val="0"/>
                <w:szCs w:val="21"/>
              </w:rPr>
            </w:pPr>
            <w:r>
              <w:rPr>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kern w:val="0"/>
                <w:sz w:val="21"/>
                <w:szCs w:val="21"/>
                <w:lang w:val="en-US" w:eastAsia="zh-CN" w:bidi="ar-SA"/>
              </w:rPr>
            </w:pPr>
            <w:r>
              <w:rPr>
                <w:rFonts w:hint="eastAsia" w:ascii="宋体" w:hAnsi="宋体" w:cs="宋体"/>
                <w:bCs/>
                <w:kern w:val="0"/>
                <w:szCs w:val="21"/>
                <w:lang w:val="en-US" w:eastAsia="zh-CN"/>
              </w:rPr>
              <w:t>4</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cs="黑体"/>
                <w:kern w:val="2"/>
                <w:sz w:val="21"/>
                <w:szCs w:val="24"/>
                <w:lang w:val="en-US" w:eastAsia="zh-CN" w:bidi="ar-SA"/>
              </w:rPr>
            </w:pPr>
            <w:r>
              <w:rPr>
                <w:rFonts w:hint="eastAsia" w:ascii="宋体" w:hAnsi="宋体" w:eastAsia="宋体" w:cs="宋体"/>
                <w:sz w:val="21"/>
                <w:szCs w:val="21"/>
                <w:highlight w:val="none"/>
              </w:rPr>
              <w:t>诚信</w:t>
            </w:r>
            <w:r>
              <w:rPr>
                <w:rFonts w:hint="eastAsia" w:ascii="宋体" w:hAnsi="宋体" w:eastAsia="宋体" w:cs="宋体"/>
                <w:sz w:val="21"/>
                <w:szCs w:val="21"/>
                <w:highlight w:val="none"/>
                <w:lang w:val="en-US" w:eastAsia="zh-CN"/>
              </w:rPr>
              <w:t>评审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Calibri" w:hAnsi="Calibri" w:eastAsia="宋体" w:cs="黑体"/>
                <w:kern w:val="2"/>
                <w:sz w:val="21"/>
                <w:szCs w:val="24"/>
                <w:lang w:val="en-US" w:eastAsia="zh-CN" w:bidi="ar-SA"/>
              </w:rPr>
            </w:pPr>
            <w:r>
              <w:rPr>
                <w:rFonts w:hint="eastAsia" w:eastAsia="宋体"/>
                <w:kern w:val="2"/>
                <w:sz w:val="21"/>
                <w:szCs w:val="24"/>
                <w:lang w:val="en-US" w:eastAsia="zh-CN" w:bidi="ar-SA"/>
              </w:rPr>
              <w:t>5</w:t>
            </w:r>
          </w:p>
        </w:tc>
        <w:tc>
          <w:tcPr>
            <w:tcW w:w="4718" w:type="dxa"/>
            <w:tcBorders>
              <w:top w:val="single" w:color="auto" w:sz="4" w:space="0"/>
              <w:left w:val="single" w:color="auto" w:sz="4" w:space="0"/>
              <w:bottom w:val="single" w:color="auto" w:sz="4" w:space="0"/>
              <w:right w:val="single" w:color="auto" w:sz="4" w:space="0"/>
            </w:tcBorders>
            <w:noWrap w:val="0"/>
            <w:vAlign w:val="top"/>
          </w:tcPr>
          <w:p>
            <w:pPr>
              <w:wordWrap w:val="0"/>
              <w:spacing w:line="240" w:lineRule="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投标人存在《深圳市财政局政府采购供应商信用信息管理办法》（深财规〔2023〕3号）列明的一般行政处罚信息、一般违法失信记录信息的，本项不得分，不存在上述情形的本项得5分。</w:t>
            </w:r>
          </w:p>
          <w:p>
            <w:pPr>
              <w:wordWrap w:val="0"/>
              <w:spacing w:line="240" w:lineRule="auto"/>
              <w:rPr>
                <w:rFonts w:hint="eastAsia" w:ascii="Calibri" w:hAnsi="Calibri" w:eastAsia="宋体" w:cs="黑体"/>
                <w:kern w:val="2"/>
                <w:sz w:val="21"/>
                <w:szCs w:val="21"/>
                <w:lang w:val="en-US" w:eastAsia="zh-CN" w:bidi="ar-SA"/>
              </w:rPr>
            </w:pPr>
            <w:r>
              <w:rPr>
                <w:rFonts w:hint="eastAsia" w:ascii="宋体" w:hAnsi="宋体" w:eastAsia="宋体" w:cs="宋体"/>
                <w:color w:val="auto"/>
                <w:kern w:val="44"/>
                <w:sz w:val="21"/>
                <w:szCs w:val="21"/>
              </w:rPr>
              <w:t>查询渠道：通过“信用中国</w:t>
            </w:r>
            <w:r>
              <w:rPr>
                <w:rFonts w:hint="eastAsia" w:ascii="宋体" w:hAnsi="宋体" w:cs="宋体"/>
                <w:color w:val="auto"/>
                <w:kern w:val="44"/>
                <w:sz w:val="21"/>
                <w:szCs w:val="21"/>
                <w:lang w:eastAsia="zh-CN"/>
              </w:rPr>
              <w:t>”“</w:t>
            </w:r>
            <w:r>
              <w:rPr>
                <w:rFonts w:hint="eastAsia" w:ascii="宋体" w:hAnsi="宋体" w:eastAsia="宋体" w:cs="宋体"/>
                <w:color w:val="auto"/>
                <w:kern w:val="44"/>
                <w:sz w:val="21"/>
                <w:szCs w:val="21"/>
              </w:rPr>
              <w:t>中国政府采购网”，以及“深圳市政府采购监管网”查询供应商信用信息，信用信息以开标当日的查询结果为准。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1" w:lineRule="atLeast"/>
              <w:jc w:val="center"/>
              <w:rPr>
                <w:rFonts w:hint="eastAsia" w:ascii="Calibri" w:hAnsi="Calibri" w:eastAsia="宋体" w:cs="黑体"/>
                <w:kern w:val="0"/>
                <w:sz w:val="21"/>
                <w:szCs w:val="21"/>
                <w:lang w:val="en-US" w:eastAsia="zh-CN" w:bidi="ar-SA"/>
              </w:rPr>
            </w:pPr>
            <w:r>
              <w:rPr>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b/>
                <w:kern w:val="0"/>
                <w:sz w:val="24"/>
              </w:rPr>
              <w:t>技术服务部分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1" w:lineRule="atLeast"/>
              <w:jc w:val="center"/>
              <w:rPr>
                <w:rFonts w:hint="default" w:eastAsia="宋体"/>
                <w:kern w:val="0"/>
                <w:szCs w:val="21"/>
                <w:lang w:val="en-US" w:eastAsia="zh-CN"/>
              </w:rPr>
            </w:pPr>
            <w:r>
              <w:rPr>
                <w:rFonts w:hint="eastAsia"/>
                <w:kern w:val="0"/>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240" w:lineRule="atLeast"/>
              <w:jc w:val="center"/>
              <w:rPr>
                <w:rFonts w:hint="eastAsia" w:ascii="宋体" w:hAnsi="宋体" w:cs="宋体"/>
                <w:bCs/>
                <w:kern w:val="0"/>
                <w:szCs w:val="21"/>
              </w:rPr>
            </w:pPr>
            <w:r>
              <w:rPr>
                <w:rFonts w:hint="eastAsia" w:ascii="宋体" w:hAnsi="宋体" w:cs="宋体"/>
                <w:kern w:val="0"/>
                <w:sz w:val="22"/>
                <w:szCs w:val="22"/>
              </w:rPr>
              <w:t>1</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项目</w:t>
            </w:r>
            <w:r>
              <w:rPr>
                <w:rFonts w:hint="eastAsia" w:ascii="宋体" w:hAnsi="宋体" w:eastAsia="宋体" w:cs="宋体"/>
                <w:sz w:val="21"/>
                <w:szCs w:val="21"/>
              </w:rPr>
              <w:t>实施方案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w:t>
            </w:r>
          </w:p>
        </w:tc>
        <w:tc>
          <w:tcPr>
            <w:tcW w:w="4718"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szCs w:val="21"/>
              </w:rPr>
            </w:pPr>
            <w:r>
              <w:rPr>
                <w:rFonts w:hint="eastAsia"/>
              </w:rPr>
              <w:t>（一）</w:t>
            </w:r>
            <w:r>
              <w:rPr>
                <w:rFonts w:hint="eastAsia"/>
                <w:szCs w:val="21"/>
              </w:rPr>
              <w:t>评审内容：针对本项目的服务内容制定</w:t>
            </w:r>
            <w:r>
              <w:rPr>
                <w:rFonts w:hint="eastAsia"/>
                <w:szCs w:val="21"/>
                <w:lang w:val="en-US" w:eastAsia="zh-CN"/>
              </w:rPr>
              <w:t>项目</w:t>
            </w:r>
            <w:r>
              <w:rPr>
                <w:rFonts w:hint="eastAsia"/>
                <w:szCs w:val="21"/>
              </w:rPr>
              <w:t>实施方案，内容包括但不限于：</w:t>
            </w:r>
          </w:p>
          <w:p>
            <w:pPr>
              <w:adjustRightInd w:val="0"/>
              <w:snapToGrid w:val="0"/>
              <w:spacing w:line="240" w:lineRule="auto"/>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zh-CN"/>
              </w:rPr>
              <w:t>项目整体方案及</w:t>
            </w:r>
            <w:r>
              <w:rPr>
                <w:rFonts w:hint="eastAsia" w:ascii="宋体" w:hAnsi="宋体" w:cs="宋体"/>
                <w:szCs w:val="21"/>
              </w:rPr>
              <w:t>服务事项；</w:t>
            </w:r>
          </w:p>
          <w:p>
            <w:pPr>
              <w:adjustRightInd w:val="0"/>
              <w:snapToGrid w:val="0"/>
              <w:spacing w:line="240" w:lineRule="auto"/>
              <w:jc w:val="left"/>
              <w:rPr>
                <w:rFonts w:hint="eastAsia" w:ascii="宋体" w:hAnsi="宋体" w:cs="宋体"/>
                <w:szCs w:val="21"/>
              </w:rPr>
            </w:pPr>
            <w:r>
              <w:rPr>
                <w:rFonts w:hint="eastAsia" w:ascii="宋体" w:hAnsi="宋体" w:cs="宋体"/>
                <w:szCs w:val="21"/>
              </w:rPr>
              <w:t>2.服务团队概况及服务方式；</w:t>
            </w:r>
          </w:p>
          <w:p>
            <w:pPr>
              <w:adjustRightInd w:val="0"/>
              <w:snapToGrid w:val="0"/>
              <w:spacing w:line="240" w:lineRule="auto"/>
              <w:jc w:val="left"/>
              <w:rPr>
                <w:rFonts w:hint="eastAsia" w:ascii="宋体" w:hAnsi="宋体" w:cs="宋体"/>
                <w:szCs w:val="21"/>
                <w:lang w:val="zh-CN"/>
              </w:rPr>
            </w:pPr>
            <w:r>
              <w:rPr>
                <w:rFonts w:hint="eastAsia" w:ascii="宋体" w:hAnsi="宋体" w:cs="宋体"/>
                <w:szCs w:val="21"/>
              </w:rPr>
              <w:t>3.工作机制或流程</w:t>
            </w:r>
            <w:r>
              <w:rPr>
                <w:rFonts w:hint="eastAsia" w:ascii="宋体" w:hAnsi="宋体" w:cs="宋体"/>
                <w:szCs w:val="21"/>
                <w:lang w:val="zh-CN"/>
              </w:rPr>
              <w:t>。</w:t>
            </w:r>
          </w:p>
          <w:p>
            <w:pPr>
              <w:adjustRightInd w:val="0"/>
              <w:snapToGrid w:val="0"/>
              <w:spacing w:line="240" w:lineRule="auto"/>
              <w:jc w:val="left"/>
              <w:rPr>
                <w:szCs w:val="21"/>
              </w:rPr>
            </w:pPr>
            <w:r>
              <w:rPr>
                <w:rFonts w:hint="eastAsia"/>
                <w:szCs w:val="21"/>
              </w:rPr>
              <w:t>（二）</w:t>
            </w:r>
            <w:r>
              <w:rPr>
                <w:szCs w:val="21"/>
              </w:rPr>
              <w:t>评分标准</w:t>
            </w:r>
            <w:r>
              <w:rPr>
                <w:rFonts w:hint="eastAsia"/>
                <w:szCs w:val="21"/>
              </w:rPr>
              <w:t>：</w:t>
            </w:r>
          </w:p>
          <w:p>
            <w:pPr>
              <w:adjustRightInd w:val="0"/>
              <w:snapToGrid w:val="0"/>
              <w:spacing w:line="240" w:lineRule="auto"/>
              <w:jc w:val="left"/>
              <w:rPr>
                <w:rFonts w:hint="eastAsia" w:ascii="宋体" w:hAnsi="宋体" w:eastAsia="宋体" w:cs="宋体"/>
                <w:szCs w:val="21"/>
                <w:lang w:val="zh-CN"/>
              </w:rPr>
            </w:pPr>
            <w:r>
              <w:rPr>
                <w:rFonts w:hint="eastAsia" w:ascii="宋体" w:hAnsi="宋体" w:eastAsia="宋体" w:cs="宋体"/>
                <w:szCs w:val="21"/>
                <w:lang w:val="zh-CN"/>
              </w:rPr>
              <w:t>考察以上方案，满足任意一点得</w:t>
            </w:r>
            <w:r>
              <w:rPr>
                <w:rFonts w:hint="eastAsia" w:ascii="宋体" w:hAnsi="宋体" w:eastAsia="宋体" w:cs="宋体"/>
                <w:szCs w:val="21"/>
                <w:lang w:val="en-US" w:eastAsia="zh-CN"/>
              </w:rPr>
              <w:t>2</w:t>
            </w:r>
            <w:r>
              <w:rPr>
                <w:rFonts w:hint="eastAsia" w:ascii="宋体" w:hAnsi="宋体" w:eastAsia="宋体" w:cs="宋体"/>
                <w:szCs w:val="21"/>
                <w:lang w:val="zh-CN"/>
              </w:rPr>
              <w:t>分，满足任意两点得</w:t>
            </w:r>
            <w:r>
              <w:rPr>
                <w:rFonts w:hint="eastAsia" w:ascii="宋体" w:hAnsi="宋体" w:eastAsia="宋体" w:cs="宋体"/>
                <w:szCs w:val="21"/>
                <w:lang w:val="en-US" w:eastAsia="zh-CN"/>
              </w:rPr>
              <w:t>4</w:t>
            </w:r>
            <w:r>
              <w:rPr>
                <w:rFonts w:hint="eastAsia" w:ascii="宋体" w:hAnsi="宋体" w:eastAsia="宋体" w:cs="宋体"/>
                <w:szCs w:val="21"/>
                <w:lang w:val="zh-CN"/>
              </w:rPr>
              <w:t>分，全部满足得</w:t>
            </w:r>
            <w:r>
              <w:rPr>
                <w:rFonts w:hint="eastAsia" w:ascii="宋体" w:hAnsi="宋体" w:eastAsia="宋体" w:cs="宋体"/>
                <w:szCs w:val="21"/>
                <w:lang w:val="en-US" w:eastAsia="zh-CN"/>
              </w:rPr>
              <w:t>6</w:t>
            </w:r>
            <w:r>
              <w:rPr>
                <w:rFonts w:hint="eastAsia" w:ascii="宋体" w:hAnsi="宋体" w:eastAsia="宋体" w:cs="宋体"/>
                <w:szCs w:val="21"/>
                <w:lang w:val="zh-CN"/>
              </w:rPr>
              <w:t>分，其他情况不得分。在此基础上，专家根据各供应商的具体响应内容按照量化的评审因素指标进一步评审：</w:t>
            </w:r>
          </w:p>
          <w:p>
            <w:pPr>
              <w:adjustRightInd w:val="0"/>
              <w:snapToGrid w:val="0"/>
              <w:spacing w:line="240" w:lineRule="auto"/>
              <w:jc w:val="left"/>
              <w:rPr>
                <w:rFonts w:hint="eastAsia" w:ascii="宋体" w:hAnsi="宋体" w:eastAsia="宋体" w:cs="宋体"/>
                <w:szCs w:val="21"/>
                <w:lang w:val="zh-CN"/>
              </w:rPr>
            </w:pPr>
            <w:r>
              <w:rPr>
                <w:rFonts w:hint="eastAsia" w:ascii="宋体" w:hAnsi="宋体" w:eastAsia="宋体" w:cs="宋体"/>
                <w:szCs w:val="21"/>
                <w:lang w:val="en-US" w:eastAsia="zh-CN"/>
              </w:rPr>
              <w:t>1.</w:t>
            </w:r>
            <w:r>
              <w:rPr>
                <w:rFonts w:hint="eastAsia" w:ascii="宋体" w:hAnsi="宋体" w:eastAsia="宋体" w:cs="宋体"/>
                <w:szCs w:val="21"/>
                <w:lang w:val="zh-CN"/>
              </w:rPr>
              <w:t>评价为优（方案全面具体，针对性强、科学合理、可操作性强）的加</w:t>
            </w:r>
            <w:r>
              <w:rPr>
                <w:rFonts w:hint="eastAsia" w:ascii="宋体" w:hAnsi="宋体" w:eastAsia="宋体" w:cs="宋体"/>
                <w:szCs w:val="21"/>
                <w:lang w:val="en-US" w:eastAsia="zh-CN"/>
              </w:rPr>
              <w:t>9</w:t>
            </w:r>
            <w:r>
              <w:rPr>
                <w:rFonts w:hint="eastAsia" w:ascii="宋体" w:hAnsi="宋体" w:eastAsia="宋体" w:cs="宋体"/>
                <w:szCs w:val="21"/>
                <w:lang w:val="zh-CN"/>
              </w:rPr>
              <w:t>分；</w:t>
            </w:r>
          </w:p>
          <w:p>
            <w:pPr>
              <w:adjustRightInd w:val="0"/>
              <w:snapToGrid w:val="0"/>
              <w:spacing w:line="240" w:lineRule="auto"/>
              <w:jc w:val="left"/>
              <w:rPr>
                <w:rFonts w:hint="eastAsia" w:ascii="宋体" w:hAnsi="宋体" w:eastAsia="宋体" w:cs="宋体"/>
                <w:szCs w:val="21"/>
                <w:lang w:val="zh-CN"/>
              </w:rPr>
            </w:pPr>
            <w:r>
              <w:rPr>
                <w:rFonts w:hint="eastAsia" w:ascii="宋体" w:hAnsi="宋体" w:eastAsia="宋体" w:cs="宋体"/>
                <w:szCs w:val="21"/>
                <w:lang w:val="en-US" w:eastAsia="zh-CN"/>
              </w:rPr>
              <w:t>2.</w:t>
            </w:r>
            <w:r>
              <w:rPr>
                <w:rFonts w:hint="eastAsia" w:ascii="宋体" w:hAnsi="宋体" w:eastAsia="宋体" w:cs="宋体"/>
                <w:szCs w:val="21"/>
                <w:lang w:val="zh-CN"/>
              </w:rPr>
              <w:t>评价为良（方案较全面具体，针对性较强，</w:t>
            </w:r>
            <w:r>
              <w:rPr>
                <w:rFonts w:hint="eastAsia" w:ascii="宋体" w:hAnsi="宋体" w:eastAsia="宋体" w:cs="宋体"/>
                <w:szCs w:val="21"/>
                <w:lang w:val="en-US" w:eastAsia="zh-CN"/>
              </w:rPr>
              <w:t>较</w:t>
            </w:r>
            <w:r>
              <w:rPr>
                <w:rFonts w:hint="eastAsia" w:ascii="宋体" w:hAnsi="宋体" w:eastAsia="宋体" w:cs="宋体"/>
                <w:szCs w:val="21"/>
                <w:lang w:val="zh-CN"/>
              </w:rPr>
              <w:t>科学合理、可操作性较好）的加</w:t>
            </w:r>
            <w:r>
              <w:rPr>
                <w:rFonts w:hint="eastAsia" w:ascii="宋体" w:hAnsi="宋体" w:eastAsia="宋体" w:cs="宋体"/>
                <w:szCs w:val="21"/>
                <w:lang w:val="en-US" w:eastAsia="zh-CN"/>
              </w:rPr>
              <w:t>5</w:t>
            </w:r>
            <w:r>
              <w:rPr>
                <w:rFonts w:hint="eastAsia" w:ascii="宋体" w:hAnsi="宋体" w:eastAsia="宋体" w:cs="宋体"/>
                <w:szCs w:val="21"/>
                <w:lang w:val="zh-CN"/>
              </w:rPr>
              <w:t>分；</w:t>
            </w:r>
          </w:p>
          <w:p>
            <w:pPr>
              <w:adjustRightInd w:val="0"/>
              <w:snapToGrid w:val="0"/>
              <w:spacing w:line="240" w:lineRule="auto"/>
              <w:jc w:val="left"/>
              <w:rPr>
                <w:rFonts w:hint="eastAsia" w:ascii="宋体" w:hAnsi="宋体" w:eastAsia="宋体" w:cs="宋体"/>
                <w:szCs w:val="21"/>
                <w:lang w:val="zh-CN"/>
              </w:rPr>
            </w:pPr>
            <w:r>
              <w:rPr>
                <w:rFonts w:hint="eastAsia" w:ascii="宋体" w:hAnsi="宋体" w:eastAsia="宋体" w:cs="宋体"/>
                <w:szCs w:val="21"/>
                <w:lang w:val="en-US" w:eastAsia="zh-CN"/>
              </w:rPr>
              <w:t>3.</w:t>
            </w:r>
            <w:r>
              <w:rPr>
                <w:rFonts w:hint="eastAsia" w:ascii="宋体" w:hAnsi="宋体" w:eastAsia="宋体" w:cs="宋体"/>
                <w:szCs w:val="21"/>
                <w:lang w:val="zh-CN"/>
              </w:rPr>
              <w:t>评价为中（方案</w:t>
            </w:r>
            <w:r>
              <w:rPr>
                <w:rFonts w:hint="eastAsia" w:ascii="宋体" w:hAnsi="宋体" w:eastAsia="宋体" w:cs="宋体"/>
                <w:szCs w:val="21"/>
                <w:lang w:val="en-US" w:eastAsia="zh-CN"/>
              </w:rPr>
              <w:t>不够</w:t>
            </w:r>
            <w:r>
              <w:rPr>
                <w:rFonts w:hint="eastAsia" w:ascii="宋体" w:hAnsi="宋体" w:eastAsia="宋体" w:cs="宋体"/>
                <w:szCs w:val="21"/>
                <w:lang w:val="zh-CN"/>
              </w:rPr>
              <w:t>全面具体，针对性一般，</w:t>
            </w:r>
            <w:r>
              <w:rPr>
                <w:rFonts w:hint="eastAsia" w:ascii="宋体" w:hAnsi="宋体" w:eastAsia="宋体" w:cs="宋体"/>
                <w:szCs w:val="21"/>
                <w:lang w:val="en-US" w:eastAsia="zh-CN"/>
              </w:rPr>
              <w:t>科学</w:t>
            </w:r>
            <w:r>
              <w:rPr>
                <w:rFonts w:hint="eastAsia" w:ascii="宋体" w:hAnsi="宋体" w:eastAsia="宋体" w:cs="宋体"/>
                <w:szCs w:val="21"/>
                <w:lang w:val="zh-CN"/>
              </w:rPr>
              <w:t>合理</w:t>
            </w:r>
            <w:r>
              <w:rPr>
                <w:rFonts w:hint="eastAsia" w:ascii="宋体" w:hAnsi="宋体" w:eastAsia="宋体" w:cs="宋体"/>
                <w:szCs w:val="21"/>
                <w:lang w:val="en-US" w:eastAsia="zh-CN"/>
              </w:rPr>
              <w:t>性</w:t>
            </w:r>
            <w:r>
              <w:rPr>
                <w:rFonts w:hint="eastAsia" w:ascii="宋体" w:hAnsi="宋体" w:eastAsia="宋体" w:cs="宋体"/>
                <w:szCs w:val="21"/>
                <w:lang w:val="zh-CN"/>
              </w:rPr>
              <w:t>及可操作</w:t>
            </w:r>
            <w:r>
              <w:rPr>
                <w:rFonts w:hint="eastAsia" w:ascii="宋体" w:hAnsi="宋体" w:cs="宋体"/>
                <w:szCs w:val="21"/>
                <w:lang w:val="zh-CN"/>
              </w:rPr>
              <w:t>性</w:t>
            </w:r>
            <w:r>
              <w:rPr>
                <w:rFonts w:hint="eastAsia" w:ascii="宋体" w:hAnsi="宋体" w:eastAsia="宋体" w:cs="宋体"/>
                <w:szCs w:val="21"/>
                <w:lang w:val="zh-CN"/>
              </w:rPr>
              <w:t>一般）的加</w:t>
            </w:r>
            <w:r>
              <w:rPr>
                <w:rFonts w:hint="eastAsia" w:ascii="宋体" w:hAnsi="宋体" w:eastAsia="宋体" w:cs="宋体"/>
                <w:szCs w:val="21"/>
                <w:lang w:val="en-US" w:eastAsia="zh-CN"/>
              </w:rPr>
              <w:t>3</w:t>
            </w:r>
            <w:r>
              <w:rPr>
                <w:rFonts w:hint="eastAsia" w:ascii="宋体" w:hAnsi="宋体" w:eastAsia="宋体" w:cs="宋体"/>
                <w:szCs w:val="21"/>
                <w:lang w:val="zh-CN"/>
              </w:rPr>
              <w:t>分；</w:t>
            </w:r>
          </w:p>
          <w:p>
            <w:pPr>
              <w:adjustRightInd w:val="0"/>
              <w:snapToGrid w:val="0"/>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4.</w:t>
            </w:r>
            <w:r>
              <w:rPr>
                <w:rFonts w:hint="eastAsia" w:ascii="宋体" w:hAnsi="宋体" w:eastAsia="宋体" w:cs="宋体"/>
                <w:szCs w:val="21"/>
                <w:lang w:val="zh-CN"/>
              </w:rPr>
              <w:t>评价为差（方案</w:t>
            </w:r>
            <w:r>
              <w:rPr>
                <w:rFonts w:hint="eastAsia" w:ascii="宋体" w:hAnsi="宋体" w:eastAsia="宋体" w:cs="宋体"/>
                <w:szCs w:val="21"/>
                <w:lang w:val="en-US" w:eastAsia="zh-CN"/>
              </w:rPr>
              <w:t>不</w:t>
            </w:r>
            <w:r>
              <w:rPr>
                <w:rFonts w:hint="eastAsia" w:ascii="宋体" w:hAnsi="宋体" w:eastAsia="宋体" w:cs="宋体"/>
                <w:szCs w:val="21"/>
                <w:lang w:val="zh-CN"/>
              </w:rPr>
              <w:t>全面具体，针对性</w:t>
            </w:r>
            <w:r>
              <w:rPr>
                <w:rFonts w:hint="eastAsia" w:ascii="宋体" w:hAnsi="宋体" w:eastAsia="宋体" w:cs="宋体"/>
                <w:szCs w:val="21"/>
                <w:lang w:val="en-US" w:eastAsia="zh-CN"/>
              </w:rPr>
              <w:t>差</w:t>
            </w:r>
            <w:r>
              <w:rPr>
                <w:rFonts w:hint="eastAsia" w:ascii="宋体" w:hAnsi="宋体" w:eastAsia="宋体" w:cs="宋体"/>
                <w:szCs w:val="21"/>
                <w:lang w:val="zh-CN"/>
              </w:rPr>
              <w:t>、科学合理</w:t>
            </w:r>
            <w:r>
              <w:rPr>
                <w:rFonts w:hint="eastAsia" w:ascii="宋体" w:hAnsi="宋体" w:eastAsia="宋体" w:cs="宋体"/>
                <w:szCs w:val="21"/>
                <w:lang w:val="en-US" w:eastAsia="zh-CN"/>
              </w:rPr>
              <w:t>性差</w:t>
            </w:r>
            <w:r>
              <w:rPr>
                <w:rFonts w:hint="eastAsia" w:ascii="宋体" w:hAnsi="宋体" w:eastAsia="宋体" w:cs="宋体"/>
                <w:szCs w:val="21"/>
                <w:lang w:val="zh-CN"/>
              </w:rPr>
              <w:t>、可操作性</w:t>
            </w:r>
            <w:r>
              <w:rPr>
                <w:rFonts w:hint="eastAsia" w:ascii="宋体" w:hAnsi="宋体" w:eastAsia="宋体" w:cs="宋体"/>
                <w:szCs w:val="21"/>
                <w:lang w:val="en-US" w:eastAsia="zh-CN"/>
              </w:rPr>
              <w:t>差</w:t>
            </w:r>
            <w:r>
              <w:rPr>
                <w:rFonts w:hint="eastAsia" w:ascii="宋体" w:hAnsi="宋体" w:eastAsia="宋体" w:cs="宋体"/>
                <w:szCs w:val="21"/>
                <w:lang w:val="zh-CN"/>
              </w:rPr>
              <w:t>）或未提供方案的不加分。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1" w:lineRule="atLeast"/>
              <w:jc w:val="center"/>
              <w:rPr>
                <w:kern w:val="0"/>
                <w:szCs w:val="21"/>
              </w:rPr>
            </w:pPr>
            <w:r>
              <w:rPr>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bCs/>
                <w:kern w:val="0"/>
                <w:szCs w:val="21"/>
                <w:lang w:eastAsia="zh-CN"/>
              </w:rPr>
            </w:pPr>
            <w:r>
              <w:rPr>
                <w:rFonts w:hint="eastAsia" w:ascii="宋体" w:hAnsi="宋体" w:cs="宋体"/>
                <w:sz w:val="22"/>
                <w:szCs w:val="22"/>
                <w:lang w:val="en-US" w:eastAsia="zh-CN"/>
              </w:rPr>
              <w:t>2</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kern w:val="2"/>
                <w:sz w:val="21"/>
                <w:szCs w:val="21"/>
                <w:lang w:val="en-US" w:eastAsia="zh-CN" w:bidi="ar-SA"/>
              </w:rPr>
            </w:pPr>
            <w:r>
              <w:rPr>
                <w:rFonts w:hint="eastAsia" w:ascii="宋体" w:hAnsi="宋体"/>
                <w:szCs w:val="21"/>
              </w:rPr>
              <w:t>项目重点难点分析、应对措施及相关的合理化建议</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kern w:val="2"/>
                <w:sz w:val="21"/>
                <w:szCs w:val="21"/>
                <w:lang w:val="en-US" w:eastAsia="zh-CN" w:bidi="ar-SA"/>
              </w:rPr>
            </w:pPr>
            <w:r>
              <w:rPr>
                <w:rFonts w:hint="eastAsia" w:ascii="宋体" w:hAnsi="宋体"/>
                <w:szCs w:val="21"/>
              </w:rPr>
              <w:t>15</w:t>
            </w:r>
          </w:p>
        </w:tc>
        <w:tc>
          <w:tcPr>
            <w:tcW w:w="47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szCs w:val="21"/>
              </w:rPr>
            </w:pPr>
            <w:r>
              <w:rPr>
                <w:rFonts w:hint="eastAsia"/>
              </w:rPr>
              <w:t>（一）</w:t>
            </w:r>
            <w:r>
              <w:rPr>
                <w:rFonts w:hint="eastAsia"/>
                <w:szCs w:val="21"/>
              </w:rPr>
              <w:t>评审内容：针对本项目的服务内</w:t>
            </w:r>
            <w:r>
              <w:rPr>
                <w:rFonts w:hint="eastAsia"/>
                <w:szCs w:val="21"/>
                <w:lang w:eastAsia="zh-CN"/>
              </w:rPr>
              <w:t>容和</w:t>
            </w:r>
            <w:r>
              <w:rPr>
                <w:rFonts w:hint="eastAsia" w:ascii="宋体" w:hAnsi="宋体"/>
                <w:szCs w:val="21"/>
              </w:rPr>
              <w:t>项目</w:t>
            </w:r>
            <w:r>
              <w:rPr>
                <w:rFonts w:hint="eastAsia" w:ascii="宋体" w:hAnsi="宋体"/>
                <w:szCs w:val="21"/>
                <w:lang w:val="en-US" w:eastAsia="zh-CN"/>
              </w:rPr>
              <w:t>提出</w:t>
            </w:r>
            <w:r>
              <w:rPr>
                <w:rFonts w:hint="eastAsia" w:ascii="宋体" w:hAnsi="宋体"/>
                <w:szCs w:val="21"/>
              </w:rPr>
              <w:t>重点难点分析、应对措施及相关的合理化建议</w:t>
            </w:r>
            <w:r>
              <w:rPr>
                <w:rFonts w:hint="eastAsia"/>
                <w:szCs w:val="21"/>
              </w:rPr>
              <w:t>，内容包括但不限于：</w:t>
            </w:r>
          </w:p>
          <w:p>
            <w:pPr>
              <w:adjustRightInd w:val="0"/>
              <w:snapToGrid w:val="0"/>
              <w:spacing w:line="240" w:lineRule="auto"/>
              <w:jc w:val="left"/>
              <w:rPr>
                <w:rFonts w:hint="eastAsia" w:ascii="宋体" w:hAnsi="宋体" w:cs="宋体"/>
                <w:szCs w:val="21"/>
              </w:rPr>
            </w:pPr>
            <w:r>
              <w:rPr>
                <w:rFonts w:hint="eastAsia" w:ascii="宋体" w:hAnsi="宋体" w:cs="宋体"/>
                <w:szCs w:val="21"/>
              </w:rPr>
              <w:t>1.</w:t>
            </w:r>
            <w:r>
              <w:rPr>
                <w:rFonts w:hint="eastAsia" w:ascii="宋体" w:hAnsi="宋体"/>
                <w:szCs w:val="21"/>
              </w:rPr>
              <w:t>项目重点难点分析</w:t>
            </w:r>
            <w:r>
              <w:rPr>
                <w:rFonts w:hint="eastAsia" w:ascii="宋体" w:hAnsi="宋体" w:cs="宋体"/>
                <w:szCs w:val="21"/>
              </w:rPr>
              <w:t>；</w:t>
            </w:r>
          </w:p>
          <w:p>
            <w:pPr>
              <w:adjustRightInd w:val="0"/>
              <w:snapToGrid w:val="0"/>
              <w:spacing w:line="240" w:lineRule="auto"/>
              <w:jc w:val="left"/>
              <w:rPr>
                <w:rFonts w:hint="eastAsia" w:ascii="宋体" w:hAnsi="宋体" w:cs="宋体"/>
                <w:szCs w:val="21"/>
              </w:rPr>
            </w:pPr>
            <w:r>
              <w:rPr>
                <w:rFonts w:hint="eastAsia" w:ascii="宋体" w:hAnsi="宋体" w:cs="宋体"/>
                <w:szCs w:val="21"/>
              </w:rPr>
              <w:t>2.</w:t>
            </w:r>
            <w:r>
              <w:rPr>
                <w:rFonts w:hint="eastAsia" w:ascii="宋体" w:hAnsi="宋体"/>
                <w:szCs w:val="21"/>
              </w:rPr>
              <w:t>应对措施</w:t>
            </w:r>
            <w:r>
              <w:rPr>
                <w:rFonts w:hint="eastAsia" w:ascii="宋体" w:hAnsi="宋体" w:cs="宋体"/>
                <w:szCs w:val="21"/>
              </w:rPr>
              <w:t>；</w:t>
            </w:r>
          </w:p>
          <w:p>
            <w:pPr>
              <w:adjustRightInd w:val="0"/>
              <w:snapToGrid w:val="0"/>
              <w:spacing w:line="240" w:lineRule="auto"/>
              <w:jc w:val="left"/>
              <w:rPr>
                <w:rFonts w:hint="eastAsia" w:ascii="宋体" w:hAnsi="宋体" w:cs="宋体"/>
                <w:szCs w:val="21"/>
                <w:lang w:val="zh-CN"/>
              </w:rPr>
            </w:pPr>
            <w:r>
              <w:rPr>
                <w:rFonts w:hint="eastAsia" w:ascii="宋体" w:hAnsi="宋体" w:cs="宋体"/>
                <w:szCs w:val="21"/>
              </w:rPr>
              <w:t>3.</w:t>
            </w:r>
            <w:r>
              <w:rPr>
                <w:rFonts w:hint="eastAsia" w:ascii="宋体" w:hAnsi="宋体"/>
                <w:szCs w:val="21"/>
              </w:rPr>
              <w:t>相关的合理化建议</w:t>
            </w:r>
            <w:r>
              <w:rPr>
                <w:rFonts w:hint="eastAsia" w:ascii="宋体" w:hAnsi="宋体" w:cs="宋体"/>
                <w:szCs w:val="21"/>
                <w:lang w:val="zh-CN"/>
              </w:rPr>
              <w:t>。</w:t>
            </w:r>
          </w:p>
          <w:p>
            <w:pPr>
              <w:adjustRightInd w:val="0"/>
              <w:snapToGrid w:val="0"/>
              <w:spacing w:line="240" w:lineRule="auto"/>
              <w:jc w:val="left"/>
              <w:rPr>
                <w:szCs w:val="21"/>
              </w:rPr>
            </w:pPr>
            <w:r>
              <w:rPr>
                <w:rFonts w:hint="eastAsia"/>
                <w:szCs w:val="21"/>
              </w:rPr>
              <w:t>（二）</w:t>
            </w:r>
            <w:r>
              <w:rPr>
                <w:szCs w:val="21"/>
              </w:rPr>
              <w:t>评分标准</w:t>
            </w:r>
            <w:r>
              <w:rPr>
                <w:rFonts w:hint="eastAsia"/>
                <w:szCs w:val="21"/>
              </w:rPr>
              <w:t>：</w:t>
            </w:r>
          </w:p>
          <w:p>
            <w:pPr>
              <w:adjustRightInd w:val="0"/>
              <w:snapToGrid w:val="0"/>
              <w:spacing w:line="240" w:lineRule="auto"/>
              <w:jc w:val="left"/>
              <w:rPr>
                <w:rFonts w:hint="eastAsia" w:ascii="宋体" w:hAnsi="宋体" w:eastAsia="宋体" w:cs="宋体"/>
                <w:szCs w:val="21"/>
                <w:lang w:val="zh-CN"/>
              </w:rPr>
            </w:pPr>
            <w:r>
              <w:rPr>
                <w:rFonts w:hint="eastAsia" w:ascii="宋体" w:hAnsi="宋体" w:eastAsia="宋体" w:cs="宋体"/>
                <w:szCs w:val="21"/>
                <w:lang w:val="zh-CN"/>
              </w:rPr>
              <w:t>考察以上</w:t>
            </w:r>
            <w:r>
              <w:rPr>
                <w:rFonts w:hint="eastAsia" w:ascii="宋体" w:hAnsi="宋体" w:eastAsia="宋体" w:cs="宋体"/>
                <w:szCs w:val="21"/>
                <w:lang w:val="en-US" w:eastAsia="zh-CN"/>
              </w:rPr>
              <w:t>内容</w:t>
            </w:r>
            <w:r>
              <w:rPr>
                <w:rFonts w:hint="eastAsia" w:ascii="宋体" w:hAnsi="宋体" w:eastAsia="宋体" w:cs="宋体"/>
                <w:szCs w:val="21"/>
                <w:lang w:val="zh-CN"/>
              </w:rPr>
              <w:t>，满足任意一点得</w:t>
            </w:r>
            <w:r>
              <w:rPr>
                <w:rFonts w:hint="eastAsia" w:ascii="宋体" w:hAnsi="宋体" w:eastAsia="宋体" w:cs="宋体"/>
                <w:szCs w:val="21"/>
                <w:lang w:val="en-US" w:eastAsia="zh-CN"/>
              </w:rPr>
              <w:t>2</w:t>
            </w:r>
            <w:r>
              <w:rPr>
                <w:rFonts w:hint="eastAsia" w:ascii="宋体" w:hAnsi="宋体" w:eastAsia="宋体" w:cs="宋体"/>
                <w:szCs w:val="21"/>
                <w:lang w:val="zh-CN"/>
              </w:rPr>
              <w:t>分，满足任意两点得</w:t>
            </w:r>
            <w:r>
              <w:rPr>
                <w:rFonts w:hint="eastAsia" w:ascii="宋体" w:hAnsi="宋体" w:eastAsia="宋体" w:cs="宋体"/>
                <w:szCs w:val="21"/>
                <w:lang w:val="en-US" w:eastAsia="zh-CN"/>
              </w:rPr>
              <w:t>4</w:t>
            </w:r>
            <w:r>
              <w:rPr>
                <w:rFonts w:hint="eastAsia" w:ascii="宋体" w:hAnsi="宋体" w:eastAsia="宋体" w:cs="宋体"/>
                <w:szCs w:val="21"/>
                <w:lang w:val="zh-CN"/>
              </w:rPr>
              <w:t>分，全部满足得</w:t>
            </w:r>
            <w:r>
              <w:rPr>
                <w:rFonts w:hint="eastAsia" w:ascii="宋体" w:hAnsi="宋体" w:eastAsia="宋体" w:cs="宋体"/>
                <w:szCs w:val="21"/>
                <w:lang w:val="en-US" w:eastAsia="zh-CN"/>
              </w:rPr>
              <w:t>6</w:t>
            </w:r>
            <w:r>
              <w:rPr>
                <w:rFonts w:hint="eastAsia" w:ascii="宋体" w:hAnsi="宋体" w:eastAsia="宋体" w:cs="宋体"/>
                <w:szCs w:val="21"/>
                <w:lang w:val="zh-CN"/>
              </w:rPr>
              <w:t>分，其他情况不得分。在此基础上，专家根据各供应商的具体响应内容按照量化的评审因素指标进一步评审：</w:t>
            </w:r>
          </w:p>
          <w:p>
            <w:pPr>
              <w:adjustRightInd w:val="0"/>
              <w:snapToGrid w:val="0"/>
              <w:spacing w:line="240" w:lineRule="auto"/>
              <w:jc w:val="left"/>
              <w:rPr>
                <w:rFonts w:hint="eastAsia" w:ascii="宋体" w:hAnsi="宋体" w:eastAsia="宋体" w:cs="宋体"/>
                <w:szCs w:val="21"/>
                <w:lang w:val="zh-CN"/>
              </w:rPr>
            </w:pPr>
            <w:r>
              <w:rPr>
                <w:rFonts w:hint="eastAsia" w:ascii="宋体" w:hAnsi="宋体" w:eastAsia="宋体" w:cs="宋体"/>
                <w:szCs w:val="21"/>
                <w:lang w:val="en-US" w:eastAsia="zh-CN"/>
              </w:rPr>
              <w:t>1.</w:t>
            </w:r>
            <w:r>
              <w:rPr>
                <w:rFonts w:hint="eastAsia" w:ascii="宋体" w:hAnsi="宋体" w:eastAsia="宋体" w:cs="宋体"/>
                <w:szCs w:val="21"/>
                <w:lang w:val="zh-CN"/>
              </w:rPr>
              <w:t>评价为优（</w:t>
            </w:r>
            <w:r>
              <w:rPr>
                <w:rFonts w:hint="eastAsia" w:ascii="宋体" w:hAnsi="宋体"/>
                <w:szCs w:val="21"/>
              </w:rPr>
              <w:t>重点难点分析、应对措施及相关的合理化建议</w:t>
            </w:r>
            <w:r>
              <w:rPr>
                <w:rFonts w:hint="eastAsia" w:ascii="宋体" w:hAnsi="宋体" w:eastAsia="宋体" w:cs="宋体"/>
                <w:szCs w:val="21"/>
                <w:lang w:val="zh-CN"/>
              </w:rPr>
              <w:t>全面具体，针对性强、科学合理、可操作性强）的加</w:t>
            </w:r>
            <w:r>
              <w:rPr>
                <w:rFonts w:hint="eastAsia" w:ascii="宋体" w:hAnsi="宋体" w:eastAsia="宋体" w:cs="宋体"/>
                <w:szCs w:val="21"/>
                <w:lang w:val="en-US" w:eastAsia="zh-CN"/>
              </w:rPr>
              <w:t>9</w:t>
            </w:r>
            <w:r>
              <w:rPr>
                <w:rFonts w:hint="eastAsia" w:ascii="宋体" w:hAnsi="宋体" w:eastAsia="宋体" w:cs="宋体"/>
                <w:szCs w:val="21"/>
                <w:lang w:val="zh-CN"/>
              </w:rPr>
              <w:t>分；</w:t>
            </w:r>
          </w:p>
          <w:p>
            <w:pPr>
              <w:adjustRightInd w:val="0"/>
              <w:snapToGrid w:val="0"/>
              <w:spacing w:line="240" w:lineRule="auto"/>
              <w:jc w:val="left"/>
              <w:rPr>
                <w:rFonts w:hint="eastAsia" w:ascii="宋体" w:hAnsi="宋体" w:eastAsia="宋体" w:cs="宋体"/>
                <w:szCs w:val="21"/>
                <w:lang w:val="zh-CN"/>
              </w:rPr>
            </w:pPr>
            <w:r>
              <w:rPr>
                <w:rFonts w:hint="eastAsia" w:ascii="宋体" w:hAnsi="宋体" w:eastAsia="宋体" w:cs="宋体"/>
                <w:szCs w:val="21"/>
                <w:lang w:val="en-US" w:eastAsia="zh-CN"/>
              </w:rPr>
              <w:t>2.</w:t>
            </w:r>
            <w:r>
              <w:rPr>
                <w:rFonts w:hint="eastAsia" w:ascii="宋体" w:hAnsi="宋体" w:eastAsia="宋体" w:cs="宋体"/>
                <w:szCs w:val="21"/>
                <w:lang w:val="zh-CN"/>
              </w:rPr>
              <w:t>评价为良（</w:t>
            </w:r>
            <w:r>
              <w:rPr>
                <w:rFonts w:hint="eastAsia" w:ascii="宋体" w:hAnsi="宋体"/>
                <w:szCs w:val="21"/>
              </w:rPr>
              <w:t>重点难点分析、应对措施及相关的合理化建议</w:t>
            </w:r>
            <w:r>
              <w:rPr>
                <w:rFonts w:hint="eastAsia" w:ascii="宋体" w:hAnsi="宋体" w:eastAsia="宋体" w:cs="宋体"/>
                <w:szCs w:val="21"/>
                <w:lang w:val="zh-CN"/>
              </w:rPr>
              <w:t>较全面具体，针对性较强，</w:t>
            </w:r>
            <w:r>
              <w:rPr>
                <w:rFonts w:hint="eastAsia" w:ascii="宋体" w:hAnsi="宋体" w:eastAsia="宋体" w:cs="宋体"/>
                <w:szCs w:val="21"/>
                <w:lang w:val="en-US" w:eastAsia="zh-CN"/>
              </w:rPr>
              <w:t>较</w:t>
            </w:r>
            <w:r>
              <w:rPr>
                <w:rFonts w:hint="eastAsia" w:ascii="宋体" w:hAnsi="宋体" w:eastAsia="宋体" w:cs="宋体"/>
                <w:szCs w:val="21"/>
                <w:lang w:val="zh-CN"/>
              </w:rPr>
              <w:t>科学合理、可操作性较好）的加</w:t>
            </w:r>
            <w:r>
              <w:rPr>
                <w:rFonts w:hint="eastAsia" w:ascii="宋体" w:hAnsi="宋体" w:eastAsia="宋体" w:cs="宋体"/>
                <w:szCs w:val="21"/>
                <w:lang w:val="en-US" w:eastAsia="zh-CN"/>
              </w:rPr>
              <w:t>5</w:t>
            </w:r>
            <w:r>
              <w:rPr>
                <w:rFonts w:hint="eastAsia" w:ascii="宋体" w:hAnsi="宋体" w:eastAsia="宋体" w:cs="宋体"/>
                <w:szCs w:val="21"/>
                <w:lang w:val="zh-CN"/>
              </w:rPr>
              <w:t>分；</w:t>
            </w:r>
          </w:p>
          <w:p>
            <w:pPr>
              <w:adjustRightInd w:val="0"/>
              <w:snapToGrid w:val="0"/>
              <w:spacing w:line="240" w:lineRule="auto"/>
              <w:jc w:val="left"/>
              <w:rPr>
                <w:rFonts w:hint="eastAsia" w:ascii="宋体" w:hAnsi="宋体" w:eastAsia="宋体" w:cs="宋体"/>
                <w:szCs w:val="21"/>
                <w:lang w:val="zh-CN"/>
              </w:rPr>
            </w:pPr>
            <w:r>
              <w:rPr>
                <w:rFonts w:hint="eastAsia" w:ascii="宋体" w:hAnsi="宋体" w:eastAsia="宋体" w:cs="宋体"/>
                <w:szCs w:val="21"/>
                <w:lang w:val="en-US" w:eastAsia="zh-CN"/>
              </w:rPr>
              <w:t>3.</w:t>
            </w:r>
            <w:r>
              <w:rPr>
                <w:rFonts w:hint="eastAsia" w:ascii="宋体" w:hAnsi="宋体" w:eastAsia="宋体" w:cs="宋体"/>
                <w:szCs w:val="21"/>
                <w:lang w:val="zh-CN"/>
              </w:rPr>
              <w:t>评价为中（</w:t>
            </w:r>
            <w:r>
              <w:rPr>
                <w:rFonts w:hint="eastAsia" w:ascii="宋体" w:hAnsi="宋体"/>
                <w:szCs w:val="21"/>
              </w:rPr>
              <w:t>重点难点分析、应对措施及相关的合理化建议</w:t>
            </w:r>
            <w:r>
              <w:rPr>
                <w:rFonts w:hint="eastAsia" w:ascii="宋体" w:hAnsi="宋体" w:eastAsia="宋体" w:cs="宋体"/>
                <w:szCs w:val="21"/>
                <w:lang w:val="en-US" w:eastAsia="zh-CN"/>
              </w:rPr>
              <w:t>不够</w:t>
            </w:r>
            <w:r>
              <w:rPr>
                <w:rFonts w:hint="eastAsia" w:ascii="宋体" w:hAnsi="宋体" w:eastAsia="宋体" w:cs="宋体"/>
                <w:szCs w:val="21"/>
                <w:lang w:val="zh-CN"/>
              </w:rPr>
              <w:t>全面具体，针对性一般，</w:t>
            </w:r>
            <w:r>
              <w:rPr>
                <w:rFonts w:hint="eastAsia" w:ascii="宋体" w:hAnsi="宋体" w:eastAsia="宋体" w:cs="宋体"/>
                <w:szCs w:val="21"/>
                <w:lang w:val="en-US" w:eastAsia="zh-CN"/>
              </w:rPr>
              <w:t>科学</w:t>
            </w:r>
            <w:r>
              <w:rPr>
                <w:rFonts w:hint="eastAsia" w:ascii="宋体" w:hAnsi="宋体" w:eastAsia="宋体" w:cs="宋体"/>
                <w:szCs w:val="21"/>
                <w:lang w:val="zh-CN"/>
              </w:rPr>
              <w:t>合理</w:t>
            </w:r>
            <w:r>
              <w:rPr>
                <w:rFonts w:hint="eastAsia" w:ascii="宋体" w:hAnsi="宋体" w:eastAsia="宋体" w:cs="宋体"/>
                <w:szCs w:val="21"/>
                <w:lang w:val="en-US" w:eastAsia="zh-CN"/>
              </w:rPr>
              <w:t>性</w:t>
            </w:r>
            <w:r>
              <w:rPr>
                <w:rFonts w:hint="eastAsia" w:ascii="宋体" w:hAnsi="宋体" w:eastAsia="宋体" w:cs="宋体"/>
                <w:szCs w:val="21"/>
                <w:lang w:val="zh-CN"/>
              </w:rPr>
              <w:t>及可操作</w:t>
            </w:r>
            <w:r>
              <w:rPr>
                <w:rFonts w:hint="eastAsia" w:ascii="宋体" w:hAnsi="宋体" w:cs="宋体"/>
                <w:szCs w:val="21"/>
                <w:lang w:val="zh-CN"/>
              </w:rPr>
              <w:t>性</w:t>
            </w:r>
            <w:r>
              <w:rPr>
                <w:rFonts w:hint="eastAsia" w:ascii="宋体" w:hAnsi="宋体" w:eastAsia="宋体" w:cs="宋体"/>
                <w:szCs w:val="21"/>
                <w:lang w:val="zh-CN"/>
              </w:rPr>
              <w:t>一般）的加</w:t>
            </w:r>
            <w:r>
              <w:rPr>
                <w:rFonts w:hint="eastAsia" w:ascii="宋体" w:hAnsi="宋体" w:eastAsia="宋体" w:cs="宋体"/>
                <w:szCs w:val="21"/>
                <w:lang w:val="en-US" w:eastAsia="zh-CN"/>
              </w:rPr>
              <w:t>3</w:t>
            </w:r>
            <w:r>
              <w:rPr>
                <w:rFonts w:hint="eastAsia" w:ascii="宋体" w:hAnsi="宋体" w:eastAsia="宋体" w:cs="宋体"/>
                <w:szCs w:val="21"/>
                <w:lang w:val="zh-CN"/>
              </w:rPr>
              <w:t>分；</w:t>
            </w:r>
          </w:p>
          <w:p>
            <w:pPr>
              <w:spacing w:line="240" w:lineRule="auto"/>
              <w:jc w:val="left"/>
              <w:rPr>
                <w:rFonts w:hint="eastAsia" w:ascii="宋体" w:hAnsi="宋体"/>
                <w:kern w:val="2"/>
                <w:sz w:val="21"/>
                <w:szCs w:val="21"/>
                <w:lang w:val="en-US" w:eastAsia="zh-CN" w:bidi="ar-SA"/>
              </w:rPr>
            </w:pPr>
            <w:r>
              <w:rPr>
                <w:rFonts w:hint="eastAsia" w:ascii="宋体" w:hAnsi="宋体" w:eastAsia="宋体" w:cs="宋体"/>
                <w:szCs w:val="21"/>
                <w:lang w:val="en-US" w:eastAsia="zh-CN"/>
              </w:rPr>
              <w:t>4.</w:t>
            </w:r>
            <w:r>
              <w:rPr>
                <w:rFonts w:hint="eastAsia" w:ascii="宋体" w:hAnsi="宋体" w:eastAsia="宋体" w:cs="宋体"/>
                <w:szCs w:val="21"/>
                <w:lang w:val="zh-CN"/>
              </w:rPr>
              <w:t>评价为差（</w:t>
            </w:r>
            <w:r>
              <w:rPr>
                <w:rFonts w:hint="eastAsia" w:ascii="宋体" w:hAnsi="宋体"/>
                <w:szCs w:val="21"/>
              </w:rPr>
              <w:t>重点难点分析、应对措施及相关的合理化建议</w:t>
            </w:r>
            <w:r>
              <w:rPr>
                <w:rFonts w:hint="eastAsia" w:ascii="宋体" w:hAnsi="宋体" w:eastAsia="宋体" w:cs="宋体"/>
                <w:szCs w:val="21"/>
                <w:lang w:val="en-US" w:eastAsia="zh-CN"/>
              </w:rPr>
              <w:t>不</w:t>
            </w:r>
            <w:r>
              <w:rPr>
                <w:rFonts w:hint="eastAsia" w:ascii="宋体" w:hAnsi="宋体" w:eastAsia="宋体" w:cs="宋体"/>
                <w:szCs w:val="21"/>
                <w:lang w:val="zh-CN"/>
              </w:rPr>
              <w:t>全面具体，针对性</w:t>
            </w:r>
            <w:r>
              <w:rPr>
                <w:rFonts w:hint="eastAsia" w:ascii="宋体" w:hAnsi="宋体" w:eastAsia="宋体" w:cs="宋体"/>
                <w:szCs w:val="21"/>
                <w:lang w:val="en-US" w:eastAsia="zh-CN"/>
              </w:rPr>
              <w:t>差</w:t>
            </w:r>
            <w:r>
              <w:rPr>
                <w:rFonts w:hint="eastAsia" w:ascii="宋体" w:hAnsi="宋体" w:eastAsia="宋体" w:cs="宋体"/>
                <w:szCs w:val="21"/>
                <w:lang w:val="zh-CN"/>
              </w:rPr>
              <w:t>、科学合理</w:t>
            </w:r>
            <w:r>
              <w:rPr>
                <w:rFonts w:hint="eastAsia" w:ascii="宋体" w:hAnsi="宋体" w:eastAsia="宋体" w:cs="宋体"/>
                <w:szCs w:val="21"/>
                <w:lang w:val="en-US" w:eastAsia="zh-CN"/>
              </w:rPr>
              <w:t>性差</w:t>
            </w:r>
            <w:r>
              <w:rPr>
                <w:rFonts w:hint="eastAsia" w:ascii="宋体" w:hAnsi="宋体" w:eastAsia="宋体" w:cs="宋体"/>
                <w:szCs w:val="21"/>
                <w:lang w:val="zh-CN"/>
              </w:rPr>
              <w:t>、可操作性</w:t>
            </w:r>
            <w:r>
              <w:rPr>
                <w:rFonts w:hint="eastAsia" w:ascii="宋体" w:hAnsi="宋体" w:eastAsia="宋体" w:cs="宋体"/>
                <w:szCs w:val="21"/>
                <w:lang w:val="en-US" w:eastAsia="zh-CN"/>
              </w:rPr>
              <w:t>差</w:t>
            </w:r>
            <w:r>
              <w:rPr>
                <w:rFonts w:hint="eastAsia" w:ascii="宋体" w:hAnsi="宋体" w:eastAsia="宋体" w:cs="宋体"/>
                <w:szCs w:val="21"/>
                <w:lang w:val="zh-CN"/>
              </w:rPr>
              <w:t>）或未提供方案的不加分。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uto"/>
              <w:jc w:val="center"/>
              <w:rPr>
                <w:kern w:val="0"/>
                <w:szCs w:val="21"/>
              </w:rPr>
            </w:pPr>
            <w:r>
              <w:rPr>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cs="宋体"/>
                <w:sz w:val="22"/>
                <w:szCs w:val="22"/>
                <w:lang w:val="en-US" w:eastAsia="zh-CN"/>
              </w:rPr>
            </w:pPr>
          </w:p>
          <w:p>
            <w:pPr>
              <w:wordWrap w:val="0"/>
              <w:jc w:val="center"/>
              <w:rPr>
                <w:rFonts w:hint="eastAsia" w:ascii="宋体" w:hAnsi="宋体" w:cs="宋体"/>
                <w:sz w:val="22"/>
                <w:szCs w:val="22"/>
                <w:lang w:val="en-US" w:eastAsia="zh-CN"/>
              </w:rPr>
            </w:pPr>
          </w:p>
          <w:p>
            <w:pPr>
              <w:wordWrap w:val="0"/>
              <w:jc w:val="center"/>
              <w:rPr>
                <w:rFonts w:hint="eastAsia" w:ascii="宋体" w:hAnsi="宋体" w:cs="宋体"/>
                <w:sz w:val="22"/>
                <w:szCs w:val="22"/>
                <w:lang w:val="en-US" w:eastAsia="zh-CN"/>
              </w:rPr>
            </w:pPr>
          </w:p>
          <w:p>
            <w:pPr>
              <w:wordWrap w:val="0"/>
              <w:jc w:val="center"/>
              <w:rPr>
                <w:rFonts w:hint="eastAsia" w:ascii="宋体" w:hAnsi="宋体" w:cs="宋体"/>
                <w:sz w:val="22"/>
                <w:szCs w:val="22"/>
                <w:lang w:val="en-US" w:eastAsia="zh-CN"/>
              </w:rPr>
            </w:pPr>
          </w:p>
          <w:p>
            <w:pPr>
              <w:wordWrap w:val="0"/>
              <w:jc w:val="center"/>
              <w:rPr>
                <w:rFonts w:hint="eastAsia" w:ascii="宋体" w:hAnsi="宋体" w:cs="宋体"/>
                <w:sz w:val="22"/>
                <w:szCs w:val="22"/>
                <w:lang w:val="en-US" w:eastAsia="zh-CN"/>
              </w:rPr>
            </w:pPr>
          </w:p>
          <w:p>
            <w:pPr>
              <w:wordWrap w:val="0"/>
              <w:jc w:val="center"/>
              <w:rPr>
                <w:rFonts w:hint="eastAsia" w:ascii="宋体" w:hAnsi="宋体" w:cs="宋体"/>
                <w:sz w:val="22"/>
                <w:szCs w:val="22"/>
                <w:lang w:val="en-US" w:eastAsia="zh-CN"/>
              </w:rPr>
            </w:pPr>
          </w:p>
          <w:p>
            <w:pPr>
              <w:wordWrap w:val="0"/>
              <w:jc w:val="center"/>
              <w:rPr>
                <w:rFonts w:hint="eastAsia" w:ascii="宋体" w:hAnsi="宋体" w:cs="宋体"/>
                <w:sz w:val="22"/>
                <w:szCs w:val="22"/>
                <w:lang w:val="en-US" w:eastAsia="zh-CN"/>
              </w:rPr>
            </w:pPr>
          </w:p>
          <w:p>
            <w:pPr>
              <w:wordWrap w:val="0"/>
              <w:jc w:val="center"/>
              <w:rPr>
                <w:rFonts w:hint="default" w:ascii="宋体" w:hAnsi="宋体" w:cs="宋体"/>
                <w:sz w:val="22"/>
                <w:szCs w:val="22"/>
                <w:lang w:val="en-US" w:eastAsia="zh-CN"/>
              </w:rPr>
            </w:pPr>
            <w:r>
              <w:rPr>
                <w:rFonts w:hint="eastAsia" w:ascii="宋体" w:hAnsi="宋体" w:cs="宋体"/>
                <w:sz w:val="22"/>
                <w:szCs w:val="22"/>
                <w:lang w:val="en-US" w:eastAsia="zh-CN"/>
              </w:rPr>
              <w:t>3</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cs="宋体"/>
                <w:color w:val="auto"/>
                <w:kern w:val="2"/>
                <w:sz w:val="21"/>
                <w:szCs w:val="21"/>
                <w:lang w:val="en-US" w:eastAsia="zh-CN" w:bidi="ar-SA"/>
              </w:rPr>
            </w:pPr>
            <w:r>
              <w:rPr>
                <w:rFonts w:hint="eastAsia" w:ascii="宋体" w:hAnsi="宋体" w:eastAsia="宋体"/>
                <w:szCs w:val="21"/>
              </w:rPr>
              <w:t>拟安排的</w:t>
            </w:r>
            <w:r>
              <w:rPr>
                <w:rFonts w:hint="eastAsia" w:ascii="宋体" w:hAnsi="宋体" w:eastAsia="宋体"/>
                <w:szCs w:val="21"/>
                <w:lang w:val="en-US" w:eastAsia="zh-CN"/>
              </w:rPr>
              <w:t>项目负责人情况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8</w:t>
            </w:r>
          </w:p>
        </w:tc>
        <w:tc>
          <w:tcPr>
            <w:tcW w:w="471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评分内容：</w:t>
            </w:r>
          </w:p>
          <w:p>
            <w:pPr>
              <w:wordWrap w:val="0"/>
              <w:spacing w:line="240" w:lineRule="auto"/>
              <w:rPr>
                <w:rFonts w:hint="eastAsia" w:ascii="宋体" w:hAnsi="宋体" w:eastAsia="宋体" w:cs="宋体"/>
                <w:color w:val="auto"/>
                <w:kern w:val="44"/>
                <w:sz w:val="21"/>
                <w:szCs w:val="21"/>
                <w:lang w:val="en-US" w:eastAsia="zh-CN"/>
              </w:rPr>
            </w:pPr>
            <w:r>
              <w:rPr>
                <w:rFonts w:hint="eastAsia" w:ascii="宋体" w:hAnsi="宋体" w:cs="宋体"/>
                <w:color w:val="auto"/>
                <w:kern w:val="44"/>
                <w:sz w:val="21"/>
                <w:szCs w:val="21"/>
                <w:lang w:val="en-US" w:eastAsia="zh-CN"/>
              </w:rPr>
              <w:t>1.</w:t>
            </w:r>
            <w:r>
              <w:rPr>
                <w:rFonts w:hint="eastAsia" w:ascii="宋体" w:hAnsi="宋体" w:eastAsia="宋体" w:cs="宋体"/>
                <w:color w:val="auto"/>
              </w:rPr>
              <w:t>拟安排</w:t>
            </w:r>
            <w:r>
              <w:rPr>
                <w:rFonts w:hint="eastAsia" w:ascii="宋体" w:hAnsi="宋体" w:eastAsia="宋体" w:cs="宋体"/>
                <w:color w:val="auto"/>
                <w:lang w:val="en-US" w:eastAsia="zh-CN"/>
              </w:rPr>
              <w:t>的</w:t>
            </w:r>
            <w:r>
              <w:rPr>
                <w:rFonts w:hint="eastAsia" w:ascii="宋体" w:hAnsi="宋体" w:eastAsia="宋体" w:cs="宋体"/>
                <w:color w:val="auto"/>
              </w:rPr>
              <w:t>项目负责人为投标单位员工（以社保为准），否则本项不得分。</w:t>
            </w:r>
          </w:p>
          <w:p>
            <w:pPr>
              <w:wordWrap w:val="0"/>
              <w:spacing w:line="240" w:lineRule="auto"/>
              <w:rPr>
                <w:rFonts w:hint="eastAsia" w:ascii="宋体" w:hAnsi="宋体" w:cs="宋体"/>
                <w:color w:val="auto"/>
                <w:kern w:val="44"/>
                <w:sz w:val="21"/>
                <w:szCs w:val="21"/>
                <w:lang w:val="en-US" w:eastAsia="zh-CN"/>
              </w:rPr>
            </w:pPr>
            <w:r>
              <w:rPr>
                <w:rFonts w:hint="eastAsia" w:ascii="宋体" w:hAnsi="宋体" w:eastAsia="宋体" w:cs="宋体"/>
                <w:color w:val="auto"/>
                <w:kern w:val="44"/>
                <w:sz w:val="21"/>
                <w:szCs w:val="21"/>
                <w:lang w:val="en-US" w:eastAsia="zh-CN"/>
              </w:rPr>
              <w:t>（1）</w:t>
            </w:r>
            <w:r>
              <w:rPr>
                <w:rFonts w:hint="eastAsia" w:ascii="宋体" w:hAnsi="宋体" w:eastAsia="宋体" w:cs="宋体"/>
                <w:color w:val="auto"/>
                <w:kern w:val="44"/>
                <w:sz w:val="21"/>
                <w:szCs w:val="21"/>
              </w:rPr>
              <w:t>20</w:t>
            </w:r>
            <w:r>
              <w:rPr>
                <w:rFonts w:hint="eastAsia" w:ascii="宋体" w:hAnsi="宋体" w:eastAsia="宋体" w:cs="宋体"/>
                <w:color w:val="auto"/>
                <w:kern w:val="44"/>
                <w:sz w:val="21"/>
                <w:szCs w:val="21"/>
                <w:lang w:val="en-US" w:eastAsia="zh-CN"/>
              </w:rPr>
              <w:t>22</w:t>
            </w:r>
            <w:r>
              <w:rPr>
                <w:rFonts w:hint="eastAsia" w:ascii="宋体" w:hAnsi="宋体" w:eastAsia="宋体" w:cs="宋体"/>
                <w:color w:val="auto"/>
                <w:kern w:val="44"/>
                <w:sz w:val="21"/>
                <w:szCs w:val="21"/>
              </w:rPr>
              <w:t>年</w:t>
            </w:r>
            <w:r>
              <w:rPr>
                <w:rFonts w:hint="eastAsia" w:ascii="宋体" w:hAnsi="宋体" w:cs="宋体"/>
                <w:color w:val="auto"/>
                <w:kern w:val="44"/>
                <w:sz w:val="21"/>
                <w:szCs w:val="21"/>
                <w:lang w:val="en-US" w:eastAsia="zh-CN"/>
              </w:rPr>
              <w:t>8</w:t>
            </w:r>
            <w:r>
              <w:rPr>
                <w:rFonts w:hint="eastAsia" w:ascii="宋体" w:hAnsi="宋体" w:eastAsia="宋体" w:cs="宋体"/>
                <w:color w:val="auto"/>
                <w:kern w:val="44"/>
                <w:sz w:val="21"/>
                <w:szCs w:val="21"/>
                <w:lang w:val="en-US" w:eastAsia="zh-CN"/>
              </w:rPr>
              <w:t>月</w:t>
            </w:r>
            <w:r>
              <w:rPr>
                <w:rFonts w:hint="eastAsia" w:ascii="宋体" w:hAnsi="宋体" w:eastAsia="宋体" w:cs="宋体"/>
                <w:color w:val="auto"/>
                <w:kern w:val="44"/>
                <w:sz w:val="21"/>
                <w:szCs w:val="21"/>
              </w:rPr>
              <w:t>1日至</w:t>
            </w:r>
            <w:r>
              <w:rPr>
                <w:rFonts w:hint="eastAsia" w:ascii="宋体" w:hAnsi="宋体" w:eastAsia="宋体" w:cs="宋体"/>
                <w:color w:val="auto"/>
                <w:szCs w:val="21"/>
              </w:rPr>
              <w:t>本项目投标截止之日</w:t>
            </w:r>
            <w:r>
              <w:rPr>
                <w:rFonts w:hint="eastAsia" w:ascii="宋体" w:hAnsi="宋体" w:eastAsia="宋体" w:cs="宋体"/>
                <w:color w:val="auto"/>
                <w:szCs w:val="21"/>
                <w:lang w:val="en-US" w:eastAsia="zh-CN"/>
              </w:rPr>
              <w:t>具有</w:t>
            </w:r>
            <w:r>
              <w:rPr>
                <w:rFonts w:hint="eastAsia" w:ascii="宋体" w:hAnsi="宋体" w:eastAsia="宋体" w:cs="宋体"/>
                <w:color w:val="auto"/>
                <w:kern w:val="44"/>
                <w:sz w:val="21"/>
                <w:szCs w:val="21"/>
              </w:rPr>
              <w:t>在医疗</w:t>
            </w:r>
            <w:r>
              <w:rPr>
                <w:rFonts w:hint="eastAsia" w:ascii="宋体" w:hAnsi="宋体" w:eastAsia="宋体" w:cs="宋体"/>
                <w:color w:val="auto"/>
                <w:kern w:val="44"/>
                <w:sz w:val="21"/>
                <w:szCs w:val="21"/>
                <w:lang w:val="en-US" w:eastAsia="zh-CN"/>
              </w:rPr>
              <w:t>纠纷调解服务</w:t>
            </w:r>
            <w:r>
              <w:rPr>
                <w:rFonts w:hint="eastAsia" w:ascii="宋体" w:hAnsi="宋体" w:eastAsia="宋体" w:cs="宋体"/>
                <w:color w:val="auto"/>
                <w:kern w:val="44"/>
                <w:sz w:val="21"/>
                <w:szCs w:val="21"/>
              </w:rPr>
              <w:t>项目中担任</w:t>
            </w:r>
            <w:r>
              <w:rPr>
                <w:rFonts w:hint="eastAsia" w:ascii="宋体" w:hAnsi="宋体" w:cs="宋体"/>
                <w:color w:val="auto"/>
                <w:kern w:val="44"/>
                <w:sz w:val="21"/>
                <w:szCs w:val="21"/>
                <w:lang w:val="en-US" w:eastAsia="zh-CN"/>
              </w:rPr>
              <w:t>项目</w:t>
            </w:r>
            <w:r>
              <w:rPr>
                <w:rFonts w:hint="eastAsia" w:ascii="宋体" w:hAnsi="宋体" w:eastAsia="宋体" w:cs="宋体"/>
                <w:color w:val="auto"/>
                <w:kern w:val="44"/>
                <w:sz w:val="21"/>
                <w:szCs w:val="21"/>
              </w:rPr>
              <w:t>负责人</w:t>
            </w:r>
            <w:r>
              <w:rPr>
                <w:rFonts w:hint="eastAsia" w:ascii="宋体" w:hAnsi="宋体" w:cs="宋体"/>
                <w:color w:val="auto"/>
                <w:kern w:val="44"/>
                <w:sz w:val="21"/>
                <w:szCs w:val="21"/>
                <w:lang w:val="en-US" w:eastAsia="zh-CN"/>
              </w:rPr>
              <w:t>经验</w:t>
            </w:r>
            <w:r>
              <w:rPr>
                <w:rFonts w:hint="eastAsia" w:ascii="宋体" w:hAnsi="宋体" w:eastAsia="宋体" w:cs="宋体"/>
                <w:color w:val="auto"/>
                <w:kern w:val="44"/>
                <w:sz w:val="21"/>
                <w:szCs w:val="21"/>
              </w:rPr>
              <w:t>的</w:t>
            </w:r>
            <w:r>
              <w:rPr>
                <w:rFonts w:hint="eastAsia" w:ascii="宋体" w:hAnsi="宋体" w:cs="宋体"/>
                <w:color w:val="auto"/>
                <w:kern w:val="44"/>
                <w:sz w:val="21"/>
                <w:szCs w:val="21"/>
                <w:lang w:eastAsia="zh-CN"/>
              </w:rPr>
              <w:t>，</w:t>
            </w:r>
            <w:r>
              <w:rPr>
                <w:rFonts w:hint="eastAsia" w:ascii="宋体" w:hAnsi="宋体" w:cs="宋体"/>
                <w:color w:val="auto"/>
                <w:kern w:val="44"/>
                <w:sz w:val="21"/>
                <w:szCs w:val="21"/>
                <w:lang w:val="en-US" w:eastAsia="zh-CN"/>
              </w:rPr>
              <w:t>每具有1个项目经验得2分，最高得6分；</w:t>
            </w:r>
          </w:p>
          <w:p>
            <w:pPr>
              <w:wordWrap w:val="0"/>
              <w:spacing w:line="240" w:lineRule="auto"/>
              <w:rPr>
                <w:rFonts w:hint="eastAsia" w:ascii="宋体" w:hAnsi="宋体" w:cs="宋体"/>
                <w:color w:val="auto"/>
                <w:kern w:val="44"/>
                <w:sz w:val="21"/>
                <w:szCs w:val="21"/>
                <w:lang w:val="en-US" w:eastAsia="zh-CN"/>
              </w:rPr>
            </w:pPr>
            <w:r>
              <w:rPr>
                <w:rFonts w:hint="eastAsia" w:ascii="宋体" w:hAnsi="宋体" w:cs="宋体"/>
                <w:color w:val="auto"/>
                <w:kern w:val="44"/>
                <w:sz w:val="21"/>
                <w:szCs w:val="21"/>
                <w:lang w:val="en-US" w:eastAsia="zh-CN"/>
              </w:rPr>
              <w:t>（2）具有本科或以上（法学专业）学历的，得2分。</w:t>
            </w:r>
          </w:p>
          <w:p>
            <w:pPr>
              <w:wordWrap w:val="0"/>
              <w:spacing w:line="240" w:lineRule="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lang w:eastAsia="zh-CN"/>
              </w:rPr>
              <w:t>（</w:t>
            </w:r>
            <w:r>
              <w:rPr>
                <w:rFonts w:hint="eastAsia" w:ascii="宋体" w:hAnsi="宋体" w:eastAsia="宋体" w:cs="宋体"/>
                <w:color w:val="auto"/>
                <w:kern w:val="44"/>
                <w:sz w:val="21"/>
                <w:szCs w:val="21"/>
                <w:lang w:val="en-US" w:eastAsia="zh-CN"/>
              </w:rPr>
              <w:t>二</w:t>
            </w:r>
            <w:r>
              <w:rPr>
                <w:rFonts w:hint="eastAsia" w:ascii="宋体" w:hAnsi="宋体" w:eastAsia="宋体" w:cs="宋体"/>
                <w:color w:val="auto"/>
                <w:kern w:val="44"/>
                <w:sz w:val="21"/>
                <w:szCs w:val="21"/>
                <w:lang w:eastAsia="zh-CN"/>
              </w:rPr>
              <w:t>）</w:t>
            </w:r>
            <w:r>
              <w:rPr>
                <w:rFonts w:hint="eastAsia" w:ascii="宋体" w:hAnsi="宋体" w:eastAsia="宋体" w:cs="宋体"/>
                <w:color w:val="auto"/>
                <w:kern w:val="44"/>
                <w:sz w:val="21"/>
                <w:szCs w:val="21"/>
              </w:rPr>
              <w:t>评分依据：</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1.提供上述人员近一个月投标人为其购买的社保证明；如开标日上一个月的社保材料因社保部门或税务部门原因暂时无法取得，则可以往前顺延一个月；如投标方注册成立时间不足1个月的，可提供承诺函（格式自拟）。退休返聘人员提供相关人员退休证及劳动合同。</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2.提供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证书【或教育部留学服务中心网站在线查询截图】也予以认可）。</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3.涉及考察人员工作经验，要求提供项目合同关键信息作为得分依据，通过合同关键信息无法判断是否得分的，可以提供其他证明文件（加盖公章或业务章）。</w:t>
            </w:r>
          </w:p>
          <w:p>
            <w:pPr>
              <w:wordWrap w:val="0"/>
              <w:spacing w:line="24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以上证明文件原件备查，未按要求提供或提供不清晰、不完整导致专家无法判断的不得分。</w:t>
            </w:r>
          </w:p>
          <w:p>
            <w:pPr>
              <w:wordWrap w:val="0"/>
              <w:spacing w:line="240" w:lineRule="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lang w:eastAsia="zh-CN"/>
              </w:rPr>
              <w:t>（</w:t>
            </w:r>
            <w:r>
              <w:rPr>
                <w:rFonts w:hint="eastAsia" w:ascii="宋体" w:hAnsi="宋体" w:eastAsia="宋体" w:cs="宋体"/>
                <w:color w:val="auto"/>
                <w:kern w:val="44"/>
                <w:sz w:val="21"/>
                <w:szCs w:val="21"/>
                <w:lang w:val="en-US" w:eastAsia="zh-CN"/>
              </w:rPr>
              <w:t>1</w:t>
            </w:r>
            <w:r>
              <w:rPr>
                <w:rFonts w:hint="eastAsia" w:ascii="宋体" w:hAnsi="宋体" w:eastAsia="宋体" w:cs="宋体"/>
                <w:color w:val="auto"/>
                <w:kern w:val="44"/>
                <w:sz w:val="21"/>
                <w:szCs w:val="21"/>
                <w:lang w:eastAsia="zh-CN"/>
              </w:rPr>
              <w:t>）</w:t>
            </w:r>
            <w:r>
              <w:rPr>
                <w:rFonts w:hint="eastAsia" w:ascii="宋体" w:hAnsi="宋体" w:eastAsia="宋体" w:cs="宋体"/>
                <w:color w:val="auto"/>
                <w:kern w:val="44"/>
                <w:sz w:val="21"/>
                <w:szCs w:val="21"/>
              </w:rPr>
              <w:t>要求提供</w:t>
            </w:r>
            <w:r>
              <w:rPr>
                <w:rFonts w:hint="eastAsia" w:ascii="宋体" w:hAnsi="宋体" w:cs="宋体"/>
                <w:color w:val="auto"/>
                <w:kern w:val="44"/>
                <w:sz w:val="21"/>
                <w:szCs w:val="21"/>
                <w:lang w:val="en-US" w:eastAsia="zh-CN"/>
              </w:rPr>
              <w:t>相关</w:t>
            </w:r>
            <w:r>
              <w:rPr>
                <w:rFonts w:hint="eastAsia" w:ascii="宋体" w:hAnsi="宋体" w:eastAsia="宋体" w:cs="宋体"/>
                <w:color w:val="auto"/>
                <w:kern w:val="44"/>
                <w:sz w:val="21"/>
                <w:szCs w:val="21"/>
                <w:lang w:val="en-US" w:eastAsia="zh-CN"/>
              </w:rPr>
              <w:t>学历</w:t>
            </w:r>
            <w:r>
              <w:rPr>
                <w:rFonts w:hint="eastAsia" w:ascii="宋体" w:hAnsi="宋体" w:eastAsia="宋体" w:cs="宋体"/>
                <w:color w:val="auto"/>
                <w:kern w:val="44"/>
                <w:sz w:val="21"/>
                <w:szCs w:val="21"/>
              </w:rPr>
              <w:t>证书复印件</w:t>
            </w:r>
            <w:r>
              <w:rPr>
                <w:rFonts w:hint="eastAsia" w:ascii="宋体" w:hAnsi="宋体" w:cs="宋体"/>
                <w:color w:val="auto"/>
                <w:kern w:val="44"/>
                <w:sz w:val="21"/>
                <w:szCs w:val="21"/>
                <w:lang w:val="en-US" w:eastAsia="zh-CN"/>
              </w:rPr>
              <w:t>扫描件</w:t>
            </w:r>
            <w:r>
              <w:rPr>
                <w:rFonts w:hint="eastAsia" w:ascii="宋体" w:hAnsi="宋体" w:eastAsia="宋体" w:cs="宋体"/>
                <w:color w:val="auto"/>
                <w:kern w:val="44"/>
                <w:sz w:val="21"/>
                <w:szCs w:val="21"/>
              </w:rPr>
              <w:t>，原件备查。</w:t>
            </w:r>
          </w:p>
          <w:p>
            <w:pPr>
              <w:wordWrap w:val="0"/>
              <w:spacing w:line="240" w:lineRule="auto"/>
              <w:rPr>
                <w:rFonts w:hint="eastAsia" w:ascii="宋体" w:hAnsi="宋体" w:eastAsia="宋体" w:cs="宋体"/>
                <w:color w:val="auto"/>
                <w:kern w:val="44"/>
                <w:sz w:val="21"/>
                <w:szCs w:val="21"/>
                <w:lang w:val="en-US" w:eastAsia="zh-CN"/>
              </w:rPr>
            </w:pPr>
            <w:r>
              <w:rPr>
                <w:rFonts w:hint="eastAsia" w:ascii="宋体" w:hAnsi="宋体" w:eastAsia="宋体" w:cs="宋体"/>
                <w:color w:val="auto"/>
                <w:kern w:val="44"/>
                <w:sz w:val="21"/>
                <w:szCs w:val="21"/>
                <w:lang w:eastAsia="zh-CN"/>
              </w:rPr>
              <w:t>（</w:t>
            </w:r>
            <w:r>
              <w:rPr>
                <w:rFonts w:hint="eastAsia" w:ascii="宋体" w:hAnsi="宋体" w:eastAsia="宋体" w:cs="宋体"/>
                <w:color w:val="auto"/>
                <w:kern w:val="44"/>
                <w:sz w:val="21"/>
                <w:szCs w:val="21"/>
                <w:lang w:val="en-US" w:eastAsia="zh-CN"/>
              </w:rPr>
              <w:t>2</w:t>
            </w:r>
            <w:r>
              <w:rPr>
                <w:rFonts w:hint="eastAsia" w:ascii="宋体" w:hAnsi="宋体" w:eastAsia="宋体" w:cs="宋体"/>
                <w:color w:val="auto"/>
                <w:kern w:val="44"/>
                <w:sz w:val="21"/>
                <w:szCs w:val="21"/>
                <w:lang w:eastAsia="zh-CN"/>
              </w:rPr>
              <w:t>）</w:t>
            </w:r>
            <w:r>
              <w:rPr>
                <w:rFonts w:hint="eastAsia" w:ascii="宋体" w:hAnsi="宋体" w:eastAsia="宋体" w:cs="宋体"/>
                <w:color w:val="auto"/>
                <w:kern w:val="44"/>
                <w:sz w:val="21"/>
                <w:szCs w:val="21"/>
              </w:rPr>
              <w:t>如涉及考察人员工作经验，要求提供项目合同关键信息作为得分依据，通过合同关键信息无法判断是否得分的，</w:t>
            </w:r>
            <w:r>
              <w:rPr>
                <w:rFonts w:hint="eastAsia" w:ascii="宋体" w:hAnsi="宋体" w:eastAsia="宋体"/>
                <w:color w:val="auto"/>
                <w:szCs w:val="21"/>
              </w:rPr>
              <w:t>可提供能证明得分的</w:t>
            </w:r>
            <w:r>
              <w:rPr>
                <w:rFonts w:hint="eastAsia" w:ascii="宋体" w:hAnsi="宋体" w:eastAsia="宋体"/>
                <w:color w:val="auto"/>
                <w:szCs w:val="21"/>
                <w:lang w:eastAsia="zh-CN"/>
              </w:rPr>
              <w:t>其他证明</w:t>
            </w:r>
            <w:r>
              <w:rPr>
                <w:rFonts w:hint="eastAsia" w:ascii="宋体" w:hAnsi="宋体" w:eastAsia="宋体"/>
                <w:color w:val="auto"/>
                <w:szCs w:val="21"/>
              </w:rPr>
              <w:t>资料，如项目报告或合同甲方出具的证明文件等</w:t>
            </w:r>
            <w:r>
              <w:rPr>
                <w:rFonts w:hint="eastAsia" w:ascii="宋体" w:hAnsi="宋体" w:eastAsia="宋体"/>
                <w:color w:val="auto"/>
                <w:szCs w:val="21"/>
                <w:lang w:eastAsia="zh-CN"/>
              </w:rPr>
              <w:t>（</w:t>
            </w:r>
            <w:r>
              <w:rPr>
                <w:rFonts w:hint="eastAsia" w:ascii="宋体" w:hAnsi="宋体" w:eastAsia="宋体"/>
                <w:color w:val="auto"/>
                <w:szCs w:val="21"/>
              </w:rPr>
              <w:t>加盖公章</w:t>
            </w:r>
            <w:r>
              <w:rPr>
                <w:rFonts w:hint="eastAsia" w:ascii="宋体" w:hAnsi="宋体" w:eastAsia="宋体"/>
                <w:color w:val="auto"/>
                <w:szCs w:val="21"/>
                <w:lang w:eastAsia="zh-CN"/>
              </w:rPr>
              <w:t>）</w:t>
            </w:r>
            <w:r>
              <w:rPr>
                <w:rFonts w:hint="eastAsia" w:ascii="宋体" w:hAnsi="宋体" w:eastAsia="宋体"/>
                <w:color w:val="auto"/>
                <w:szCs w:val="21"/>
              </w:rPr>
              <w:t>；以上材料提供复印件或扫描件，原件备查</w:t>
            </w:r>
            <w:r>
              <w:rPr>
                <w:rFonts w:hint="eastAsia" w:ascii="宋体" w:hAnsi="宋体" w:eastAsia="宋体" w:cs="宋体"/>
                <w:color w:val="auto"/>
                <w:kern w:val="44"/>
                <w:sz w:val="21"/>
                <w:szCs w:val="21"/>
                <w:lang w:val="en-US" w:eastAsia="zh-CN"/>
              </w:rPr>
              <w:t>。</w:t>
            </w:r>
          </w:p>
          <w:p>
            <w:pPr>
              <w:wordWrap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44"/>
                <w:sz w:val="21"/>
                <w:szCs w:val="21"/>
              </w:rPr>
              <w:t>评分中出现无证明资料或专家无法凭所提供资料判断是否得分的情况，一律作不得分处理。</w:t>
            </w:r>
            <w:r>
              <w:rPr>
                <w:rFonts w:hint="eastAsia" w:ascii="宋体" w:hAnsi="宋体" w:eastAsia="宋体" w:cs="宋体"/>
                <w:color w:val="auto"/>
                <w:sz w:val="21"/>
                <w:szCs w:val="21"/>
              </w:rPr>
              <w:t xml:space="preserve">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1" w:lineRule="atLeast"/>
              <w:jc w:val="center"/>
              <w:rPr>
                <w:color w:val="auto"/>
                <w:kern w:val="0"/>
                <w:szCs w:val="21"/>
              </w:rPr>
            </w:pPr>
            <w:r>
              <w:rPr>
                <w:color w:val="auto"/>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Cs w:val="21"/>
                <w:lang w:val="en-US" w:eastAsia="zh-CN"/>
              </w:rPr>
              <w:t>3</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44"/>
                <w:sz w:val="21"/>
                <w:szCs w:val="21"/>
              </w:rPr>
              <w:t>拟安排的项目其他成员</w:t>
            </w:r>
            <w:r>
              <w:rPr>
                <w:rFonts w:hint="eastAsia" w:ascii="宋体" w:hAnsi="宋体" w:cs="宋体"/>
                <w:color w:val="auto"/>
                <w:kern w:val="44"/>
                <w:sz w:val="21"/>
                <w:szCs w:val="21"/>
                <w:lang w:val="en-US" w:eastAsia="zh-CN"/>
              </w:rPr>
              <w:t>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c>
          <w:tcPr>
            <w:tcW w:w="4718"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b/>
                <w:bCs/>
              </w:rPr>
              <w:t>（一）评分内容：</w:t>
            </w:r>
            <w:r>
              <w:rPr>
                <w:rFonts w:hint="eastAsia"/>
              </w:rPr>
              <w:t>拟安排项目主要团队成员</w:t>
            </w:r>
            <w:r>
              <w:rPr>
                <w:rFonts w:hint="eastAsia"/>
                <w:lang w:eastAsia="zh-CN"/>
              </w:rPr>
              <w:t>（</w:t>
            </w:r>
            <w:r>
              <w:rPr>
                <w:rFonts w:hint="eastAsia"/>
                <w:lang w:val="en-US" w:eastAsia="zh-CN"/>
              </w:rPr>
              <w:t>除项目负责人外</w:t>
            </w:r>
            <w:r>
              <w:rPr>
                <w:rFonts w:hint="eastAsia"/>
                <w:lang w:eastAsia="zh-CN"/>
              </w:rPr>
              <w:t>）</w:t>
            </w:r>
            <w:r>
              <w:rPr>
                <w:rFonts w:hint="eastAsia"/>
              </w:rPr>
              <w:t>为投标单位员工（以社保为准），否则该人员情况不计分。</w:t>
            </w:r>
          </w:p>
          <w:p>
            <w:pPr>
              <w:rPr>
                <w:rFonts w:hint="eastAsia"/>
              </w:rPr>
            </w:pPr>
            <w:r>
              <w:rPr>
                <w:rFonts w:hint="eastAsia"/>
                <w:lang w:val="en-US" w:eastAsia="zh-CN"/>
              </w:rPr>
              <w:t>1.</w:t>
            </w:r>
            <w:r>
              <w:rPr>
                <w:rFonts w:hint="eastAsia"/>
              </w:rPr>
              <w:t>拟安排项目主要团队成员</w:t>
            </w:r>
            <w:r>
              <w:rPr>
                <w:rFonts w:hint="eastAsia"/>
                <w:lang w:val="en-US" w:eastAsia="zh-CN"/>
              </w:rPr>
              <w:t>不少于3人得3分，每增加1人得1分，最高</w:t>
            </w:r>
            <w:r>
              <w:rPr>
                <w:rFonts w:hint="eastAsia"/>
              </w:rPr>
              <w:t>得</w:t>
            </w:r>
            <w:r>
              <w:rPr>
                <w:rFonts w:hint="eastAsia"/>
                <w:lang w:val="en-US" w:eastAsia="zh-CN"/>
              </w:rPr>
              <w:t>5</w:t>
            </w:r>
            <w:r>
              <w:rPr>
                <w:rFonts w:hint="eastAsia"/>
              </w:rPr>
              <w:t>分；</w:t>
            </w:r>
          </w:p>
          <w:p>
            <w:pPr>
              <w:rPr>
                <w:rFonts w:hint="eastAsia"/>
              </w:rPr>
            </w:pPr>
            <w:r>
              <w:rPr>
                <w:rFonts w:hint="eastAsia"/>
                <w:lang w:val="en-US" w:eastAsia="zh-CN"/>
              </w:rPr>
              <w:t>2.</w:t>
            </w:r>
            <w:r>
              <w:rPr>
                <w:rFonts w:hint="eastAsia"/>
              </w:rPr>
              <w:t>拟安排项目主要团队成员</w:t>
            </w:r>
            <w:r>
              <w:rPr>
                <w:rFonts w:hint="eastAsia"/>
                <w:lang w:val="en-US" w:eastAsia="zh-CN"/>
              </w:rPr>
              <w:t>中</w:t>
            </w:r>
            <w:r>
              <w:rPr>
                <w:rFonts w:hint="eastAsia"/>
              </w:rPr>
              <w:t>在20</w:t>
            </w:r>
            <w:r>
              <w:rPr>
                <w:rFonts w:hint="eastAsia"/>
                <w:lang w:val="en-US" w:eastAsia="zh-CN"/>
              </w:rPr>
              <w:t>22</w:t>
            </w:r>
            <w:r>
              <w:rPr>
                <w:rFonts w:hint="eastAsia"/>
              </w:rPr>
              <w:t>年</w:t>
            </w:r>
            <w:r>
              <w:rPr>
                <w:rFonts w:hint="eastAsia"/>
                <w:lang w:val="en-US" w:eastAsia="zh-CN"/>
              </w:rPr>
              <w:t>9</w:t>
            </w:r>
            <w:r>
              <w:rPr>
                <w:rFonts w:hint="eastAsia"/>
              </w:rPr>
              <w:t>月1日至</w:t>
            </w:r>
            <w:r>
              <w:rPr>
                <w:rFonts w:hint="eastAsia" w:ascii="宋体" w:hAnsi="宋体" w:eastAsia="宋体" w:cs="宋体"/>
                <w:color w:val="auto"/>
                <w:szCs w:val="21"/>
              </w:rPr>
              <w:t>本项目投标截止之日</w:t>
            </w:r>
            <w:r>
              <w:rPr>
                <w:rFonts w:hint="eastAsia"/>
              </w:rPr>
              <w:t>有</w:t>
            </w:r>
            <w:r>
              <w:rPr>
                <w:rFonts w:hint="eastAsia" w:ascii="宋体" w:hAnsi="宋体" w:eastAsia="宋体" w:cs="宋体"/>
                <w:color w:val="auto"/>
                <w:kern w:val="44"/>
                <w:sz w:val="21"/>
                <w:szCs w:val="21"/>
              </w:rPr>
              <w:t>在医疗</w:t>
            </w:r>
            <w:r>
              <w:rPr>
                <w:rFonts w:hint="eastAsia" w:ascii="宋体" w:hAnsi="宋体" w:eastAsia="宋体" w:cs="宋体"/>
                <w:color w:val="auto"/>
                <w:kern w:val="44"/>
                <w:sz w:val="21"/>
                <w:szCs w:val="21"/>
                <w:lang w:val="en-US" w:eastAsia="zh-CN"/>
              </w:rPr>
              <w:t>纠纷调解服务</w:t>
            </w:r>
            <w:r>
              <w:rPr>
                <w:rFonts w:hint="eastAsia" w:ascii="宋体" w:hAnsi="宋体" w:eastAsia="宋体" w:cs="宋体"/>
                <w:color w:val="auto"/>
                <w:kern w:val="44"/>
                <w:sz w:val="21"/>
                <w:szCs w:val="21"/>
              </w:rPr>
              <w:t>项目中担任</w:t>
            </w:r>
            <w:r>
              <w:rPr>
                <w:rFonts w:hint="eastAsia"/>
              </w:rPr>
              <w:t>项目成员</w:t>
            </w:r>
            <w:r>
              <w:rPr>
                <w:rFonts w:hint="eastAsia"/>
                <w:lang w:val="en-US" w:eastAsia="zh-CN"/>
              </w:rPr>
              <w:t>具有1年或以上工作经验</w:t>
            </w:r>
            <w:r>
              <w:rPr>
                <w:rFonts w:hint="eastAsia"/>
              </w:rPr>
              <w:t>的，每提供一人得</w:t>
            </w:r>
            <w:r>
              <w:rPr>
                <w:rFonts w:hint="eastAsia"/>
                <w:lang w:val="en-US" w:eastAsia="zh-CN"/>
              </w:rPr>
              <w:t>1</w:t>
            </w:r>
            <w:r>
              <w:rPr>
                <w:rFonts w:hint="eastAsia"/>
              </w:rPr>
              <w:t>分</w:t>
            </w:r>
            <w:r>
              <w:rPr>
                <w:rFonts w:hint="eastAsia"/>
                <w:lang w:eastAsia="zh-CN"/>
              </w:rPr>
              <w:t>，</w:t>
            </w:r>
            <w:r>
              <w:rPr>
                <w:rFonts w:hint="eastAsia"/>
              </w:rPr>
              <w:t>最高得</w:t>
            </w:r>
            <w:r>
              <w:rPr>
                <w:rFonts w:hint="eastAsia"/>
                <w:lang w:val="en-US" w:eastAsia="zh-CN"/>
              </w:rPr>
              <w:t>4</w:t>
            </w:r>
            <w:r>
              <w:rPr>
                <w:rFonts w:hint="eastAsia"/>
              </w:rPr>
              <w:t>分；</w:t>
            </w:r>
          </w:p>
          <w:p>
            <w:pPr>
              <w:rPr>
                <w:rFonts w:hint="eastAsia"/>
                <w:lang w:eastAsia="zh-CN"/>
              </w:rPr>
            </w:pPr>
            <w:r>
              <w:rPr>
                <w:rFonts w:hint="eastAsia"/>
                <w:lang w:val="en-US" w:eastAsia="zh-CN"/>
              </w:rPr>
              <w:t>3.</w:t>
            </w:r>
            <w:r>
              <w:rPr>
                <w:rFonts w:hint="eastAsia"/>
              </w:rPr>
              <w:t>拟安排项目主要团队成员</w:t>
            </w:r>
            <w:r>
              <w:rPr>
                <w:rFonts w:hint="eastAsia"/>
                <w:lang w:val="en-US" w:eastAsia="zh-CN"/>
              </w:rPr>
              <w:t>中</w:t>
            </w:r>
            <w:r>
              <w:rPr>
                <w:rFonts w:hint="eastAsia"/>
              </w:rPr>
              <w:t>具有本科</w:t>
            </w:r>
            <w:r>
              <w:rPr>
                <w:rFonts w:hint="eastAsia"/>
                <w:lang w:val="en-US" w:eastAsia="zh-CN"/>
              </w:rPr>
              <w:t>或</w:t>
            </w:r>
            <w:r>
              <w:rPr>
                <w:rFonts w:hint="eastAsia"/>
              </w:rPr>
              <w:t>以上</w:t>
            </w:r>
            <w:r>
              <w:rPr>
                <w:rFonts w:hint="eastAsia"/>
                <w:lang w:eastAsia="zh-CN"/>
              </w:rPr>
              <w:t>（</w:t>
            </w:r>
            <w:r>
              <w:rPr>
                <w:rFonts w:hint="eastAsia"/>
              </w:rPr>
              <w:t>法学</w:t>
            </w:r>
            <w:r>
              <w:rPr>
                <w:rFonts w:hint="eastAsia"/>
                <w:lang w:eastAsia="zh-CN"/>
              </w:rPr>
              <w:t>）</w:t>
            </w:r>
            <w:r>
              <w:rPr>
                <w:rFonts w:hint="eastAsia"/>
              </w:rPr>
              <w:t>学历的，每提供一人得</w:t>
            </w:r>
            <w:r>
              <w:rPr>
                <w:rFonts w:hint="eastAsia"/>
                <w:lang w:val="en-US" w:eastAsia="zh-CN"/>
              </w:rPr>
              <w:t>1</w:t>
            </w:r>
            <w:r>
              <w:rPr>
                <w:rFonts w:hint="eastAsia"/>
              </w:rPr>
              <w:t>分，最高得</w:t>
            </w:r>
            <w:r>
              <w:rPr>
                <w:rFonts w:hint="eastAsia"/>
                <w:lang w:val="en-US" w:eastAsia="zh-CN"/>
              </w:rPr>
              <w:t>3</w:t>
            </w:r>
            <w:r>
              <w:rPr>
                <w:rFonts w:hint="eastAsia"/>
              </w:rPr>
              <w:t>分</w:t>
            </w:r>
            <w:r>
              <w:rPr>
                <w:rFonts w:hint="eastAsia"/>
                <w:lang w:eastAsia="zh-CN"/>
              </w:rPr>
              <w:t>。</w:t>
            </w:r>
          </w:p>
          <w:p>
            <w:pPr>
              <w:rPr>
                <w:rFonts w:hint="eastAsia"/>
              </w:rPr>
            </w:pPr>
            <w:r>
              <w:rPr>
                <w:rFonts w:hint="eastAsia"/>
                <w:lang w:val="en-US" w:eastAsia="zh-CN"/>
              </w:rPr>
              <w:t>以上</w:t>
            </w:r>
            <w:r>
              <w:rPr>
                <w:rFonts w:hint="eastAsia"/>
              </w:rPr>
              <w:t>①</w:t>
            </w:r>
            <w:r>
              <w:rPr>
                <w:rFonts w:hint="eastAsia"/>
                <w:lang w:val="en-US" w:eastAsia="zh-CN"/>
              </w:rPr>
              <w:t>-</w:t>
            </w:r>
            <w:r>
              <w:rPr>
                <w:rFonts w:hint="eastAsia"/>
                <w:lang w:eastAsia="zh-CN"/>
              </w:rPr>
              <w:t>③</w:t>
            </w:r>
            <w:r>
              <w:rPr>
                <w:rFonts w:hint="eastAsia"/>
                <w:lang w:val="en-US" w:eastAsia="zh-CN"/>
              </w:rPr>
              <w:t>项累计得分，合计最高得10分。</w:t>
            </w:r>
          </w:p>
          <w:p>
            <w:pPr>
              <w:spacing w:after="160" w:line="240" w:lineRule="auto"/>
              <w:jc w:val="left"/>
              <w:rPr>
                <w:b/>
                <w:bCs/>
              </w:rPr>
            </w:pPr>
            <w:r>
              <w:rPr>
                <w:rFonts w:hint="eastAsia"/>
                <w:b/>
                <w:bCs/>
              </w:rPr>
              <w:t>（二）评分依据：</w:t>
            </w:r>
          </w:p>
          <w:p>
            <w:r>
              <w:rPr>
                <w:rFonts w:hint="eastAsia"/>
              </w:rPr>
              <w:t>1.</w:t>
            </w:r>
            <w:r>
              <w:rPr>
                <w:rFonts w:hint="eastAsia" w:ascii="宋体" w:hAnsi="宋体" w:eastAsia="宋体" w:cs="宋体"/>
                <w:color w:val="auto"/>
                <w:lang w:val="en-US" w:eastAsia="zh-CN"/>
              </w:rPr>
              <w:t>提供上述人员近一个月投标人为其购买的社保证明；如开标日上一个月的社保材料因社保部门或税务部门原因暂时无法取得，则可以往前顺延一个月；如投标方注册成立时间不足1个月的，可提供承诺函（格式自拟）。退休返聘人员提供相关人员退休证及劳动合同。</w:t>
            </w:r>
          </w:p>
          <w:p>
            <w:pPr>
              <w:adjustRightInd w:val="0"/>
              <w:snapToGrid w:val="0"/>
              <w:spacing w:line="240" w:lineRule="auto"/>
              <w:jc w:val="left"/>
              <w:rPr>
                <w:rFonts w:hint="eastAsia" w:ascii="宋体" w:hAnsi="宋体" w:eastAsia="宋体" w:cs="宋体"/>
                <w:szCs w:val="21"/>
                <w:lang w:val="zh-CN"/>
              </w:rPr>
            </w:pPr>
            <w:r>
              <w:t>2.</w:t>
            </w:r>
            <w:r>
              <w:rPr>
                <w:rFonts w:hint="eastAsia" w:ascii="宋体" w:hAnsi="宋体" w:eastAsia="宋体" w:cs="宋体"/>
                <w:color w:val="auto"/>
                <w:lang w:val="en-US" w:eastAsia="zh-CN"/>
              </w:rPr>
              <w:t>提供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w:t>
            </w:r>
            <w:r>
              <w:rPr>
                <w:rFonts w:hint="eastAsia" w:ascii="宋体" w:hAnsi="宋体" w:eastAsia="宋体" w:cs="宋体"/>
                <w:szCs w:val="21"/>
                <w:lang w:val="en-US" w:eastAsia="zh-CN"/>
              </w:rPr>
              <w:t>留学服务中心出具的国外学历学位认证证书【或教育部留学服务中心网站在线查询截图】也予以认可）。</w:t>
            </w:r>
          </w:p>
          <w:p>
            <w:pPr>
              <w:adjustRightInd w:val="0"/>
              <w:snapToGrid w:val="0"/>
              <w:spacing w:line="240" w:lineRule="auto"/>
              <w:jc w:val="left"/>
              <w:rPr>
                <w:rFonts w:hint="eastAsia" w:ascii="宋体" w:hAnsi="宋体" w:eastAsia="宋体" w:cs="宋体"/>
                <w:color w:val="auto"/>
                <w:lang w:val="en-US" w:eastAsia="zh-CN"/>
              </w:rPr>
            </w:pPr>
            <w:r>
              <w:rPr>
                <w:rFonts w:hint="eastAsia" w:ascii="宋体" w:hAnsi="宋体" w:eastAsia="宋体" w:cs="宋体"/>
                <w:szCs w:val="21"/>
                <w:lang w:val="en-US" w:eastAsia="zh-CN"/>
              </w:rPr>
              <w:t>3</w:t>
            </w:r>
            <w:r>
              <w:rPr>
                <w:rFonts w:hint="eastAsia" w:ascii="宋体" w:hAnsi="宋体" w:eastAsia="宋体" w:cs="宋体"/>
                <w:szCs w:val="21"/>
                <w:lang w:val="zh-CN"/>
              </w:rPr>
              <w:t>.</w:t>
            </w:r>
            <w:r>
              <w:rPr>
                <w:rFonts w:hint="eastAsia" w:ascii="宋体" w:hAnsi="宋体" w:eastAsia="宋体" w:cs="宋体"/>
                <w:szCs w:val="21"/>
                <w:lang w:val="en-US" w:eastAsia="zh-CN"/>
              </w:rPr>
              <w:t>涉及考察人员工作经验，要求提供劳动合同关键信息（需体现相应工作经验及时间）作为得分依据，通过合同关键信息无法判断是否得分的，可以提供其他证明文件（加盖公</w:t>
            </w:r>
            <w:r>
              <w:rPr>
                <w:rFonts w:hint="eastAsia" w:ascii="宋体" w:hAnsi="宋体" w:eastAsia="宋体" w:cs="宋体"/>
                <w:color w:val="auto"/>
                <w:lang w:val="en-US" w:eastAsia="zh-CN"/>
              </w:rPr>
              <w:t>章或业务章）。</w:t>
            </w:r>
          </w:p>
          <w:p>
            <w:pPr>
              <w:wordWrap w:val="0"/>
              <w:spacing w:line="240" w:lineRule="auto"/>
              <w:rPr>
                <w:rFonts w:hint="eastAsia" w:ascii="宋体" w:hAnsi="宋体" w:eastAsia="宋体" w:cs="宋体"/>
                <w:color w:val="auto"/>
                <w:kern w:val="44"/>
                <w:sz w:val="21"/>
                <w:szCs w:val="21"/>
                <w:lang w:val="en-US" w:eastAsia="zh-CN" w:bidi="ar-SA"/>
              </w:rPr>
            </w:pPr>
            <w:r>
              <w:rPr>
                <w:rFonts w:hint="eastAsia" w:ascii="宋体" w:hAnsi="宋体" w:eastAsia="宋体" w:cs="宋体"/>
                <w:color w:val="auto"/>
                <w:lang w:val="en-US" w:eastAsia="zh-CN"/>
              </w:rPr>
              <w:t>以上证明文件原件备查，未按要求提供或提供不清晰、不完整导致专家无法判断的不得分。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1"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专家打分</w:t>
            </w:r>
          </w:p>
        </w:tc>
      </w:tr>
    </w:tbl>
    <w:p>
      <w:pPr>
        <w:rPr>
          <w:rFonts w:ascii="仿宋_GB2312" w:hAnsi="仿宋_GB2312" w:eastAsia="仿宋_GB2312" w:cs="仿宋_GB2312"/>
          <w:b/>
          <w:bCs/>
          <w:kern w:val="2"/>
          <w:sz w:val="36"/>
          <w:szCs w:val="36"/>
          <w:lang w:val="en-US" w:eastAsia="zh-CN" w:bidi="ar-SA"/>
        </w:rPr>
      </w:pPr>
    </w:p>
    <w:p>
      <w:pPr>
        <w:pStyle w:val="2"/>
      </w:pPr>
    </w:p>
    <w:p/>
    <w:p/>
    <w:p/>
    <w:p/>
    <w:p/>
    <w:p/>
    <w:p/>
    <w:p/>
    <w:p/>
    <w:p/>
    <w:p/>
    <w:p/>
    <w:p/>
    <w:p/>
    <w:p/>
    <w:p/>
    <w:p/>
    <w:p/>
    <w:p/>
    <w:p>
      <w:pPr>
        <w:pStyle w:val="19"/>
      </w:pPr>
    </w:p>
    <w:p>
      <w:pPr>
        <w:pStyle w:val="19"/>
      </w:pPr>
    </w:p>
    <w:p>
      <w:pPr>
        <w:pStyle w:val="19"/>
      </w:pPr>
    </w:p>
    <w:p>
      <w:pPr>
        <w:pStyle w:val="19"/>
      </w:pPr>
    </w:p>
    <w:p>
      <w:pPr>
        <w:pStyle w:val="19"/>
      </w:pPr>
    </w:p>
    <w:p>
      <w:pPr>
        <w:pStyle w:val="19"/>
      </w:pPr>
    </w:p>
    <w:p>
      <w:pPr>
        <w:pStyle w:val="19"/>
      </w:pPr>
    </w:p>
    <w:p>
      <w:pPr>
        <w:pStyle w:val="19"/>
      </w:pPr>
    </w:p>
    <w:p>
      <w:pPr>
        <w:jc w:val="center"/>
        <w:rPr>
          <w:rFonts w:ascii="仿宋_GB2312" w:hAnsi="仿宋_GB2312" w:eastAsia="仿宋_GB2312" w:cs="仿宋_GB2312"/>
          <w:b/>
          <w:bCs/>
          <w:sz w:val="36"/>
          <w:szCs w:val="36"/>
        </w:rPr>
      </w:pPr>
      <w:r>
        <w:rPr>
          <w:rFonts w:ascii="仿宋_GB2312" w:hAnsi="仿宋_GB2312" w:eastAsia="仿宋_GB2312" w:cs="仿宋_GB2312"/>
          <w:b/>
          <w:bCs/>
          <w:sz w:val="36"/>
          <w:szCs w:val="36"/>
        </w:rPr>
        <w:t>第三章</w:t>
      </w:r>
      <w:r>
        <w:rPr>
          <w:rFonts w:hint="eastAsia" w:ascii="仿宋_GB2312" w:hAnsi="仿宋_GB2312" w:eastAsia="仿宋_GB2312" w:cs="仿宋_GB2312"/>
          <w:b/>
          <w:bCs/>
          <w:sz w:val="36"/>
          <w:szCs w:val="36"/>
        </w:rPr>
        <w:t xml:space="preserve"> 投标文件初审表</w:t>
      </w:r>
    </w:p>
    <w:p>
      <w:pPr>
        <w:jc w:val="center"/>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2"/>
        <w:spacing w:line="400" w:lineRule="exact"/>
        <w:jc w:val="center"/>
        <w:rPr>
          <w:rFonts w:hint="eastAsia" w:ascii="宋体" w:hAnsi="宋体" w:eastAsia="宋体" w:cs="宋体"/>
          <w:b/>
          <w:bCs/>
          <w:color w:val="auto"/>
          <w:sz w:val="28"/>
          <w:szCs w:val="28"/>
          <w:lang w:eastAsia="zh-CN"/>
        </w:rPr>
      </w:pPr>
      <w:bookmarkStart w:id="0" w:name="_Toc15975"/>
      <w:r>
        <w:rPr>
          <w:rFonts w:hint="eastAsia" w:ascii="宋体" w:hAnsi="宋体" w:eastAsia="宋体" w:cs="宋体"/>
          <w:b/>
          <w:bCs/>
          <w:color w:val="auto"/>
          <w:sz w:val="28"/>
          <w:szCs w:val="28"/>
          <w:lang w:eastAsia="zh-CN"/>
        </w:rPr>
        <w:t>（一）资格性审查表</w:t>
      </w:r>
    </w:p>
    <w:tbl>
      <w:tblPr>
        <w:tblStyle w:val="15"/>
        <w:tblW w:w="91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20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0" w:type="auto"/>
            <w:vAlign w:val="center"/>
          </w:tcPr>
          <w:p>
            <w:pPr>
              <w:jc w:val="center"/>
              <w:rPr>
                <w:rFonts w:ascii="宋体" w:cs="宋体"/>
                <w:b/>
              </w:rPr>
            </w:pPr>
            <w:r>
              <w:rPr>
                <w:rFonts w:hint="eastAsia" w:ascii="宋体" w:cs="宋体"/>
                <w:b/>
              </w:rPr>
              <w:t>序号</w:t>
            </w:r>
          </w:p>
        </w:tc>
        <w:tc>
          <w:tcPr>
            <w:tcW w:w="7204" w:type="dxa"/>
            <w:vAlign w:val="center"/>
          </w:tcPr>
          <w:p>
            <w:pPr>
              <w:jc w:val="center"/>
              <w:rPr>
                <w:rFonts w:ascii="宋体" w:cs="宋体"/>
                <w:b/>
              </w:rPr>
            </w:pPr>
            <w:r>
              <w:rPr>
                <w:rFonts w:hint="eastAsia" w:ascii="宋体" w:hAnsi="宋体" w:cs="宋体"/>
                <w:b/>
              </w:rPr>
              <w:t>评 审 内 容</w:t>
            </w:r>
          </w:p>
        </w:tc>
        <w:tc>
          <w:tcPr>
            <w:tcW w:w="1423" w:type="dxa"/>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0"/>
              </w:numPr>
              <w:tabs>
                <w:tab w:val="left" w:pos="176"/>
                <w:tab w:val="left" w:pos="612"/>
              </w:tabs>
              <w:ind w:left="-78" w:leftChars="0"/>
              <w:jc w:val="center"/>
              <w:rPr>
                <w:rFonts w:hint="eastAsia" w:ascii="宋体" w:hAnsi="宋体" w:eastAsia="宋体" w:cs="宋体"/>
                <w:lang w:val="en-US" w:eastAsia="zh-CN"/>
              </w:rPr>
            </w:pPr>
            <w:r>
              <w:rPr>
                <w:rFonts w:hint="eastAsia" w:ascii="宋体" w:hAnsi="宋体" w:cs="宋体"/>
                <w:lang w:val="en-US" w:eastAsia="zh-CN"/>
              </w:rPr>
              <w:t>1</w:t>
            </w: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423"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0"/>
              </w:numPr>
              <w:tabs>
                <w:tab w:val="left" w:pos="176"/>
                <w:tab w:val="left" w:pos="612"/>
              </w:tabs>
              <w:ind w:left="-78" w:leftChars="0"/>
              <w:jc w:val="center"/>
              <w:rPr>
                <w:rFonts w:hint="eastAsia" w:ascii="宋体" w:hAnsi="宋体" w:eastAsia="宋体" w:cs="宋体"/>
                <w:lang w:val="en-US" w:eastAsia="zh-CN"/>
              </w:rPr>
            </w:pPr>
            <w:r>
              <w:rPr>
                <w:rFonts w:hint="eastAsia" w:ascii="宋体" w:hAnsi="宋体" w:cs="宋体"/>
                <w:lang w:val="en-US" w:eastAsia="zh-CN"/>
              </w:rPr>
              <w:t>2</w:t>
            </w: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423"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0"/>
              </w:numPr>
              <w:tabs>
                <w:tab w:val="left" w:pos="176"/>
                <w:tab w:val="left" w:pos="612"/>
              </w:tabs>
              <w:ind w:left="-78" w:leftChars="0"/>
              <w:jc w:val="center"/>
              <w:rPr>
                <w:rFonts w:hint="eastAsia" w:ascii="宋体" w:hAnsi="宋体" w:eastAsia="宋体" w:cs="宋体"/>
                <w:lang w:val="en-US" w:eastAsia="zh-CN"/>
              </w:rPr>
            </w:pPr>
            <w:r>
              <w:rPr>
                <w:rFonts w:hint="eastAsia" w:ascii="宋体" w:hAnsi="宋体" w:cs="宋体"/>
                <w:lang w:val="en-US" w:eastAsia="zh-CN"/>
              </w:rPr>
              <w:t>3</w:t>
            </w: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423"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0"/>
              </w:numPr>
              <w:tabs>
                <w:tab w:val="left" w:pos="176"/>
                <w:tab w:val="left" w:pos="612"/>
              </w:tabs>
              <w:ind w:left="-78" w:leftChars="0"/>
              <w:jc w:val="center"/>
              <w:rPr>
                <w:rFonts w:hint="eastAsia" w:ascii="宋体" w:hAnsi="宋体" w:eastAsia="宋体" w:cs="宋体"/>
                <w:lang w:val="en-US" w:eastAsia="zh-CN"/>
              </w:rPr>
            </w:pPr>
            <w:r>
              <w:rPr>
                <w:rFonts w:hint="eastAsia" w:ascii="宋体" w:hAnsi="宋体" w:cs="宋体"/>
                <w:lang w:val="en-US" w:eastAsia="zh-CN"/>
              </w:rPr>
              <w:t>4</w:t>
            </w: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423" w:type="dxa"/>
            <w:vAlign w:val="center"/>
          </w:tcPr>
          <w:p>
            <w:pPr>
              <w:rPr>
                <w:rFonts w:hint="eastAsia" w:ascii="宋体" w:hAnsi="宋体" w:cs="宋体"/>
                <w:color w:val="000000" w:themeColor="text1"/>
                <w:sz w:val="22"/>
                <w:szCs w:val="22"/>
                <w14:textFill>
                  <w14:solidFill>
                    <w14:schemeClr w14:val="tx1"/>
                  </w14:solidFill>
                </w14:textFill>
              </w:rPr>
            </w:pPr>
          </w:p>
        </w:tc>
      </w:tr>
    </w:tbl>
    <w:p>
      <w:pPr>
        <w:adjustRightInd w:val="0"/>
        <w:snapToGrid w:val="0"/>
        <w:spacing w:line="360" w:lineRule="auto"/>
        <w:jc w:val="left"/>
        <w:rPr>
          <w:rFonts w:ascii="宋体" w:hAnsi="宋体" w:cs="宋体"/>
        </w:rPr>
      </w:pPr>
    </w:p>
    <w:bookmarkEnd w:id="0"/>
    <w:p/>
    <w:p>
      <w:pPr>
        <w:pStyle w:val="8"/>
      </w:pPr>
    </w:p>
    <w:p>
      <w:pPr>
        <w:pStyle w:val="13"/>
      </w:pPr>
    </w:p>
    <w:p>
      <w:pPr>
        <w:pStyle w:val="13"/>
      </w:pPr>
    </w:p>
    <w:p>
      <w:pPr>
        <w:pStyle w:val="13"/>
      </w:pPr>
    </w:p>
    <w:p>
      <w:pPr>
        <w:pStyle w:val="13"/>
      </w:pPr>
    </w:p>
    <w:p>
      <w:pPr>
        <w:pStyle w:val="13"/>
      </w:pPr>
    </w:p>
    <w:p>
      <w:pPr>
        <w:pStyle w:val="13"/>
      </w:pP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40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23" w:type="dxa"/>
            <w:noWrap/>
            <w:vAlign w:val="center"/>
          </w:tcPr>
          <w:p>
            <w:pPr>
              <w:jc w:val="center"/>
              <w:rPr>
                <w:rFonts w:ascii="宋体" w:hAnsi="宋体" w:cs="宋体"/>
                <w:b/>
              </w:rPr>
            </w:pPr>
            <w:r>
              <w:rPr>
                <w:rFonts w:hint="eastAsia" w:ascii="宋体" w:hAnsi="宋体" w:cs="宋体"/>
                <w:b/>
              </w:rPr>
              <w:t>序号</w:t>
            </w:r>
          </w:p>
        </w:tc>
        <w:tc>
          <w:tcPr>
            <w:tcW w:w="7402" w:type="dxa"/>
            <w:noWrap/>
            <w:vAlign w:val="center"/>
          </w:tcPr>
          <w:p>
            <w:pPr>
              <w:jc w:val="center"/>
              <w:rPr>
                <w:rFonts w:ascii="宋体" w:hAnsi="宋体" w:cs="宋体"/>
                <w:b/>
              </w:rPr>
            </w:pPr>
            <w:r>
              <w:rPr>
                <w:rFonts w:hint="eastAsia" w:ascii="宋体" w:hAnsi="宋体" w:cs="宋体"/>
                <w:b/>
              </w:rPr>
              <w:t>评审内容</w:t>
            </w:r>
          </w:p>
        </w:tc>
        <w:tc>
          <w:tcPr>
            <w:tcW w:w="1697" w:type="dxa"/>
            <w:noWrap/>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w:t>
            </w:r>
          </w:p>
        </w:tc>
        <w:tc>
          <w:tcPr>
            <w:tcW w:w="7402" w:type="dxa"/>
            <w:noWrap/>
            <w:vAlign w:val="center"/>
          </w:tcPr>
          <w:p>
            <w:pPr>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97" w:type="dxa"/>
            <w:noWrap/>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2</w:t>
            </w:r>
          </w:p>
        </w:tc>
        <w:tc>
          <w:tcPr>
            <w:tcW w:w="7402"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3</w:t>
            </w:r>
          </w:p>
        </w:tc>
        <w:tc>
          <w:tcPr>
            <w:tcW w:w="7402" w:type="dxa"/>
            <w:noWrap/>
            <w:vAlign w:val="center"/>
          </w:tcPr>
          <w:p>
            <w:pPr>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97" w:type="dxa"/>
            <w:noWrap/>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4</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5</w:t>
            </w:r>
          </w:p>
        </w:tc>
        <w:tc>
          <w:tcPr>
            <w:tcW w:w="7402" w:type="dxa"/>
            <w:noWrap/>
            <w:vAlign w:val="center"/>
          </w:tcPr>
          <w:p>
            <w:pPr>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6</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7</w:t>
            </w:r>
          </w:p>
        </w:tc>
        <w:tc>
          <w:tcPr>
            <w:tcW w:w="7402"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8</w:t>
            </w:r>
          </w:p>
        </w:tc>
        <w:tc>
          <w:tcPr>
            <w:tcW w:w="7402" w:type="dxa"/>
            <w:noWrap/>
            <w:vAlign w:val="center"/>
          </w:tcPr>
          <w:p>
            <w:pPr>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9</w:t>
            </w:r>
          </w:p>
        </w:tc>
        <w:tc>
          <w:tcPr>
            <w:tcW w:w="7402"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10</w:t>
            </w:r>
          </w:p>
        </w:tc>
        <w:tc>
          <w:tcPr>
            <w:tcW w:w="7402" w:type="dxa"/>
            <w:noWrap/>
            <w:vAlign w:val="center"/>
          </w:tcPr>
          <w:p>
            <w:pPr>
              <w:rPr>
                <w:rFonts w:ascii="宋体" w:hAnsi="宋体" w:cs="宋体"/>
                <w:bCs/>
                <w:sz w:val="22"/>
                <w:szCs w:val="22"/>
              </w:rPr>
            </w:pPr>
            <w:r>
              <w:rPr>
                <w:rFonts w:hint="eastAsia" w:ascii="宋体" w:hAnsi="宋体" w:cs="宋体"/>
                <w:bCs/>
                <w:sz w:val="22"/>
                <w:szCs w:val="22"/>
              </w:rPr>
              <w:t>未存在招标文件规定的其他投标无效情形。</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11</w:t>
            </w:r>
          </w:p>
        </w:tc>
        <w:tc>
          <w:tcPr>
            <w:tcW w:w="7402"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697" w:type="dxa"/>
            <w:noWrap/>
            <w:vAlign w:val="center"/>
          </w:tcPr>
          <w:p>
            <w:pPr>
              <w:rPr>
                <w:rFonts w:hint="eastAsia" w:ascii="宋体" w:hAnsi="宋体" w:cs="宋体"/>
                <w:bCs/>
                <w:sz w:val="22"/>
                <w:szCs w:val="22"/>
              </w:rPr>
            </w:pPr>
          </w:p>
        </w:tc>
      </w:tr>
    </w:tbl>
    <w:p>
      <w:pPr>
        <w:adjustRightInd w:val="0"/>
        <w:snapToGrid w:val="0"/>
        <w:spacing w:line="360" w:lineRule="auto"/>
        <w:jc w:val="left"/>
        <w:rPr>
          <w:rFonts w:hint="eastAsia" w:ascii="宋体" w:hAnsi="宋体" w:cs="宋体"/>
        </w:rPr>
      </w:pPr>
    </w:p>
    <w:p>
      <w:pPr>
        <w:adjustRightInd w:val="0"/>
        <w:snapToGrid w:val="0"/>
        <w:spacing w:line="360" w:lineRule="auto"/>
        <w:jc w:val="left"/>
        <w:rPr>
          <w:rFonts w:hint="eastAsia" w:ascii="宋体" w:cs="宋体"/>
          <w:szCs w:val="21"/>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rPr>
          <w:rFonts w:ascii="仿宋" w:hAnsi="仿宋" w:eastAsia="仿宋" w:cs="仿宋"/>
          <w:b/>
          <w:bCs/>
          <w:sz w:val="36"/>
          <w:szCs w:val="36"/>
        </w:rPr>
      </w:pPr>
    </w:p>
    <w:p>
      <w:pPr>
        <w:pStyle w:val="4"/>
      </w:pPr>
    </w:p>
    <w:p>
      <w:pPr>
        <w:pStyle w:val="23"/>
        <w:ind w:firstLine="0" w:firstLineChars="0"/>
      </w:pPr>
    </w:p>
    <w:p>
      <w:pPr>
        <w:jc w:val="center"/>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t>第四章</w:t>
      </w:r>
      <w:r>
        <w:rPr>
          <w:rFonts w:hint="eastAsia" w:ascii="仿宋_GB2312" w:hAnsi="仿宋_GB2312" w:eastAsia="仿宋_GB2312" w:cs="仿宋_GB2312"/>
          <w:b/>
          <w:bCs/>
          <w:sz w:val="36"/>
          <w:szCs w:val="36"/>
        </w:rPr>
        <w:t>投标须知</w:t>
      </w:r>
    </w:p>
    <w:p>
      <w:pPr>
        <w:pStyle w:val="2"/>
      </w:pP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（一）本项目的潜在供应商应在递交投标文件截止日之前到医院招采办报名投标。</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b/>
          <w:bCs/>
          <w:sz w:val="28"/>
          <w:szCs w:val="28"/>
        </w:rPr>
      </w:pPr>
      <w:r>
        <w:rPr>
          <w:rFonts w:hint="eastAsia" w:ascii="仿宋" w:hAnsi="仿宋" w:eastAsia="仿宋" w:cs="仿宋"/>
          <w:sz w:val="28"/>
          <w:szCs w:val="28"/>
        </w:rPr>
        <w:t>（二）符合条件的供应商严格按照采购单位提供的招标文件，认真填写投标资料，并在规定时间内将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送达指定地点。投标单位法定代表人或授权代表人在规定的时间内未递交投标资料的，视为自动放弃。</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（三）院内公开招标有效投标的供应商不足三家，不得开标。</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（四）存在下列情形的，应予废标：</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kern w:val="0"/>
          <w:sz w:val="28"/>
          <w:szCs w:val="28"/>
        </w:rPr>
      </w:pPr>
      <w:r>
        <w:rPr>
          <w:rFonts w:hint="eastAsia" w:ascii="仿宋" w:hAnsi="仿宋" w:eastAsia="仿宋" w:cs="仿宋"/>
          <w:sz w:val="28"/>
          <w:szCs w:val="28"/>
        </w:rPr>
        <w:t>4.因重大变故，采购任务取消的。</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（五）投标文件有效期</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1.在递交投标文件截止日期之后的60天内有效；</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w:t>
      </w:r>
      <w:r>
        <w:rPr>
          <w:rFonts w:hint="eastAsia" w:ascii="仿宋_GB2312" w:hAnsi="仿宋_GB2312" w:eastAsia="仿宋_GB2312" w:cs="仿宋_GB2312"/>
          <w:b/>
          <w:bCs/>
          <w:sz w:val="28"/>
          <w:szCs w:val="36"/>
          <w:lang w:val="en-US" w:eastAsia="zh-CN"/>
        </w:rPr>
        <w:t>4</w:t>
      </w:r>
      <w:r>
        <w:rPr>
          <w:rFonts w:hint="eastAsia" w:ascii="仿宋_GB2312" w:hAnsi="仿宋_GB2312" w:eastAsia="仿宋_GB2312" w:cs="仿宋_GB2312"/>
          <w:b/>
          <w:bCs/>
          <w:sz w:val="28"/>
          <w:szCs w:val="36"/>
        </w:rPr>
        <w:t>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1.所有资料要有封面、目录、页码、装订成册。</w:t>
      </w:r>
    </w:p>
    <w:p>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2.所有资料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3.所有资料须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（六）投标人的产品质量及服务承诺书不能严重低于招标文件中的服务要求标准作出响应，允许出现负偏差，但不得出现严重负偏差。</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（七）评审结束，中标结果公示3天，中标供应商须在收到我院中标通知书后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三、招标文件的澄清</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 w:hAnsi="仿宋" w:eastAsia="仿宋" w:cs="仿宋"/>
          <w:sz w:val="28"/>
          <w:szCs w:val="28"/>
        </w:rPr>
      </w:pPr>
      <w:r>
        <w:rPr>
          <w:rFonts w:hint="eastAsia" w:ascii="仿宋" w:hAnsi="仿宋" w:eastAsia="仿宋" w:cs="仿宋"/>
          <w:b/>
          <w:bCs/>
          <w:sz w:val="28"/>
          <w:szCs w:val="28"/>
        </w:rPr>
        <w:t>四、招标文件的补充和修正</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采购人可以对已发出的招标文件进行必要的澄清或者修改。澄清或者修改应当在原公告发布媒体上发布澄清（更正/变更）公告。</w:t>
      </w:r>
    </w:p>
    <w:p>
      <w:pPr>
        <w:pStyle w:val="2"/>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lang w:val="en-US" w:eastAsia="zh-CN"/>
        </w:rPr>
        <w:t>.</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五、投标文件有效期</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在原定投标文件有效期满之前，如果出现特殊情况，招采办可以书面形式向投标人提出延长投标文件有效期的要求。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sectPr>
          <w:footerReference r:id="rId3" w:type="default"/>
          <w:pgSz w:w="11906" w:h="16838"/>
          <w:pgMar w:top="1440" w:right="1576" w:bottom="1440" w:left="1576" w:header="851" w:footer="992" w:gutter="0"/>
          <w:cols w:space="425" w:num="1"/>
          <w:docGrid w:type="lines" w:linePitch="312" w:charSpace="0"/>
        </w:sectPr>
      </w:pPr>
      <w:r>
        <w:rPr>
          <w:rFonts w:hint="eastAsia" w:ascii="仿宋" w:hAnsi="仿宋" w:eastAsia="仿宋" w:cs="仿宋"/>
          <w:sz w:val="28"/>
          <w:szCs w:val="28"/>
          <w:lang w:val="en-US" w:eastAsia="zh-CN"/>
        </w:rPr>
        <w:t>4.</w:t>
      </w:r>
      <w:r>
        <w:rPr>
          <w:rFonts w:hint="eastAsia" w:ascii="仿宋" w:hAnsi="仿宋" w:eastAsia="仿宋" w:cs="仿宋"/>
          <w:sz w:val="28"/>
          <w:szCs w:val="28"/>
        </w:rPr>
        <w:t>招采办将作出澄清和解答，逾期未提交质疑文件的视同无问题。</w:t>
      </w:r>
    </w:p>
    <w:p>
      <w:pPr>
        <w:spacing w:line="560" w:lineRule="exact"/>
        <w:ind w:left="2882"/>
      </w:pPr>
      <w:r>
        <w:rPr>
          <w:rFonts w:hint="eastAsia" w:ascii="仿宋" w:hAnsi="仿宋" w:eastAsia="仿宋" w:cs="仿宋"/>
          <w:sz w:val="44"/>
          <w:szCs w:val="44"/>
        </w:rPr>
        <w:t>第五章 供应商标书</w:t>
      </w:r>
    </w:p>
    <w:tbl>
      <w:tblPr>
        <w:tblStyle w:val="15"/>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b/>
                <w:bCs/>
                <w:sz w:val="96"/>
                <w:szCs w:val="96"/>
              </w:rPr>
            </w:pPr>
          </w:p>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pStyle w:val="20"/>
              <w:spacing w:line="460" w:lineRule="exact"/>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深圳市龙岗区第七人民医院</w:t>
            </w:r>
          </w:p>
          <w:p>
            <w:pPr>
              <w:pStyle w:val="20"/>
              <w:spacing w:line="46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lang w:val="en-US" w:eastAsia="zh-CN"/>
              </w:rPr>
              <w:t xml:space="preserve">     医疗纠纷调解服务项目</w:t>
            </w:r>
          </w:p>
          <w:p>
            <w:pPr>
              <w:snapToGrid w:val="0"/>
              <w:spacing w:line="360" w:lineRule="auto"/>
              <w:rPr>
                <w:rFonts w:ascii="仿宋_GB2312" w:hAnsi="仿宋_GB2312" w:eastAsia="仿宋_GB2312" w:cs="仿宋_GB2312"/>
                <w:sz w:val="44"/>
                <w:szCs w:val="44"/>
              </w:rPr>
            </w:pPr>
          </w:p>
          <w:p>
            <w:pPr>
              <w:pStyle w:val="27"/>
              <w:spacing w:line="480" w:lineRule="exact"/>
              <w:ind w:firstLine="0" w:firstLineChars="0"/>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w:t>
            </w:r>
            <w:r>
              <w:rPr>
                <w:rFonts w:hint="eastAsia" w:ascii="仿宋_GB2312" w:hAnsi="仿宋_GB2312" w:eastAsia="仿宋_GB2312" w:cs="仿宋_GB2312"/>
                <w:kern w:val="2"/>
                <w:sz w:val="36"/>
                <w:szCs w:val="36"/>
                <w:lang w:val="en-US" w:eastAsia="zh-CN" w:bidi="ar-SA"/>
              </w:rPr>
              <w:t>深龙七医采[LGQY2025YW002]</w:t>
            </w:r>
            <w:r>
              <w:rPr>
                <w:rFonts w:hint="eastAsia" w:ascii="仿宋_GB2312" w:hAnsi="仿宋_GB2312" w:eastAsia="仿宋_GB2312" w:cs="仿宋_GB2312"/>
                <w:sz w:val="44"/>
                <w:szCs w:val="44"/>
              </w:rPr>
              <w:t>）</w:t>
            </w:r>
          </w:p>
          <w:p>
            <w:pPr>
              <w:pStyle w:val="27"/>
              <w:spacing w:line="480" w:lineRule="exact"/>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2025年</w:t>
            </w:r>
            <w:r>
              <w:rPr>
                <w:rFonts w:hint="eastAsia" w:ascii="仿宋_GB2312" w:hAnsi="仿宋_GB2312" w:eastAsia="仿宋_GB2312" w:cs="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jc w:val="both"/>
        <w:rPr>
          <w:rFonts w:ascii="宋体" w:hAnsi="宋体" w:cs="宋体"/>
          <w:b/>
          <w:bCs/>
          <w:sz w:val="44"/>
          <w:szCs w:val="44"/>
        </w:rPr>
      </w:pPr>
    </w:p>
    <w:p>
      <w:pPr>
        <w:jc w:val="both"/>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目录</w:t>
      </w:r>
    </w:p>
    <w:p>
      <w:pPr>
        <w:spacing w:line="500" w:lineRule="exact"/>
        <w:jc w:val="left"/>
        <w:rPr>
          <w:rFonts w:ascii="仿宋_GB2312" w:hAnsi="仿宋_GB2312" w:eastAsia="仿宋_GB2312" w:cs="仿宋_GB2312"/>
          <w:sz w:val="28"/>
          <w:szCs w:val="28"/>
        </w:rPr>
      </w:pP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widowControl/>
        <w:tabs>
          <w:tab w:val="left" w:pos="630"/>
          <w:tab w:val="left" w:pos="840"/>
        </w:tabs>
        <w:spacing w:line="500" w:lineRule="exact"/>
        <w:ind w:left="42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w:t>
      </w:r>
    </w:p>
    <w:p>
      <w:pPr>
        <w:tabs>
          <w:tab w:val="left" w:pos="630"/>
          <w:tab w:val="left" w:pos="840"/>
        </w:tabs>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或法人证书等证明材料复印件</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6.投标文件初审表</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7.投标函</w:t>
      </w:r>
    </w:p>
    <w:p>
      <w:pPr>
        <w:tabs>
          <w:tab w:val="left" w:pos="630"/>
          <w:tab w:val="left" w:pos="840"/>
        </w:tabs>
        <w:spacing w:line="500" w:lineRule="exact"/>
        <w:ind w:left="420"/>
      </w:pPr>
      <w:r>
        <w:rPr>
          <w:rFonts w:hint="eastAsia" w:ascii="仿宋_GB2312" w:hAnsi="仿宋_GB2312" w:eastAsia="仿宋_GB2312" w:cs="仿宋_GB2312"/>
          <w:sz w:val="28"/>
          <w:szCs w:val="28"/>
        </w:rPr>
        <w:t>8.投标及履约承诺函</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9.供应商基本情况表</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10.社会保险证明</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11.开标一览表</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服务条款偏离表</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.同类</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业绩</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14.履约评价</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15.服务响应时间</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16.项目实施方案</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17.项目重点难点分析、应对措施及相关的合理化建议</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18.拟安排的项目负责人情况</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19.拟安排的项目其他成员情况</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20.中小企业声明函</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21.其他证明材料</w:t>
      </w:r>
    </w:p>
    <w:p>
      <w:pPr>
        <w:pStyle w:val="13"/>
      </w:pPr>
    </w:p>
    <w:p>
      <w:pPr>
        <w:jc w:val="cente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投 标 函</w:t>
      </w:r>
    </w:p>
    <w:p>
      <w:pPr>
        <w:spacing w:line="560" w:lineRule="exact"/>
        <w:jc w:val="center"/>
        <w:rPr>
          <w:rFonts w:ascii="仿宋" w:hAnsi="仿宋" w:eastAsia="仿宋" w:cs="仿宋"/>
          <w:b/>
          <w:bCs/>
          <w:sz w:val="36"/>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深圳市龙岗区第七人民医院：</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我司已经认真仔细阅读了贵单位关于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项目的招标文件，完全同意招标文件中的所有条款，愿意按招标文件要求，决定以投标报价：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元提供与招标文件中描述相一致的产品与服务，并许以如下承诺：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1.我方愿意向招标人提供与本次招标的相关资料，并对其真实性、合法性、有效性负责。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2.我方将严格履行本投标文件中的全部承诺和责任，并遵守招标文件中对投标人的所有规定。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3.我方完全理解招标人有保留在授标之前，任何时候根据评标委员会的意见接受或拒绝任何投标的权利，并完全理解招标人对此无解释的义务。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4.我方完全理解招标人不保证投标价最低的投标人中标。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5.我方承诺在此次招标过程中涉及的一切应当保密的事项，不向任何第三方泄露，否则承担一切法律责任。  </w:t>
      </w:r>
    </w:p>
    <w:p>
      <w:pPr>
        <w:pStyle w:val="8"/>
      </w:pPr>
    </w:p>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法定代表人或其授权代表人（签字）：</w:t>
      </w:r>
    </w:p>
    <w:p>
      <w:pPr>
        <w:rPr>
          <w:rFonts w:ascii="宋体" w:hAnsi="宋体" w:cs="宋体"/>
          <w:b/>
          <w:bCs/>
          <w:sz w:val="44"/>
          <w:szCs w:val="44"/>
        </w:rPr>
      </w:pPr>
      <w:r>
        <w:rPr>
          <w:rFonts w:hint="eastAsia" w:ascii="仿宋_GB2312" w:hAnsi="仿宋_GB2312" w:eastAsia="仿宋_GB2312" w:cs="仿宋_GB2312"/>
          <w:sz w:val="32"/>
          <w:szCs w:val="32"/>
        </w:rPr>
        <w:t xml:space="preserve">                投标单位全称（加盖公章）：</w:t>
      </w:r>
    </w:p>
    <w:p>
      <w:pPr>
        <w:spacing w:line="460" w:lineRule="exact"/>
        <w:jc w:val="center"/>
        <w:rPr>
          <w:rFonts w:ascii="宋体" w:hAnsi="宋体" w:cs="宋体"/>
          <w:b/>
          <w:bCs/>
          <w:sz w:val="44"/>
          <w:szCs w:val="44"/>
        </w:rPr>
      </w:pPr>
    </w:p>
    <w:p>
      <w:pPr>
        <w:spacing w:line="460" w:lineRule="exact"/>
        <w:jc w:val="center"/>
        <w:rPr>
          <w:rFonts w:ascii="宋体" w:hAnsi="宋体" w:cs="宋体"/>
          <w:b/>
          <w:bCs/>
          <w:sz w:val="44"/>
          <w:szCs w:val="44"/>
        </w:rPr>
      </w:pPr>
    </w:p>
    <w:p>
      <w:pPr>
        <w:spacing w:line="440" w:lineRule="exact"/>
        <w:jc w:val="center"/>
        <w:rPr>
          <w:rFonts w:ascii="宋体" w:hAnsi="宋体" w:cs="宋体"/>
          <w:b/>
          <w:bCs/>
          <w:sz w:val="44"/>
          <w:szCs w:val="44"/>
        </w:rPr>
      </w:pPr>
      <w:r>
        <w:rPr>
          <w:rFonts w:hint="eastAsia" w:ascii="宋体" w:hAnsi="宋体" w:cs="宋体"/>
          <w:b/>
          <w:bCs/>
          <w:sz w:val="44"/>
          <w:szCs w:val="44"/>
        </w:rPr>
        <w:t>投标及履约承诺函</w:t>
      </w:r>
    </w:p>
    <w:p>
      <w:pPr>
        <w:spacing w:line="440" w:lineRule="exact"/>
        <w:rPr>
          <w:rFonts w:ascii="仿宋_GB2312" w:hAnsi="仿宋_GB2312" w:eastAsia="仿宋_GB2312" w:cs="仿宋_GB2312"/>
          <w:sz w:val="32"/>
          <w:szCs w:val="32"/>
        </w:rPr>
      </w:pPr>
    </w:p>
    <w:p>
      <w:pPr>
        <w:widowControl/>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lang w:val="en-US" w:eastAsia="zh-CN"/>
        </w:rPr>
        <w:t>深圳市龙岗区第七人民医院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项目（以下简称本项目”）政府采购活动，承诺：</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w:t>
      </w:r>
      <w:r>
        <w:rPr>
          <w:rFonts w:hint="eastAsia" w:ascii="仿宋_GB2312" w:hAnsi="仿宋_GB2312" w:eastAsia="仿宋_GB2312" w:cs="仿宋_GB2312"/>
          <w:sz w:val="28"/>
          <w:szCs w:val="28"/>
          <w:lang w:eastAsia="zh-CN"/>
        </w:rPr>
        <w:t>属于</w:t>
      </w:r>
      <w:r>
        <w:rPr>
          <w:rFonts w:hint="eastAsia" w:ascii="仿宋_GB2312" w:hAnsi="仿宋_GB2312" w:eastAsia="仿宋_GB2312" w:cs="仿宋_GB2312"/>
          <w:sz w:val="28"/>
          <w:szCs w:val="28"/>
        </w:rPr>
        <w:t>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ascii="仿宋_GB2312" w:hAnsi="仿宋_GB2312" w:eastAsia="仿宋_GB2312" w:cs="仿宋_GB2312"/>
          <w:sz w:val="28"/>
          <w:szCs w:val="28"/>
        </w:rPr>
      </w:pPr>
    </w:p>
    <w:p>
      <w:pPr>
        <w:widowControl/>
        <w:spacing w:line="560" w:lineRule="exact"/>
        <w:ind w:firstLine="560" w:firstLineChars="200"/>
        <w:jc w:val="left"/>
        <w:rPr>
          <w:rFonts w:ascii="仿宋_GB2312" w:hAnsi="仿宋_GB2312" w:eastAsia="仿宋_GB2312" w:cs="仿宋_GB2312"/>
          <w:sz w:val="28"/>
          <w:szCs w:val="28"/>
        </w:rPr>
      </w:pPr>
    </w:p>
    <w:p>
      <w:pPr>
        <w:widowControl/>
        <w:spacing w:line="560" w:lineRule="exact"/>
        <w:ind w:firstLine="3080" w:firstLineChars="1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56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日期：      年    月    日</w:t>
      </w:r>
    </w:p>
    <w:p>
      <w:pPr>
        <w:widowControl/>
        <w:jc w:val="center"/>
        <w:textAlignment w:val="center"/>
        <w:rPr>
          <w:rFonts w:ascii="宋体" w:hAnsi="宋体" w:cs="宋体"/>
          <w:color w:val="000000"/>
          <w:kern w:val="0"/>
          <w:sz w:val="44"/>
          <w:szCs w:val="44"/>
          <w:lang w:bidi="ar"/>
        </w:rPr>
      </w:pPr>
      <w:bookmarkStart w:id="1" w:name="_Toc24111"/>
      <w:bookmarkStart w:id="7" w:name="_GoBack"/>
      <w:bookmarkEnd w:id="7"/>
    </w:p>
    <w:p>
      <w:pPr>
        <w:widowControl/>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ascii="仿宋" w:hAnsi="仿宋" w:eastAsia="仿宋" w:cs="仿宋"/>
          <w:color w:val="000000"/>
          <w:sz w:val="28"/>
          <w:szCs w:val="28"/>
        </w:rPr>
      </w:pP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先生/小姐，现任我单位</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职务，为法定代表人，特此证明。</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有效日期：               签发日期：  </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单位：                   （盖章）</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代表人性别：        年龄：       身份证号码：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营业执照号码：                   经济性质：</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兼营（产）：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进口物品经营许可证号码：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兼营（产）：</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身份证复印件：</w:t>
      </w:r>
    </w:p>
    <w:tbl>
      <w:tblPr>
        <w:tblStyle w:val="15"/>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8"/>
            </w:pPr>
          </w:p>
          <w:p>
            <w:pPr>
              <w:ind w:firstLine="2100" w:firstLineChars="1000"/>
            </w:pPr>
            <w:r>
              <w:rPr>
                <w:rFonts w:hint="eastAsia"/>
              </w:rPr>
              <w:t>正反面</w:t>
            </w:r>
          </w:p>
        </w:tc>
      </w:tr>
    </w:tbl>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本授权书于</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日签字生效，有效期至</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w:t>
      </w:r>
    </w:p>
    <w:p>
      <w:pPr>
        <w:spacing w:line="4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特此声明。</w:t>
      </w:r>
    </w:p>
    <w:p>
      <w:pPr>
        <w:spacing w:line="440" w:lineRule="exact"/>
        <w:ind w:firstLine="480" w:firstLineChars="200"/>
        <w:rPr>
          <w:rFonts w:ascii="仿宋" w:hAnsi="仿宋" w:eastAsia="仿宋" w:cs="仿宋"/>
          <w:color w:val="000000"/>
          <w:sz w:val="24"/>
          <w:szCs w:val="32"/>
        </w:rPr>
      </w:pP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法定代表人签字： </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被授权人签字：　</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单位盖章：　</w:t>
      </w:r>
    </w:p>
    <w:p>
      <w:pPr>
        <w:spacing w:line="440" w:lineRule="exact"/>
        <w:rPr>
          <w:rFonts w:ascii="仿宋" w:hAnsi="仿宋" w:eastAsia="仿宋" w:cs="仿宋"/>
          <w:color w:val="000000"/>
          <w:sz w:val="24"/>
          <w:szCs w:val="32"/>
        </w:rPr>
      </w:pP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附：</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被授权人姓名：                       身份证号：</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职务：</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详细通信地址：</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邮政编码：</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联系电话：</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移动电话：</w:t>
      </w:r>
    </w:p>
    <w:p>
      <w:pPr>
        <w:spacing w:line="440" w:lineRule="exact"/>
        <w:rPr>
          <w:rFonts w:ascii="仿宋" w:hAnsi="仿宋" w:eastAsia="仿宋" w:cs="仿宋"/>
          <w:color w:val="000000"/>
          <w:sz w:val="24"/>
          <w:szCs w:val="32"/>
        </w:rPr>
      </w:pPr>
      <w:r>
        <w:rPr>
          <w:rFonts w:hint="eastAsia" w:ascii="仿宋" w:hAnsi="仿宋" w:eastAsia="仿宋" w:cs="仿宋"/>
          <w:color w:val="000000"/>
          <w:sz w:val="32"/>
          <w:szCs w:val="32"/>
        </w:rPr>
        <w:t>传真：</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身份证复印件：</w:t>
      </w:r>
    </w:p>
    <w:tbl>
      <w:tblPr>
        <w:tblStyle w:val="15"/>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2"/>
        <w:ind w:left="420" w:hanging="420"/>
        <w:jc w:val="center"/>
        <w:rPr>
          <w:rFonts w:ascii="宋体" w:hAnsi="宋体" w:cs="宋体"/>
          <w:b/>
          <w:bCs/>
          <w:sz w:val="44"/>
          <w:szCs w:val="44"/>
        </w:rPr>
      </w:pPr>
    </w:p>
    <w:p>
      <w:pPr>
        <w:pStyle w:val="2"/>
        <w:ind w:left="420" w:hanging="420"/>
        <w:jc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1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采购</w:t>
            </w:r>
            <w:r>
              <w:rPr>
                <w:rFonts w:hint="eastAsia" w:ascii="宋体" w:hAnsi="宋体" w:cs="宋体"/>
                <w:szCs w:val="21"/>
                <w:lang w:val="en-US" w:eastAsia="zh-CN"/>
              </w:rPr>
              <w:t>单位</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劳动合同</w:t>
            </w:r>
          </w:p>
          <w:p>
            <w:pPr>
              <w:spacing w:line="360" w:lineRule="auto"/>
              <w:jc w:val="center"/>
              <w:rPr>
                <w:rFonts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缴纳社会</w:t>
            </w:r>
          </w:p>
          <w:p>
            <w:pPr>
              <w:spacing w:line="360" w:lineRule="auto"/>
              <w:jc w:val="center"/>
              <w:rPr>
                <w:rFonts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rPr>
                <w:rFonts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说明：同一关联关系类型有多个主体的，应分行填写。</w:t>
            </w:r>
          </w:p>
        </w:tc>
      </w:tr>
    </w:tbl>
    <w:p/>
    <w:p>
      <w:pPr>
        <w:rPr>
          <w:rFonts w:ascii="宋体" w:hAnsi="宋体" w:cs="宋体"/>
          <w:sz w:val="30"/>
          <w:szCs w:val="30"/>
        </w:rPr>
      </w:pPr>
      <w:r>
        <w:rPr>
          <w:rFonts w:hint="eastAsia" w:ascii="宋体" w:hAnsi="宋体" w:cs="宋体"/>
          <w:sz w:val="30"/>
          <w:szCs w:val="30"/>
        </w:rPr>
        <w:br w:type="page"/>
      </w:r>
    </w:p>
    <w:p>
      <w:pPr>
        <w:pStyle w:val="2"/>
        <w:ind w:left="420" w:hanging="420"/>
        <w:jc w:val="center"/>
        <w:rPr>
          <w:rFonts w:ascii="宋体" w:hAnsi="宋体" w:cs="宋体"/>
          <w:color w:val="000000"/>
          <w:kern w:val="0"/>
          <w:sz w:val="44"/>
          <w:szCs w:val="44"/>
          <w:lang w:bidi="ar"/>
        </w:rPr>
      </w:pPr>
      <w:bookmarkStart w:id="2" w:name="_Toc17532"/>
      <w:bookmarkStart w:id="3" w:name="_Toc14311"/>
      <w:r>
        <w:rPr>
          <w:rFonts w:hint="eastAsia" w:ascii="宋体" w:hAnsi="宋体" w:cs="宋体"/>
          <w:color w:val="000000"/>
          <w:kern w:val="0"/>
          <w:sz w:val="44"/>
          <w:szCs w:val="44"/>
          <w:lang w:bidi="ar"/>
        </w:rPr>
        <w:t>提供社会保险证明</w:t>
      </w:r>
      <w:bookmarkEnd w:id="2"/>
      <w:bookmarkEnd w:id="3"/>
    </w:p>
    <w:p>
      <w:pPr>
        <w:pStyle w:val="28"/>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提供法定代表人最近一个月的社保证明：</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提供主要经营负责人最近一个月的社保证明：</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项目投标授权代表人最近一个月的社保证明：</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提供项目负责人最近一个月的社保证明（如有）：</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提供主要技术人员最近一个月的社保证明（如有）：</w:t>
      </w:r>
    </w:p>
    <w:p>
      <w:pPr>
        <w:spacing w:line="500" w:lineRule="exact"/>
        <w:rPr>
          <w:rFonts w:ascii="宋体" w:hAnsi="宋体"/>
        </w:rPr>
      </w:pPr>
    </w:p>
    <w:p>
      <w:pPr>
        <w:pStyle w:val="8"/>
        <w:ind w:firstLine="640" w:firstLineChars="200"/>
      </w:pPr>
      <w:r>
        <w:rPr>
          <w:rFonts w:hint="eastAsia"/>
        </w:rPr>
        <w:t>注：</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1.法定代表人、主要经营负责人、项目投标授权代表人的社会保险未由投标人单位缴纳，亦须提供相应单位为其缴纳的社会保险证明。</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2.项目负责人和主要技术人员的社会保险须由投标人单位缴纳。</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3.投标人为新成立企业且成立时间不足一个月可提供加盖投标人公章的情况说明或者证明材料亦视为符合。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4.由于社保部门或税务部门的原因最近一个月的社保证明无法提供的可往前顺延一个月。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5.如依法不需要缴纳社会保险的，应提供相应文件证明；如为退休返聘人员提供退休证明和聘用合同。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6.若因社保部门原因无法提供的，需提供劳动合同及社保部门官方通知证明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或官网公告截图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7.如本项目未安排项目负责人、主要技术人员的，无需提供项目负责人、主要技术人员的社会保险证明。</w:t>
      </w:r>
    </w:p>
    <w:p>
      <w:pPr>
        <w:rPr>
          <w:rFonts w:ascii="仿宋_GB2312" w:hAnsi="仿宋_GB2312" w:eastAsia="仿宋_GB2312" w:cs="仿宋_GB2312"/>
          <w:sz w:val="32"/>
          <w:szCs w:val="32"/>
        </w:rPr>
      </w:pPr>
    </w:p>
    <w:p>
      <w:pPr>
        <w:pStyle w:val="4"/>
      </w:pPr>
    </w:p>
    <w:p>
      <w:pPr>
        <w:jc w:val="center"/>
        <w:rPr>
          <w:rFonts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hint="default" w:ascii="黑体"/>
          <w:sz w:val="32"/>
          <w:szCs w:val="32"/>
        </w:rPr>
      </w:pPr>
    </w:p>
    <w:p>
      <w:pPr>
        <w:pStyle w:val="3"/>
        <w:spacing w:beforeAutospacing="0" w:afterAutospacing="0" w:line="500" w:lineRule="exact"/>
        <w:ind w:firstLine="640" w:firstLineChars="200"/>
        <w:jc w:val="both"/>
        <w:rPr>
          <w:rFonts w:hint="default" w:ascii="黑体" w:hAnsi="黑体" w:eastAsia="黑体" w:cs="黑体"/>
          <w:bCs/>
          <w:sz w:val="32"/>
          <w:szCs w:val="32"/>
        </w:rPr>
      </w:pPr>
      <w:r>
        <w:rPr>
          <w:rFonts w:ascii="黑体" w:hAnsi="黑体" w:eastAsia="黑体" w:cs="黑体"/>
          <w:sz w:val="32"/>
          <w:szCs w:val="32"/>
        </w:rPr>
        <w:t>一、投标人情况及资格证明文件</w:t>
      </w:r>
      <w:bookmarkStart w:id="4" w:name="_Hlk72257590"/>
    </w:p>
    <w:p>
      <w:pPr>
        <w:spacing w:line="500" w:lineRule="exact"/>
        <w:ind w:firstLine="640" w:firstLineChars="200"/>
        <w:jc w:val="left"/>
        <w:outlineLvl w:val="3"/>
        <w:rPr>
          <w:rFonts w:ascii="楷体" w:hAnsi="楷体" w:eastAsia="楷体" w:cs="楷体"/>
          <w:bCs/>
          <w:sz w:val="32"/>
          <w:szCs w:val="32"/>
        </w:rPr>
      </w:pPr>
      <w:r>
        <w:rPr>
          <w:rFonts w:hint="eastAsia" w:ascii="楷体" w:hAnsi="楷体" w:eastAsia="楷体" w:cs="楷体"/>
          <w:bCs/>
          <w:sz w:val="32"/>
          <w:szCs w:val="32"/>
        </w:rPr>
        <w:t>（一）投标人资格证明文件</w:t>
      </w:r>
    </w:p>
    <w:p>
      <w:pPr>
        <w:spacing w:line="500" w:lineRule="exact"/>
        <w:ind w:firstLine="640" w:firstLineChars="200"/>
        <w:rPr>
          <w:rFonts w:hint="eastAsia" w:eastAsia="仿宋_GB2312"/>
          <w:b/>
          <w:bCs/>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特别提示：投标人须按本招标文件第一册第一章招标公告“申请人的资格要求”（即投标人资格要求）提供相关的资格证明资料，未提供或提供不完整、不符合要求的，将作投标无效处理</w:t>
      </w:r>
      <w:r>
        <w:rPr>
          <w:rFonts w:hint="eastAsia" w:ascii="仿宋_GB2312" w:hAnsi="仿宋_GB2312" w:eastAsia="仿宋_GB2312" w:cs="仿宋_GB2312"/>
          <w:sz w:val="32"/>
          <w:szCs w:val="32"/>
          <w:lang w:val="en-US" w:eastAsia="zh-CN"/>
        </w:rPr>
        <w:t>]</w:t>
      </w:r>
    </w:p>
    <w:p>
      <w:pPr>
        <w:spacing w:line="500" w:lineRule="exact"/>
        <w:ind w:firstLine="640" w:firstLineChars="200"/>
        <w:jc w:val="left"/>
        <w:outlineLvl w:val="3"/>
        <w:rPr>
          <w:rFonts w:ascii="楷体" w:hAnsi="楷体" w:eastAsia="楷体" w:cs="楷体"/>
          <w:bCs/>
          <w:sz w:val="32"/>
          <w:szCs w:val="32"/>
        </w:rPr>
      </w:pPr>
      <w:r>
        <w:rPr>
          <w:rFonts w:hint="eastAsia" w:ascii="楷体" w:hAnsi="楷体" w:eastAsia="楷体" w:cs="楷体"/>
          <w:bCs/>
          <w:sz w:val="32"/>
          <w:szCs w:val="32"/>
        </w:rPr>
        <w:t>（二）中小企业声明函、残疾人福利性单位声明函及监狱企业声明函</w:t>
      </w:r>
      <w:bookmarkEnd w:id="4"/>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填写指引：</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2.该部分内容填写需要参考的相关文件：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财政部《政府采购促进中小企业发展管理办法》（财库〔2020〕46号）；</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bookmarkStart w:id="5" w:name="_Hlk71925120"/>
      <w:r>
        <w:rPr>
          <w:rFonts w:hint="eastAsia" w:ascii="仿宋_GB2312" w:hAnsi="仿宋_GB2312" w:eastAsia="仿宋_GB2312" w:cs="仿宋_GB2312"/>
          <w:sz w:val="32"/>
          <w:szCs w:val="32"/>
        </w:rPr>
        <w:t>《工业和信息化部、国家统计局、国家发展和改革委员会、财政部关于印发中小企业划型标准规定的通知》（工信部联企业〔2011〕300号</w:t>
      </w:r>
      <w:bookmarkEnd w:id="5"/>
      <w:r>
        <w:rPr>
          <w:rFonts w:hint="eastAsia" w:ascii="仿宋_GB2312" w:hAnsi="仿宋_GB2312" w:eastAsia="仿宋_GB2312" w:cs="仿宋_GB2312"/>
          <w:sz w:val="32"/>
          <w:szCs w:val="32"/>
        </w:rPr>
        <w:t>，以下简称300号文）；</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《政府采购促进中小企业发展管理办法》（财库〔2020〕46号）；</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《关于印发中小企业划型标准规定的通知》（工信部联企业〔2011〕300号）；</w:t>
      </w:r>
    </w:p>
    <w:p>
      <w:pPr>
        <w:spacing w:line="500" w:lineRule="exact"/>
        <w:ind w:firstLine="640" w:firstLineChars="200"/>
        <w:jc w:val="left"/>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《统计上大中小微型企业划分办法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》（国统字〔2017〕213号）；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《关于促进残疾人就业政府采购政策的通知》（财库〔2017〕141号）；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《关于政府采购支持监狱企业发展有关问题的通知》（财库〔2014〕68号）。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请依照提供的格式和内容填写声明函，不要随意变更格式；声明函不需要盖章或签字；满足多项优惠政策的投标人，不重复享受多项价格扣除政策。</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声明函具体填写要求：</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（1）声明是中小企业须填写《中小企业声明函》的以下内容：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第一处，在“单位名称”下划线处如实填写采购人名称（深圳公共资源交易中心不是本项目的采购人，而是组织实施机构）；</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第二处，在“项目名称”下划线处如实填写采购项目名称；</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第三处，在“标的名称”下划线处填写所采购货物（标的）的具体名称；如果涉及多项货物（标的）为同一企业制造，“标的名称”下划线处可以如实填写多项货物；</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第四处，在“招标文件中明确的所属行业”下划线处填写采购标的对应的中小企业划分标准所属行业；</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（2）声明：残疾人福利性单位须填写《残疾人福利性单位声明函》的相关内容，具体参照以上《中小企业声明函》填写要求执行。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（3）声明：监狱企业须填写《监狱企业声明函》的三项内容（填写位置的字体已加粗），具体参照以上《中小企业声明函》填写要求执行。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声明函的有效性最终由评审委员会判定；如评审委员会判定声明函无效，相关供应商不享受价格扣除（但不作投标无效处理）。</w:t>
      </w:r>
    </w:p>
    <w:p>
      <w:pPr>
        <w:pStyle w:val="3"/>
        <w:spacing w:beforeAutospacing="0" w:afterAutospacing="0" w:line="500" w:lineRule="exact"/>
        <w:ind w:firstLine="640" w:firstLineChars="200"/>
        <w:jc w:val="both"/>
        <w:rPr>
          <w:rFonts w:hint="default"/>
          <w:b/>
          <w:sz w:val="36"/>
          <w:szCs w:val="36"/>
        </w:rPr>
      </w:pPr>
      <w:r>
        <w:rPr>
          <w:rFonts w:ascii="黑体" w:hAnsi="黑体" w:eastAsia="黑体" w:cs="黑体"/>
          <w:sz w:val="32"/>
          <w:szCs w:val="32"/>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8"/>
        <w:rPr>
          <w:b/>
          <w:sz w:val="36"/>
          <w:szCs w:val="36"/>
        </w:rPr>
      </w:pPr>
    </w:p>
    <w:p>
      <w:pPr>
        <w:rPr>
          <w:b/>
          <w:sz w:val="36"/>
          <w:szCs w:val="36"/>
        </w:rPr>
      </w:pPr>
    </w:p>
    <w:p>
      <w:pPr>
        <w:pStyle w:val="8"/>
        <w:rPr>
          <w:b/>
          <w:sz w:val="36"/>
          <w:szCs w:val="36"/>
        </w:rPr>
      </w:pPr>
    </w:p>
    <w:p>
      <w:pPr>
        <w:rPr>
          <w:b/>
          <w:sz w:val="36"/>
          <w:szCs w:val="36"/>
        </w:rPr>
      </w:pPr>
    </w:p>
    <w:p>
      <w:pPr>
        <w:pStyle w:val="23"/>
        <w:ind w:firstLine="723"/>
        <w:rPr>
          <w:b/>
          <w:sz w:val="36"/>
          <w:szCs w:val="36"/>
        </w:rPr>
      </w:pPr>
    </w:p>
    <w:p>
      <w:pPr>
        <w:rPr>
          <w:b/>
          <w:sz w:val="36"/>
          <w:szCs w:val="36"/>
        </w:rPr>
      </w:pPr>
    </w:p>
    <w:p>
      <w:pPr>
        <w:pStyle w:val="8"/>
      </w:pPr>
    </w:p>
    <w:p/>
    <w:p>
      <w:pPr>
        <w:spacing w:line="500" w:lineRule="exact"/>
        <w:rPr>
          <w:b/>
          <w:sz w:val="36"/>
          <w:szCs w:val="36"/>
        </w:rPr>
      </w:pPr>
    </w:p>
    <w:p>
      <w:pPr>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ascii="仿宋_GB2312" w:hAnsi="仿宋_GB2312" w:eastAsia="仿宋_GB2312" w:cs="仿宋_GB2312"/>
          <w:sz w:val="32"/>
          <w:szCs w:val="32"/>
        </w:rPr>
      </w:pP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本公司（联合体）郑重声明，根据《政府采购促进中小企业发展管理办法》（财库〔2020〕46号）的规定，本公司（联合体）参加</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rPr>
        <w:t>采购活动，提供的货物全部由符合政策要求的中小企业制造。相关企业（含联合体中的中小企业、签订分包意向协议的中小企业）的具体情况如下：</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（标的名称）</w:t>
      </w:r>
      <w:r>
        <w:rPr>
          <w:rFonts w:hint="eastAsia" w:ascii="仿宋_GB2312" w:hAnsi="仿宋_GB2312" w:eastAsia="仿宋_GB2312" w:cs="仿宋_GB2312"/>
          <w:sz w:val="32"/>
          <w:szCs w:val="32"/>
        </w:rPr>
        <w:t>，属于</w:t>
      </w:r>
      <w:r>
        <w:rPr>
          <w:rFonts w:hint="eastAsia" w:ascii="仿宋_GB2312" w:hAnsi="仿宋_GB2312" w:eastAsia="仿宋_GB2312" w:cs="仿宋_GB2312"/>
          <w:sz w:val="32"/>
          <w:szCs w:val="32"/>
          <w:u w:val="single"/>
        </w:rPr>
        <w:t>（采购文件中明确的所属行业）</w:t>
      </w:r>
      <w:r>
        <w:rPr>
          <w:rFonts w:hint="eastAsia" w:ascii="仿宋_GB2312" w:hAnsi="仿宋_GB2312" w:eastAsia="仿宋_GB2312" w:cs="仿宋_GB2312"/>
          <w:sz w:val="32"/>
          <w:szCs w:val="32"/>
        </w:rPr>
        <w:t>行业；制造商为</w:t>
      </w:r>
      <w:r>
        <w:rPr>
          <w:rFonts w:hint="eastAsia" w:ascii="仿宋_GB2312" w:hAnsi="仿宋_GB2312" w:eastAsia="仿宋_GB2312" w:cs="仿宋_GB2312"/>
          <w:sz w:val="32"/>
          <w:szCs w:val="32"/>
          <w:u w:val="single"/>
        </w:rPr>
        <w:t>（企业名称）</w:t>
      </w:r>
      <w:r>
        <w:rPr>
          <w:rFonts w:hint="eastAsia" w:ascii="仿宋_GB2312" w:hAnsi="仿宋_GB2312" w:eastAsia="仿宋_GB2312" w:cs="仿宋_GB2312"/>
          <w:sz w:val="32"/>
          <w:szCs w:val="32"/>
        </w:rPr>
        <w:t>，从业人员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人，营业收入为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万元，资产总额为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万元，属于</w:t>
      </w:r>
      <w:r>
        <w:rPr>
          <w:rFonts w:hint="eastAsia" w:ascii="仿宋_GB2312" w:hAnsi="仿宋_GB2312" w:eastAsia="仿宋_GB2312" w:cs="仿宋_GB2312"/>
          <w:sz w:val="32"/>
          <w:szCs w:val="32"/>
          <w:u w:val="single"/>
        </w:rPr>
        <w:t>（中型企业、小型企业、微型企业）</w:t>
      </w: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以上企业，不属于大企业的分支机构，不存在控股股东为大企业的情形，也不存在与大企业的负责人为同一人的情形。</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本企业对上述声明内容的真实性负责。如有虚假，将依法承担相应责任。</w:t>
      </w:r>
    </w:p>
    <w:p>
      <w:pPr>
        <w:pStyle w:val="8"/>
      </w:pPr>
    </w:p>
    <w:p>
      <w:pPr>
        <w:spacing w:line="440" w:lineRule="exact"/>
        <w:ind w:firstLine="420" w:firstLineChars="200"/>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企业名称（盖章）：</w:t>
      </w:r>
    </w:p>
    <w:p>
      <w:pPr>
        <w:spacing w:line="440" w:lineRule="exact"/>
        <w:ind w:firstLine="640" w:firstLineChars="200"/>
        <w:rPr>
          <w:b/>
          <w:sz w:val="36"/>
          <w:szCs w:val="36"/>
        </w:rPr>
      </w:pPr>
      <w:r>
        <w:rPr>
          <w:rFonts w:hint="eastAsia" w:ascii="仿宋_GB2312" w:hAnsi="仿宋_GB2312" w:eastAsia="仿宋_GB2312" w:cs="仿宋_GB2312"/>
          <w:sz w:val="32"/>
          <w:szCs w:val="32"/>
        </w:rPr>
        <w:t xml:space="preserve">                       日期： </w:t>
      </w:r>
    </w:p>
    <w:p>
      <w:pPr>
        <w:spacing w:line="500" w:lineRule="exact"/>
        <w:jc w:val="center"/>
        <w:rPr>
          <w:b/>
          <w:sz w:val="36"/>
          <w:szCs w:val="36"/>
        </w:rPr>
      </w:pPr>
    </w:p>
    <w:p>
      <w:pPr>
        <w:spacing w:line="500" w:lineRule="exact"/>
        <w:jc w:val="center"/>
        <w:rPr>
          <w:b/>
          <w:sz w:val="36"/>
          <w:szCs w:val="36"/>
        </w:rPr>
      </w:pPr>
    </w:p>
    <w:p>
      <w:pPr>
        <w:pStyle w:val="8"/>
        <w:rPr>
          <w:b/>
          <w:sz w:val="36"/>
          <w:szCs w:val="36"/>
        </w:rPr>
      </w:pPr>
    </w:p>
    <w:p>
      <w:pPr>
        <w:rPr>
          <w:b/>
          <w:sz w:val="36"/>
          <w:szCs w:val="36"/>
        </w:rPr>
      </w:pPr>
    </w:p>
    <w:p>
      <w:pPr>
        <w:pStyle w:val="8"/>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本单位知悉《促进残疾人就业政府采购政策的通知》（财库〔2017〕141号）的规定，承诺提供的声明函内容是真实的，如提供声明函内容不实，则依法追究相关法律责任。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pStyle w:val="8"/>
        <w:tabs>
          <w:tab w:val="left" w:pos="562"/>
          <w:tab w:val="left" w:pos="3372"/>
          <w:tab w:val="left" w:pos="3653"/>
        </w:tabs>
        <w:spacing w:line="560" w:lineRule="exact"/>
        <w:rPr>
          <w:rFonts w:ascii="仿宋_GB2312" w:hAnsi="仿宋_GB2312" w:eastAsia="仿宋_GB2312" w:cs="仿宋_GB2312"/>
        </w:rPr>
      </w:pPr>
    </w:p>
    <w:p>
      <w:pPr>
        <w:spacing w:line="560" w:lineRule="exact"/>
      </w:pPr>
    </w:p>
    <w:p>
      <w:pPr>
        <w:spacing w:line="560" w:lineRule="exact"/>
        <w:ind w:firstLine="4480" w:firstLineChars="1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60" w:lineRule="exact"/>
        <w:ind w:firstLine="4480" w:firstLineChars="1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pStyle w:val="8"/>
        <w:rPr>
          <w:rFonts w:ascii="仿宋_GB2312" w:hAnsi="仿宋_GB2312" w:eastAsia="仿宋_GB2312" w:cs="仿宋_GB2312"/>
        </w:rPr>
      </w:pPr>
    </w:p>
    <w:p>
      <w:pPr>
        <w:pStyle w:val="8"/>
        <w:rPr>
          <w:rFonts w:ascii="仿宋_GB2312" w:hAnsi="仿宋_GB2312" w:eastAsia="仿宋_GB2312" w:cs="仿宋_GB2312"/>
        </w:rPr>
      </w:pPr>
    </w:p>
    <w:p>
      <w:pPr>
        <w:rPr>
          <w:rFonts w:ascii="仿宋_GB2312" w:hAnsi="仿宋_GB2312" w:eastAsia="仿宋_GB2312" w:cs="仿宋_GB2312"/>
          <w:sz w:val="32"/>
          <w:szCs w:val="32"/>
        </w:rPr>
      </w:pPr>
    </w:p>
    <w:p>
      <w:pPr>
        <w:pStyle w:val="23"/>
      </w:pPr>
    </w:p>
    <w:p/>
    <w:p/>
    <w:p/>
    <w:p>
      <w:pPr>
        <w:numPr>
          <w:ilvl w:val="0"/>
          <w:numId w:val="3"/>
        </w:numPr>
        <w:spacing w:line="500" w:lineRule="exact"/>
        <w:jc w:val="center"/>
        <w:rPr>
          <w:b/>
          <w:sz w:val="36"/>
          <w:szCs w:val="36"/>
        </w:rPr>
      </w:pPr>
      <w:r>
        <w:rPr>
          <w:rFonts w:hint="eastAsia"/>
          <w:b/>
          <w:sz w:val="36"/>
          <w:szCs w:val="36"/>
        </w:rPr>
        <w:t>监狱企业声明函</w:t>
      </w:r>
    </w:p>
    <w:p>
      <w:pPr>
        <w:pStyle w:val="8"/>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本单位郑重声明，根据《财政部司法部关于政府采购支持监狱企业发展有关问题的通知》（财库〔2014〕68号）的规定，本单位为符合条件的监狱企业，且本单位参加（采购单位名称） 单位的（采购项目名称）项目采购活动，并提供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□本单位制造的货物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□由本单位承担的工程、提供服务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□提供其他监狱企业制造的货物（承诺人在□处打√）。本条所称货物是指单一产品采购项目中的货物，或者非单一产品采购项目中的核心产品（货物）。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附：省级以上监狱管理局、戒毒管理局（含新疆生产建设兵团）出具的监狱企业证明文件。</w:t>
      </w:r>
    </w:p>
    <w:p>
      <w:pPr>
        <w:spacing w:line="560" w:lineRule="exact"/>
        <w:ind w:firstLine="640" w:firstLineChars="200"/>
        <w:jc w:val="left"/>
        <w:rPr>
          <w:rFonts w:ascii="仿宋_GB2312" w:hAnsi="仿宋_GB2312" w:eastAsia="仿宋_GB2312" w:cs="仿宋_GB2312"/>
          <w:sz w:val="32"/>
          <w:szCs w:val="32"/>
        </w:rPr>
      </w:pPr>
    </w:p>
    <w:p>
      <w:pPr>
        <w:pStyle w:val="8"/>
      </w:pPr>
    </w:p>
    <w:p>
      <w:pPr>
        <w:spacing w:line="560" w:lineRule="exact"/>
        <w:ind w:firstLine="5120" w:firstLineChars="1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60" w:lineRule="exact"/>
        <w:ind w:firstLine="5120" w:firstLineChars="1600"/>
        <w:jc w:val="left"/>
        <w:rPr>
          <w:b/>
          <w:sz w:val="32"/>
          <w:szCs w:val="32"/>
        </w:rPr>
      </w:pPr>
      <w:r>
        <w:rPr>
          <w:rFonts w:hint="eastAsia" w:ascii="仿宋_GB2312" w:hAnsi="仿宋_GB2312" w:eastAsia="仿宋_GB2312" w:cs="仿宋_GB2312"/>
          <w:sz w:val="32"/>
          <w:szCs w:val="32"/>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NumType w:fmt="numberInDash"/>
          <w:cols w:space="720" w:num="1"/>
          <w:docGrid w:type="lines" w:linePitch="312" w:charSpace="0"/>
        </w:sectPr>
      </w:pPr>
    </w:p>
    <w:tbl>
      <w:tblPr>
        <w:tblStyle w:val="15"/>
        <w:tblW w:w="13061" w:type="dxa"/>
        <w:tblInd w:w="0" w:type="dxa"/>
        <w:tblLayout w:type="fixed"/>
        <w:tblCellMar>
          <w:top w:w="15" w:type="dxa"/>
          <w:left w:w="15" w:type="dxa"/>
          <w:bottom w:w="15" w:type="dxa"/>
          <w:right w:w="15" w:type="dxa"/>
        </w:tblCellMar>
      </w:tblPr>
      <w:tblGrid>
        <w:gridCol w:w="6581"/>
        <w:gridCol w:w="4949"/>
        <w:gridCol w:w="1531"/>
      </w:tblGrid>
      <w:tr>
        <w:tblPrEx>
          <w:tblCellMar>
            <w:top w:w="15" w:type="dxa"/>
            <w:left w:w="15" w:type="dxa"/>
            <w:bottom w:w="15" w:type="dxa"/>
            <w:right w:w="15" w:type="dxa"/>
          </w:tblCellMar>
        </w:tblPrEx>
        <w:trPr>
          <w:trHeight w:val="705" w:hRule="atLeast"/>
        </w:trPr>
        <w:tc>
          <w:tcPr>
            <w:tcW w:w="13061" w:type="dxa"/>
            <w:gridSpan w:val="3"/>
            <w:noWrap/>
            <w:vAlign w:val="center"/>
          </w:tcPr>
          <w:p>
            <w:pPr>
              <w:widowControl/>
              <w:jc w:val="center"/>
              <w:textAlignment w:val="center"/>
              <w:rPr>
                <w:rFonts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85" w:hRule="atLeast"/>
        </w:trPr>
        <w:tc>
          <w:tcPr>
            <w:tcW w:w="1306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xml:space="preserve">　　　　　　　　　　　　　                </w:t>
            </w:r>
            <w:r>
              <w:rPr>
                <w:rFonts w:hint="eastAsia" w:ascii="仿宋" w:hAnsi="仿宋" w:eastAsia="仿宋" w:cs="仿宋"/>
                <w:color w:val="FF0000"/>
                <w:kern w:val="0"/>
                <w:sz w:val="28"/>
                <w:szCs w:val="28"/>
              </w:rPr>
              <w:t xml:space="preserve">      </w:t>
            </w:r>
            <w:r>
              <w:rPr>
                <w:rFonts w:hint="eastAsia" w:ascii="仿宋" w:hAnsi="仿宋" w:eastAsia="仿宋" w:cs="仿宋"/>
                <w:color w:val="auto"/>
                <w:kern w:val="0"/>
                <w:sz w:val="28"/>
                <w:szCs w:val="28"/>
              </w:rPr>
              <w:t>采购项目编号</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深龙七医采[LGQY2025YW002]</w:t>
            </w:r>
          </w:p>
        </w:tc>
      </w:tr>
      <w:tr>
        <w:tblPrEx>
          <w:tblCellMar>
            <w:top w:w="15" w:type="dxa"/>
            <w:left w:w="15" w:type="dxa"/>
            <w:bottom w:w="15" w:type="dxa"/>
            <w:right w:w="15" w:type="dxa"/>
          </w:tblCellMar>
        </w:tblPrEx>
        <w:trPr>
          <w:trHeight w:val="759" w:hRule="atLeast"/>
        </w:trPr>
        <w:tc>
          <w:tcPr>
            <w:tcW w:w="65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4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投标报价</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tblPrEx>
          <w:tblCellMar>
            <w:top w:w="15" w:type="dxa"/>
            <w:left w:w="15" w:type="dxa"/>
            <w:bottom w:w="15" w:type="dxa"/>
            <w:right w:w="15" w:type="dxa"/>
          </w:tblCellMar>
        </w:tblPrEx>
        <w:trPr>
          <w:trHeight w:val="655" w:hRule="atLeast"/>
        </w:trPr>
        <w:tc>
          <w:tcPr>
            <w:tcW w:w="65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p>
            <w:pPr>
              <w:pStyle w:val="12"/>
              <w:rPr>
                <w:rFonts w:ascii="仿宋" w:hAnsi="仿宋" w:eastAsia="仿宋" w:cs="仿宋"/>
                <w:color w:val="000000"/>
                <w:sz w:val="22"/>
                <w:szCs w:val="22"/>
              </w:rPr>
            </w:pPr>
          </w:p>
          <w:p/>
        </w:tc>
        <w:tc>
          <w:tcPr>
            <w:tcW w:w="494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r>
              <w:rPr>
                <w:rFonts w:hint="eastAsia" w:ascii="仿宋" w:hAnsi="仿宋" w:eastAsia="仿宋" w:cs="仿宋"/>
                <w:color w:val="000000"/>
                <w:sz w:val="22"/>
                <w:szCs w:val="22"/>
              </w:rPr>
              <w:t>大写：</w:t>
            </w:r>
          </w:p>
          <w:p>
            <w:pPr>
              <w:pStyle w:val="8"/>
            </w:pPr>
            <w:r>
              <w:rPr>
                <w:rFonts w:hint="eastAsia" w:ascii="仿宋" w:hAnsi="仿宋" w:eastAsia="仿宋" w:cs="仿宋"/>
                <w:color w:val="000000"/>
                <w:sz w:val="22"/>
                <w:szCs w:val="22"/>
              </w:rPr>
              <w:t>小写</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val="en-US" w:eastAsia="zh-CN"/>
              </w:rPr>
              <w:t>元</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rPr>
              <w:t>：</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r>
    </w:tbl>
    <w:p>
      <w:pPr>
        <w:numPr>
          <w:ilvl w:val="0"/>
          <w:numId w:val="4"/>
        </w:numPr>
        <w:spacing w:line="500" w:lineRule="exact"/>
        <w:jc w:val="left"/>
        <w:rPr>
          <w:rFonts w:ascii="仿宋" w:hAnsi="仿宋" w:eastAsia="仿宋" w:cs="仿宋"/>
          <w:sz w:val="28"/>
          <w:szCs w:val="28"/>
        </w:rPr>
      </w:pPr>
      <w:r>
        <w:rPr>
          <w:rFonts w:hint="eastAsia" w:ascii="仿宋" w:hAnsi="仿宋" w:eastAsia="仿宋" w:cs="仿宋"/>
          <w:sz w:val="28"/>
          <w:szCs w:val="28"/>
        </w:rPr>
        <w:t>开标一览表格式不得自行改动。</w:t>
      </w:r>
    </w:p>
    <w:p>
      <w:pPr>
        <w:numPr>
          <w:ilvl w:val="0"/>
          <w:numId w:val="4"/>
        </w:numPr>
        <w:spacing w:line="500" w:lineRule="exact"/>
        <w:jc w:val="left"/>
        <w:rPr>
          <w:rFonts w:ascii="仿宋" w:hAnsi="仿宋" w:eastAsia="仿宋" w:cs="仿宋"/>
          <w:sz w:val="28"/>
          <w:szCs w:val="28"/>
        </w:rPr>
      </w:pPr>
      <w:r>
        <w:rPr>
          <w:rFonts w:hint="eastAsia" w:ascii="仿宋" w:hAnsi="仿宋" w:eastAsia="仿宋" w:cs="仿宋"/>
          <w:sz w:val="28"/>
          <w:szCs w:val="28"/>
        </w:rPr>
        <w:t>价格条件为能否满足标书要求的投标报价。</w:t>
      </w:r>
    </w:p>
    <w:p>
      <w:pPr>
        <w:numPr>
          <w:ilvl w:val="0"/>
          <w:numId w:val="4"/>
        </w:numPr>
        <w:spacing w:line="500" w:lineRule="exact"/>
        <w:jc w:val="left"/>
        <w:rPr>
          <w:rFonts w:ascii="仿宋" w:hAnsi="仿宋" w:eastAsia="仿宋" w:cs="仿宋"/>
          <w:sz w:val="28"/>
          <w:szCs w:val="36"/>
        </w:rPr>
      </w:pPr>
      <w:r>
        <w:rPr>
          <w:rFonts w:hint="eastAsia" w:ascii="仿宋" w:hAnsi="仿宋" w:eastAsia="仿宋" w:cs="仿宋"/>
          <w:sz w:val="28"/>
          <w:szCs w:val="28"/>
        </w:rPr>
        <w:t>无内容空格填“</w:t>
      </w:r>
      <w:r>
        <w:rPr>
          <w:rFonts w:hint="eastAsia" w:ascii="仿宋" w:hAnsi="仿宋" w:eastAsia="仿宋" w:cs="仿宋"/>
          <w:sz w:val="28"/>
          <w:szCs w:val="28"/>
          <w:lang w:eastAsia="zh-CN"/>
        </w:rPr>
        <w:t>－</w:t>
      </w:r>
      <w:r>
        <w:rPr>
          <w:rFonts w:hint="eastAsia" w:ascii="仿宋" w:hAnsi="仿宋" w:eastAsia="仿宋" w:cs="仿宋"/>
          <w:sz w:val="28"/>
          <w:szCs w:val="28"/>
        </w:rPr>
        <w:t>”。</w:t>
      </w:r>
    </w:p>
    <w:p>
      <w:pPr>
        <w:rPr>
          <w:rFonts w:ascii="仿宋" w:hAnsi="仿宋" w:eastAsia="仿宋" w:cs="仿宋"/>
          <w:sz w:val="28"/>
          <w:szCs w:val="28"/>
        </w:rPr>
      </w:pPr>
    </w:p>
    <w:p>
      <w:pPr>
        <w:ind w:firstLine="280" w:firstLineChars="100"/>
        <w:rPr>
          <w:rFonts w:ascii="仿宋" w:hAnsi="仿宋" w:eastAsia="仿宋" w:cs="仿宋"/>
          <w:sz w:val="28"/>
          <w:szCs w:val="28"/>
        </w:rPr>
      </w:pPr>
      <w:r>
        <w:rPr>
          <w:rFonts w:hint="eastAsia" w:ascii="仿宋" w:hAnsi="仿宋" w:eastAsia="仿宋" w:cs="仿宋"/>
          <w:sz w:val="28"/>
          <w:szCs w:val="28"/>
        </w:rPr>
        <w:t>法定代表人或其授权代表人（签字）：</w:t>
      </w:r>
    </w:p>
    <w:p>
      <w:pPr>
        <w:rPr>
          <w:rFonts w:hint="eastAsia" w:ascii="仿宋" w:hAnsi="仿宋" w:eastAsia="仿宋" w:cs="仿宋"/>
          <w:sz w:val="28"/>
          <w:szCs w:val="28"/>
        </w:rPr>
      </w:pPr>
      <w:r>
        <w:rPr>
          <w:rFonts w:hint="eastAsia" w:ascii="仿宋" w:hAnsi="仿宋" w:eastAsia="仿宋" w:cs="仿宋"/>
          <w:sz w:val="28"/>
          <w:szCs w:val="28"/>
        </w:rPr>
        <w:t xml:space="preserve">  投标单位全称（加盖公章）：</w:t>
      </w:r>
    </w:p>
    <w:p>
      <w:pPr>
        <w:rPr>
          <w:rFonts w:hint="eastAsia" w:ascii="仿宋" w:hAnsi="仿宋" w:eastAsia="仿宋" w:cs="仿宋"/>
          <w:sz w:val="28"/>
          <w:szCs w:val="28"/>
        </w:rPr>
      </w:pPr>
    </w:p>
    <w:p>
      <w:pPr>
        <w:rPr>
          <w:rFonts w:hint="eastAsia" w:ascii="仿宋" w:hAnsi="仿宋" w:eastAsia="仿宋" w:cs="仿宋"/>
          <w:sz w:val="28"/>
          <w:szCs w:val="28"/>
        </w:rPr>
      </w:pPr>
    </w:p>
    <w:p>
      <w:pPr>
        <w:pStyle w:val="8"/>
      </w:pP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服务条款偏离表</w:t>
      </w:r>
    </w:p>
    <w:tbl>
      <w:tblPr>
        <w:tblStyle w:val="15"/>
        <w:tblW w:w="5102" w:type="pct"/>
        <w:jc w:val="center"/>
        <w:tblLayout w:type="autofit"/>
        <w:tblCellMar>
          <w:top w:w="0" w:type="dxa"/>
          <w:left w:w="108" w:type="dxa"/>
          <w:bottom w:w="0" w:type="dxa"/>
          <w:right w:w="108" w:type="dxa"/>
        </w:tblCellMar>
      </w:tblPr>
      <w:tblGrid>
        <w:gridCol w:w="914"/>
        <w:gridCol w:w="4805"/>
        <w:gridCol w:w="3324"/>
        <w:gridCol w:w="2705"/>
        <w:gridCol w:w="1489"/>
      </w:tblGrid>
      <w:tr>
        <w:tblPrEx>
          <w:tblCellMar>
            <w:top w:w="0" w:type="dxa"/>
            <w:left w:w="108" w:type="dxa"/>
            <w:bottom w:w="0" w:type="dxa"/>
            <w:right w:w="108" w:type="dxa"/>
          </w:tblCellMar>
        </w:tblPrEx>
        <w:trPr>
          <w:trHeight w:val="510" w:hRule="atLeast"/>
          <w:jc w:val="center"/>
        </w:trPr>
        <w:tc>
          <w:tcPr>
            <w:tcW w:w="345" w:type="pct"/>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360" w:lineRule="auto"/>
              <w:jc w:val="center"/>
              <w:rPr>
                <w:rFonts w:ascii="宋体" w:hAnsi="宋体" w:cs="宋体"/>
                <w:b/>
                <w:bCs/>
                <w:kern w:val="0"/>
                <w:sz w:val="22"/>
              </w:rPr>
            </w:pPr>
            <w:r>
              <w:rPr>
                <w:rFonts w:hint="eastAsia" w:ascii="宋体" w:hAnsi="宋体" w:cs="宋体"/>
                <w:b/>
                <w:bCs/>
                <w:kern w:val="0"/>
                <w:sz w:val="22"/>
              </w:rPr>
              <w:t>序号</w:t>
            </w:r>
          </w:p>
        </w:tc>
        <w:tc>
          <w:tcPr>
            <w:tcW w:w="1814" w:type="pct"/>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360" w:lineRule="auto"/>
              <w:ind w:firstLine="442" w:firstLineChars="200"/>
              <w:jc w:val="center"/>
              <w:rPr>
                <w:rFonts w:ascii="宋体" w:hAnsi="宋体" w:cs="宋体"/>
                <w:b/>
                <w:bCs/>
                <w:kern w:val="0"/>
                <w:sz w:val="22"/>
              </w:rPr>
            </w:pPr>
            <w:r>
              <w:rPr>
                <w:rFonts w:hint="eastAsia" w:ascii="宋体" w:hAnsi="宋体" w:cs="宋体"/>
                <w:b/>
                <w:bCs/>
                <w:kern w:val="0"/>
                <w:sz w:val="22"/>
              </w:rPr>
              <w:t>招标技术服务条款</w:t>
            </w:r>
          </w:p>
        </w:tc>
        <w:tc>
          <w:tcPr>
            <w:tcW w:w="1255" w:type="pct"/>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投标响应</w:t>
            </w:r>
          </w:p>
        </w:tc>
        <w:tc>
          <w:tcPr>
            <w:tcW w:w="1021" w:type="pct"/>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偏离情况</w:t>
            </w:r>
          </w:p>
        </w:tc>
        <w:tc>
          <w:tcPr>
            <w:tcW w:w="562" w:type="pct"/>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说明或佐证材料页码</w:t>
            </w: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1814" w:type="pct"/>
            <w:tcBorders>
              <w:top w:val="single" w:color="auto" w:sz="8" w:space="0"/>
              <w:left w:val="nil"/>
              <w:bottom w:val="single" w:color="auto" w:sz="8" w:space="0"/>
              <w:right w:val="single" w:color="auto" w:sz="8" w:space="0"/>
            </w:tcBorders>
            <w:noWrap w:val="0"/>
            <w:vAlign w:val="center"/>
          </w:tcPr>
          <w:p>
            <w:pPr>
              <w:pStyle w:val="20"/>
              <w:spacing w:line="400" w:lineRule="exact"/>
              <w:rPr>
                <w:rFonts w:ascii="仿宋" w:hAnsi="仿宋" w:eastAsia="仿宋" w:cs="仿宋"/>
                <w:sz w:val="24"/>
                <w:szCs w:val="24"/>
              </w:rPr>
            </w:pPr>
            <w:r>
              <w:rPr>
                <w:rFonts w:hint="eastAsia" w:ascii="仿宋" w:hAnsi="仿宋" w:eastAsia="仿宋" w:cs="仿宋"/>
                <w:sz w:val="24"/>
                <w:szCs w:val="24"/>
              </w:rPr>
              <w:t>招标文件第</w:t>
            </w:r>
            <w:r>
              <w:rPr>
                <w:rFonts w:hint="eastAsia" w:ascii="仿宋" w:hAnsi="仿宋" w:eastAsia="仿宋" w:cs="仿宋"/>
                <w:sz w:val="24"/>
                <w:szCs w:val="24"/>
                <w:lang w:val="en-US" w:eastAsia="zh-CN"/>
              </w:rPr>
              <w:t>二</w:t>
            </w:r>
            <w:r>
              <w:rPr>
                <w:rFonts w:hint="eastAsia" w:ascii="仿宋" w:hAnsi="仿宋" w:eastAsia="仿宋" w:cs="仿宋"/>
                <w:sz w:val="24"/>
                <w:szCs w:val="24"/>
              </w:rPr>
              <w:t>章院内公开采购项目需求中“</w:t>
            </w:r>
            <w:r>
              <w:rPr>
                <w:rFonts w:hint="eastAsia" w:ascii="仿宋" w:hAnsi="仿宋" w:eastAsia="仿宋" w:cs="仿宋"/>
                <w:sz w:val="24"/>
                <w:szCs w:val="24"/>
                <w:lang w:val="en-US" w:eastAsia="zh-CN"/>
              </w:rPr>
              <w:t>七</w:t>
            </w:r>
            <w:r>
              <w:rPr>
                <w:rFonts w:hint="eastAsia" w:ascii="仿宋" w:hAnsi="仿宋" w:eastAsia="仿宋" w:cs="仿宋"/>
                <w:kern w:val="2"/>
                <w:sz w:val="24"/>
                <w:szCs w:val="24"/>
              </w:rPr>
              <w:t>、服务内容及要求</w:t>
            </w:r>
            <w:r>
              <w:rPr>
                <w:rFonts w:hint="eastAsia" w:ascii="仿宋" w:hAnsi="仿宋" w:eastAsia="仿宋" w:cs="仿宋"/>
                <w:sz w:val="24"/>
                <w:szCs w:val="24"/>
              </w:rPr>
              <w:t>”</w:t>
            </w:r>
          </w:p>
        </w:tc>
        <w:tc>
          <w:tcPr>
            <w:tcW w:w="1255"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r>
              <w:rPr>
                <w:rFonts w:hint="eastAsia" w:ascii="仿宋" w:hAnsi="仿宋" w:eastAsia="仿宋" w:cs="仿宋"/>
                <w:sz w:val="24"/>
              </w:rPr>
              <w:t>填写“完全满足”或“存在负偏离的内容：”或“完全满足招标项目需求全部内容”</w:t>
            </w:r>
          </w:p>
        </w:tc>
        <w:tc>
          <w:tcPr>
            <w:tcW w:w="1021"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r>
              <w:rPr>
                <w:rFonts w:hint="eastAsia" w:ascii="仿宋" w:hAnsi="仿宋" w:eastAsia="仿宋" w:cs="仿宋"/>
                <w:sz w:val="24"/>
              </w:rPr>
              <w:t>填“无偏离”</w:t>
            </w:r>
          </w:p>
          <w:p>
            <w:pPr>
              <w:spacing w:line="500" w:lineRule="exact"/>
              <w:jc w:val="left"/>
              <w:rPr>
                <w:rFonts w:ascii="仿宋" w:hAnsi="仿宋" w:eastAsia="仿宋" w:cs="仿宋"/>
                <w:sz w:val="24"/>
              </w:rPr>
            </w:pPr>
            <w:r>
              <w:rPr>
                <w:rFonts w:hint="eastAsia" w:ascii="仿宋" w:hAnsi="仿宋" w:eastAsia="仿宋" w:cs="仿宋"/>
                <w:sz w:val="24"/>
              </w:rPr>
              <w:t>或“正偏离”</w:t>
            </w:r>
          </w:p>
          <w:p>
            <w:pPr>
              <w:spacing w:line="500" w:lineRule="exact"/>
              <w:jc w:val="left"/>
              <w:rPr>
                <w:rFonts w:ascii="仿宋" w:hAnsi="仿宋" w:eastAsia="仿宋" w:cs="仿宋"/>
                <w:sz w:val="24"/>
              </w:rPr>
            </w:pPr>
            <w:r>
              <w:rPr>
                <w:rFonts w:hint="eastAsia" w:ascii="仿宋" w:hAnsi="仿宋" w:eastAsia="仿宋" w:cs="仿宋"/>
                <w:sz w:val="24"/>
              </w:rPr>
              <w:t>或“负偏离”</w:t>
            </w:r>
          </w:p>
        </w:tc>
        <w:tc>
          <w:tcPr>
            <w:tcW w:w="562"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1814"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c>
          <w:tcPr>
            <w:tcW w:w="1255"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c>
          <w:tcPr>
            <w:tcW w:w="1021"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c>
          <w:tcPr>
            <w:tcW w:w="562"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ascii="仿宋" w:hAnsi="仿宋" w:eastAsia="仿宋" w:cs="仿宋"/>
                <w:sz w:val="24"/>
              </w:rPr>
            </w:pPr>
            <w:r>
              <w:rPr>
                <w:rFonts w:hint="eastAsia" w:ascii="仿宋" w:hAnsi="仿宋" w:eastAsia="仿宋" w:cs="仿宋"/>
                <w:sz w:val="24"/>
              </w:rPr>
              <w:t>3</w:t>
            </w:r>
          </w:p>
        </w:tc>
        <w:tc>
          <w:tcPr>
            <w:tcW w:w="1814"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c>
          <w:tcPr>
            <w:tcW w:w="1255"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c>
          <w:tcPr>
            <w:tcW w:w="1021"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c>
          <w:tcPr>
            <w:tcW w:w="562"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ascii="仿宋" w:hAnsi="仿宋" w:eastAsia="仿宋" w:cs="仿宋"/>
                <w:sz w:val="24"/>
              </w:rPr>
            </w:pPr>
            <w:r>
              <w:rPr>
                <w:rFonts w:hint="eastAsia" w:ascii="仿宋" w:hAnsi="仿宋" w:eastAsia="仿宋" w:cs="仿宋"/>
                <w:sz w:val="24"/>
              </w:rPr>
              <w:t>...</w:t>
            </w:r>
          </w:p>
        </w:tc>
        <w:tc>
          <w:tcPr>
            <w:tcW w:w="1814"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c>
          <w:tcPr>
            <w:tcW w:w="1255"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c>
          <w:tcPr>
            <w:tcW w:w="1021"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c>
          <w:tcPr>
            <w:tcW w:w="562" w:type="pct"/>
            <w:tcBorders>
              <w:top w:val="single" w:color="auto" w:sz="8" w:space="0"/>
              <w:left w:val="nil"/>
              <w:bottom w:val="single" w:color="auto" w:sz="8" w:space="0"/>
              <w:right w:val="single" w:color="auto" w:sz="8" w:space="0"/>
            </w:tcBorders>
            <w:noWrap w:val="0"/>
            <w:vAlign w:val="center"/>
          </w:tcPr>
          <w:p>
            <w:pPr>
              <w:spacing w:line="500" w:lineRule="exact"/>
              <w:jc w:val="left"/>
              <w:rPr>
                <w:rFonts w:ascii="仿宋" w:hAnsi="仿宋" w:eastAsia="仿宋" w:cs="仿宋"/>
                <w:sz w:val="24"/>
              </w:rPr>
            </w:pPr>
          </w:p>
        </w:tc>
      </w:tr>
    </w:tbl>
    <w:p>
      <w:pPr>
        <w:adjustRightInd w:val="0"/>
        <w:snapToGrid w:val="0"/>
        <w:spacing w:line="360" w:lineRule="auto"/>
        <w:ind w:firstLine="422" w:firstLineChars="200"/>
        <w:jc w:val="left"/>
        <w:rPr>
          <w:rFonts w:ascii="宋体" w:hAnsi="宋体" w:cs="宋体"/>
          <w:b/>
          <w:szCs w:val="21"/>
        </w:rPr>
      </w:pPr>
    </w:p>
    <w:p>
      <w:pPr>
        <w:adjustRightInd w:val="0"/>
        <w:snapToGrid w:val="0"/>
        <w:spacing w:line="360" w:lineRule="auto"/>
        <w:ind w:firstLine="422" w:firstLineChars="200"/>
        <w:jc w:val="left"/>
        <w:rPr>
          <w:rFonts w:ascii="宋体" w:hAnsi="宋体" w:cs="宋体"/>
          <w:bCs/>
          <w:szCs w:val="21"/>
        </w:rPr>
      </w:pPr>
      <w:r>
        <w:rPr>
          <w:rFonts w:hint="eastAsia" w:ascii="宋体" w:hAnsi="宋体" w:cs="宋体"/>
          <w:b/>
          <w:szCs w:val="21"/>
        </w:rPr>
        <w:t>注：</w:t>
      </w:r>
      <w:r>
        <w:rPr>
          <w:rFonts w:hint="eastAsia" w:ascii="宋体" w:hAnsi="宋体" w:cs="宋体"/>
          <w:bCs/>
          <w:szCs w:val="21"/>
        </w:rPr>
        <w:t>1、投标人须根据招标文件第三章院内公开采购项目需求中“五、服务内容及要求”要求填写此表，作为投标文件重要的组成部分。</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2.投标人递交的投标文件中对招标文件第三章院内公开采购项目需求中“五、服务内容及要求”的要求存在负偏离时，</w:t>
      </w:r>
      <w:r>
        <w:rPr>
          <w:rFonts w:hint="eastAsia" w:ascii="宋体" w:hAnsi="宋体" w:cs="宋体"/>
          <w:b/>
          <w:szCs w:val="21"/>
        </w:rPr>
        <w:t>应将负偏离内容逐条列在“投标响应”</w:t>
      </w:r>
      <w:r>
        <w:rPr>
          <w:rFonts w:hint="eastAsia" w:ascii="宋体" w:hAnsi="宋体" w:cs="宋体"/>
          <w:bCs/>
          <w:szCs w:val="21"/>
        </w:rPr>
        <w:t>栏中；如投标文件响应情况完全相符或高于此部分要求，在“</w:t>
      </w:r>
      <w:r>
        <w:rPr>
          <w:rFonts w:hint="eastAsia" w:ascii="宋体" w:hAnsi="宋体" w:cs="宋体"/>
          <w:b/>
          <w:szCs w:val="21"/>
        </w:rPr>
        <w:t>投标响应栏”</w:t>
      </w:r>
      <w:r>
        <w:rPr>
          <w:rFonts w:hint="eastAsia" w:ascii="宋体" w:hAnsi="宋体" w:cs="宋体"/>
          <w:bCs/>
          <w:szCs w:val="21"/>
        </w:rPr>
        <w:t>中</w:t>
      </w:r>
      <w:r>
        <w:rPr>
          <w:rFonts w:hint="eastAsia" w:ascii="宋体" w:hAnsi="宋体" w:cs="宋体"/>
          <w:b/>
          <w:szCs w:val="21"/>
        </w:rPr>
        <w:t>响应“完全满足”，“偏离情况”栏中</w:t>
      </w:r>
      <w:r>
        <w:rPr>
          <w:rFonts w:hint="eastAsia" w:ascii="宋体" w:hAnsi="宋体" w:cs="宋体"/>
          <w:bCs/>
          <w:szCs w:val="21"/>
        </w:rPr>
        <w:t>根据响应情况填写，完全与技术服务要求相符的填“无偏离”，高于技术服务要求的填“正偏离”，没有达到技术服务要求的填“负偏离”，有其他事项请在“说明”栏中补充。</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szCs w:val="21"/>
        </w:rPr>
        <w:t>若完全响应招标文件“招标项目需求”全部技术服务内容，可在</w:t>
      </w:r>
      <w:r>
        <w:rPr>
          <w:rFonts w:hint="eastAsia" w:ascii="宋体" w:hAnsi="宋体" w:cs="宋体"/>
          <w:bCs/>
          <w:szCs w:val="21"/>
        </w:rPr>
        <w:t>“</w:t>
      </w:r>
      <w:r>
        <w:rPr>
          <w:rFonts w:hint="eastAsia" w:ascii="宋体" w:hAnsi="宋体" w:cs="宋体"/>
          <w:b/>
          <w:szCs w:val="21"/>
        </w:rPr>
        <w:t>投标响应栏”</w:t>
      </w:r>
      <w:r>
        <w:rPr>
          <w:rFonts w:hint="eastAsia" w:ascii="宋体" w:hAnsi="宋体" w:cs="宋体"/>
          <w:bCs/>
          <w:szCs w:val="21"/>
        </w:rPr>
        <w:t>中</w:t>
      </w:r>
      <w:r>
        <w:rPr>
          <w:rFonts w:hint="eastAsia" w:ascii="宋体" w:hAnsi="宋体" w:cs="宋体"/>
          <w:b/>
          <w:szCs w:val="21"/>
        </w:rPr>
        <w:t>响应“完全满足</w:t>
      </w:r>
      <w:r>
        <w:rPr>
          <w:rFonts w:hint="eastAsia" w:ascii="宋体" w:hAnsi="宋体" w:cs="宋体"/>
          <w:szCs w:val="21"/>
        </w:rPr>
        <w:t>招标项目需求</w:t>
      </w:r>
      <w:r>
        <w:rPr>
          <w:rFonts w:hint="eastAsia" w:ascii="宋体" w:hAnsi="宋体" w:cs="宋体"/>
          <w:b/>
          <w:bCs/>
          <w:kern w:val="0"/>
          <w:szCs w:val="21"/>
        </w:rPr>
        <w:t>全部内容</w:t>
      </w:r>
      <w:r>
        <w:rPr>
          <w:rFonts w:hint="eastAsia" w:ascii="宋体" w:hAnsi="宋体" w:cs="宋体"/>
          <w:b/>
          <w:szCs w:val="21"/>
        </w:rPr>
        <w:t>”。</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投标人（公章）：</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法定代表人或其授权代表签名：</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日期：      年    月    日</w:t>
      </w:r>
    </w:p>
    <w:p>
      <w:pPr>
        <w:sectPr>
          <w:pgSz w:w="16838" w:h="11906" w:orient="landscape"/>
          <w:pgMar w:top="1304" w:right="2098" w:bottom="1474" w:left="1984" w:header="851" w:footer="1417" w:gutter="0"/>
          <w:pgNumType w:fmt="numberInDash"/>
          <w:cols w:space="720" w:num="1"/>
          <w:docGrid w:type="lines" w:linePitch="327" w:charSpace="0"/>
        </w:sectPr>
      </w:pPr>
    </w:p>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lang w:val="en-US" w:eastAsia="zh-CN"/>
        </w:rPr>
        <w:t>服务类</w:t>
      </w: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jc w:val="center"/>
        <w:rPr>
          <w:rFonts w:hint="eastAsia" w:ascii="仿宋" w:hAnsi="仿宋" w:eastAsia="仿宋"/>
          <w:b/>
          <w:sz w:val="44"/>
          <w:szCs w:val="44"/>
        </w:rPr>
      </w:pPr>
    </w:p>
    <w:p>
      <w:pPr>
        <w:jc w:val="center"/>
        <w:rPr>
          <w:rFonts w:ascii="仿宋" w:hAnsi="仿宋" w:eastAsia="仿宋"/>
          <w:b/>
          <w:sz w:val="44"/>
          <w:szCs w:val="44"/>
        </w:rPr>
      </w:pPr>
      <w:r>
        <w:rPr>
          <w:rFonts w:hint="eastAsia" w:ascii="仿宋" w:hAnsi="仿宋" w:eastAsia="仿宋"/>
          <w:b/>
          <w:sz w:val="44"/>
          <w:szCs w:val="44"/>
        </w:rPr>
        <w:t>《</w:t>
      </w:r>
      <w:r>
        <w:rPr>
          <w:rFonts w:hint="eastAsia" w:ascii="仿宋" w:hAnsi="仿宋" w:eastAsia="仿宋"/>
          <w:b/>
          <w:sz w:val="44"/>
          <w:szCs w:val="44"/>
          <w:lang w:eastAsia="zh-CN"/>
        </w:rPr>
        <w:t>龙岗区第七人民医院</w:t>
      </w:r>
      <w:r>
        <w:rPr>
          <w:rFonts w:hint="eastAsia" w:ascii="仿宋" w:hAnsi="仿宋" w:eastAsia="仿宋"/>
          <w:b/>
          <w:sz w:val="44"/>
          <w:szCs w:val="44"/>
        </w:rPr>
        <w:t>采购合同》</w:t>
      </w:r>
    </w:p>
    <w:p>
      <w:pPr>
        <w:spacing w:line="440" w:lineRule="exact"/>
        <w:ind w:firstLine="560" w:firstLineChars="200"/>
        <w:rPr>
          <w:rFonts w:ascii="仿宋" w:hAnsi="仿宋" w:eastAsia="仿宋"/>
          <w:sz w:val="28"/>
          <w:szCs w:val="28"/>
        </w:rPr>
      </w:pP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宋体"/>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sz w:val="28"/>
          <w:szCs w:val="28"/>
          <w:u w:val="single"/>
        </w:rPr>
        <w:t>服务类</w:t>
      </w:r>
      <w:r>
        <w:rPr>
          <w:rFonts w:hint="eastAsia" w:ascii="仿宋" w:hAnsi="仿宋" w:eastAsia="仿宋" w:cs="仿宋"/>
          <w:sz w:val="28"/>
          <w:szCs w:val="28"/>
          <w:u w:val="single"/>
        </w:rPr>
        <w:t>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 应 商（乙方）：</w:t>
      </w:r>
      <w:r>
        <w:rPr>
          <w:rFonts w:hint="eastAsia" w:ascii="仿宋" w:hAnsi="仿宋" w:eastAsia="仿宋" w:cs="宋体"/>
          <w:kern w:val="0"/>
          <w:sz w:val="28"/>
          <w:szCs w:val="28"/>
          <w:u w:val="single"/>
        </w:rPr>
        <w:t xml:space="preserve">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 xml:space="preserve">                  </w:t>
      </w:r>
      <w:r>
        <w:rPr>
          <w:rFonts w:hint="eastAsia" w:ascii="仿宋" w:hAnsi="仿宋" w:eastAsia="仿宋" w:cs="仿宋"/>
          <w:sz w:val="28"/>
          <w:szCs w:val="28"/>
        </w:rPr>
        <w:t>的招标结果并经双方协商签订本合同。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第一条  合同标的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项目内容：</w:t>
      </w:r>
      <w:r>
        <w:rPr>
          <w:rFonts w:hint="eastAsia" w:ascii="仿宋" w:hAnsi="仿宋" w:eastAsia="仿宋" w:cs="仿宋_GB2312"/>
          <w:sz w:val="28"/>
          <w:szCs w:val="28"/>
          <w:u w:val="single"/>
        </w:rPr>
        <w:t xml:space="preserve">                        </w:t>
      </w:r>
    </w:p>
    <w:p>
      <w:pPr>
        <w:spacing w:line="48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合同期限为1年，合同有效期自</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一年合同期满后，经履约考核为优或良好的可按原合同条款续签下一年度合同，每次续签期限为1年，最多可续签2次。（是否续约应以公开招标文件或中标通知书中有明确约定的可在合同内约定续签事项）。</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第二条  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本合同价款：合同总价为人民币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r>
        <w:rPr>
          <w:rFonts w:hint="eastAsia" w:ascii="仿宋" w:hAnsi="仿宋" w:eastAsia="仿宋" w:cs="仿宋"/>
          <w:sz w:val="28"/>
          <w:szCs w:val="28"/>
        </w:rPr>
        <w:t>（￥</w:t>
      </w:r>
      <w:r>
        <w:rPr>
          <w:rFonts w:hint="eastAsia" w:ascii="仿宋" w:hAnsi="仿宋" w:eastAsia="仿宋" w:cs="宋体"/>
          <w:b/>
          <w:sz w:val="28"/>
          <w:szCs w:val="28"/>
          <w:u w:val="single"/>
        </w:rPr>
        <w:t xml:space="preserve">     </w:t>
      </w:r>
      <w:r>
        <w:rPr>
          <w:rFonts w:hint="eastAsia" w:ascii="仿宋" w:hAnsi="仿宋" w:eastAsia="仿宋" w:cs="仿宋"/>
          <w:sz w:val="28"/>
          <w:szCs w:val="28"/>
        </w:rPr>
        <w:t>）</w:t>
      </w:r>
      <w:r>
        <w:rPr>
          <w:rFonts w:hint="eastAsia" w:ascii="仿宋" w:hAnsi="仿宋" w:eastAsia="仿宋" w:cs="仿宋_GB2312"/>
          <w:sz w:val="28"/>
          <w:szCs w:val="28"/>
        </w:rPr>
        <w:t>。</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人民币报价，</w:t>
      </w:r>
      <w:r>
        <w:rPr>
          <w:rFonts w:hint="eastAsia" w:ascii="仿宋" w:hAnsi="仿宋" w:eastAsia="仿宋" w:cs="仿宋"/>
          <w:sz w:val="28"/>
          <w:szCs w:val="28"/>
        </w:rPr>
        <w:t>总承包报价。报价</w:t>
      </w:r>
      <w:r>
        <w:rPr>
          <w:rFonts w:hint="eastAsia" w:ascii="仿宋" w:hAnsi="仿宋" w:eastAsia="仿宋" w:cs="仿宋_GB2312"/>
          <w:sz w:val="28"/>
          <w:szCs w:val="28"/>
        </w:rPr>
        <w:t>包含税费、人工费、材料费、培训费、维保费等所有费用。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第三条  付款方式</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1.详细约定参照招标文件中的约定。</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2.甲乙双方所有款项往来均通过银行转账方式进行，双方指定的收款银行账户信息详见本合同落款处。</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3.乙方应在甲方付款前开具合法有效的发票，甲方收到乙方合法的增值税发票后，根据双方约定时间支付款项。若由于乙方逾期未提供合法有效的增值税发票或者提供发票不齐全，甲方有权拒绝付款，直至票据齐全、合法，且不视为甲方违约。</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4.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5.若本合同付款涉及甲方内部或财政审批迟延的特殊情况，甲方未能按约付款的，乙方对此表示理解，甲方应向乙方进行说明并明确新的付款期限。</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第四条  项目概况</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第五条  服务内容及要求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1.合同签订日起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天内完成项目实施的准备工作，包括服务内容的大纲及服务团队的组建；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第六条  服务团队</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1.乙方指派</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为负责人（联系方式：</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）的工作团队为甲方提供服务。未经甲方书面同意，乙方不得随意更换团队成员。</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2.必须使用公司直属人员参与本项目服务，不得使用挂靠队伍。</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指派的团队成员资质和能力必须与投标文件中的服务承诺书和服务组织实施方案一致。如甲方对团队成员有异议或要求，乙方保证无条件配合甲方更换团队成员，且更换后人员的资质和能力符合甲方的要求。</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4.自乙方向甲方提供服务之日起，甲乙双方</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举行一次工作例会，由乙方团队主要成员向甲方汇报工作进展和需求，并就服务工作进行沟通和交流。</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第七条  服务资料归属</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1.所有提交给甲方的服务文件及相关的资料的最后文本，包括为履行服务范围所编制的图纸、计划和证明资料等，都属于甲方的财产，乙方在提交给甲方之前应将上述资料进行整理归类和编制索引。</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2.乙方未经甲方的书面同意，不得将上述资料用于本咨询服务项目之外的任何项目。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3.合同履行完毕，未经甲方的书面同意，乙方不得保存在履行合同过程中所获得或接触的任何内部数据资料。</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第八条  甲方的权利与义务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1.甲方有权对乙方的工作进行监督和检查、有权对乙方提出修改意见和建议。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2.甲方有权对乙方提交的服务成果进行验收，验收不合格的有权要求乙方修改，直至甲方验收合格。</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3.对于验收合格后的服务成果，甲方应向乙方支付服务费用。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第九条  乙方的权利与义务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1.乙方有权要求甲方支付服务费用。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2.对于服务需求不明确的，乙方有权要求甲方明确具体服务需求。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3.乙方应勤勉尽职地为甲方提供服务，并尽最大努力满足甲方对乙方的专业服务需求。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4.乙方应在约定时间内按照甲方要求的形式、数量提交服务成果。</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5.未经甲方书面同意，乙方不得将本合同项下的服务内容全部或部分委托给第三方完成。</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6.如乙方为提供本合同项下的服务而保管甲方交付的设备、物品等，保管期间，乙方应谨慎尽职，不论何种原因包括不可抗力因素，乙方均需确保设备、物品的安全，不遭受损害。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7.乙方应做到合法用工，与工作人员建立合法的劳动/劳务关系，负责工作人员的工资、社会保险及其他保险的购买。乙方与其工作人员发生的一切纠纷均与甲方无关。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8.乙方应按照国家规定为工作人员提供合理的工作条件与保护设施，乙方工作人员在甲方场地内发生的一切意外、事故等均由乙方承担，与甲方无关。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9.乙方在甲方院内提供服务的，应保证其工作人员严格遵守甲方各项管理规定，服务过程中如造成甲方场所及设施损坏、工作人员人身伤害或第三方人身伤害、财产损失，乙方应承担全部赔偿责任。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第十条  保证与承诺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1.乙方保证所提供的产品/服务/成果不侵犯任何第三方的知识产权或其他合法权益。</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2.甲乙双方保证对在本次合作中知悉对方的商业秘密履行保密义务，在与本协议无关的工作中，不泄露、不以任何原因任意使用相关的合同、数据、资料与信息等。</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向甲方提供服务的过程中，如乙方可能从设备上存取、查看和/或下载包括个人数据、用来直接或间接地识别出个人相关信息等计算机文档。个人数据可能包括个人健康信息和非健康信息（如姓名、出生日期、性别等）。乙方对个人数据等相关文档的使用仅限于履行本合同规定的义务所必需的限度内，不得擅自翻阅、复制、传播所接触的用户资料或数据，乙方和相关人员保证不泄密、以任何原因使用或允许他人使用用户设备数据、资料与信息等。乙方对其指派的工作人员的保密义务承担责任。</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5.合同履行期间，乙方应主动维护甲方的名誉与利益，不作出任何损害甲方名誉与利益的行为。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6.未经甲方事先书面同意，乙方不得使用甲方名义等对外进行宣传。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7.乙方及乙方参加项目的有关人员均需同甲方签订保密协议。</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免责条款</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违约责任</w:t>
      </w:r>
    </w:p>
    <w:p>
      <w:pPr>
        <w:spacing w:line="480" w:lineRule="exact"/>
        <w:ind w:firstLine="560" w:firstLineChars="200"/>
        <w:rPr>
          <w:rFonts w:hint="eastAsia" w:ascii="仿宋" w:hAnsi="仿宋" w:eastAsia="仿宋" w:cs="仿宋_GB2312"/>
          <w:sz w:val="28"/>
          <w:szCs w:val="28"/>
        </w:rPr>
      </w:pPr>
      <w:bookmarkStart w:id="6" w:name="_Hlk42353112"/>
      <w:r>
        <w:rPr>
          <w:rFonts w:hint="eastAsia" w:ascii="仿宋" w:hAnsi="仿宋" w:eastAsia="仿宋" w:cs="仿宋_GB2312"/>
          <w:sz w:val="28"/>
          <w:szCs w:val="28"/>
        </w:rPr>
        <w:t>1.双方均应忠实履行合同约定的各项内容，任何一方违反本合同，均应承担违约责任。双方约定如一方违反合同约定，则违约方应向守约方支付违约金，违约金的金额为合同总价款的（）%，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bookmarkEnd w:id="6"/>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2.乙方未按照双方约定的时间提交服务成果的，每延迟一天，应该按照服务费用金额的（）%向甲方支付违约金。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3.发生以下情形之一，甲方有权单方解除本合同，乙方应向甲方退回已支付的全部款项，且甲方有权要求乙方按照服务费总金额的（）%支付违约金：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（1）乙方延迟提交服务成果超过</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（2）未经甲方书面同意，乙方将本合同项下部分或全部工作委托给第三方承担的。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4.如乙方原因导致提供的服务成果存在侵犯第三方知识产权或其他合法权益的情形，乙方除了承担全部赔偿责任之外，还应按照合同总金额（）%向甲方支付违约金。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5.甲方有权自应支付给乙方的服务费用中直接扣除各种索赔款项，包括但不限于赔偿款、违约金、律师费、诉讼费、鉴定费等。</w:t>
      </w:r>
    </w:p>
    <w:p>
      <w:pPr>
        <w:pStyle w:val="29"/>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6.服务期间，若乙方被甲方用户投诉，经确认为有效投诉的每次扣除人民币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9"/>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7.甲方每  个月组织一次履约评价，总分低于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分的根据差额分进行经济处罚。处罚约定根据招标文件中的约定执行。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争议解决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因履行本合同引起的或与本合同有关的争议，甲乙双方应首先通过友好协商解决，如果协商不能解决，则通过向甲方所在地有管辖权的人民法院提起诉讼解决。</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本合同附件</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以下附件及乙方投标时提供的投标文件和其他相关资料作为本合同的补充内容，具有同等法律效力。</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附件1：服务项目清单（加盖公章）；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附件2：深圳市龙岗区第七人民医院廉洁购销合同；</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附件3：龙岗区进一步规范政商交往行为告知书；</w:t>
      </w:r>
    </w:p>
    <w:p>
      <w:pPr>
        <w:pStyle w:val="8"/>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附件4：……。</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第十三条  合同生效及其它</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2.其他约定条款：</w:t>
      </w:r>
      <w:r>
        <w:rPr>
          <w:rFonts w:hint="eastAsia" w:ascii="仿宋" w:hAnsi="仿宋" w:eastAsia="仿宋" w:cs="仿宋"/>
          <w:sz w:val="28"/>
          <w:szCs w:val="28"/>
          <w:u w:val="single"/>
        </w:rPr>
        <w:t xml:space="preserve">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rPr>
          <w:rFonts w:hint="eastAsia" w:ascii="仿宋" w:hAnsi="仿宋" w:eastAsia="仿宋"/>
          <w:sz w:val="28"/>
          <w:szCs w:val="28"/>
        </w:rPr>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p>
      <w:pPr>
        <w:pStyle w:val="6"/>
        <w:spacing w:line="440" w:lineRule="exact"/>
      </w:pPr>
    </w:p>
    <w:tbl>
      <w:tblPr>
        <w:tblStyle w:val="15"/>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rPr>
              <w:t>纳税人识别号：12440307G34813567P</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11" w:type="dxa"/>
            <w:noWrap/>
          </w:tcPr>
          <w:p>
            <w:pPr>
              <w:spacing w:line="360" w:lineRule="auto"/>
            </w:pPr>
            <w:r>
              <w:rPr>
                <w:rFonts w:hint="eastAsia" w:ascii="仿宋" w:hAnsi="仿宋" w:eastAsia="仿宋" w:cs="仿宋"/>
                <w:b/>
                <w:bCs/>
                <w:kern w:val="0"/>
                <w:sz w:val="24"/>
              </w:rPr>
              <w:t>开户银行：</w:t>
            </w:r>
          </w:p>
        </w:tc>
        <w:tc>
          <w:tcPr>
            <w:tcW w:w="4111" w:type="dxa"/>
            <w:noWrap/>
          </w:tcPr>
          <w:p>
            <w:pPr>
              <w:spacing w:line="360" w:lineRule="auto"/>
              <w:rPr>
                <w:rFonts w:hint="eastAsia"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color w:val="000000"/>
                <w:sz w:val="24"/>
              </w:rPr>
              <w:t>电话：</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甲方法定代表人或授权人（签字）：</w:t>
            </w:r>
          </w:p>
          <w:p>
            <w:pPr>
              <w:pStyle w:val="6"/>
              <w:ind w:firstLine="0"/>
            </w:pPr>
          </w:p>
          <w:p>
            <w:pPr>
              <w:pStyle w:val="6"/>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分管领导、经办科室负责人（签字）：</w:t>
            </w:r>
          </w:p>
          <w:p>
            <w:pPr>
              <w:pStyle w:val="6"/>
              <w:ind w:firstLine="0"/>
            </w:pPr>
          </w:p>
          <w:p>
            <w:pPr>
              <w:pStyle w:val="6"/>
              <w:ind w:firstLine="0"/>
            </w:pP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乙方法定代表人（签字）：</w:t>
            </w:r>
          </w:p>
          <w:p>
            <w:pPr>
              <w:pStyle w:val="6"/>
              <w:ind w:firstLine="0"/>
            </w:pPr>
          </w:p>
          <w:p>
            <w:pPr>
              <w:pStyle w:val="6"/>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或授权人（签字）：</w:t>
            </w:r>
          </w:p>
          <w:p>
            <w:pPr>
              <w:pStyle w:val="6"/>
              <w:ind w:firstLine="0"/>
            </w:pPr>
          </w:p>
          <w:p>
            <w:pPr>
              <w:pStyle w:val="6"/>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222" w:type="dxa"/>
            <w:gridSpan w:val="2"/>
            <w:noWrap/>
            <w:vAlign w:val="center"/>
          </w:tcPr>
          <w:p>
            <w:pPr>
              <w:spacing w:line="48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签约时间：    年  月  日</w:t>
            </w:r>
          </w:p>
          <w:p>
            <w:pPr>
              <w:spacing w:line="480" w:lineRule="exact"/>
              <w:jc w:val="center"/>
              <w:rPr>
                <w:rFonts w:hint="eastAsia" w:ascii="宋体" w:hAnsi="宋体" w:eastAsia="仿宋"/>
                <w:kern w:val="0"/>
                <w:sz w:val="24"/>
              </w:rPr>
            </w:pPr>
            <w:r>
              <w:rPr>
                <w:rFonts w:hint="eastAsia" w:ascii="仿宋" w:hAnsi="仿宋" w:eastAsia="仿宋" w:cs="仿宋"/>
                <w:b/>
                <w:bCs/>
                <w:color w:val="000000"/>
                <w:sz w:val="28"/>
                <w:szCs w:val="28"/>
              </w:rPr>
              <w:t>签约地址：深圳市龙岗区第七人民医院</w:t>
            </w:r>
          </w:p>
        </w:tc>
      </w:tr>
    </w:tbl>
    <w:p>
      <w:pPr>
        <w:rPr>
          <w:rFonts w:ascii="仿宋" w:hAnsi="仿宋" w:eastAsia="仿宋" w:cs="仿宋"/>
          <w:sz w:val="28"/>
          <w:szCs w:val="28"/>
        </w:rPr>
      </w:pPr>
    </w:p>
    <w:p>
      <w:pPr>
        <w:tabs>
          <w:tab w:val="left" w:pos="0"/>
        </w:tabs>
        <w:snapToGrid w:val="0"/>
        <w:spacing w:line="480" w:lineRule="exact"/>
        <w:rPr>
          <w:rFonts w:ascii="仿宋" w:hAnsi="仿宋" w:eastAsia="仿宋" w:cs="仿宋"/>
          <w:b/>
          <w:bCs/>
          <w:sz w:val="32"/>
          <w:szCs w:val="32"/>
        </w:rPr>
        <w:sectPr>
          <w:pgSz w:w="11906" w:h="16838"/>
          <w:pgMar w:top="2098" w:right="1474" w:bottom="1984" w:left="1304" w:header="851" w:footer="1417" w:gutter="0"/>
          <w:pgNumType w:fmt="numberInDash"/>
          <w:cols w:space="0" w:num="1"/>
          <w:docGrid w:type="lines" w:linePitch="338"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ˎ̥" w:eastAsia="楷体_GB2312"/>
          <w:b/>
          <w:sz w:val="32"/>
          <w:szCs w:val="32"/>
        </w:rPr>
      </w:pPr>
    </w:p>
    <w:p>
      <w:pPr>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项目名称：</w:t>
      </w:r>
    </w:p>
    <w:p>
      <w:pPr>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为进一步加强医疗卫生行风建设，规范购销行为，有效防范商业贿赂，营造公平交易、诚实守信的购销环境，经甲、乙双方协商，同意签订本合同，并共同遵守：</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一、甲乙双方按照《中华人民共和国民法典》及产品</w:t>
      </w:r>
      <w:r>
        <w:rPr>
          <w:rFonts w:hint="eastAsia" w:ascii="仿宋_GB2312" w:eastAsia="仿宋_GB2312"/>
          <w:sz w:val="32"/>
          <w:szCs w:val="32"/>
        </w:rPr>
        <w:t>购销合同</w:t>
      </w:r>
      <w:r>
        <w:rPr>
          <w:rFonts w:hint="eastAsia" w:ascii="仿宋_GB2312" w:hAnsi="ˎ̥" w:eastAsia="仿宋_GB2312"/>
          <w:sz w:val="32"/>
          <w:szCs w:val="32"/>
        </w:rPr>
        <w:t>约定实施购销行为。</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二、甲方应当严格执行验收、入库制度，对采购产品及发票进行查验，不得违反有关规定进行合同外采购、违价采购或从非规定渠道采购。</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32"/>
          <w:szCs w:val="32"/>
        </w:rPr>
        <w:t>不得以任何形式向乙方索要现金、有价证券、支付凭证和贵重礼品等</w:t>
      </w:r>
      <w:r>
        <w:rPr>
          <w:rFonts w:hint="eastAsia" w:ascii="仿宋_GB2312" w:hAnsi="ˎ̥" w:eastAsia="仿宋_GB2312"/>
          <w:sz w:val="32"/>
          <w:szCs w:val="32"/>
        </w:rPr>
        <w:t>。被迫接受乙方给予的钱物，应予退还，无法退还的，有责任如实向纪检监察部门反映情况。</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四、严禁甲方工作人员利用任何途径和方式，非法为乙方统计医师个人及临床科室有关医药产品用量信息，或为乙方统方提供便利。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ˎ̥" w:eastAsia="仿宋_GB2312"/>
          <w:sz w:val="32"/>
          <w:szCs w:val="32"/>
        </w:rPr>
        <w:t>乙方不得以回扣、</w:t>
      </w:r>
      <w:r>
        <w:rPr>
          <w:rFonts w:hint="eastAsia" w:ascii="仿宋_GB2312" w:eastAsia="仿宋_GB2312"/>
          <w:sz w:val="32"/>
          <w:szCs w:val="32"/>
        </w:rPr>
        <w:t>宴请等方式影响甲方工作人员采购或使用医药产品的选择权，不得在学术活动中提供旅游、超标准支付食宿费用，以及其他任何形式的利益输送。</w:t>
      </w:r>
    </w:p>
    <w:p>
      <w:pPr>
        <w:spacing w:line="560" w:lineRule="exact"/>
        <w:ind w:firstLine="640" w:firstLineChars="200"/>
        <w:rPr>
          <w:rFonts w:ascii="仿宋_GB2312" w:hAnsi="ˎ̥" w:eastAsia="仿宋_GB2312"/>
          <w:sz w:val="32"/>
          <w:szCs w:val="32"/>
        </w:rPr>
      </w:pPr>
      <w:r>
        <w:rPr>
          <w:rFonts w:hint="eastAsia" w:ascii="仿宋_GB2312" w:eastAsia="仿宋_GB2312"/>
          <w:sz w:val="32"/>
          <w:szCs w:val="32"/>
        </w:rPr>
        <w:t>六、乙方指定</w:t>
      </w:r>
      <w:r>
        <w:rPr>
          <w:rFonts w:hint="eastAsia" w:ascii="仿宋_GB2312" w:eastAsia="仿宋_GB2312"/>
          <w:sz w:val="32"/>
          <w:szCs w:val="32"/>
          <w:u w:val="single"/>
        </w:rPr>
        <w:t xml:space="preserve">        </w:t>
      </w:r>
      <w:r>
        <w:rPr>
          <w:rFonts w:hint="eastAsia" w:ascii="仿宋_GB2312" w:eastAsia="仿宋_GB2312"/>
          <w:sz w:val="32"/>
          <w:szCs w:val="32"/>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32"/>
          <w:szCs w:val="32"/>
        </w:rPr>
        <w:t>负责人及相关工作人员家中访谈并提供任何好处费。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hAnsi="ˎ̥" w:eastAsia="仿宋_GB2312"/>
          <w:sz w:val="32"/>
          <w:szCs w:val="32"/>
        </w:rPr>
        <w:t>乙方如违反本合同，一经发现，</w:t>
      </w:r>
      <w:r>
        <w:rPr>
          <w:rFonts w:hint="eastAsia" w:ascii="仿宋_GB2312" w:eastAsia="仿宋_GB2312"/>
          <w:sz w:val="32"/>
          <w:szCs w:val="32"/>
        </w:rPr>
        <w:t>甲方有权终止产品购销合同，并向有关部门报告。如乙方被列入商业贿赂不良记录，则严格按照《国家</w:t>
      </w:r>
      <w:r>
        <w:rPr>
          <w:rFonts w:ascii="仿宋_GB2312" w:eastAsia="仿宋_GB2312"/>
          <w:sz w:val="32"/>
          <w:szCs w:val="32"/>
        </w:rPr>
        <w:t>卫生计生委关于建立医药购销领域商业贿赂不良记录的规定</w:t>
      </w:r>
      <w:r>
        <w:rPr>
          <w:rFonts w:hint="eastAsia" w:ascii="仿宋_GB2312" w:eastAsia="仿宋_GB2312"/>
          <w:sz w:val="32"/>
          <w:szCs w:val="32"/>
        </w:rPr>
        <w:t>》</w:t>
      </w:r>
      <w:r>
        <w:rPr>
          <w:rFonts w:eastAsia="仿宋_GB2312"/>
          <w:color w:val="000000"/>
          <w:sz w:val="32"/>
          <w:szCs w:val="32"/>
          <w:shd w:val="clear" w:color="auto" w:fill="FFFFFF"/>
        </w:rPr>
        <w:t>（国卫法制发〔2013〕50号）</w:t>
      </w:r>
      <w:r>
        <w:rPr>
          <w:rFonts w:hint="eastAsia" w:ascii="仿宋_GB2312" w:eastAsia="仿宋_GB2312"/>
          <w:sz w:val="32"/>
          <w:szCs w:val="32"/>
        </w:rPr>
        <w:t>相关规定处理。</w:t>
      </w:r>
    </w:p>
    <w:p>
      <w:pPr>
        <w:spacing w:line="560" w:lineRule="exact"/>
        <w:ind w:firstLine="640" w:firstLineChars="200"/>
        <w:rPr>
          <w:rFonts w:ascii="仿宋_GB2312" w:eastAsia="仿宋_GB2312"/>
          <w:sz w:val="32"/>
          <w:szCs w:val="32"/>
        </w:rPr>
      </w:pPr>
      <w:r>
        <w:rPr>
          <w:rFonts w:hint="eastAsia" w:ascii="仿宋_GB2312" w:hAnsi="ˎ̥" w:eastAsia="仿宋_GB2312"/>
          <w:sz w:val="32"/>
          <w:szCs w:val="32"/>
        </w:rPr>
        <w:t>八、</w:t>
      </w:r>
      <w:r>
        <w:rPr>
          <w:rFonts w:hint="eastAsia" w:ascii="仿宋_GB2312" w:eastAsia="仿宋_GB2312"/>
          <w:sz w:val="32"/>
          <w:szCs w:val="32"/>
        </w:rPr>
        <w:t>本合同作为产品购销合同的组成部分，与购销合同一并执行，具有同等的法律效力。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九、本合同一式叁份，甲方贰份（一份随购销主合同存档，一份交医院纪检监察部门），乙方壹份，从签订之日起生效。</w:t>
      </w:r>
    </w:p>
    <w:p>
      <w:pPr>
        <w:spacing w:line="560" w:lineRule="exact"/>
        <w:rPr>
          <w:rFonts w:ascii="仿宋_GB2312" w:eastAsia="仿宋_GB2312"/>
          <w:sz w:val="32"/>
          <w:szCs w:val="32"/>
        </w:rPr>
      </w:pPr>
    </w:p>
    <w:p>
      <w:pPr>
        <w:spacing w:line="560" w:lineRule="exact"/>
        <w:rPr>
          <w:rFonts w:ascii="楷体_GB2312" w:eastAsia="楷体_GB2312"/>
          <w:b/>
          <w:sz w:val="32"/>
          <w:szCs w:val="32"/>
        </w:rPr>
      </w:pPr>
      <w:r>
        <w:rPr>
          <w:rFonts w:hint="eastAsia" w:ascii="楷体_GB2312" w:eastAsia="楷体_GB2312"/>
          <w:b/>
          <w:sz w:val="32"/>
          <w:szCs w:val="32"/>
        </w:rPr>
        <w:t>甲方（盖章）：                  乙方（盖章）：</w:t>
      </w:r>
    </w:p>
    <w:p>
      <w:pPr>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spacing w:line="560" w:lineRule="exact"/>
      </w:pPr>
      <w:r>
        <w:rPr>
          <w:rFonts w:hint="eastAsia" w:ascii="楷体_GB2312" w:eastAsia="楷体_GB2312"/>
          <w:b/>
          <w:sz w:val="32"/>
          <w:szCs w:val="32"/>
        </w:rPr>
        <w:t>授权代表人签名：               经办人签名：</w:t>
      </w:r>
    </w:p>
    <w:p>
      <w:pPr>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widowControl/>
        <w:spacing w:line="440" w:lineRule="exact"/>
        <w:jc w:val="center"/>
        <w:textAlignment w:val="center"/>
        <w:rPr>
          <w:rFonts w:ascii="宋体" w:hAnsi="宋体" w:cs="宋体"/>
          <w:color w:val="000000"/>
          <w:kern w:val="0"/>
          <w:sz w:val="44"/>
          <w:szCs w:val="44"/>
          <w:lang w:bidi="ar"/>
        </w:rPr>
        <w:sectPr>
          <w:headerReference r:id="rId6" w:type="default"/>
          <w:footerReference r:id="rId7" w:type="default"/>
          <w:pgSz w:w="11906" w:h="16838"/>
          <w:pgMar w:top="2098" w:right="1474" w:bottom="1984" w:left="1304" w:header="851" w:footer="1417" w:gutter="0"/>
          <w:cols w:space="0" w:num="1"/>
          <w:docGrid w:type="lines" w:linePitch="338" w:charSpace="0"/>
        </w:sect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为深入构建</w:t>
      </w:r>
      <w:r>
        <w:rPr>
          <w:rFonts w:hint="eastAsia" w:ascii="仿宋_GB2312" w:hAnsi="仿宋_GB2312" w:eastAsia="仿宋_GB2312" w:cs="仿宋_GB2312"/>
          <w:sz w:val="32"/>
          <w:szCs w:val="32"/>
          <w:lang w:eastAsia="zh-CN"/>
        </w:rPr>
        <w:t>亲清政商关系</w:t>
      </w:r>
      <w:r>
        <w:rPr>
          <w:rFonts w:hint="eastAsia" w:ascii="仿宋_GB2312" w:hAnsi="仿宋_GB2312" w:eastAsia="仿宋_GB2312" w:cs="仿宋_GB2312"/>
          <w:sz w:val="32"/>
          <w:szCs w:val="32"/>
        </w:rPr>
        <w:t>，努力打造尊商、亲商、助商、安商良好营商环境，龙岗</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一、不得向公职人员赠送礼品、礼金、消费卡等财物。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二、不得违规向公职人员提供宴请、旅游、娱乐等安排。</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三、不得通过打麻将等形式向公职人员输送利益。</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四、不得为公职人员报销应由其个人支付的费用。</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五、不得违规向公职人员及其亲友借贷款。</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六、不得违规将车辆、住房等借给公职人员使用。</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七、不得在招投标中与公职人员搞暗箱操作、围标串标。</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八、不得为利益相关人和公职人员牵线搭桥或者代为传递信息、传递财物。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九、不得让公职人员在企业违规兼职取酬。</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十、不得为公职人员亲友违规承揽业务提供便利。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上述“十个不得”，请您严格遵守。同时，在政商交往中，</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本人已知晓上述告知内容，并愿意遵照执行（签名）：</w:t>
      </w:r>
    </w:p>
    <w:p>
      <w:pPr>
        <w:spacing w:line="440" w:lineRule="exact"/>
        <w:ind w:firstLine="5760" w:firstLineChars="1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spacing w:line="440" w:lineRule="exact"/>
        <w:ind w:firstLine="4480" w:firstLineChars="1400"/>
        <w:rPr>
          <w:rFonts w:ascii="仿宋_GB2312" w:hAnsi="仿宋_GB2312" w:eastAsia="仿宋_GB2312" w:cs="仿宋_GB2312"/>
          <w:sz w:val="32"/>
          <w:szCs w:val="32"/>
        </w:rPr>
      </w:pPr>
    </w:p>
    <w:p>
      <w:pPr>
        <w:pStyle w:val="9"/>
        <w:spacing w:line="440" w:lineRule="exact"/>
        <w:jc w:val="center"/>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                      单位名称（盖章）：</w:t>
      </w:r>
    </w:p>
    <w:p>
      <w:pPr>
        <w:pStyle w:val="9"/>
        <w:spacing w:line="440" w:lineRule="exact"/>
        <w:jc w:val="center"/>
        <w:rPr>
          <w:rFonts w:hint="default" w:ascii="仿宋" w:hAnsi="仿宋" w:eastAsia="仿宋" w:cs="仿宋"/>
          <w:sz w:val="28"/>
          <w:szCs w:val="28"/>
        </w:rPr>
      </w:pPr>
      <w:r>
        <w:rPr>
          <w:rFonts w:ascii="仿宋_GB2312" w:hAnsi="仿宋_GB2312" w:eastAsia="仿宋_GB2312" w:cs="仿宋_GB2312"/>
          <w:sz w:val="32"/>
          <w:szCs w:val="32"/>
        </w:rPr>
        <w:t xml:space="preserve">                   年  月  日</w:t>
      </w:r>
    </w:p>
    <w:p>
      <w:pPr>
        <w:pStyle w:val="8"/>
        <w:rPr>
          <w:rFonts w:ascii="仿宋_GB2312" w:hAnsi="仿宋_GB2312" w:eastAsia="仿宋_GB2312" w:cs="仿宋_GB2312"/>
          <w:b/>
          <w:bCs/>
          <w:kern w:val="2"/>
          <w:sz w:val="36"/>
          <w:szCs w:val="36"/>
        </w:rPr>
      </w:pPr>
    </w:p>
    <w:p/>
    <w:p>
      <w:pPr>
        <w:pStyle w:val="8"/>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- 40 -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0"/>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- 40 -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7BE7E"/>
    <w:multiLevelType w:val="singleLevel"/>
    <w:tmpl w:val="22B7BE7E"/>
    <w:lvl w:ilvl="0" w:tentative="0">
      <w:start w:val="3"/>
      <w:numFmt w:val="chineseCounting"/>
      <w:suff w:val="nothing"/>
      <w:lvlText w:val="（%1）"/>
      <w:lvlJc w:val="left"/>
      <w:rPr>
        <w:rFonts w:hint="eastAsia"/>
      </w:rPr>
    </w:lvl>
  </w:abstractNum>
  <w:abstractNum w:abstractNumId="1">
    <w:nsid w:val="37C1C332"/>
    <w:multiLevelType w:val="singleLevel"/>
    <w:tmpl w:val="37C1C332"/>
    <w:lvl w:ilvl="0" w:tentative="0">
      <w:start w:val="2"/>
      <w:numFmt w:val="chineseCounting"/>
      <w:suff w:val="space"/>
      <w:lvlText w:val="第%1章"/>
      <w:lvlJc w:val="left"/>
      <w:rPr>
        <w:rFonts w:hint="eastAsia"/>
      </w:rPr>
    </w:lvl>
  </w:abstractNum>
  <w:abstractNum w:abstractNumId="2">
    <w:nsid w:val="4D2A5CDB"/>
    <w:multiLevelType w:val="singleLevel"/>
    <w:tmpl w:val="4D2A5CDB"/>
    <w:lvl w:ilvl="0" w:tentative="0">
      <w:start w:val="7"/>
      <w:numFmt w:val="chineseCounting"/>
      <w:suff w:val="nothing"/>
      <w:lvlText w:val="%1、"/>
      <w:lvlJc w:val="left"/>
      <w:rPr>
        <w:rFonts w:hint="eastAsia"/>
      </w:rPr>
    </w:lvl>
  </w:abstractNum>
  <w:abstractNum w:abstractNumId="3">
    <w:nsid w:val="58C64E55"/>
    <w:multiLevelType w:val="singleLevel"/>
    <w:tmpl w:val="58C64E55"/>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4E07504C"/>
    <w:rsid w:val="02047256"/>
    <w:rsid w:val="0453078B"/>
    <w:rsid w:val="0665140B"/>
    <w:rsid w:val="069D1FD3"/>
    <w:rsid w:val="06E94E42"/>
    <w:rsid w:val="087655AA"/>
    <w:rsid w:val="08D8516E"/>
    <w:rsid w:val="09F607EE"/>
    <w:rsid w:val="0CB33494"/>
    <w:rsid w:val="0D1F7866"/>
    <w:rsid w:val="0E9E6313"/>
    <w:rsid w:val="10164368"/>
    <w:rsid w:val="11114953"/>
    <w:rsid w:val="13977902"/>
    <w:rsid w:val="141E5964"/>
    <w:rsid w:val="149A1EBD"/>
    <w:rsid w:val="153F5B73"/>
    <w:rsid w:val="161A71D6"/>
    <w:rsid w:val="16797E6D"/>
    <w:rsid w:val="17F61B9F"/>
    <w:rsid w:val="1890336F"/>
    <w:rsid w:val="196C5B8A"/>
    <w:rsid w:val="19F95BB8"/>
    <w:rsid w:val="1A8B6784"/>
    <w:rsid w:val="1BF652AB"/>
    <w:rsid w:val="1DB16262"/>
    <w:rsid w:val="1F4D3D68"/>
    <w:rsid w:val="25331C52"/>
    <w:rsid w:val="263E60B2"/>
    <w:rsid w:val="26D81403"/>
    <w:rsid w:val="27684CB5"/>
    <w:rsid w:val="27BE796C"/>
    <w:rsid w:val="27EB4D2D"/>
    <w:rsid w:val="28606759"/>
    <w:rsid w:val="287B13DD"/>
    <w:rsid w:val="29F311DA"/>
    <w:rsid w:val="2A78666D"/>
    <w:rsid w:val="2C2B3683"/>
    <w:rsid w:val="2CBD4E6E"/>
    <w:rsid w:val="2CD47877"/>
    <w:rsid w:val="2E3D769E"/>
    <w:rsid w:val="2FEA115F"/>
    <w:rsid w:val="302F165E"/>
    <w:rsid w:val="30DC1C6C"/>
    <w:rsid w:val="30F2476F"/>
    <w:rsid w:val="327318E0"/>
    <w:rsid w:val="33185FE3"/>
    <w:rsid w:val="34221DAD"/>
    <w:rsid w:val="348B1AE7"/>
    <w:rsid w:val="34C96030"/>
    <w:rsid w:val="350F1DC4"/>
    <w:rsid w:val="36C546D4"/>
    <w:rsid w:val="38AC78FA"/>
    <w:rsid w:val="3A1A0893"/>
    <w:rsid w:val="3A971B2C"/>
    <w:rsid w:val="3B1946B4"/>
    <w:rsid w:val="3E3A5CDD"/>
    <w:rsid w:val="3F400D9C"/>
    <w:rsid w:val="40692863"/>
    <w:rsid w:val="40A26163"/>
    <w:rsid w:val="419E7263"/>
    <w:rsid w:val="42073DF3"/>
    <w:rsid w:val="42186000"/>
    <w:rsid w:val="4382268F"/>
    <w:rsid w:val="43B25C38"/>
    <w:rsid w:val="45AF27D7"/>
    <w:rsid w:val="46202A9A"/>
    <w:rsid w:val="46505B5B"/>
    <w:rsid w:val="47430EB4"/>
    <w:rsid w:val="47A657A4"/>
    <w:rsid w:val="484E277B"/>
    <w:rsid w:val="4A6C3096"/>
    <w:rsid w:val="4B314F29"/>
    <w:rsid w:val="4D41354B"/>
    <w:rsid w:val="4E07504C"/>
    <w:rsid w:val="4E28581D"/>
    <w:rsid w:val="4F714C49"/>
    <w:rsid w:val="505D2E3A"/>
    <w:rsid w:val="50FB36C9"/>
    <w:rsid w:val="57754922"/>
    <w:rsid w:val="57F97435"/>
    <w:rsid w:val="59C87D59"/>
    <w:rsid w:val="5B4F1FDC"/>
    <w:rsid w:val="5BFE7BBD"/>
    <w:rsid w:val="5CAF3C3D"/>
    <w:rsid w:val="5CB67973"/>
    <w:rsid w:val="5D502DC3"/>
    <w:rsid w:val="5FA10F8B"/>
    <w:rsid w:val="5FB84304"/>
    <w:rsid w:val="61C97E28"/>
    <w:rsid w:val="61F555BE"/>
    <w:rsid w:val="642D54E3"/>
    <w:rsid w:val="6650370B"/>
    <w:rsid w:val="67303132"/>
    <w:rsid w:val="68201C55"/>
    <w:rsid w:val="684C15E6"/>
    <w:rsid w:val="69F60125"/>
    <w:rsid w:val="6C6407ED"/>
    <w:rsid w:val="6E044155"/>
    <w:rsid w:val="6E124F9B"/>
    <w:rsid w:val="6E7855AD"/>
    <w:rsid w:val="6EB20ABF"/>
    <w:rsid w:val="6FFE79F6"/>
    <w:rsid w:val="71B73BB5"/>
    <w:rsid w:val="726A3E36"/>
    <w:rsid w:val="75214286"/>
    <w:rsid w:val="75A66EA3"/>
    <w:rsid w:val="768C2209"/>
    <w:rsid w:val="77C95CC6"/>
    <w:rsid w:val="7A811C8D"/>
    <w:rsid w:val="7B5D3492"/>
    <w:rsid w:val="7BEA50DF"/>
    <w:rsid w:val="7C0135D5"/>
    <w:rsid w:val="7D1670C9"/>
    <w:rsid w:val="7D786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autoSpaceDE w:val="0"/>
      <w:autoSpaceDN w:val="0"/>
      <w:jc w:val="left"/>
    </w:pPr>
    <w:rPr>
      <w:rFonts w:ascii="宋体" w:hAnsi="宋体"/>
      <w:kern w:val="0"/>
      <w:sz w:val="32"/>
      <w:szCs w:val="32"/>
    </w:rPr>
  </w:style>
  <w:style w:type="paragraph" w:styleId="9">
    <w:name w:val="Plain Text"/>
    <w:basedOn w:val="1"/>
    <w:next w:val="5"/>
    <w:autoRedefine/>
    <w:qFormat/>
    <w:uiPriority w:val="0"/>
    <w:rPr>
      <w:rFonts w:hint="eastAsia" w:ascii="宋体" w:hAnsi="Courier New"/>
      <w:kern w:val="0"/>
      <w:sz w:val="20"/>
      <w:szCs w:val="21"/>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Body Text 2"/>
    <w:basedOn w:val="1"/>
    <w:autoRedefine/>
    <w:qFormat/>
    <w:uiPriority w:val="0"/>
    <w:pPr>
      <w:spacing w:line="360" w:lineRule="auto"/>
    </w:pPr>
    <w:rPr>
      <w:rFonts w:ascii="Times New Roman" w:hAnsi="Times New Roman"/>
      <w:kern w:val="0"/>
      <w:sz w:val="24"/>
    </w:rPr>
  </w:style>
  <w:style w:type="paragraph" w:styleId="14">
    <w:name w:val="Normal (Web)"/>
    <w:basedOn w:val="1"/>
    <w:autoRedefine/>
    <w:qFormat/>
    <w:uiPriority w:val="0"/>
    <w:pPr>
      <w:spacing w:beforeAutospacing="1" w:afterAutospacing="1"/>
      <w:jc w:val="left"/>
    </w:pPr>
    <w:rPr>
      <w:rFonts w:cs="Times New Roman"/>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表格文字"/>
    <w:basedOn w:val="1"/>
    <w:autoRedefine/>
    <w:qFormat/>
    <w:uiPriority w:val="99"/>
    <w:pPr>
      <w:spacing w:before="25" w:after="25"/>
    </w:pPr>
    <w:rPr>
      <w:spacing w:val="10"/>
      <w:sz w:val="24"/>
    </w:rPr>
  </w:style>
  <w:style w:type="paragraph" w:customStyle="1" w:styleId="20">
    <w:name w:val="p0"/>
    <w:basedOn w:val="1"/>
    <w:autoRedefine/>
    <w:qFormat/>
    <w:uiPriority w:val="0"/>
    <w:pPr>
      <w:widowControl/>
    </w:pPr>
    <w:rPr>
      <w:kern w:val="0"/>
      <w:szCs w:val="21"/>
    </w:rPr>
  </w:style>
  <w:style w:type="paragraph" w:customStyle="1" w:styleId="21">
    <w:name w:val="列出段落111"/>
    <w:basedOn w:val="1"/>
    <w:autoRedefine/>
    <w:qFormat/>
    <w:uiPriority w:val="0"/>
    <w:pPr>
      <w:ind w:firstLine="420" w:firstLineChars="200"/>
    </w:pPr>
  </w:style>
  <w:style w:type="paragraph" w:customStyle="1" w:styleId="22">
    <w:name w:val="Table Text"/>
    <w:basedOn w:val="1"/>
    <w:autoRedefine/>
    <w:semiHidden/>
    <w:qFormat/>
    <w:uiPriority w:val="0"/>
    <w:rPr>
      <w:rFonts w:ascii="仿宋" w:hAnsi="仿宋" w:eastAsia="仿宋" w:cs="仿宋"/>
      <w:sz w:val="21"/>
      <w:szCs w:val="21"/>
      <w:lang w:val="en-US" w:eastAsia="en-US" w:bidi="ar-SA"/>
    </w:rPr>
  </w:style>
  <w:style w:type="paragraph" w:customStyle="1" w:styleId="23">
    <w:name w:val="_Style 1"/>
    <w:basedOn w:val="1"/>
    <w:next w:val="1"/>
    <w:autoRedefine/>
    <w:qFormat/>
    <w:uiPriority w:val="99"/>
    <w:pPr>
      <w:ind w:firstLine="420" w:firstLineChars="200"/>
    </w:pPr>
  </w:style>
  <w:style w:type="character" w:customStyle="1" w:styleId="24">
    <w:name w:val="正文_2 Char"/>
    <w:autoRedefine/>
    <w:qFormat/>
    <w:uiPriority w:val="0"/>
    <w:rPr>
      <w:rFonts w:hint="eastAsia" w:ascii="宋体" w:hAnsi="宋体" w:eastAsia="宋体"/>
      <w:kern w:val="2"/>
      <w:sz w:val="21"/>
      <w:szCs w:val="22"/>
      <w:lang w:val="en-US" w:eastAsia="zh-CN"/>
    </w:rPr>
  </w:style>
  <w:style w:type="paragraph" w:customStyle="1" w:styleId="25">
    <w:name w:val="正文+首行缩进2 字符"/>
    <w:basedOn w:val="1"/>
    <w:autoRedefine/>
    <w:qFormat/>
    <w:uiPriority w:val="0"/>
    <w:pPr>
      <w:spacing w:afterLines="25" w:line="300" w:lineRule="auto"/>
      <w:ind w:firstLine="480" w:firstLineChars="200"/>
    </w:pPr>
    <w:rPr>
      <w:rFonts w:ascii="Times New Roman" w:hAnsi="Times New Roman" w:cs="宋体"/>
      <w:szCs w:val="20"/>
    </w:rPr>
  </w:style>
  <w:style w:type="paragraph" w:customStyle="1" w:styleId="26">
    <w:name w:val="列出段落3"/>
    <w:basedOn w:val="1"/>
    <w:autoRedefine/>
    <w:qFormat/>
    <w:uiPriority w:val="34"/>
    <w:pPr>
      <w:ind w:firstLine="420" w:firstLineChars="200"/>
    </w:pPr>
  </w:style>
  <w:style w:type="paragraph" w:customStyle="1" w:styleId="27">
    <w:name w:val="列出段落1"/>
    <w:basedOn w:val="1"/>
    <w:autoRedefine/>
    <w:qFormat/>
    <w:uiPriority w:val="34"/>
    <w:pPr>
      <w:ind w:firstLine="420" w:firstLineChars="200"/>
    </w:pPr>
  </w:style>
  <w:style w:type="paragraph" w:styleId="28">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
    <w:name w:val="纯文本1"/>
    <w:basedOn w:val="1"/>
    <w:autoRedefine/>
    <w:qFormat/>
    <w:uiPriority w:val="0"/>
    <w:rPr>
      <w:rFonts w:ascii="宋体" w:hAnsi="Courier New"/>
      <w:szCs w:val="20"/>
    </w:rPr>
  </w:style>
  <w:style w:type="paragraph" w:customStyle="1" w:styleId="3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6917</Words>
  <Characters>7116</Characters>
  <Lines>0</Lines>
  <Paragraphs>0</Paragraphs>
  <TotalTime>10</TotalTime>
  <ScaleCrop>false</ScaleCrop>
  <LinksUpToDate>false</LinksUpToDate>
  <CharactersWithSpaces>7221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2025-05-27T09:58:00Z</dcterms:created>
  <dc:creator>张生</dc:creator>
  <cp:lastModifiedBy>小满</cp:lastModifiedBy>
  <cp:lastPrinted>2025-05-28T00:24:00Z</cp:lastPrinted>
  <dcterms:modified xsi:type="dcterms:W3CDTF">2025-10-20T06:44:23Z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6363B25107FF4457960C75DA9DE78CB6_13</vt:lpwstr>
  </property>
  <property fmtid="{D5CDD505-2E9C-101B-9397-08002B2CF9AE}" pid="4" name="KSOTemplateDocerSaveRecord">
    <vt:lpwstr>eyJoZGlkIjoiN2RiNWQ5NGYzY2IxYzY2OGVkMjg0YWI2OWFlOGVkZmIiLCJ1c2VySWQiOiI0MDk2MDE5NTQifQ==</vt:lpwstr>
  </property>
</Properties>
</file>