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AA22A">
      <w:pPr>
        <w:rPr>
          <w:rFonts w:ascii="仿宋_GB2312" w:eastAsia="仿宋_GB2312"/>
          <w:b/>
          <w:bCs/>
          <w:sz w:val="30"/>
          <w:szCs w:val="30"/>
        </w:rPr>
      </w:pPr>
      <w:bookmarkStart w:id="0" w:name="_GoBack"/>
      <w:r>
        <w:rPr>
          <w:rFonts w:hint="eastAsia" w:ascii="仿宋_GB2312" w:eastAsia="仿宋_GB2312"/>
          <w:b/>
          <w:bCs/>
          <w:sz w:val="30"/>
          <w:szCs w:val="30"/>
        </w:rPr>
        <w:t>附件2：综合评分表</w:t>
      </w:r>
    </w:p>
    <w:bookmarkEnd w:id="0"/>
    <w:p w14:paraId="68693262">
      <w:pPr>
        <w:pStyle w:val="5"/>
      </w:pPr>
    </w:p>
    <w:p w14:paraId="5B33ED5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center"/>
        <w:rPr>
          <w:rFonts w:hint="eastAsia" w:ascii="PingFang SC Regular" w:hAnsi="PingFang SC Regular" w:eastAsia="PingFang SC Regular" w:cs="PingFang SC Regular"/>
          <w:sz w:val="36"/>
          <w:szCs w:val="36"/>
        </w:rPr>
      </w:pPr>
      <w:r>
        <w:rPr>
          <w:rFonts w:hint="eastAsia" w:ascii="宋体" w:hAnsi="宋体" w:cs="宋体"/>
          <w:sz w:val="36"/>
          <w:szCs w:val="36"/>
        </w:rPr>
        <w:t>关于</w:t>
      </w:r>
      <w:r>
        <w:rPr>
          <w:rFonts w:hint="eastAsia" w:ascii="宋体" w:hAnsi="宋体" w:cs="宋体"/>
          <w:sz w:val="36"/>
          <w:szCs w:val="36"/>
          <w:lang w:val="en-US" w:eastAsia="zh-CN"/>
        </w:rPr>
        <w:t>湾东智算公司知识产权</w:t>
      </w:r>
      <w:r>
        <w:rPr>
          <w:rFonts w:hint="eastAsia" w:ascii="宋体" w:hAnsi="宋体" w:cs="宋体"/>
          <w:sz w:val="36"/>
          <w:szCs w:val="36"/>
        </w:rPr>
        <w:t>服务</w:t>
      </w:r>
      <w:r>
        <w:rPr>
          <w:rFonts w:hint="eastAsia" w:ascii="宋体" w:hAnsi="宋体" w:cs="宋体"/>
          <w:sz w:val="36"/>
          <w:szCs w:val="36"/>
          <w:lang w:val="en-US" w:eastAsia="zh-CN"/>
        </w:rPr>
        <w:t>的</w:t>
      </w:r>
      <w:r>
        <w:rPr>
          <w:rFonts w:eastAsia="PingFang SC Regular"/>
          <w:sz w:val="36"/>
          <w:szCs w:val="36"/>
        </w:rPr>
        <w:t>综合评分表</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1"/>
        <w:gridCol w:w="1023"/>
        <w:gridCol w:w="6845"/>
        <w:gridCol w:w="681"/>
      </w:tblGrid>
      <w:tr w14:paraId="61B3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tblHeader/>
          <w:jc w:val="center"/>
        </w:trPr>
        <w:tc>
          <w:tcPr>
            <w:tcW w:w="251" w:type="pct"/>
            <w:noWrap w:val="0"/>
            <w:tcMar>
              <w:top w:w="80" w:type="dxa"/>
              <w:left w:w="80" w:type="dxa"/>
              <w:bottom w:w="80" w:type="dxa"/>
              <w:right w:w="80" w:type="dxa"/>
            </w:tcMar>
            <w:vAlign w:val="center"/>
          </w:tcPr>
          <w:p w14:paraId="17C26EAB">
            <w:pPr>
              <w:keepLines w:val="0"/>
              <w:pageBreakBefore w:val="0"/>
              <w:widowControl w:val="0"/>
              <w:tabs>
                <w:tab w:val="left" w:pos="420"/>
              </w:tabs>
              <w:kinsoku/>
              <w:wordWrap/>
              <w:overflowPunct/>
              <w:topLinePunct w:val="0"/>
              <w:autoSpaceDE/>
              <w:autoSpaceDN/>
              <w:bidi w:val="0"/>
              <w:spacing w:before="0" w:line="240" w:lineRule="auto"/>
              <w:jc w:val="center"/>
              <w:textAlignment w:val="auto"/>
              <w:rPr>
                <w:rFonts w:hint="default"/>
                <w:color w:val="auto"/>
              </w:rPr>
            </w:pPr>
            <w:r>
              <w:rPr>
                <w:rFonts w:ascii="宋体" w:hAnsi="宋体" w:eastAsia="宋体" w:cs="宋体"/>
                <w:b/>
                <w:bCs/>
                <w:color w:val="auto"/>
                <w:kern w:val="2"/>
                <w:sz w:val="21"/>
                <w:szCs w:val="21"/>
              </w:rPr>
              <w:t>序号</w:t>
            </w:r>
          </w:p>
        </w:tc>
        <w:tc>
          <w:tcPr>
            <w:tcW w:w="568" w:type="pct"/>
            <w:noWrap w:val="0"/>
            <w:tcMar>
              <w:top w:w="80" w:type="dxa"/>
              <w:left w:w="80" w:type="dxa"/>
              <w:bottom w:w="80" w:type="dxa"/>
              <w:right w:w="80" w:type="dxa"/>
            </w:tcMar>
            <w:vAlign w:val="center"/>
          </w:tcPr>
          <w:p w14:paraId="12F2D2D5">
            <w:pPr>
              <w:keepLines w:val="0"/>
              <w:pageBreakBefore w:val="0"/>
              <w:widowControl w:val="0"/>
              <w:tabs>
                <w:tab w:val="left" w:pos="420"/>
              </w:tabs>
              <w:kinsoku/>
              <w:wordWrap/>
              <w:overflowPunct/>
              <w:topLinePunct w:val="0"/>
              <w:autoSpaceDE/>
              <w:autoSpaceDN/>
              <w:bidi w:val="0"/>
              <w:spacing w:before="0" w:line="240" w:lineRule="auto"/>
              <w:jc w:val="center"/>
              <w:textAlignment w:val="auto"/>
              <w:rPr>
                <w:rFonts w:hint="default"/>
                <w:color w:val="auto"/>
              </w:rPr>
            </w:pPr>
            <w:r>
              <w:rPr>
                <w:rFonts w:hint="eastAsia"/>
                <w:b/>
                <w:szCs w:val="21"/>
              </w:rPr>
              <w:t>评分项</w:t>
            </w:r>
          </w:p>
        </w:tc>
        <w:tc>
          <w:tcPr>
            <w:tcW w:w="3801" w:type="pct"/>
            <w:noWrap w:val="0"/>
            <w:tcMar>
              <w:top w:w="80" w:type="dxa"/>
              <w:left w:w="80" w:type="dxa"/>
              <w:bottom w:w="80" w:type="dxa"/>
              <w:right w:w="80" w:type="dxa"/>
            </w:tcMar>
            <w:vAlign w:val="center"/>
          </w:tcPr>
          <w:p w14:paraId="0488CDCD">
            <w:pPr>
              <w:keepLines w:val="0"/>
              <w:pageBreakBefore w:val="0"/>
              <w:widowControl w:val="0"/>
              <w:tabs>
                <w:tab w:val="left" w:pos="420"/>
                <w:tab w:val="left" w:pos="840"/>
                <w:tab w:val="left" w:pos="1260"/>
                <w:tab w:val="left" w:pos="1680"/>
                <w:tab w:val="left" w:pos="2100"/>
                <w:tab w:val="left" w:pos="2520"/>
                <w:tab w:val="left" w:pos="2940"/>
                <w:tab w:val="left" w:pos="3360"/>
              </w:tabs>
              <w:kinsoku/>
              <w:wordWrap/>
              <w:overflowPunct/>
              <w:topLinePunct w:val="0"/>
              <w:autoSpaceDE/>
              <w:autoSpaceDN/>
              <w:bidi w:val="0"/>
              <w:spacing w:before="0" w:line="240" w:lineRule="auto"/>
              <w:jc w:val="center"/>
              <w:textAlignment w:val="auto"/>
              <w:rPr>
                <w:rFonts w:hint="default"/>
                <w:color w:val="auto"/>
              </w:rPr>
            </w:pPr>
            <w:r>
              <w:rPr>
                <w:rFonts w:hint="eastAsia"/>
                <w:b/>
                <w:szCs w:val="21"/>
              </w:rPr>
              <w:t>评分规则</w:t>
            </w:r>
          </w:p>
        </w:tc>
        <w:tc>
          <w:tcPr>
            <w:tcW w:w="378" w:type="pct"/>
            <w:noWrap w:val="0"/>
            <w:tcMar>
              <w:top w:w="80" w:type="dxa"/>
              <w:left w:w="80" w:type="dxa"/>
              <w:bottom w:w="80" w:type="dxa"/>
              <w:right w:w="80" w:type="dxa"/>
            </w:tcMar>
            <w:vAlign w:val="center"/>
          </w:tcPr>
          <w:p w14:paraId="7F9D1EC0">
            <w:pPr>
              <w:keepLines w:val="0"/>
              <w:pageBreakBefore w:val="0"/>
              <w:widowControl w:val="0"/>
              <w:tabs>
                <w:tab w:val="left" w:pos="420"/>
                <w:tab w:val="left" w:pos="840"/>
                <w:tab w:val="left" w:pos="1260"/>
              </w:tabs>
              <w:kinsoku/>
              <w:wordWrap/>
              <w:overflowPunct/>
              <w:topLinePunct w:val="0"/>
              <w:autoSpaceDE/>
              <w:autoSpaceDN/>
              <w:bidi w:val="0"/>
              <w:spacing w:before="0" w:line="240" w:lineRule="auto"/>
              <w:jc w:val="center"/>
              <w:textAlignment w:val="auto"/>
              <w:rPr>
                <w:rFonts w:hint="eastAsia" w:eastAsia="等线"/>
                <w:color w:val="auto"/>
                <w:lang w:eastAsia="zh-CN"/>
              </w:rPr>
            </w:pPr>
            <w:r>
              <w:rPr>
                <w:rFonts w:hint="eastAsia" w:ascii="宋体" w:hAnsi="宋体" w:eastAsia="宋体" w:cs="宋体"/>
                <w:b/>
                <w:bCs/>
                <w:color w:val="auto"/>
                <w:kern w:val="2"/>
                <w:sz w:val="21"/>
                <w:szCs w:val="21"/>
                <w:lang w:val="en-US" w:eastAsia="zh-CN"/>
              </w:rPr>
              <w:t>分值</w:t>
            </w:r>
          </w:p>
        </w:tc>
      </w:tr>
      <w:tr w14:paraId="7002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8" w:hRule="atLeast"/>
          <w:jc w:val="center"/>
        </w:trPr>
        <w:tc>
          <w:tcPr>
            <w:tcW w:w="251" w:type="pct"/>
            <w:noWrap w:val="0"/>
            <w:tcMar>
              <w:top w:w="80" w:type="dxa"/>
              <w:left w:w="80" w:type="dxa"/>
              <w:bottom w:w="80" w:type="dxa"/>
              <w:right w:w="80" w:type="dxa"/>
            </w:tcMar>
            <w:vAlign w:val="center"/>
          </w:tcPr>
          <w:p w14:paraId="0FAFDB55">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ascii="宋体" w:hAnsi="宋体" w:eastAsia="宋体" w:cs="宋体"/>
                <w:color w:val="000000"/>
                <w:kern w:val="2"/>
                <w:sz w:val="21"/>
                <w:szCs w:val="21"/>
                <w:highlight w:val="none"/>
                <w:shd w:val="clear" w:color="auto" w:fill="auto"/>
                <w:lang w:val="en-US" w:eastAsia="zh-CN"/>
              </w:rPr>
            </w:pPr>
            <w:r>
              <w:rPr>
                <w:rFonts w:hint="eastAsia" w:ascii="宋体" w:hAnsi="宋体" w:eastAsia="宋体" w:cs="宋体"/>
                <w:color w:val="000000"/>
                <w:kern w:val="2"/>
                <w:sz w:val="21"/>
                <w:szCs w:val="21"/>
                <w:highlight w:val="none"/>
                <w:shd w:val="clear" w:color="auto" w:fill="auto"/>
                <w:lang w:val="en-US" w:eastAsia="zh-CN"/>
              </w:rPr>
              <w:t>1</w:t>
            </w:r>
          </w:p>
        </w:tc>
        <w:tc>
          <w:tcPr>
            <w:tcW w:w="568" w:type="pct"/>
            <w:noWrap w:val="0"/>
            <w:tcMar>
              <w:top w:w="80" w:type="dxa"/>
              <w:left w:w="80" w:type="dxa"/>
              <w:bottom w:w="80" w:type="dxa"/>
              <w:right w:w="80" w:type="dxa"/>
            </w:tcMar>
            <w:vAlign w:val="center"/>
          </w:tcPr>
          <w:p w14:paraId="12DB7F48">
            <w:pPr>
              <w:shd w:val="clear" w:color="auto" w:fill="auto"/>
              <w:tabs>
                <w:tab w:val="left" w:pos="900"/>
              </w:tabs>
              <w:jc w:val="center"/>
              <w:rPr>
                <w:rFonts w:hint="eastAsia" w:ascii="等线" w:hAnsi="等线" w:eastAsia="等线" w:cs="Times New Roman"/>
                <w:bCs/>
                <w:color w:val="000000"/>
                <w:kern w:val="2"/>
                <w:sz w:val="21"/>
                <w:szCs w:val="21"/>
                <w:highlight w:val="none"/>
                <w:shd w:val="clear" w:color="auto" w:fill="auto"/>
                <w:lang w:val="en-US" w:eastAsia="zh-CN" w:bidi="ar-SA"/>
              </w:rPr>
            </w:pPr>
            <w:r>
              <w:rPr>
                <w:rFonts w:hint="eastAsia"/>
                <w:bCs/>
                <w:color w:val="000000"/>
                <w:szCs w:val="21"/>
                <w:highlight w:val="none"/>
                <w:shd w:val="clear" w:color="auto" w:fill="auto"/>
              </w:rPr>
              <w:t>报价</w:t>
            </w:r>
          </w:p>
        </w:tc>
        <w:tc>
          <w:tcPr>
            <w:tcW w:w="3801" w:type="pct"/>
            <w:noWrap w:val="0"/>
            <w:tcMar>
              <w:top w:w="80" w:type="dxa"/>
              <w:left w:w="80" w:type="dxa"/>
              <w:bottom w:w="80" w:type="dxa"/>
              <w:right w:w="80" w:type="dxa"/>
            </w:tcMar>
            <w:vAlign w:val="center"/>
          </w:tcPr>
          <w:p w14:paraId="0CFA3216">
            <w:pPr>
              <w:shd w:val="clear" w:color="auto" w:fill="auto"/>
              <w:adjustRightInd w:val="0"/>
              <w:snapToGrid w:val="0"/>
              <w:jc w:val="left"/>
              <w:rPr>
                <w:rFonts w:hint="eastAsia" w:ascii="宋体" w:hAnsi="宋体" w:eastAsia="宋体" w:cs="宋体"/>
                <w:bCs/>
                <w:color w:val="00000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en-US" w:eastAsia="zh-CN" w:bidi="ar"/>
              </w:rPr>
              <w:t>评审标准：</w:t>
            </w:r>
          </w:p>
          <w:p w14:paraId="466DF45C">
            <w:pPr>
              <w:shd w:val="clear" w:color="auto" w:fill="auto"/>
              <w:adjustRightInd w:val="0"/>
              <w:snapToGrid w:val="0"/>
              <w:jc w:val="left"/>
              <w:rPr>
                <w:rFonts w:hint="eastAsia" w:ascii="宋体" w:hAnsi="宋体" w:eastAsia="宋体" w:cs="宋体"/>
                <w:bCs/>
                <w:color w:val="000000"/>
                <w:sz w:val="21"/>
                <w:szCs w:val="21"/>
                <w:highlight w:val="none"/>
                <w:shd w:val="clear" w:color="auto" w:fill="auto"/>
              </w:rPr>
            </w:pPr>
            <w:r>
              <w:rPr>
                <w:rFonts w:hint="eastAsia" w:ascii="宋体" w:hAnsi="宋体" w:eastAsia="宋体" w:cs="宋体"/>
                <w:bCs/>
                <w:color w:val="000000"/>
                <w:sz w:val="21"/>
                <w:szCs w:val="21"/>
                <w:highlight w:val="none"/>
                <w:shd w:val="clear" w:color="auto" w:fill="auto"/>
              </w:rPr>
              <w:t>价格分计算方法：报价为平均数的为最高分即满分。</w:t>
            </w:r>
          </w:p>
          <w:p w14:paraId="3AE6549B">
            <w:pPr>
              <w:shd w:val="clear" w:color="auto" w:fill="auto"/>
              <w:adjustRightInd w:val="0"/>
              <w:snapToGrid w:val="0"/>
              <w:jc w:val="left"/>
              <w:rPr>
                <w:rFonts w:hint="eastAsia" w:ascii="宋体" w:hAnsi="宋体" w:eastAsia="宋体" w:cs="宋体"/>
                <w:bCs/>
                <w:color w:val="000000"/>
                <w:kern w:val="2"/>
                <w:sz w:val="21"/>
                <w:szCs w:val="21"/>
                <w:highlight w:val="none"/>
                <w:shd w:val="clear" w:color="auto" w:fill="auto"/>
                <w:lang w:val="en-US" w:eastAsia="zh-CN" w:bidi="ar-SA"/>
              </w:rPr>
            </w:pPr>
            <w:r>
              <w:rPr>
                <w:rFonts w:hint="eastAsia" w:ascii="宋体" w:hAnsi="宋体" w:eastAsia="宋体" w:cs="宋体"/>
                <w:bCs/>
                <w:color w:val="000000"/>
                <w:sz w:val="21"/>
                <w:szCs w:val="21"/>
                <w:highlight w:val="none"/>
                <w:shd w:val="clear" w:color="auto" w:fill="auto"/>
              </w:rPr>
              <w:t>假设供应商的报价结果分别为B1、B2、B3……Bn，                                                  则报价的平均数为C=[B1＋B2＋B3＋……＋Bn]÷n，供应商n的报价得分=</w:t>
            </w:r>
            <w:r>
              <w:rPr>
                <w:rFonts w:hint="eastAsia" w:ascii="宋体" w:hAnsi="宋体" w:eastAsia="宋体" w:cs="宋体"/>
                <w:bCs/>
                <w:color w:val="000000"/>
                <w:sz w:val="21"/>
                <w:szCs w:val="21"/>
                <w:highlight w:val="none"/>
                <w:shd w:val="clear" w:color="auto" w:fill="auto"/>
                <w:lang w:val="en-US" w:eastAsia="zh-CN"/>
              </w:rPr>
              <w:t>2</w:t>
            </w:r>
            <w:r>
              <w:rPr>
                <w:rFonts w:hint="eastAsia" w:ascii="宋体" w:hAnsi="宋体" w:eastAsia="宋体" w:cs="宋体"/>
                <w:bCs/>
                <w:color w:val="000000"/>
                <w:sz w:val="21"/>
                <w:szCs w:val="21"/>
                <w:highlight w:val="none"/>
                <w:shd w:val="clear" w:color="auto" w:fill="auto"/>
              </w:rPr>
              <w:t>0×{1-(∣Bn－C∣)÷C}</w:t>
            </w:r>
          </w:p>
        </w:tc>
        <w:tc>
          <w:tcPr>
            <w:tcW w:w="378" w:type="pct"/>
            <w:noWrap w:val="0"/>
            <w:tcMar>
              <w:top w:w="80" w:type="dxa"/>
              <w:left w:w="80" w:type="dxa"/>
              <w:bottom w:w="80" w:type="dxa"/>
              <w:right w:w="80" w:type="dxa"/>
            </w:tcMar>
            <w:vAlign w:val="center"/>
          </w:tcPr>
          <w:p w14:paraId="0971A27F">
            <w:pPr>
              <w:shd w:val="clear" w:color="auto" w:fill="auto"/>
              <w:jc w:val="center"/>
              <w:rPr>
                <w:rFonts w:hint="eastAsia" w:ascii="宋体" w:hAnsi="宋体" w:eastAsia="宋体" w:cs="宋体"/>
                <w:bCs/>
                <w:color w:val="000000"/>
                <w:kern w:val="2"/>
                <w:sz w:val="21"/>
                <w:szCs w:val="21"/>
                <w:highlight w:val="none"/>
                <w:shd w:val="clear" w:color="auto" w:fill="auto"/>
                <w:lang w:val="en-US" w:eastAsia="zh-CN" w:bidi="ar-SA"/>
              </w:rPr>
            </w:pPr>
            <w:r>
              <w:rPr>
                <w:rFonts w:hint="eastAsia" w:ascii="宋体" w:hAnsi="宋体" w:eastAsia="宋体" w:cs="宋体"/>
                <w:bCs/>
                <w:color w:val="000000"/>
                <w:szCs w:val="21"/>
                <w:highlight w:val="none"/>
                <w:shd w:val="clear" w:color="auto" w:fill="auto"/>
                <w:lang w:val="en-US" w:eastAsia="zh-CN"/>
              </w:rPr>
              <w:t>2</w:t>
            </w:r>
            <w:r>
              <w:rPr>
                <w:rFonts w:hint="eastAsia" w:ascii="宋体" w:hAnsi="宋体" w:eastAsia="宋体" w:cs="宋体"/>
                <w:bCs/>
                <w:color w:val="000000"/>
                <w:szCs w:val="21"/>
                <w:highlight w:val="none"/>
                <w:shd w:val="clear" w:color="auto" w:fill="auto"/>
              </w:rPr>
              <w:t>0</w:t>
            </w:r>
          </w:p>
        </w:tc>
      </w:tr>
      <w:tr w14:paraId="52B4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251" w:type="pct"/>
            <w:noWrap w:val="0"/>
            <w:tcMar>
              <w:top w:w="80" w:type="dxa"/>
              <w:left w:w="80" w:type="dxa"/>
              <w:bottom w:w="80" w:type="dxa"/>
              <w:right w:w="80" w:type="dxa"/>
            </w:tcMar>
            <w:vAlign w:val="center"/>
          </w:tcPr>
          <w:p w14:paraId="324B8F0E">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ascii="宋体" w:hAnsi="宋体" w:eastAsia="宋体" w:cs="宋体"/>
                <w:color w:val="000000"/>
                <w:kern w:val="2"/>
                <w:sz w:val="21"/>
                <w:szCs w:val="21"/>
                <w:highlight w:val="none"/>
                <w:shd w:val="clear" w:color="auto" w:fill="auto"/>
                <w:lang w:val="en-US" w:eastAsia="zh-CN"/>
              </w:rPr>
            </w:pPr>
            <w:r>
              <w:rPr>
                <w:rFonts w:hint="eastAsia" w:ascii="宋体" w:hAnsi="宋体" w:eastAsia="宋体" w:cs="宋体"/>
                <w:color w:val="000000"/>
                <w:kern w:val="2"/>
                <w:sz w:val="21"/>
                <w:szCs w:val="21"/>
                <w:highlight w:val="none"/>
                <w:shd w:val="clear" w:color="auto" w:fill="auto"/>
                <w:lang w:val="en-US" w:eastAsia="zh-CN"/>
              </w:rPr>
              <w:t>2</w:t>
            </w:r>
          </w:p>
        </w:tc>
        <w:tc>
          <w:tcPr>
            <w:tcW w:w="568" w:type="pct"/>
            <w:noWrap w:val="0"/>
            <w:tcMar>
              <w:top w:w="80" w:type="dxa"/>
              <w:left w:w="80" w:type="dxa"/>
              <w:bottom w:w="80" w:type="dxa"/>
              <w:right w:w="80" w:type="dxa"/>
            </w:tcMar>
            <w:vAlign w:val="center"/>
          </w:tcPr>
          <w:p w14:paraId="2950BF2C">
            <w:pPr>
              <w:shd w:val="clear" w:color="auto" w:fill="auto"/>
              <w:adjustRightInd w:val="0"/>
              <w:snapToGrid w:val="0"/>
              <w:jc w:val="center"/>
              <w:rPr>
                <w:rFonts w:hint="eastAsia" w:ascii="Calibri" w:hAnsi="Calibri" w:eastAsia="宋体" w:cs="Times New Roman"/>
                <w:bCs/>
                <w:color w:val="000000"/>
                <w:kern w:val="2"/>
                <w:sz w:val="21"/>
                <w:szCs w:val="21"/>
                <w:highlight w:val="none"/>
                <w:shd w:val="clear" w:color="auto" w:fill="auto"/>
                <w:lang w:val="en-US" w:eastAsia="zh-CN" w:bidi="ar-SA"/>
              </w:rPr>
            </w:pPr>
            <w:r>
              <w:rPr>
                <w:rFonts w:hint="eastAsia" w:ascii="Calibri" w:hAnsi="Calibri" w:eastAsia="宋体" w:cs="Times New Roman"/>
                <w:bCs/>
                <w:color w:val="000000"/>
                <w:kern w:val="2"/>
                <w:sz w:val="21"/>
                <w:szCs w:val="21"/>
                <w:highlight w:val="none"/>
                <w:shd w:val="clear" w:color="auto" w:fill="auto"/>
                <w:lang w:val="en-US" w:eastAsia="zh-CN" w:bidi="ar-SA"/>
              </w:rPr>
              <w:t>企业信息</w:t>
            </w:r>
          </w:p>
        </w:tc>
        <w:tc>
          <w:tcPr>
            <w:tcW w:w="3801" w:type="pct"/>
            <w:noWrap w:val="0"/>
            <w:tcMar>
              <w:top w:w="80" w:type="dxa"/>
              <w:left w:w="80" w:type="dxa"/>
              <w:bottom w:w="80" w:type="dxa"/>
              <w:right w:w="80" w:type="dxa"/>
            </w:tcMar>
            <w:vAlign w:val="center"/>
          </w:tcPr>
          <w:p w14:paraId="31295895">
            <w:pPr>
              <w:shd w:val="clear" w:color="auto" w:fill="auto"/>
              <w:adjustRightInd w:val="0"/>
              <w:snapToGrid w:val="0"/>
              <w:jc w:val="left"/>
              <w:rPr>
                <w:rFonts w:hint="eastAsia" w:ascii="宋体" w:hAnsi="宋体" w:eastAsia="宋体" w:cs="宋体"/>
                <w:color w:val="00000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en-US" w:eastAsia="zh-CN" w:bidi="ar"/>
              </w:rPr>
              <w:t>评审标准：</w:t>
            </w:r>
          </w:p>
          <w:p w14:paraId="3FA246FD">
            <w:pPr>
              <w:pStyle w:val="4"/>
              <w:numPr>
                <w:ilvl w:val="0"/>
                <w:numId w:val="0"/>
              </w:numPr>
              <w:shd w:val="clear" w:color="auto" w:fill="auto"/>
              <w:tabs>
                <w:tab w:val="left" w:pos="562"/>
                <w:tab w:val="left" w:pos="3372"/>
                <w:tab w:val="left" w:pos="3653"/>
                <w:tab w:val="left" w:pos="4287"/>
              </w:tabs>
              <w:ind w:leftChars="0" w:right="-73" w:rightChars="-35"/>
              <w:jc w:val="left"/>
              <w:rPr>
                <w:rFonts w:hint="eastAsia" w:ascii="宋体" w:hAnsi="宋体" w:eastAsia="宋体" w:cs="宋体"/>
                <w:color w:val="000000"/>
                <w:sz w:val="21"/>
                <w:szCs w:val="21"/>
                <w:highlight w:val="none"/>
                <w:shd w:val="clear" w:color="auto" w:fill="auto"/>
                <w:lang w:eastAsia="zh-CN"/>
              </w:rPr>
            </w:pPr>
            <w:r>
              <w:rPr>
                <w:rFonts w:hint="eastAsia" w:ascii="宋体" w:hAnsi="宋体" w:eastAsia="宋体" w:cs="宋体"/>
                <w:color w:val="000000"/>
                <w:sz w:val="21"/>
                <w:szCs w:val="21"/>
                <w:highlight w:val="none"/>
                <w:shd w:val="clear" w:color="auto" w:fill="auto"/>
                <w:lang w:val="en-US" w:eastAsia="zh-CN"/>
              </w:rPr>
              <w:t>1.</w:t>
            </w:r>
            <w:r>
              <w:rPr>
                <w:rFonts w:hint="eastAsia" w:ascii="宋体" w:hAnsi="宋体" w:eastAsia="宋体" w:cs="宋体"/>
                <w:color w:val="000000"/>
                <w:sz w:val="21"/>
                <w:szCs w:val="21"/>
                <w:highlight w:val="none"/>
                <w:shd w:val="clear" w:color="auto" w:fill="auto"/>
              </w:rPr>
              <w:t>注册资金大于等于</w:t>
            </w:r>
            <w:r>
              <w:rPr>
                <w:rFonts w:hint="eastAsia" w:ascii="宋体" w:hAnsi="宋体" w:eastAsia="宋体" w:cs="宋体"/>
                <w:color w:val="000000"/>
                <w:sz w:val="21"/>
                <w:szCs w:val="21"/>
                <w:highlight w:val="none"/>
                <w:shd w:val="clear" w:color="auto" w:fill="auto"/>
                <w:lang w:val="en-US" w:eastAsia="zh-CN"/>
              </w:rPr>
              <w:t>1</w:t>
            </w:r>
            <w:r>
              <w:rPr>
                <w:rFonts w:hint="eastAsia" w:ascii="宋体" w:hAnsi="宋体" w:eastAsia="宋体" w:cs="宋体"/>
                <w:color w:val="000000"/>
                <w:sz w:val="21"/>
                <w:szCs w:val="21"/>
                <w:highlight w:val="none"/>
                <w:shd w:val="clear" w:color="auto" w:fill="auto"/>
              </w:rPr>
              <w:t>00万</w:t>
            </w:r>
            <w:r>
              <w:rPr>
                <w:rFonts w:hint="eastAsia" w:ascii="宋体" w:hAnsi="宋体" w:eastAsia="宋体" w:cs="宋体"/>
                <w:color w:val="000000"/>
                <w:sz w:val="21"/>
                <w:szCs w:val="21"/>
                <w:highlight w:val="none"/>
                <w:shd w:val="clear" w:color="auto" w:fill="auto"/>
                <w:lang w:eastAsia="zh-CN"/>
              </w:rPr>
              <w:t>，</w:t>
            </w:r>
            <w:r>
              <w:rPr>
                <w:rFonts w:hint="eastAsia" w:ascii="宋体" w:hAnsi="宋体" w:eastAsia="宋体" w:cs="宋体"/>
                <w:color w:val="000000"/>
                <w:sz w:val="21"/>
                <w:szCs w:val="21"/>
                <w:highlight w:val="none"/>
                <w:shd w:val="clear" w:color="auto" w:fill="auto"/>
              </w:rPr>
              <w:t>得</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分</w:t>
            </w:r>
            <w:r>
              <w:rPr>
                <w:rFonts w:hint="eastAsia" w:ascii="宋体" w:hAnsi="宋体" w:eastAsia="宋体" w:cs="宋体"/>
                <w:color w:val="000000"/>
                <w:sz w:val="21"/>
                <w:szCs w:val="21"/>
                <w:highlight w:val="none"/>
                <w:shd w:val="clear" w:color="auto" w:fill="auto"/>
                <w:lang w:eastAsia="zh-CN"/>
              </w:rPr>
              <w:t>；</w:t>
            </w:r>
          </w:p>
          <w:p w14:paraId="7EBA2B2F">
            <w:pPr>
              <w:rPr>
                <w:rFonts w:hint="eastAsia" w:ascii="宋体" w:hAnsi="宋体" w:eastAsia="宋体" w:cs="宋体"/>
                <w:sz w:val="21"/>
                <w:szCs w:val="21"/>
                <w:lang w:val="en-US" w:eastAsia="zh-CN"/>
              </w:rPr>
            </w:pPr>
            <w:r>
              <w:rPr>
                <w:rFonts w:hint="eastAsia" w:ascii="宋体" w:hAnsi="宋体" w:eastAsia="宋体" w:cs="宋体"/>
                <w:color w:val="000000"/>
                <w:sz w:val="21"/>
                <w:szCs w:val="21"/>
                <w:highlight w:val="none"/>
                <w:shd w:val="clear" w:color="auto" w:fill="auto"/>
                <w:lang w:val="en-US" w:eastAsia="zh-CN"/>
              </w:rPr>
              <w:t>2、供应商设立年限：设立年限≥5年，得5分，3年≤设立年限＜5年，得3分，其余得1分。</w:t>
            </w:r>
          </w:p>
          <w:p w14:paraId="5EE94770">
            <w:pPr>
              <w:shd w:val="clear" w:color="auto" w:fill="auto"/>
              <w:wordWrap w:val="0"/>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证明</w:t>
            </w:r>
            <w:r>
              <w:rPr>
                <w:rFonts w:hint="eastAsia" w:ascii="宋体" w:hAnsi="宋体" w:eastAsia="宋体" w:cs="宋体"/>
                <w:b/>
                <w:bCs/>
                <w:color w:val="000000"/>
                <w:sz w:val="21"/>
                <w:szCs w:val="21"/>
                <w:highlight w:val="none"/>
                <w:shd w:val="clear" w:color="auto" w:fill="auto"/>
                <w:lang w:val="en-US" w:eastAsia="zh-CN"/>
              </w:rPr>
              <w:t>材料</w:t>
            </w:r>
            <w:r>
              <w:rPr>
                <w:rFonts w:hint="eastAsia" w:ascii="宋体" w:hAnsi="宋体" w:eastAsia="宋体" w:cs="宋体"/>
                <w:b/>
                <w:bCs/>
                <w:color w:val="000000"/>
                <w:sz w:val="21"/>
                <w:szCs w:val="21"/>
                <w:highlight w:val="none"/>
                <w:shd w:val="clear" w:color="auto" w:fill="auto"/>
              </w:rPr>
              <w:t>:</w:t>
            </w:r>
          </w:p>
          <w:p w14:paraId="1202202C">
            <w:pPr>
              <w:pStyle w:val="4"/>
              <w:numPr>
                <w:ilvl w:val="0"/>
                <w:numId w:val="0"/>
              </w:numPr>
              <w:shd w:val="clear" w:color="auto" w:fill="auto"/>
              <w:tabs>
                <w:tab w:val="left" w:pos="562"/>
                <w:tab w:val="left" w:pos="3372"/>
                <w:tab w:val="left" w:pos="3653"/>
                <w:tab w:val="left" w:pos="4287"/>
              </w:tabs>
              <w:ind w:leftChars="0" w:right="-73" w:rightChars="-35"/>
              <w:jc w:val="left"/>
              <w:rPr>
                <w:rFonts w:hint="eastAsia" w:ascii="宋体" w:hAnsi="宋体" w:eastAsia="宋体" w:cs="宋体"/>
                <w:color w:val="000000"/>
                <w:sz w:val="21"/>
                <w:szCs w:val="21"/>
                <w:highlight w:val="none"/>
                <w:shd w:val="clear" w:color="auto" w:fill="auto"/>
                <w:lang w:eastAsia="zh-CN"/>
              </w:rPr>
            </w:pPr>
            <w:r>
              <w:rPr>
                <w:rFonts w:hint="eastAsia" w:ascii="宋体" w:hAnsi="宋体" w:eastAsia="宋体" w:cs="宋体"/>
                <w:color w:val="000000"/>
                <w:sz w:val="21"/>
                <w:szCs w:val="21"/>
                <w:highlight w:val="none"/>
                <w:shd w:val="clear" w:color="auto" w:fill="auto"/>
                <w:lang w:val="en-US" w:eastAsia="zh-CN"/>
              </w:rPr>
              <w:t>1.注册资金</w:t>
            </w:r>
            <w:r>
              <w:rPr>
                <w:rFonts w:hint="eastAsia" w:ascii="宋体" w:hAnsi="宋体" w:eastAsia="宋体" w:cs="宋体"/>
                <w:color w:val="000000"/>
                <w:sz w:val="21"/>
                <w:szCs w:val="21"/>
                <w:highlight w:val="none"/>
                <w:shd w:val="clear" w:color="auto" w:fill="auto"/>
                <w:lang w:eastAsia="zh-CN"/>
              </w:rPr>
              <w:t>截图；</w:t>
            </w:r>
          </w:p>
          <w:p w14:paraId="24C61223">
            <w:pPr>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2、提供深圳市市场监督管理局官网截图或者信用深圳报告扫描件。</w:t>
            </w:r>
          </w:p>
        </w:tc>
        <w:tc>
          <w:tcPr>
            <w:tcW w:w="378" w:type="pct"/>
            <w:noWrap w:val="0"/>
            <w:tcMar>
              <w:top w:w="80" w:type="dxa"/>
              <w:left w:w="80" w:type="dxa"/>
              <w:bottom w:w="80" w:type="dxa"/>
              <w:right w:w="80" w:type="dxa"/>
            </w:tcMar>
            <w:vAlign w:val="center"/>
          </w:tcPr>
          <w:p w14:paraId="5927DD68">
            <w:pPr>
              <w:shd w:val="clear" w:color="auto" w:fill="auto"/>
              <w:tabs>
                <w:tab w:val="left" w:pos="4287"/>
              </w:tabs>
              <w:ind w:right="-73" w:rightChars="-35"/>
              <w:jc w:val="center"/>
              <w:rPr>
                <w:rFonts w:hint="default" w:ascii="宋体" w:hAnsi="宋体" w:eastAsia="宋体" w:cs="宋体"/>
                <w:color w:val="000000"/>
                <w:kern w:val="2"/>
                <w:sz w:val="21"/>
                <w:szCs w:val="21"/>
                <w:highlight w:val="none"/>
                <w:shd w:val="clear" w:color="auto" w:fill="auto"/>
                <w:lang w:val="en-US" w:eastAsia="zh-CN" w:bidi="ar-SA"/>
              </w:rPr>
            </w:pPr>
            <w:r>
              <w:rPr>
                <w:rFonts w:hint="eastAsia" w:ascii="宋体" w:hAnsi="宋体" w:eastAsia="宋体" w:cs="宋体"/>
                <w:color w:val="000000"/>
                <w:szCs w:val="21"/>
                <w:highlight w:val="none"/>
                <w:shd w:val="clear" w:color="auto" w:fill="auto"/>
                <w:lang w:val="en-US" w:eastAsia="zh-CN"/>
              </w:rPr>
              <w:t>10</w:t>
            </w:r>
          </w:p>
        </w:tc>
      </w:tr>
      <w:tr w14:paraId="2B8D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1" w:type="pct"/>
            <w:noWrap w:val="0"/>
            <w:tcMar>
              <w:top w:w="80" w:type="dxa"/>
              <w:left w:w="80" w:type="dxa"/>
              <w:bottom w:w="80" w:type="dxa"/>
              <w:right w:w="80" w:type="dxa"/>
            </w:tcMar>
            <w:vAlign w:val="center"/>
          </w:tcPr>
          <w:p w14:paraId="22EB9EF1">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eastAsia="宋体"/>
                <w:color w:val="000000"/>
                <w:highlight w:val="none"/>
                <w:shd w:val="clear" w:color="auto" w:fill="auto"/>
                <w:lang w:val="en-US" w:eastAsia="zh-CN"/>
              </w:rPr>
            </w:pPr>
            <w:r>
              <w:rPr>
                <w:rFonts w:hint="eastAsia" w:eastAsia="宋体"/>
                <w:color w:val="000000"/>
                <w:highlight w:val="none"/>
                <w:shd w:val="clear" w:color="auto" w:fill="auto"/>
                <w:lang w:val="en-US" w:eastAsia="zh-CN"/>
              </w:rPr>
              <w:t>3</w:t>
            </w:r>
          </w:p>
        </w:tc>
        <w:tc>
          <w:tcPr>
            <w:tcW w:w="568" w:type="pct"/>
            <w:noWrap w:val="0"/>
            <w:tcMar>
              <w:top w:w="80" w:type="dxa"/>
              <w:left w:w="80" w:type="dxa"/>
              <w:bottom w:w="80" w:type="dxa"/>
              <w:right w:w="80" w:type="dxa"/>
            </w:tcMar>
            <w:vAlign w:val="center"/>
          </w:tcPr>
          <w:p w14:paraId="44396C00">
            <w:pPr>
              <w:shd w:val="clear" w:color="auto" w:fill="auto"/>
              <w:adjustRightInd w:val="0"/>
              <w:snapToGrid w:val="0"/>
              <w:jc w:val="center"/>
              <w:rPr>
                <w:rFonts w:hint="default" w:ascii="Calibri" w:hAnsi="Calibri" w:eastAsia="宋体" w:cs="Times New Roman"/>
                <w:bCs/>
                <w:color w:val="000000"/>
                <w:kern w:val="2"/>
                <w:sz w:val="21"/>
                <w:szCs w:val="21"/>
                <w:highlight w:val="none"/>
                <w:shd w:val="clear" w:color="auto" w:fill="auto"/>
                <w:lang w:val="en-US" w:eastAsia="zh-CN" w:bidi="ar-SA"/>
              </w:rPr>
            </w:pPr>
            <w:r>
              <w:rPr>
                <w:rFonts w:hint="eastAsia" w:ascii="Calibri" w:hAnsi="Calibri" w:eastAsia="宋体" w:cs="Times New Roman"/>
                <w:bCs/>
                <w:color w:val="000000"/>
                <w:szCs w:val="21"/>
                <w:highlight w:val="none"/>
                <w:shd w:val="clear" w:color="auto" w:fill="auto"/>
                <w:lang w:val="en-US" w:eastAsia="zh-CN"/>
              </w:rPr>
              <w:t>企业业绩</w:t>
            </w:r>
          </w:p>
        </w:tc>
        <w:tc>
          <w:tcPr>
            <w:tcW w:w="3801" w:type="pct"/>
            <w:noWrap w:val="0"/>
            <w:tcMar>
              <w:top w:w="80" w:type="dxa"/>
              <w:left w:w="80" w:type="dxa"/>
              <w:bottom w:w="80" w:type="dxa"/>
              <w:right w:w="80" w:type="dxa"/>
            </w:tcMar>
            <w:vAlign w:val="center"/>
          </w:tcPr>
          <w:p w14:paraId="7EF9F13C">
            <w:pPr>
              <w:shd w:val="clear" w:color="auto" w:fill="auto"/>
              <w:spacing w:line="300" w:lineRule="exact"/>
              <w:jc w:val="left"/>
              <w:rPr>
                <w:rFonts w:hint="eastAsia" w:ascii="宋体" w:hAnsi="宋体" w:eastAsia="宋体" w:cs="宋体"/>
                <w:b/>
                <w:bCs/>
                <w:color w:val="000000"/>
                <w:kern w:val="0"/>
                <w:sz w:val="21"/>
                <w:szCs w:val="21"/>
                <w:highlight w:val="none"/>
                <w:shd w:val="clear" w:color="auto" w:fill="auto"/>
                <w:lang w:val="en-US" w:eastAsia="zh-CN" w:bidi="ar"/>
              </w:rPr>
            </w:pPr>
            <w:r>
              <w:rPr>
                <w:rFonts w:hint="eastAsia" w:ascii="宋体" w:hAnsi="宋体" w:eastAsia="宋体" w:cs="宋体"/>
                <w:b/>
                <w:bCs/>
                <w:color w:val="000000"/>
                <w:kern w:val="0"/>
                <w:sz w:val="21"/>
                <w:szCs w:val="21"/>
                <w:highlight w:val="none"/>
                <w:shd w:val="clear" w:color="auto" w:fill="auto"/>
                <w:lang w:val="en-US" w:eastAsia="zh-CN" w:bidi="ar"/>
              </w:rPr>
              <w:t>评审标准：</w:t>
            </w:r>
          </w:p>
          <w:p w14:paraId="12D0C6CD">
            <w:pPr>
              <w:shd w:val="clear" w:color="auto" w:fill="auto"/>
              <w:spacing w:line="300" w:lineRule="exact"/>
              <w:jc w:val="left"/>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sz w:val="21"/>
                <w:szCs w:val="21"/>
                <w:highlight w:val="none"/>
                <w:shd w:val="clear" w:color="auto" w:fill="auto"/>
              </w:rPr>
              <w:t>提供投标人</w:t>
            </w:r>
            <w:r>
              <w:rPr>
                <w:rFonts w:hint="eastAsia" w:ascii="宋体" w:hAnsi="宋体" w:eastAsia="宋体" w:cs="宋体"/>
                <w:color w:val="000000"/>
                <w:sz w:val="21"/>
                <w:szCs w:val="21"/>
                <w:highlight w:val="none"/>
                <w:shd w:val="clear" w:color="auto" w:fill="auto"/>
                <w:lang w:val="en-US" w:eastAsia="zh-CN"/>
              </w:rPr>
              <w:t>2022</w:t>
            </w:r>
            <w:r>
              <w:rPr>
                <w:rFonts w:hint="eastAsia" w:ascii="宋体" w:hAnsi="宋体" w:eastAsia="宋体" w:cs="宋体"/>
                <w:color w:val="000000"/>
                <w:sz w:val="21"/>
                <w:szCs w:val="21"/>
                <w:highlight w:val="none"/>
                <w:shd w:val="clear" w:color="auto" w:fill="auto"/>
              </w:rPr>
              <w:t>年10月1日至本项目投标截止之日，供应商曾担任过数据或算力或人工智能发明专利申请代理机构，每提供</w:t>
            </w:r>
            <w:r>
              <w:rPr>
                <w:rFonts w:hint="eastAsia" w:ascii="宋体" w:hAnsi="宋体" w:eastAsia="宋体" w:cs="宋体"/>
                <w:color w:val="000000"/>
                <w:sz w:val="21"/>
                <w:szCs w:val="21"/>
                <w:highlight w:val="none"/>
                <w:shd w:val="clear" w:color="auto" w:fill="auto"/>
                <w:lang w:val="en-US" w:eastAsia="zh-CN"/>
              </w:rPr>
              <w:t>一项</w:t>
            </w:r>
            <w:r>
              <w:rPr>
                <w:rFonts w:hint="eastAsia" w:ascii="宋体" w:hAnsi="宋体" w:eastAsia="宋体" w:cs="宋体"/>
                <w:color w:val="000000"/>
                <w:sz w:val="21"/>
                <w:szCs w:val="21"/>
                <w:highlight w:val="none"/>
                <w:shd w:val="clear" w:color="auto" w:fill="auto"/>
              </w:rPr>
              <w:t>得</w:t>
            </w:r>
            <w:r>
              <w:rPr>
                <w:rFonts w:hint="eastAsia" w:ascii="宋体" w:hAnsi="宋体" w:eastAsia="宋体" w:cs="宋体"/>
                <w:color w:val="000000"/>
                <w:sz w:val="21"/>
                <w:szCs w:val="21"/>
                <w:highlight w:val="none"/>
                <w:shd w:val="clear" w:color="auto" w:fill="auto"/>
                <w:lang w:val="en-US" w:eastAsia="zh-CN"/>
              </w:rPr>
              <w:t>5</w:t>
            </w:r>
            <w:r>
              <w:rPr>
                <w:rFonts w:hint="eastAsia" w:ascii="宋体" w:hAnsi="宋体" w:eastAsia="宋体" w:cs="宋体"/>
                <w:color w:val="000000"/>
                <w:sz w:val="21"/>
                <w:szCs w:val="21"/>
                <w:highlight w:val="none"/>
                <w:shd w:val="clear" w:color="auto" w:fill="auto"/>
              </w:rPr>
              <w:t>分，最高不超过</w:t>
            </w:r>
            <w:r>
              <w:rPr>
                <w:rFonts w:hint="eastAsia" w:ascii="宋体" w:hAnsi="宋体" w:eastAsia="宋体" w:cs="宋体"/>
                <w:color w:val="000000"/>
                <w:sz w:val="21"/>
                <w:szCs w:val="21"/>
                <w:highlight w:val="none"/>
                <w:shd w:val="clear" w:color="auto" w:fill="auto"/>
                <w:lang w:val="en-US" w:eastAsia="zh-CN"/>
              </w:rPr>
              <w:t>30</w:t>
            </w:r>
            <w:r>
              <w:rPr>
                <w:rFonts w:hint="eastAsia" w:ascii="宋体" w:hAnsi="宋体" w:eastAsia="宋体" w:cs="宋体"/>
                <w:color w:val="000000"/>
                <w:sz w:val="21"/>
                <w:szCs w:val="21"/>
                <w:highlight w:val="none"/>
                <w:shd w:val="clear" w:color="auto" w:fill="auto"/>
              </w:rPr>
              <w:t>分。</w:t>
            </w:r>
          </w:p>
          <w:p w14:paraId="70A7A48F">
            <w:pPr>
              <w:shd w:val="clear" w:color="auto" w:fill="auto"/>
              <w:wordWrap w:val="0"/>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证明</w:t>
            </w:r>
            <w:r>
              <w:rPr>
                <w:rFonts w:hint="eastAsia" w:ascii="宋体" w:hAnsi="宋体" w:eastAsia="宋体" w:cs="宋体"/>
                <w:b/>
                <w:bCs/>
                <w:color w:val="000000"/>
                <w:sz w:val="21"/>
                <w:szCs w:val="21"/>
                <w:highlight w:val="none"/>
                <w:shd w:val="clear" w:color="auto" w:fill="auto"/>
                <w:lang w:val="en-US" w:eastAsia="zh-CN"/>
              </w:rPr>
              <w:t>材料</w:t>
            </w:r>
            <w:r>
              <w:rPr>
                <w:rFonts w:hint="eastAsia" w:ascii="宋体" w:hAnsi="宋体" w:eastAsia="宋体" w:cs="宋体"/>
                <w:b/>
                <w:bCs/>
                <w:color w:val="000000"/>
                <w:sz w:val="21"/>
                <w:szCs w:val="21"/>
                <w:highlight w:val="none"/>
                <w:shd w:val="clear" w:color="auto" w:fill="auto"/>
              </w:rPr>
              <w:t>:</w:t>
            </w:r>
          </w:p>
          <w:p w14:paraId="4B39956D">
            <w:pPr>
              <w:keepNext/>
              <w:shd w:val="clear" w:color="auto" w:fill="auto"/>
              <w:adjustRightInd w:val="0"/>
              <w:snapToGrid w:val="0"/>
              <w:rPr>
                <w:rFonts w:hint="eastAsia" w:ascii="宋体" w:hAnsi="宋体" w:eastAsia="宋体" w:cs="宋体"/>
                <w:color w:val="000000"/>
                <w:kern w:val="2"/>
                <w:sz w:val="21"/>
                <w:szCs w:val="21"/>
                <w:highlight w:val="none"/>
                <w:shd w:val="clear" w:color="auto" w:fill="auto"/>
                <w:lang w:val="en-US" w:eastAsia="zh-CN" w:bidi="ar-SA"/>
              </w:rPr>
            </w:pPr>
            <w:r>
              <w:rPr>
                <w:rFonts w:hint="eastAsia" w:ascii="宋体" w:hAnsi="宋体" w:eastAsia="宋体" w:cs="宋体"/>
                <w:color w:val="000000"/>
                <w:sz w:val="21"/>
                <w:szCs w:val="21"/>
                <w:highlight w:val="none"/>
                <w:shd w:val="clear" w:color="auto" w:fill="auto"/>
                <w:lang w:val="en-US" w:eastAsia="zh-CN"/>
              </w:rPr>
              <w:t>国家知识产权局官方</w:t>
            </w:r>
            <w:r>
              <w:rPr>
                <w:rFonts w:hint="eastAsia" w:ascii="宋体" w:hAnsi="宋体" w:eastAsia="宋体" w:cs="宋体"/>
                <w:color w:val="000000"/>
                <w:sz w:val="21"/>
                <w:szCs w:val="21"/>
                <w:highlight w:val="none"/>
                <w:shd w:val="clear" w:color="auto" w:fill="auto"/>
              </w:rPr>
              <w:t>的证明材料扫描件。如未按要求提供证明材料，或所提供的证明材料未能体现上述评分内容的，视为该证明材料无效。</w:t>
            </w:r>
          </w:p>
        </w:tc>
        <w:tc>
          <w:tcPr>
            <w:tcW w:w="378" w:type="pct"/>
            <w:noWrap w:val="0"/>
            <w:tcMar>
              <w:top w:w="80" w:type="dxa"/>
              <w:left w:w="80" w:type="dxa"/>
              <w:bottom w:w="80" w:type="dxa"/>
              <w:right w:w="80" w:type="dxa"/>
            </w:tcMar>
            <w:vAlign w:val="center"/>
          </w:tcPr>
          <w:p w14:paraId="059AF0AA">
            <w:pPr>
              <w:shd w:val="clear" w:color="auto" w:fill="auto"/>
              <w:jc w:val="center"/>
              <w:rPr>
                <w:rFonts w:hint="eastAsia" w:ascii="宋体" w:hAnsi="宋体" w:eastAsia="宋体" w:cs="宋体"/>
                <w:bCs/>
                <w:color w:val="000000"/>
                <w:kern w:val="2"/>
                <w:sz w:val="21"/>
                <w:szCs w:val="21"/>
                <w:highlight w:val="none"/>
                <w:shd w:val="clear" w:color="auto" w:fill="auto"/>
                <w:lang w:val="en-US" w:eastAsia="zh-CN" w:bidi="ar-SA"/>
              </w:rPr>
            </w:pPr>
            <w:r>
              <w:rPr>
                <w:rFonts w:hint="eastAsia" w:ascii="宋体" w:hAnsi="宋体" w:eastAsia="宋体" w:cs="宋体"/>
                <w:bCs/>
                <w:color w:val="000000"/>
                <w:szCs w:val="21"/>
                <w:highlight w:val="none"/>
                <w:shd w:val="clear" w:color="auto" w:fill="auto"/>
                <w:lang w:val="en-US" w:eastAsia="zh-CN"/>
              </w:rPr>
              <w:t>30</w:t>
            </w:r>
          </w:p>
        </w:tc>
      </w:tr>
      <w:tr w14:paraId="74F3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51" w:type="pct"/>
            <w:noWrap w:val="0"/>
            <w:tcMar>
              <w:top w:w="80" w:type="dxa"/>
              <w:left w:w="80" w:type="dxa"/>
              <w:bottom w:w="80" w:type="dxa"/>
              <w:right w:w="80" w:type="dxa"/>
            </w:tcMar>
            <w:vAlign w:val="center"/>
          </w:tcPr>
          <w:p w14:paraId="0FF83B01">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ascii="宋体" w:hAnsi="宋体" w:eastAsia="宋体" w:cs="宋体"/>
                <w:color w:val="000000"/>
                <w:kern w:val="2"/>
                <w:sz w:val="21"/>
                <w:szCs w:val="21"/>
                <w:highlight w:val="none"/>
                <w:shd w:val="clear" w:color="auto" w:fill="auto"/>
                <w:lang w:val="en-US" w:eastAsia="zh-CN"/>
              </w:rPr>
            </w:pPr>
            <w:r>
              <w:rPr>
                <w:rFonts w:hint="eastAsia" w:ascii="宋体" w:hAnsi="宋体" w:eastAsia="宋体" w:cs="宋体"/>
                <w:color w:val="000000"/>
                <w:kern w:val="2"/>
                <w:sz w:val="21"/>
                <w:szCs w:val="21"/>
                <w:highlight w:val="none"/>
                <w:shd w:val="clear" w:color="auto" w:fill="auto"/>
                <w:lang w:val="en-US" w:eastAsia="zh-CN"/>
              </w:rPr>
              <w:t>4</w:t>
            </w:r>
          </w:p>
        </w:tc>
        <w:tc>
          <w:tcPr>
            <w:tcW w:w="568" w:type="pct"/>
            <w:noWrap w:val="0"/>
            <w:tcMar>
              <w:top w:w="80" w:type="dxa"/>
              <w:left w:w="80" w:type="dxa"/>
              <w:bottom w:w="80" w:type="dxa"/>
              <w:right w:w="80" w:type="dxa"/>
            </w:tcMar>
            <w:vAlign w:val="center"/>
          </w:tcPr>
          <w:p w14:paraId="2972EB77">
            <w:pPr>
              <w:shd w:val="clear" w:color="auto" w:fill="auto"/>
              <w:adjustRightInd w:val="0"/>
              <w:snapToGrid w:val="0"/>
              <w:jc w:val="center"/>
              <w:rPr>
                <w:rFonts w:hint="default" w:ascii="Calibri" w:hAnsi="Calibri" w:eastAsia="宋体" w:cs="Times New Roman"/>
                <w:bCs/>
                <w:color w:val="000000"/>
                <w:kern w:val="2"/>
                <w:sz w:val="21"/>
                <w:szCs w:val="21"/>
                <w:highlight w:val="none"/>
                <w:shd w:val="clear" w:color="auto" w:fill="auto"/>
                <w:lang w:val="en-US" w:eastAsia="zh-CN" w:bidi="ar-SA"/>
              </w:rPr>
            </w:pPr>
            <w:r>
              <w:rPr>
                <w:rFonts w:hint="eastAsia" w:ascii="Calibri" w:hAnsi="Calibri" w:eastAsia="宋体" w:cs="Times New Roman"/>
                <w:bCs/>
                <w:color w:val="000000"/>
                <w:szCs w:val="21"/>
                <w:highlight w:val="none"/>
                <w:shd w:val="clear" w:color="auto" w:fill="auto"/>
                <w:lang w:eastAsia="zh-Hans"/>
              </w:rPr>
              <w:t>项目负</w:t>
            </w:r>
            <w:r>
              <w:rPr>
                <w:rFonts w:hint="eastAsia" w:ascii="Calibri" w:hAnsi="Calibri" w:eastAsia="宋体" w:cs="Times New Roman"/>
                <w:bCs/>
                <w:color w:val="000000"/>
                <w:szCs w:val="21"/>
                <w:highlight w:val="none"/>
                <w:shd w:val="clear" w:color="auto" w:fill="auto"/>
                <w:lang w:val="en-US" w:eastAsia="zh-Hans"/>
              </w:rPr>
              <w:t>责人</w:t>
            </w:r>
            <w:r>
              <w:rPr>
                <w:rFonts w:hint="eastAsia" w:ascii="Calibri" w:hAnsi="Calibri" w:eastAsia="宋体" w:cs="Times New Roman"/>
                <w:bCs/>
                <w:color w:val="000000"/>
                <w:szCs w:val="21"/>
                <w:highlight w:val="none"/>
                <w:shd w:val="clear" w:color="auto" w:fill="auto"/>
                <w:lang w:val="en-US" w:eastAsia="zh-CN"/>
              </w:rPr>
              <w:t>经验</w:t>
            </w:r>
          </w:p>
        </w:tc>
        <w:tc>
          <w:tcPr>
            <w:tcW w:w="3801" w:type="pct"/>
            <w:noWrap w:val="0"/>
            <w:tcMar>
              <w:top w:w="80" w:type="dxa"/>
              <w:left w:w="80" w:type="dxa"/>
              <w:bottom w:w="80" w:type="dxa"/>
              <w:right w:w="80" w:type="dxa"/>
            </w:tcMar>
            <w:vAlign w:val="center"/>
          </w:tcPr>
          <w:p w14:paraId="2B7270F0">
            <w:pPr>
              <w:keepNext/>
              <w:numPr>
                <w:ilvl w:val="0"/>
                <w:numId w:val="0"/>
              </w:numPr>
              <w:shd w:val="clear" w:color="auto" w:fill="auto"/>
              <w:adjustRightInd w:val="0"/>
              <w:snapToGrid w:val="0"/>
              <w:rPr>
                <w:rFonts w:hint="eastAsia" w:ascii="宋体" w:hAnsi="宋体" w:eastAsia="宋体" w:cs="宋体"/>
                <w:b/>
                <w:bCs/>
                <w:color w:val="000000"/>
                <w:kern w:val="0"/>
                <w:sz w:val="21"/>
                <w:szCs w:val="21"/>
                <w:highlight w:val="none"/>
                <w:shd w:val="clear" w:color="auto" w:fill="auto"/>
                <w:lang w:val="en-US" w:eastAsia="zh-CN" w:bidi="ar"/>
              </w:rPr>
            </w:pPr>
            <w:r>
              <w:rPr>
                <w:rFonts w:hint="eastAsia" w:ascii="宋体" w:hAnsi="宋体" w:eastAsia="宋体" w:cs="宋体"/>
                <w:b/>
                <w:bCs/>
                <w:color w:val="000000"/>
                <w:kern w:val="0"/>
                <w:sz w:val="21"/>
                <w:szCs w:val="21"/>
                <w:highlight w:val="none"/>
                <w:shd w:val="clear" w:color="auto" w:fill="auto"/>
                <w:lang w:val="en-US" w:eastAsia="zh-CN" w:bidi="ar"/>
              </w:rPr>
              <w:t>评审标准：</w:t>
            </w:r>
          </w:p>
          <w:p w14:paraId="73AB5110">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b/>
                <w:bCs/>
                <w:i w:val="0"/>
                <w:iCs w:val="0"/>
                <w:color w:val="000000"/>
                <w:kern w:val="0"/>
                <w:sz w:val="21"/>
                <w:szCs w:val="21"/>
                <w:highlight w:val="none"/>
                <w:u w:val="none"/>
                <w:shd w:val="clear" w:color="auto" w:fill="auto"/>
                <w:lang w:val="en-US" w:eastAsia="zh-CN" w:bidi="ar"/>
              </w:rPr>
              <w:t>1.学历背景：</w:t>
            </w:r>
            <w:r>
              <w:rPr>
                <w:rFonts w:hint="eastAsia" w:ascii="宋体" w:hAnsi="宋体" w:eastAsia="宋体" w:cs="宋体"/>
                <w:i w:val="0"/>
                <w:iCs w:val="0"/>
                <w:color w:val="000000"/>
                <w:kern w:val="0"/>
                <w:sz w:val="21"/>
                <w:szCs w:val="21"/>
                <w:highlight w:val="none"/>
                <w:u w:val="none"/>
                <w:shd w:val="clear" w:color="auto" w:fill="auto"/>
                <w:lang w:val="en-US" w:eastAsia="zh-CN" w:bidi="ar"/>
              </w:rPr>
              <w:t>项目负责人具有硕士及以上学历的，得10分；具有本科学历的，得8分；具有专科学历的，得4分；专科学历以下的，得0分。项目负责人须提供相应的学历、学位证书复印件，并提供原件以备查验。</w:t>
            </w:r>
          </w:p>
          <w:p w14:paraId="002244F2">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b/>
                <w:bCs/>
                <w:i w:val="0"/>
                <w:iCs w:val="0"/>
                <w:color w:val="000000"/>
                <w:kern w:val="0"/>
                <w:sz w:val="21"/>
                <w:szCs w:val="21"/>
                <w:highlight w:val="none"/>
                <w:u w:val="none"/>
                <w:shd w:val="clear" w:color="auto" w:fill="auto"/>
                <w:lang w:val="en-US" w:eastAsia="zh-CN" w:bidi="ar"/>
              </w:rPr>
              <w:t>2.专业资质：</w:t>
            </w:r>
            <w:r>
              <w:rPr>
                <w:rFonts w:hint="eastAsia" w:ascii="宋体" w:hAnsi="宋体" w:eastAsia="宋体" w:cs="宋体"/>
                <w:i w:val="0"/>
                <w:iCs w:val="0"/>
                <w:color w:val="000000"/>
                <w:kern w:val="0"/>
                <w:sz w:val="21"/>
                <w:szCs w:val="21"/>
                <w:highlight w:val="none"/>
                <w:u w:val="none"/>
                <w:shd w:val="clear" w:color="auto" w:fill="auto"/>
                <w:lang w:val="en-US" w:eastAsia="zh-CN" w:bidi="ar"/>
              </w:rPr>
              <w:t>项目负责人持有与知识产权申请等相关专业证书的，得5分；未持有相关证书的，得0分。项目负责人须提供相应的资格证书复印件，并提供原件以备查验。</w:t>
            </w:r>
          </w:p>
          <w:p w14:paraId="69CE5F39">
            <w:pPr>
              <w:shd w:val="clear" w:color="auto" w:fill="auto"/>
              <w:wordWrap w:val="0"/>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证明</w:t>
            </w:r>
            <w:r>
              <w:rPr>
                <w:rFonts w:hint="eastAsia" w:ascii="宋体" w:hAnsi="宋体" w:eastAsia="宋体" w:cs="宋体"/>
                <w:b/>
                <w:bCs/>
                <w:color w:val="000000"/>
                <w:sz w:val="21"/>
                <w:szCs w:val="21"/>
                <w:highlight w:val="none"/>
                <w:shd w:val="clear" w:color="auto" w:fill="auto"/>
                <w:lang w:val="en-US" w:eastAsia="zh-CN"/>
              </w:rPr>
              <w:t>材料</w:t>
            </w:r>
            <w:r>
              <w:rPr>
                <w:rFonts w:hint="eastAsia" w:ascii="宋体" w:hAnsi="宋体" w:eastAsia="宋体" w:cs="宋体"/>
                <w:b/>
                <w:bCs/>
                <w:color w:val="000000"/>
                <w:sz w:val="21"/>
                <w:szCs w:val="21"/>
                <w:highlight w:val="none"/>
                <w:shd w:val="clear" w:color="auto" w:fill="auto"/>
              </w:rPr>
              <w:t>:</w:t>
            </w:r>
          </w:p>
          <w:p w14:paraId="15BE1F34">
            <w:pPr>
              <w:shd w:val="clear" w:color="auto" w:fill="auto"/>
              <w:ind w:left="-78" w:leftChars="-37" w:right="-73" w:rightChars="-35"/>
              <w:jc w:val="left"/>
              <w:rPr>
                <w:rFonts w:hint="eastAsia" w:ascii="宋体" w:hAnsi="宋体" w:eastAsia="宋体" w:cs="宋体"/>
                <w:color w:val="000000"/>
                <w:kern w:val="2"/>
                <w:sz w:val="21"/>
                <w:szCs w:val="21"/>
                <w:highlight w:val="none"/>
                <w:shd w:val="clear" w:color="auto" w:fill="auto"/>
                <w:lang w:val="en-US" w:eastAsia="zh-CN" w:bidi="ar-SA"/>
              </w:rPr>
            </w:pPr>
            <w:r>
              <w:rPr>
                <w:rFonts w:hint="eastAsia" w:ascii="宋体" w:hAnsi="宋体" w:eastAsia="宋体" w:cs="宋体"/>
                <w:color w:val="000000"/>
                <w:sz w:val="21"/>
                <w:szCs w:val="21"/>
                <w:highlight w:val="none"/>
                <w:shd w:val="clear" w:color="auto" w:fill="auto"/>
                <w:lang w:val="en-US" w:eastAsia="zh-CN"/>
              </w:rPr>
              <w:t>1.</w:t>
            </w:r>
            <w:r>
              <w:rPr>
                <w:rFonts w:hint="eastAsia" w:ascii="宋体" w:hAnsi="宋体" w:eastAsia="宋体" w:cs="宋体"/>
                <w:color w:val="000000"/>
                <w:sz w:val="21"/>
                <w:szCs w:val="21"/>
                <w:highlight w:val="none"/>
                <w:shd w:val="clear" w:color="auto" w:fill="auto"/>
              </w:rPr>
              <w:t>学历证明</w:t>
            </w:r>
            <w:r>
              <w:rPr>
                <w:rFonts w:hint="eastAsia" w:ascii="宋体" w:hAnsi="宋体" w:eastAsia="宋体" w:cs="宋体"/>
                <w:color w:val="000000"/>
                <w:sz w:val="21"/>
                <w:szCs w:val="21"/>
                <w:highlight w:val="none"/>
                <w:shd w:val="clear" w:color="auto" w:fill="auto"/>
              </w:rPr>
              <w:br w:type="textWrapping"/>
            </w:r>
            <w:r>
              <w:rPr>
                <w:rFonts w:hint="eastAsia" w:ascii="宋体" w:hAnsi="宋体" w:eastAsia="宋体" w:cs="宋体"/>
                <w:color w:val="000000"/>
                <w:sz w:val="21"/>
                <w:szCs w:val="21"/>
                <w:highlight w:val="none"/>
                <w:shd w:val="clear" w:color="auto" w:fill="auto"/>
                <w:lang w:val="en-US" w:eastAsia="zh-CN"/>
              </w:rPr>
              <w:t>2.</w:t>
            </w:r>
            <w:r>
              <w:rPr>
                <w:rFonts w:hint="eastAsia" w:ascii="宋体" w:hAnsi="宋体" w:eastAsia="宋体" w:cs="宋体"/>
                <w:color w:val="000000"/>
                <w:kern w:val="0"/>
                <w:sz w:val="21"/>
                <w:szCs w:val="21"/>
                <w:lang w:val="en-US" w:eastAsia="zh-CN"/>
              </w:rPr>
              <w:t>专利证书相关扫描件</w:t>
            </w:r>
            <w:r>
              <w:rPr>
                <w:rFonts w:hint="eastAsia" w:ascii="宋体" w:hAnsi="宋体" w:eastAsia="宋体" w:cs="宋体"/>
                <w:color w:val="000000"/>
                <w:sz w:val="21"/>
                <w:szCs w:val="21"/>
                <w:highlight w:val="none"/>
                <w:shd w:val="clear" w:color="auto" w:fill="auto"/>
                <w:lang w:eastAsia="zh-CN"/>
              </w:rPr>
              <w:t>。</w:t>
            </w:r>
          </w:p>
        </w:tc>
        <w:tc>
          <w:tcPr>
            <w:tcW w:w="378" w:type="pct"/>
            <w:noWrap w:val="0"/>
            <w:tcMar>
              <w:top w:w="80" w:type="dxa"/>
              <w:left w:w="80" w:type="dxa"/>
              <w:bottom w:w="80" w:type="dxa"/>
              <w:right w:w="80" w:type="dxa"/>
            </w:tcMar>
            <w:vAlign w:val="center"/>
          </w:tcPr>
          <w:p w14:paraId="6A0305B5">
            <w:pPr>
              <w:shd w:val="clear" w:color="auto" w:fill="auto"/>
              <w:jc w:val="center"/>
              <w:rPr>
                <w:rFonts w:hint="eastAsia" w:ascii="宋体" w:hAnsi="宋体" w:eastAsia="宋体" w:cs="宋体"/>
                <w:bCs/>
                <w:color w:val="000000"/>
                <w:kern w:val="2"/>
                <w:sz w:val="21"/>
                <w:szCs w:val="21"/>
                <w:highlight w:val="none"/>
                <w:shd w:val="clear" w:color="auto" w:fill="auto"/>
                <w:lang w:val="en-US" w:eastAsia="zh-CN" w:bidi="ar-SA"/>
              </w:rPr>
            </w:pPr>
            <w:r>
              <w:rPr>
                <w:rFonts w:hint="eastAsia" w:ascii="宋体" w:hAnsi="宋体" w:eastAsia="宋体" w:cs="宋体"/>
                <w:bCs/>
                <w:color w:val="000000"/>
                <w:szCs w:val="21"/>
                <w:highlight w:val="none"/>
                <w:shd w:val="clear" w:color="auto" w:fill="auto"/>
                <w:lang w:val="en-US" w:eastAsia="zh-CN"/>
              </w:rPr>
              <w:t>15</w:t>
            </w:r>
          </w:p>
        </w:tc>
      </w:tr>
      <w:tr w14:paraId="001D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6" w:hRule="atLeast"/>
          <w:jc w:val="center"/>
        </w:trPr>
        <w:tc>
          <w:tcPr>
            <w:tcW w:w="251" w:type="pct"/>
            <w:noWrap w:val="0"/>
            <w:tcMar>
              <w:top w:w="80" w:type="dxa"/>
              <w:left w:w="80" w:type="dxa"/>
              <w:bottom w:w="80" w:type="dxa"/>
              <w:right w:w="80" w:type="dxa"/>
            </w:tcMar>
            <w:vAlign w:val="center"/>
          </w:tcPr>
          <w:p w14:paraId="13524F58">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ascii="宋体" w:hAnsi="宋体" w:eastAsia="宋体" w:cs="宋体"/>
                <w:color w:val="auto"/>
                <w:kern w:val="2"/>
                <w:sz w:val="21"/>
                <w:szCs w:val="21"/>
                <w:highlight w:val="none"/>
                <w:shd w:val="clear" w:color="auto" w:fill="auto"/>
                <w:lang w:val="en-US" w:eastAsia="zh-CN"/>
              </w:rPr>
            </w:pPr>
            <w:r>
              <w:rPr>
                <w:rFonts w:hint="eastAsia" w:ascii="宋体" w:hAnsi="宋体" w:eastAsia="宋体" w:cs="宋体"/>
                <w:color w:val="auto"/>
                <w:kern w:val="2"/>
                <w:sz w:val="21"/>
                <w:szCs w:val="21"/>
                <w:highlight w:val="none"/>
                <w:shd w:val="clear" w:color="auto" w:fill="auto"/>
                <w:lang w:val="en-US" w:eastAsia="zh-CN"/>
              </w:rPr>
              <w:t>5</w:t>
            </w:r>
          </w:p>
        </w:tc>
        <w:tc>
          <w:tcPr>
            <w:tcW w:w="568" w:type="pct"/>
            <w:noWrap w:val="0"/>
            <w:tcMar>
              <w:top w:w="80" w:type="dxa"/>
              <w:left w:w="80" w:type="dxa"/>
              <w:bottom w:w="80" w:type="dxa"/>
              <w:right w:w="80" w:type="dxa"/>
            </w:tcMar>
            <w:vAlign w:val="center"/>
          </w:tcPr>
          <w:p w14:paraId="5896D17E">
            <w:pPr>
              <w:shd w:val="clear" w:color="auto" w:fill="auto"/>
              <w:adjustRightInd w:val="0"/>
              <w:snapToGrid w:val="0"/>
              <w:jc w:val="center"/>
              <w:rPr>
                <w:rFonts w:hint="eastAsia" w:ascii="Calibri" w:hAnsi="Calibri" w:eastAsia="宋体" w:cs="Times New Roman"/>
                <w:bCs/>
                <w:color w:val="auto"/>
                <w:kern w:val="2"/>
                <w:sz w:val="21"/>
                <w:szCs w:val="21"/>
                <w:highlight w:val="none"/>
                <w:shd w:val="clear" w:color="auto" w:fill="auto"/>
                <w:lang w:val="en-US" w:eastAsia="zh-CN" w:bidi="ar-SA"/>
              </w:rPr>
            </w:pPr>
            <w:r>
              <w:rPr>
                <w:rFonts w:hint="eastAsia" w:ascii="Calibri" w:hAnsi="Calibri" w:eastAsia="宋体" w:cs="Times New Roman"/>
                <w:bCs/>
                <w:color w:val="auto"/>
                <w:szCs w:val="21"/>
                <w:highlight w:val="none"/>
                <w:shd w:val="clear" w:color="auto" w:fill="auto"/>
                <w:lang w:eastAsia="zh-Hans"/>
              </w:rPr>
              <w:t>本项目</w:t>
            </w:r>
            <w:r>
              <w:rPr>
                <w:rFonts w:hint="eastAsia" w:ascii="Calibri" w:hAnsi="Calibri" w:eastAsia="宋体" w:cs="Times New Roman"/>
                <w:bCs/>
                <w:color w:val="auto"/>
                <w:szCs w:val="21"/>
                <w:highlight w:val="none"/>
                <w:shd w:val="clear" w:color="auto" w:fill="auto"/>
                <w:lang w:val="en-US" w:eastAsia="zh-CN"/>
              </w:rPr>
              <w:t>规划实施</w:t>
            </w:r>
            <w:r>
              <w:rPr>
                <w:rFonts w:hint="eastAsia" w:ascii="Calibri" w:hAnsi="Calibri" w:eastAsia="宋体" w:cs="Times New Roman"/>
                <w:bCs/>
                <w:color w:val="auto"/>
                <w:szCs w:val="21"/>
                <w:highlight w:val="none"/>
                <w:shd w:val="clear" w:color="auto" w:fill="auto"/>
                <w:lang w:eastAsia="zh-Hans"/>
              </w:rPr>
              <w:t>方案</w:t>
            </w:r>
          </w:p>
        </w:tc>
        <w:tc>
          <w:tcPr>
            <w:tcW w:w="3801" w:type="pct"/>
            <w:noWrap w:val="0"/>
            <w:tcMar>
              <w:top w:w="80" w:type="dxa"/>
              <w:left w:w="80" w:type="dxa"/>
              <w:bottom w:w="80" w:type="dxa"/>
              <w:right w:w="80" w:type="dxa"/>
            </w:tcMar>
            <w:vAlign w:val="center"/>
          </w:tcPr>
          <w:p w14:paraId="2A02601E">
            <w:pPr>
              <w:shd w:val="clear" w:color="auto" w:fill="auto"/>
              <w:wordWrap w:val="0"/>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lang w:val="en-US" w:eastAsia="zh-CN"/>
              </w:rPr>
              <w:t xml:space="preserve">评审细项： </w:t>
            </w:r>
          </w:p>
          <w:p w14:paraId="36DD205C">
            <w:pPr>
              <w:shd w:val="clear" w:color="auto" w:fill="auto"/>
              <w:adjustRightInd w:val="0"/>
              <w:snapToGrid w:val="0"/>
              <w:jc w:val="left"/>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 xml:space="preserve">投标人根据招标要求，对项目进行理解规划，主要规划维度需包括： </w:t>
            </w:r>
          </w:p>
          <w:p w14:paraId="7D05AD12">
            <w:pPr>
              <w:shd w:val="clear" w:color="auto" w:fill="auto"/>
              <w:adjustRightInd w:val="0"/>
              <w:snapToGrid w:val="0"/>
              <w:jc w:val="left"/>
              <w:rPr>
                <w:rFonts w:hint="eastAsia" w:ascii="宋体" w:hAnsi="宋体" w:eastAsia="宋体" w:cs="宋体"/>
                <w:bCs/>
                <w:color w:val="auto"/>
                <w:sz w:val="21"/>
                <w:szCs w:val="21"/>
                <w:highlight w:val="none"/>
                <w:shd w:val="clear" w:color="auto" w:fill="auto"/>
                <w:lang w:val="en-US"/>
              </w:rPr>
            </w:pPr>
            <w:r>
              <w:rPr>
                <w:rFonts w:hint="eastAsia" w:ascii="宋体" w:hAnsi="宋体" w:eastAsia="宋体" w:cs="宋体"/>
                <w:bCs/>
                <w:color w:val="auto"/>
                <w:sz w:val="21"/>
                <w:szCs w:val="21"/>
                <w:highlight w:val="none"/>
                <w:shd w:val="clear" w:color="auto" w:fill="auto"/>
                <w:lang w:val="en-US" w:eastAsia="zh-CN"/>
              </w:rPr>
              <w:t>1.</w:t>
            </w:r>
            <w:r>
              <w:rPr>
                <w:rFonts w:hint="eastAsia" w:ascii="宋体" w:hAnsi="宋体" w:eastAsia="宋体" w:cs="宋体"/>
                <w:sz w:val="21"/>
                <w:szCs w:val="21"/>
              </w:rPr>
              <w:t>根据企业的研发方向与技术特点，确定专利申请的重点领域与方向，为企业撰写专利申请文件，加快专利申请进度</w:t>
            </w:r>
            <w:r>
              <w:rPr>
                <w:rFonts w:hint="eastAsia" w:ascii="宋体" w:hAnsi="宋体" w:eastAsia="宋体" w:cs="宋体"/>
                <w:bCs/>
                <w:color w:val="auto"/>
                <w:sz w:val="21"/>
                <w:szCs w:val="21"/>
                <w:highlight w:val="none"/>
                <w:shd w:val="clear" w:color="auto" w:fill="auto"/>
                <w:lang w:val="en-US" w:eastAsia="zh-CN"/>
              </w:rPr>
              <w:t>；</w:t>
            </w:r>
          </w:p>
          <w:p w14:paraId="7BE22DA8">
            <w:pPr>
              <w:shd w:val="clear" w:color="auto" w:fill="auto"/>
              <w:adjustRightInd w:val="0"/>
              <w:snapToGrid w:val="0"/>
              <w:jc w:val="left"/>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2.</w:t>
            </w:r>
            <w:r>
              <w:rPr>
                <w:rFonts w:hint="eastAsia" w:ascii="宋体" w:hAnsi="宋体" w:eastAsia="宋体" w:cs="宋体"/>
                <w:sz w:val="21"/>
                <w:szCs w:val="21"/>
              </w:rPr>
              <w:t>对于软件企业，指导其及时进行软件著作权登记，提高知识产权数量与质量</w:t>
            </w:r>
            <w:r>
              <w:rPr>
                <w:rFonts w:hint="eastAsia" w:ascii="宋体" w:hAnsi="宋体" w:eastAsia="宋体" w:cs="宋体"/>
                <w:bCs/>
                <w:color w:val="auto"/>
                <w:sz w:val="21"/>
                <w:szCs w:val="21"/>
                <w:highlight w:val="none"/>
                <w:shd w:val="clear" w:color="auto" w:fill="auto"/>
                <w:lang w:val="en-US" w:eastAsia="zh-CN"/>
              </w:rPr>
              <w:t xml:space="preserve">； </w:t>
            </w:r>
          </w:p>
          <w:p w14:paraId="4847025D">
            <w:pPr>
              <w:shd w:val="clear" w:color="auto" w:fill="auto"/>
              <w:adjustRightInd w:val="0"/>
              <w:snapToGrid w:val="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3</w:t>
            </w:r>
            <w:r>
              <w:rPr>
                <w:rFonts w:hint="eastAsia" w:ascii="宋体" w:hAnsi="宋体" w:eastAsia="宋体" w:cs="宋体"/>
                <w:sz w:val="21"/>
                <w:szCs w:val="21"/>
              </w:rPr>
              <w:t>对已授权的知识产权进行维护与管理，确保知识产权的有效性与稳定性，避免因未按时缴纳年费、未进行续展等原因导致知识产权失效</w:t>
            </w:r>
            <w:r>
              <w:rPr>
                <w:rFonts w:hint="eastAsia" w:ascii="宋体" w:hAnsi="宋体" w:eastAsia="宋体" w:cs="宋体"/>
                <w:bCs/>
                <w:color w:val="auto"/>
                <w:sz w:val="21"/>
                <w:szCs w:val="21"/>
                <w:highlight w:val="none"/>
                <w:shd w:val="clear" w:color="auto" w:fill="auto"/>
                <w:lang w:val="en-US" w:eastAsia="zh-CN"/>
              </w:rPr>
              <w:t>：</w:t>
            </w:r>
            <w:r>
              <w:rPr>
                <w:rFonts w:hint="eastAsia" w:ascii="宋体" w:hAnsi="宋体" w:eastAsia="宋体" w:cs="宋体"/>
                <w:bCs/>
                <w:color w:val="auto"/>
                <w:sz w:val="21"/>
                <w:szCs w:val="21"/>
                <w:highlight w:val="none"/>
                <w:shd w:val="clear" w:color="auto" w:fill="auto"/>
                <w:lang w:val="en-US" w:eastAsia="zh-CN"/>
              </w:rPr>
              <w:br w:type="textWrapping"/>
            </w:r>
            <w:r>
              <w:rPr>
                <w:rFonts w:hint="eastAsia" w:ascii="宋体" w:hAnsi="宋体" w:eastAsia="宋体" w:cs="宋体"/>
                <w:b/>
                <w:bCs/>
                <w:color w:val="auto"/>
                <w:sz w:val="21"/>
                <w:szCs w:val="21"/>
                <w:highlight w:val="none"/>
                <w:shd w:val="clear" w:color="auto" w:fill="auto"/>
                <w:lang w:val="en-US" w:eastAsia="zh-CN"/>
              </w:rPr>
              <w:t xml:space="preserve">评审标准： </w:t>
            </w:r>
          </w:p>
          <w:p w14:paraId="00748E7D">
            <w:pPr>
              <w:shd w:val="clear" w:color="auto" w:fill="auto"/>
              <w:ind w:left="-78" w:leftChars="-37" w:right="-73" w:rightChars="-3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投标人提供以上全部3项内容得9分，提供2项得6分，提供1项得3分，其余情况不得分。 </w:t>
            </w:r>
          </w:p>
          <w:p w14:paraId="2B73840F">
            <w:pPr>
              <w:shd w:val="clear" w:color="auto" w:fill="auto"/>
              <w:ind w:left="-78" w:leftChars="-37" w:right="-73" w:rightChars="-3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在以上基础上，根据投标人的具体响应内容按照量化的评审因素指标进一步评审： </w:t>
            </w:r>
          </w:p>
          <w:p w14:paraId="386139E3">
            <w:pPr>
              <w:shd w:val="clear" w:color="auto" w:fill="auto"/>
              <w:ind w:left="-78" w:leftChars="-37" w:right="-73" w:rightChars="-3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（1）项目规划实施可行性好，工作安排科学合理，评审为优，加6分； </w:t>
            </w:r>
          </w:p>
          <w:p w14:paraId="48D3CB40">
            <w:pPr>
              <w:shd w:val="clear" w:color="auto" w:fill="auto"/>
              <w:ind w:left="-78" w:leftChars="-37" w:right="-73" w:rightChars="-3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（2）项目规划实施比较准确，可行性较好，工作安排较清晰，评审为良，加4分； </w:t>
            </w:r>
          </w:p>
          <w:p w14:paraId="3757EEE0">
            <w:pPr>
              <w:shd w:val="clear" w:color="auto" w:fill="auto"/>
              <w:ind w:left="-78" w:leftChars="-37" w:right="-73" w:rightChars="-3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（3）项目规划实施较不准确，可行性一般，工作安排较不合理，评审为中，加2分。 </w:t>
            </w:r>
          </w:p>
          <w:p w14:paraId="0A9BE220">
            <w:pPr>
              <w:shd w:val="clear" w:color="auto" w:fill="auto"/>
              <w:ind w:left="-78" w:leftChars="-37" w:right="-73" w:rightChars="-3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 xml:space="preserve">（4）项目规划实施不准确，可行性差，工作安排不合理，评审为差，加1分。 </w:t>
            </w:r>
          </w:p>
          <w:p w14:paraId="70B3BAEF">
            <w:pPr>
              <w:shd w:val="clear" w:color="auto" w:fill="auto"/>
              <w:ind w:left="-78" w:leftChars="-37" w:right="-73" w:rightChars="-35"/>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（5）未提供方案不得分。</w:t>
            </w:r>
          </w:p>
          <w:p w14:paraId="253A6002">
            <w:pPr>
              <w:shd w:val="clear" w:color="auto" w:fill="auto"/>
              <w:ind w:left="-78" w:leftChars="-37" w:right="-73" w:rightChars="-35"/>
              <w:jc w:val="left"/>
              <w:rPr>
                <w:rFonts w:hint="eastAsia" w:ascii="宋体" w:hAnsi="宋体" w:eastAsia="宋体" w:cs="宋体"/>
                <w:color w:val="auto"/>
                <w:kern w:val="2"/>
                <w:sz w:val="21"/>
                <w:szCs w:val="21"/>
                <w:highlight w:val="none"/>
                <w:shd w:val="clear" w:color="auto" w:fill="auto"/>
                <w:lang w:val="en-US" w:eastAsia="zh-CN" w:bidi="ar-SA"/>
              </w:rPr>
            </w:pPr>
          </w:p>
        </w:tc>
        <w:tc>
          <w:tcPr>
            <w:tcW w:w="378" w:type="pct"/>
            <w:noWrap w:val="0"/>
            <w:tcMar>
              <w:top w:w="80" w:type="dxa"/>
              <w:left w:w="80" w:type="dxa"/>
              <w:bottom w:w="80" w:type="dxa"/>
              <w:right w:w="80" w:type="dxa"/>
            </w:tcMar>
            <w:vAlign w:val="center"/>
          </w:tcPr>
          <w:p w14:paraId="14C94CFC">
            <w:pPr>
              <w:shd w:val="clear" w:color="auto" w:fill="auto"/>
              <w:jc w:val="center"/>
              <w:rPr>
                <w:rFonts w:hint="eastAsia" w:ascii="宋体" w:hAnsi="宋体" w:eastAsia="宋体" w:cs="宋体"/>
                <w:bCs/>
                <w:color w:val="auto"/>
                <w:kern w:val="2"/>
                <w:sz w:val="21"/>
                <w:szCs w:val="21"/>
                <w:highlight w:val="none"/>
                <w:shd w:val="clear" w:color="auto" w:fill="auto"/>
                <w:lang w:val="en-US" w:eastAsia="zh-CN" w:bidi="ar-SA"/>
              </w:rPr>
            </w:pPr>
            <w:r>
              <w:rPr>
                <w:rFonts w:hint="eastAsia" w:ascii="宋体" w:hAnsi="宋体" w:eastAsia="宋体" w:cs="宋体"/>
                <w:bCs/>
                <w:color w:val="auto"/>
                <w:szCs w:val="21"/>
                <w:highlight w:val="none"/>
                <w:shd w:val="clear" w:color="auto" w:fill="auto"/>
                <w:lang w:val="en-US" w:eastAsia="zh-CN"/>
              </w:rPr>
              <w:t>15</w:t>
            </w:r>
          </w:p>
        </w:tc>
      </w:tr>
      <w:tr w14:paraId="15EA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251" w:type="pct"/>
            <w:noWrap w:val="0"/>
            <w:tcMar>
              <w:top w:w="80" w:type="dxa"/>
              <w:left w:w="80" w:type="dxa"/>
              <w:bottom w:w="80" w:type="dxa"/>
              <w:right w:w="80" w:type="dxa"/>
            </w:tcMar>
            <w:vAlign w:val="center"/>
          </w:tcPr>
          <w:p w14:paraId="2BC3A2D4">
            <w:pPr>
              <w:keepLines w:val="0"/>
              <w:pageBreakBefore w:val="0"/>
              <w:widowControl w:val="0"/>
              <w:shd w:val="clear" w:color="auto" w:fill="auto"/>
              <w:tabs>
                <w:tab w:val="left" w:pos="420"/>
              </w:tabs>
              <w:kinsoku/>
              <w:wordWrap/>
              <w:overflowPunct/>
              <w:topLinePunct w:val="0"/>
              <w:autoSpaceDE/>
              <w:autoSpaceDN/>
              <w:bidi w:val="0"/>
              <w:spacing w:before="0" w:line="240" w:lineRule="auto"/>
              <w:jc w:val="center"/>
              <w:textAlignment w:val="auto"/>
              <w:rPr>
                <w:rFonts w:hint="default" w:ascii="宋体" w:hAnsi="宋体" w:eastAsia="宋体" w:cs="宋体"/>
                <w:color w:val="000000"/>
                <w:kern w:val="2"/>
                <w:sz w:val="21"/>
                <w:szCs w:val="21"/>
                <w:highlight w:val="none"/>
                <w:shd w:val="clear" w:color="auto" w:fill="auto"/>
                <w:lang w:val="en-US" w:eastAsia="zh-CN"/>
              </w:rPr>
            </w:pPr>
            <w:r>
              <w:rPr>
                <w:rFonts w:hint="eastAsia" w:ascii="宋体" w:hAnsi="宋体" w:eastAsia="宋体" w:cs="宋体"/>
                <w:color w:val="000000"/>
                <w:kern w:val="2"/>
                <w:sz w:val="21"/>
                <w:szCs w:val="21"/>
                <w:highlight w:val="none"/>
                <w:shd w:val="clear" w:color="auto" w:fill="auto"/>
                <w:lang w:val="en-US" w:eastAsia="zh-CN"/>
              </w:rPr>
              <w:t>6</w:t>
            </w:r>
          </w:p>
        </w:tc>
        <w:tc>
          <w:tcPr>
            <w:tcW w:w="568" w:type="pct"/>
            <w:noWrap w:val="0"/>
            <w:tcMar>
              <w:top w:w="80" w:type="dxa"/>
              <w:left w:w="80" w:type="dxa"/>
              <w:bottom w:w="80" w:type="dxa"/>
              <w:right w:w="80" w:type="dxa"/>
            </w:tcMar>
            <w:vAlign w:val="center"/>
          </w:tcPr>
          <w:p w14:paraId="6E90DF4E">
            <w:pPr>
              <w:shd w:val="clear" w:color="auto" w:fill="auto"/>
              <w:adjustRightInd w:val="0"/>
              <w:snapToGrid w:val="0"/>
              <w:jc w:val="center"/>
              <w:rPr>
                <w:rFonts w:hint="eastAsia" w:ascii="Calibri" w:hAnsi="Calibri" w:eastAsia="宋体" w:cs="Times New Roman"/>
                <w:bCs/>
                <w:color w:val="000000"/>
                <w:kern w:val="2"/>
                <w:sz w:val="21"/>
                <w:szCs w:val="21"/>
                <w:highlight w:val="none"/>
                <w:shd w:val="clear" w:color="auto" w:fill="auto"/>
                <w:lang w:val="en-US" w:eastAsia="zh-Hans" w:bidi="ar-SA"/>
              </w:rPr>
            </w:pPr>
            <w:r>
              <w:rPr>
                <w:rFonts w:hint="eastAsia" w:ascii="Calibri" w:hAnsi="Calibri" w:eastAsia="宋体" w:cs="Times New Roman"/>
                <w:bCs/>
                <w:color w:val="000000"/>
                <w:szCs w:val="21"/>
                <w:highlight w:val="none"/>
                <w:shd w:val="clear" w:color="auto" w:fill="auto"/>
                <w:lang w:eastAsia="zh-Hans"/>
              </w:rPr>
              <w:t>质量保证措施</w:t>
            </w:r>
          </w:p>
        </w:tc>
        <w:tc>
          <w:tcPr>
            <w:tcW w:w="3801" w:type="pct"/>
            <w:noWrap w:val="0"/>
            <w:tcMar>
              <w:top w:w="80" w:type="dxa"/>
              <w:left w:w="80" w:type="dxa"/>
              <w:bottom w:w="80" w:type="dxa"/>
              <w:right w:w="80" w:type="dxa"/>
            </w:tcMar>
            <w:vAlign w:val="center"/>
          </w:tcPr>
          <w:p w14:paraId="015C49B5">
            <w:pPr>
              <w:shd w:val="clear" w:color="auto" w:fill="auto"/>
              <w:wordWrap w:val="0"/>
              <w:rPr>
                <w:rFonts w:hint="eastAsia" w:ascii="宋体" w:hAnsi="宋体" w:eastAsia="宋体" w:cs="宋体"/>
                <w:b/>
                <w:bCs/>
                <w:color w:val="000000"/>
                <w:sz w:val="21"/>
                <w:szCs w:val="21"/>
                <w:highlight w:val="none"/>
                <w:shd w:val="clear" w:color="auto" w:fill="auto"/>
                <w:lang w:val="en-US" w:eastAsia="zh-CN"/>
              </w:rPr>
            </w:pPr>
            <w:r>
              <w:rPr>
                <w:rFonts w:hint="eastAsia" w:ascii="宋体" w:hAnsi="宋体" w:eastAsia="宋体" w:cs="宋体"/>
                <w:b/>
                <w:bCs/>
                <w:color w:val="000000"/>
                <w:sz w:val="21"/>
                <w:szCs w:val="21"/>
                <w:highlight w:val="none"/>
                <w:shd w:val="clear" w:color="auto" w:fill="auto"/>
                <w:lang w:val="en-US" w:eastAsia="zh-CN"/>
              </w:rPr>
              <w:t>评审标准：</w:t>
            </w:r>
          </w:p>
          <w:p w14:paraId="3D187A79">
            <w:pPr>
              <w:shd w:val="clear" w:color="auto" w:fill="auto"/>
              <w:ind w:left="-78" w:leftChars="-37" w:right="-73" w:rightChars="-35"/>
              <w:jc w:val="left"/>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1.承诺提供发明专利技术检索报告，得6分；</w:t>
            </w:r>
          </w:p>
          <w:p w14:paraId="092CFEB0">
            <w:pPr>
              <w:shd w:val="clear" w:color="auto" w:fill="auto"/>
              <w:ind w:left="-78" w:leftChars="-37" w:right="-73" w:rightChars="-35"/>
              <w:jc w:val="left"/>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2.有应急响应措施，响应时间在1个工作日内，得4分；</w:t>
            </w:r>
          </w:p>
          <w:p w14:paraId="039C1E5F">
            <w:pPr>
              <w:shd w:val="clear" w:color="auto" w:fill="auto"/>
              <w:wordWrap w:val="0"/>
              <w:rPr>
                <w:rFonts w:hint="eastAsia" w:ascii="宋体" w:hAnsi="宋体" w:eastAsia="宋体" w:cs="宋体"/>
                <w:b/>
                <w:bCs/>
                <w:color w:val="000000"/>
                <w:sz w:val="21"/>
                <w:szCs w:val="21"/>
                <w:highlight w:val="none"/>
                <w:shd w:val="clear" w:color="auto" w:fill="auto"/>
              </w:rPr>
            </w:pPr>
            <w:r>
              <w:rPr>
                <w:rFonts w:hint="eastAsia" w:ascii="宋体" w:hAnsi="宋体" w:eastAsia="宋体" w:cs="宋体"/>
                <w:b/>
                <w:bCs/>
                <w:color w:val="000000"/>
                <w:sz w:val="21"/>
                <w:szCs w:val="21"/>
                <w:highlight w:val="none"/>
                <w:shd w:val="clear" w:color="auto" w:fill="auto"/>
              </w:rPr>
              <w:t>证明</w:t>
            </w:r>
            <w:r>
              <w:rPr>
                <w:rFonts w:hint="eastAsia" w:ascii="宋体" w:hAnsi="宋体" w:eastAsia="宋体" w:cs="宋体"/>
                <w:b/>
                <w:bCs/>
                <w:color w:val="000000"/>
                <w:sz w:val="21"/>
                <w:szCs w:val="21"/>
                <w:highlight w:val="none"/>
                <w:shd w:val="clear" w:color="auto" w:fill="auto"/>
                <w:lang w:val="en-US" w:eastAsia="zh-CN"/>
              </w:rPr>
              <w:t>材料</w:t>
            </w:r>
            <w:r>
              <w:rPr>
                <w:rFonts w:hint="eastAsia" w:ascii="宋体" w:hAnsi="宋体" w:eastAsia="宋体" w:cs="宋体"/>
                <w:b/>
                <w:bCs/>
                <w:color w:val="000000"/>
                <w:sz w:val="21"/>
                <w:szCs w:val="21"/>
                <w:highlight w:val="none"/>
                <w:shd w:val="clear" w:color="auto" w:fill="auto"/>
              </w:rPr>
              <w:t>:</w:t>
            </w:r>
          </w:p>
          <w:p w14:paraId="51AC7D43">
            <w:pPr>
              <w:shd w:val="clear" w:color="auto" w:fill="auto"/>
              <w:ind w:left="-78" w:leftChars="-37" w:right="-73" w:rightChars="-35"/>
              <w:jc w:val="left"/>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 xml:space="preserve">1.提供书面承诺函（格式自拟）； </w:t>
            </w:r>
          </w:p>
          <w:p w14:paraId="64D4E5DB">
            <w:pPr>
              <w:shd w:val="clear" w:color="auto" w:fill="auto"/>
              <w:ind w:left="-78" w:leftChars="-37" w:right="-73" w:rightChars="-35"/>
              <w:jc w:val="left"/>
              <w:rPr>
                <w:rFonts w:hint="eastAsia" w:ascii="宋体" w:hAnsi="宋体" w:eastAsia="宋体" w:cs="宋体"/>
                <w:color w:val="000000"/>
                <w:sz w:val="21"/>
                <w:szCs w:val="21"/>
                <w:highlight w:val="none"/>
                <w:shd w:val="clear" w:color="auto" w:fill="auto"/>
                <w:lang w:val="en-US" w:eastAsia="zh-CN"/>
              </w:rPr>
            </w:pPr>
            <w:r>
              <w:rPr>
                <w:rFonts w:hint="eastAsia" w:ascii="宋体" w:hAnsi="宋体" w:eastAsia="宋体" w:cs="宋体"/>
                <w:color w:val="000000"/>
                <w:sz w:val="21"/>
                <w:szCs w:val="21"/>
                <w:highlight w:val="none"/>
                <w:shd w:val="clear" w:color="auto" w:fill="auto"/>
                <w:lang w:val="en-US" w:eastAsia="zh-CN"/>
              </w:rPr>
              <w:t xml:space="preserve">2.未提供或未按要求提供或提供的不清晰导致专家无法判断 </w:t>
            </w:r>
          </w:p>
          <w:p w14:paraId="1D5500EE">
            <w:pPr>
              <w:shd w:val="clear" w:color="auto" w:fill="auto"/>
              <w:ind w:left="-78" w:leftChars="-37" w:right="-73" w:rightChars="-35"/>
              <w:jc w:val="left"/>
              <w:rPr>
                <w:rFonts w:hint="eastAsia" w:ascii="宋体" w:hAnsi="宋体" w:eastAsia="宋体" w:cs="宋体"/>
                <w:color w:val="000000"/>
                <w:kern w:val="2"/>
                <w:sz w:val="21"/>
                <w:szCs w:val="21"/>
                <w:highlight w:val="none"/>
                <w:shd w:val="clear" w:color="auto" w:fill="auto"/>
                <w:lang w:val="en-US" w:eastAsia="zh-CN" w:bidi="ar-SA"/>
              </w:rPr>
            </w:pPr>
            <w:r>
              <w:rPr>
                <w:rFonts w:hint="eastAsia" w:ascii="宋体" w:hAnsi="宋体" w:eastAsia="宋体" w:cs="宋体"/>
                <w:color w:val="000000"/>
                <w:sz w:val="21"/>
                <w:szCs w:val="21"/>
                <w:highlight w:val="none"/>
                <w:shd w:val="clear" w:color="auto" w:fill="auto"/>
                <w:lang w:val="en-US" w:eastAsia="zh-CN"/>
              </w:rPr>
              <w:t>的，不得分。</w:t>
            </w:r>
          </w:p>
        </w:tc>
        <w:tc>
          <w:tcPr>
            <w:tcW w:w="378" w:type="pct"/>
            <w:noWrap w:val="0"/>
            <w:tcMar>
              <w:top w:w="80" w:type="dxa"/>
              <w:left w:w="80" w:type="dxa"/>
              <w:bottom w:w="80" w:type="dxa"/>
              <w:right w:w="80" w:type="dxa"/>
            </w:tcMar>
            <w:vAlign w:val="center"/>
          </w:tcPr>
          <w:p w14:paraId="6F02F985">
            <w:pPr>
              <w:shd w:val="clear" w:color="auto" w:fill="auto"/>
              <w:jc w:val="center"/>
              <w:rPr>
                <w:rFonts w:hint="eastAsia" w:ascii="宋体" w:hAnsi="宋体" w:eastAsia="宋体" w:cs="宋体"/>
                <w:bCs/>
                <w:color w:val="000000"/>
                <w:kern w:val="2"/>
                <w:sz w:val="21"/>
                <w:szCs w:val="21"/>
                <w:highlight w:val="none"/>
                <w:shd w:val="clear" w:color="auto" w:fill="auto"/>
                <w:lang w:val="en-US" w:eastAsia="zh-CN" w:bidi="ar-SA"/>
              </w:rPr>
            </w:pPr>
            <w:r>
              <w:rPr>
                <w:rFonts w:hint="eastAsia" w:ascii="宋体" w:hAnsi="宋体" w:eastAsia="宋体" w:cs="宋体"/>
                <w:bCs/>
                <w:color w:val="000000"/>
                <w:szCs w:val="21"/>
                <w:highlight w:val="none"/>
                <w:shd w:val="clear" w:color="auto" w:fill="auto"/>
              </w:rPr>
              <w:t>10</w:t>
            </w:r>
          </w:p>
        </w:tc>
      </w:tr>
      <w:tr w14:paraId="133B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4621" w:type="pct"/>
            <w:gridSpan w:val="3"/>
            <w:noWrap w:val="0"/>
            <w:tcMar>
              <w:top w:w="80" w:type="dxa"/>
              <w:left w:w="80" w:type="dxa"/>
              <w:bottom w:w="80" w:type="dxa"/>
              <w:right w:w="80" w:type="dxa"/>
            </w:tcMar>
            <w:vAlign w:val="center"/>
          </w:tcPr>
          <w:p w14:paraId="6658D555">
            <w:p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highlight w:val="none"/>
                <w:shd w:val="clear" w:color="auto" w:fill="auto"/>
              </w:rPr>
            </w:pPr>
            <w:r>
              <w:rPr>
                <w:rFonts w:ascii="宋体" w:hAnsi="宋体" w:eastAsia="宋体" w:cs="宋体"/>
                <w:color w:val="auto"/>
                <w:kern w:val="2"/>
                <w:sz w:val="21"/>
                <w:szCs w:val="21"/>
                <w:highlight w:val="none"/>
                <w:shd w:val="clear" w:color="auto" w:fill="auto"/>
              </w:rPr>
              <w:t>合计</w:t>
            </w:r>
          </w:p>
        </w:tc>
        <w:tc>
          <w:tcPr>
            <w:tcW w:w="378" w:type="pct"/>
            <w:noWrap w:val="0"/>
            <w:tcMar>
              <w:top w:w="80" w:type="dxa"/>
              <w:left w:w="80" w:type="dxa"/>
              <w:bottom w:w="80" w:type="dxa"/>
              <w:right w:w="80" w:type="dxa"/>
            </w:tcMar>
            <w:vAlign w:val="center"/>
          </w:tcPr>
          <w:p w14:paraId="53A1F620">
            <w:pPr>
              <w:shd w:val="clear" w:color="auto" w:fill="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ascii="宋体" w:hAnsi="宋体" w:eastAsia="宋体" w:cs="宋体"/>
                <w:color w:val="auto"/>
                <w:kern w:val="2"/>
                <w:sz w:val="21"/>
                <w:szCs w:val="21"/>
                <w:highlight w:val="none"/>
                <w:shd w:val="clear" w:color="auto" w:fill="auto"/>
                <w:lang w:val="en-US" w:eastAsia="zh-CN" w:bidi="ar-SA"/>
              </w:rPr>
            </w:pPr>
            <w:r>
              <w:rPr>
                <w:rFonts w:hint="eastAsia"/>
                <w:color w:val="auto"/>
                <w:highlight w:val="none"/>
                <w:shd w:val="clear" w:color="auto" w:fill="auto"/>
                <w:lang w:val="en-US" w:eastAsia="zh-CN"/>
              </w:rPr>
              <w:t>100</w:t>
            </w:r>
          </w:p>
        </w:tc>
      </w:tr>
    </w:tbl>
    <w:p w14:paraId="4E1E312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hint="eastAsia" w:ascii="宋体" w:hAnsi="宋体" w:cs="宋体"/>
          <w:sz w:val="36"/>
          <w:szCs w:val="36"/>
        </w:rPr>
      </w:pPr>
    </w:p>
    <w:p w14:paraId="1C8EAE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420"/>
        <w:rPr>
          <w:rFonts w:hint="eastAsia" w:ascii="黑体" w:hAnsi="黑体" w:eastAsia="黑体" w:cs="黑体"/>
          <w:szCs w:val="21"/>
        </w:rPr>
      </w:pPr>
      <w:r>
        <w:rPr>
          <w:rFonts w:ascii="黑体" w:hAnsi="黑体" w:eastAsia="黑体" w:cs="黑体"/>
          <w:szCs w:val="21"/>
        </w:rPr>
        <w:t>备注：1.各项评审打分按照四舍五入，小数点后保留2位进行计算；</w:t>
      </w:r>
    </w:p>
    <w:p w14:paraId="0418E4D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050" w:hanging="1050"/>
        <w:rPr>
          <w:rFonts w:ascii="黑体" w:hAnsi="黑体" w:eastAsia="黑体" w:cs="黑体"/>
          <w:szCs w:val="21"/>
        </w:rPr>
      </w:pPr>
      <w:r>
        <w:rPr>
          <w:rFonts w:ascii="黑体" w:hAnsi="黑体" w:eastAsia="黑体" w:cs="黑体"/>
          <w:szCs w:val="21"/>
        </w:rPr>
        <w:t xml:space="preserve">          2.若出现拟推荐成交候选供应商票数相同的情况，以未推荐上述单位的评审专家对并列第一的候选供应商既定打分排序作为最终选定依据。</w:t>
      </w:r>
    </w:p>
    <w:p w14:paraId="7BCBDD6A"/>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华文中宋"/>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B7AC7"/>
    <w:rsid w:val="42DB7AC7"/>
    <w:rsid w:val="58132B0F"/>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unhideWhenUsed/>
    <w:qFormat/>
    <w:uiPriority w:val="99"/>
    <w:pPr>
      <w:ind w:left="1400" w:leftChars="1400"/>
    </w:pPr>
  </w:style>
  <w:style w:type="paragraph" w:styleId="4">
    <w:name w:val="Body Text"/>
    <w:basedOn w:val="1"/>
    <w:next w:val="1"/>
    <w:qFormat/>
    <w:uiPriority w:val="1"/>
    <w:rPr>
      <w:rFonts w:ascii="仿宋" w:hAnsi="仿宋" w:eastAsia="仿宋" w:cs="仿宋"/>
      <w:sz w:val="28"/>
      <w:szCs w:val="28"/>
    </w:rPr>
  </w:style>
  <w:style w:type="paragraph" w:styleId="5">
    <w:name w:val="Plain Text"/>
    <w:basedOn w:val="1"/>
    <w:next w:val="3"/>
    <w:qFormat/>
    <w:uiPriority w:val="0"/>
    <w:rPr>
      <w:rFonts w:ascii="宋体" w:hAnsi="Courier New"/>
      <w:szCs w:val="21"/>
    </w:rPr>
  </w:style>
  <w:style w:type="paragraph" w:customStyle="1" w:styleId="8">
    <w:name w:val="p3"/>
    <w:basedOn w:val="1"/>
    <w:qFormat/>
    <w:uiPriority w:val="0"/>
    <w:pPr>
      <w:spacing w:line="30" w:lineRule="atLeast"/>
      <w:jc w:val="center"/>
    </w:pPr>
    <w:rPr>
      <w:rFonts w:hint="eastAsia" w:ascii="宋体" w:hAnsi="宋体" w:cs="宋体"/>
      <w:kern w:val="0"/>
      <w:sz w:val="36"/>
      <w:szCs w:val="36"/>
    </w:rPr>
  </w:style>
  <w:style w:type="paragraph" w:styleId="9">
    <w:name w:val="List Paragraph"/>
    <w:basedOn w:val="1"/>
    <w:qFormat/>
    <w:uiPriority w:val="34"/>
    <w:pPr>
      <w:ind w:firstLine="420" w:firstLineChars="200"/>
    </w:p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2025-10-20T06:39:00Z</dcterms:created>
  <dc:creator>實誠</dc:creator>
  <cp:lastModifiedBy>實誠</cp:lastModifiedBy>
  <dcterms:modified xsi:type="dcterms:W3CDTF">2025-10-20T06:40:14Z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29D270E775D549ECB944C25A23519929_13</vt:lpwstr>
  </property>
  <property fmtid="{D5CDD505-2E9C-101B-9397-08002B2CF9AE}" pid="4" name="KSOTemplateDocerSaveRecord">
    <vt:lpwstr>eyJoZGlkIjoiZjYxZTUyYjc1MzQwNWRmNjlmMWQyYmQ2NmM1M2U4MmMiLCJ1c2VySWQiOiI2OTk3NTA5NDAifQ==</vt:lpwstr>
  </property>
</Properties>
</file>