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0" w:type="dxa"/>
        <w:tblInd w:w="108" w:type="dxa"/>
        <w:tblLayout w:type="fixed"/>
        <w:tblCellMar>
          <w:top w:w="0" w:type="dxa"/>
          <w:left w:w="108" w:type="dxa"/>
          <w:bottom w:w="0" w:type="dxa"/>
          <w:right w:w="108" w:type="dxa"/>
        </w:tblCellMar>
      </w:tblPr>
      <w:tblGrid>
        <w:gridCol w:w="760"/>
        <w:gridCol w:w="5300"/>
        <w:gridCol w:w="1580"/>
        <w:gridCol w:w="1820"/>
      </w:tblGrid>
      <w:tr>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注意：响应情况分为</w:t>
            </w:r>
            <w:r>
              <w:rPr>
                <w:rFonts w:hint="eastAsia" w:ascii="宋体" w:hAnsi="宋体" w:cs="宋体"/>
                <w:kern w:val="0"/>
                <w:sz w:val="24"/>
                <w:lang w:val="en-US" w:eastAsia="zh-CN"/>
              </w:rPr>
              <w:t>四</w:t>
            </w:r>
            <w:r>
              <w:rPr>
                <w:rFonts w:hint="eastAsia" w:ascii="宋体" w:hAnsi="宋体" w:cs="宋体"/>
                <w:kern w:val="0"/>
                <w:sz w:val="24"/>
              </w:rPr>
              <w:t>种，</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“不响应”、“响应”和“优于”，请投标企业根据实际情况填写。若填写的是</w:t>
            </w:r>
            <w:r>
              <w:rPr>
                <w:rFonts w:hint="eastAsia" w:ascii="宋体" w:hAnsi="宋体" w:cs="宋体"/>
                <w:kern w:val="0"/>
                <w:sz w:val="24"/>
                <w:lang w:eastAsia="zh-CN"/>
              </w:rPr>
              <w:t>“</w:t>
            </w:r>
            <w:r>
              <w:rPr>
                <w:rFonts w:hint="eastAsia" w:ascii="宋体" w:hAnsi="宋体" w:cs="宋体"/>
                <w:kern w:val="0"/>
                <w:sz w:val="24"/>
                <w:lang w:val="en-US" w:eastAsia="zh-CN"/>
              </w:rPr>
              <w:t>不适用</w:t>
            </w:r>
            <w:r>
              <w:rPr>
                <w:rFonts w:hint="eastAsia" w:ascii="宋体" w:hAnsi="宋体" w:cs="宋体"/>
                <w:kern w:val="0"/>
                <w:sz w:val="24"/>
                <w:lang w:eastAsia="zh-CN"/>
              </w:rPr>
              <w:t>”、</w:t>
            </w:r>
            <w:r>
              <w:rPr>
                <w:rFonts w:hint="eastAsia" w:ascii="宋体" w:hAnsi="宋体" w:cs="宋体"/>
                <w:kern w:val="0"/>
                <w:sz w:val="24"/>
              </w:rPr>
              <w:t>“不响应”和“优于”，必须详细填写“说明”。</w:t>
            </w: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医院接受货物后若有疑义或使用前发现不宜使用的现象，公司随时提供免费退换货服务。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w:t>
            </w:r>
            <w:r>
              <w:rPr>
                <w:rFonts w:hint="eastAsia" w:ascii="宋体" w:hAnsi="宋体" w:cs="宋体"/>
                <w:kern w:val="0"/>
                <w:sz w:val="20"/>
                <w:szCs w:val="20"/>
                <w:lang w:eastAsia="zh-CN"/>
              </w:rPr>
              <w:t>安全地使用</w:t>
            </w:r>
            <w:r>
              <w:rPr>
                <w:rFonts w:hint="eastAsia" w:ascii="宋体" w:hAnsi="宋体" w:cs="宋体"/>
                <w:kern w:val="0"/>
                <w:sz w:val="20"/>
                <w:szCs w:val="20"/>
              </w:rPr>
              <w:t>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其他增值服务，双方定期（4-6个月）回顾服务质量和需求，来确保病人的安全和治病的效率。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保证序列号（条形码）标识的唯一性，有严格的序列号（条形码）跟踪制度，产品出厂检验资料至少保存10年以上，随时备查</w:t>
            </w:r>
            <w:bookmarkStart w:id="0" w:name="_GoBack"/>
            <w:bookmarkEnd w:id="0"/>
            <w:r>
              <w:rPr>
                <w:rFonts w:hint="eastAsia" w:ascii="宋体" w:hAnsi="宋体" w:cs="宋体"/>
                <w:kern w:val="0"/>
                <w:sz w:val="20"/>
                <w:szCs w:val="20"/>
              </w:rPr>
              <w:t>。</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每份产品的使用都建立术后质量跟踪档案，详细填写手术记录，随时被查。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在临床使用中若出现不良医疗反应现象，经国家相关质量监察部门鉴定后，确实属于产品质量问题的，公司承担全部责任。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保证每次手术都提供原厂完整配套的操作仪器，保手术顺利进行。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b/>
                <w:bCs/>
                <w:color w:val="FF0000"/>
                <w:kern w:val="0"/>
                <w:sz w:val="20"/>
                <w:szCs w:val="20"/>
                <w:lang w:eastAsia="zh-CN"/>
              </w:rPr>
            </w:pPr>
            <w:r>
              <w:rPr>
                <w:rFonts w:hint="eastAsia" w:ascii="宋体" w:hAnsi="宋体" w:cs="宋体"/>
                <w:b/>
                <w:bCs/>
                <w:color w:val="FF0000"/>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r>
      <w:tr>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rPr>
              <w:t>可收费的医用耗材必须提供国家医保编码，如供货后无法提供国家医保编码将不予结算。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r>
      <w:tr>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b/>
                <w:bCs/>
                <w:color w:val="FF0000"/>
                <w:kern w:val="0"/>
                <w:sz w:val="20"/>
                <w:szCs w:val="20"/>
              </w:rPr>
            </w:pPr>
            <w:r>
              <w:rPr>
                <w:rFonts w:hint="eastAsia" w:ascii="宋体" w:hAnsi="宋体" w:cs="宋体"/>
                <w:b/>
                <w:bCs/>
                <w:color w:val="FF0000"/>
                <w:kern w:val="0"/>
                <w:sz w:val="20"/>
                <w:szCs w:val="20"/>
              </w:rPr>
              <w:t>作为医疗器械管理的产品价格不得高于广东省药品电子交易平台上的限价、深圳市阳光交易平台的限价；中标后如价格高于平台限价，直接按平台限价签订合同。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r>
      <w:tr>
        <w:tblPrEx>
          <w:tblCellMar>
            <w:top w:w="0" w:type="dxa"/>
            <w:left w:w="108" w:type="dxa"/>
            <w:bottom w:w="0" w:type="dxa"/>
            <w:right w:w="108" w:type="dxa"/>
          </w:tblCellMar>
        </w:tblPrEx>
        <w:trPr>
          <w:trHeight w:val="6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★9.5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此次中标价为协议价格，如在合同执行期间价格在深圳市阳光交易平台上显示为红色区域，中标商无条件配合调价至黄区或绿区；不配合的</w:t>
            </w:r>
            <w:r>
              <w:rPr>
                <w:rFonts w:hint="eastAsia" w:ascii="宋体" w:hAnsi="宋体" w:cs="宋体"/>
                <w:b/>
                <w:bCs/>
                <w:color w:val="FF0000"/>
                <w:kern w:val="0"/>
                <w:sz w:val="20"/>
                <w:szCs w:val="20"/>
              </w:rPr>
              <w:t>将直接启用备选供应商，无备选供应商的将废标重新招标</w:t>
            </w:r>
            <w:r>
              <w:rPr>
                <w:rFonts w:hint="eastAsia" w:ascii="宋体" w:hAnsi="宋体" w:cs="宋体"/>
                <w:b/>
                <w:bCs/>
                <w:color w:val="FF0000"/>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63EF4ED1"/>
    <w:rsid w:val="0F4E7E7E"/>
    <w:rsid w:val="1F777037"/>
    <w:rsid w:val="292F0D93"/>
    <w:rsid w:val="360311CD"/>
    <w:rsid w:val="39D84D70"/>
    <w:rsid w:val="49524F6B"/>
    <w:rsid w:val="63B1626B"/>
    <w:rsid w:val="63EF4ED1"/>
    <w:rsid w:val="659770B8"/>
    <w:rsid w:val="69A71894"/>
    <w:rsid w:val="76F3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1767</Words>
  <Characters>1834</Characters>
  <Lines>0</Lines>
  <Paragraphs>0</Paragraphs>
  <TotalTime>0</TotalTime>
  <ScaleCrop>false</ScaleCrop>
  <LinksUpToDate>false</LinksUpToDate>
  <CharactersWithSpaces>1890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2020-04-30T07:36:00Z</dcterms:created>
  <dc:creator>Administrator</dc:creator>
  <cp:lastModifiedBy>ZCB</cp:lastModifiedBy>
  <dcterms:modified xsi:type="dcterms:W3CDTF">2023-10-16T07:17:49Z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2427CAF1C3094EE0AF1FD532ECEA6FF7_12</vt:lpwstr>
  </property>
</Properties>
</file>