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2025年-2026年南湾街道城市管家项目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合同履约专项审计实施方案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黑体" w:hAnsi="黑体" w:eastAsia="黑体" w:cs="黑体"/>
          <w:b w:val="0"/>
          <w:bCs w:val="0"/>
          <w:sz w:val="28"/>
          <w:szCs w:val="28"/>
          <w:highlight w:val="none"/>
          <w:lang w:eastAsia="zh-CN"/>
        </w:rPr>
      </w:pPr>
      <w:r>
        <w:rPr>
          <w:rFonts w:hint="eastAsia" w:ascii="黑体" w:hAnsi="黑体" w:eastAsia="黑体" w:cs="黑体"/>
          <w:b w:val="0"/>
          <w:bCs w:val="0"/>
          <w:sz w:val="28"/>
          <w:szCs w:val="28"/>
          <w:highlight w:val="none"/>
          <w:lang w:eastAsia="zh-CN"/>
        </w:rPr>
        <w:t>一、工作背景</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val="0"/>
          <w:sz w:val="28"/>
          <w:szCs w:val="28"/>
          <w:highlight w:val="none"/>
          <w:lang w:eastAsia="zh-CN"/>
        </w:rPr>
      </w:pPr>
      <w:r>
        <w:rPr>
          <w:rFonts w:hint="eastAsia" w:ascii="仿宋_GB2312" w:hAnsi="仿宋_GB2312" w:eastAsia="仿宋_GB2312" w:cs="仿宋_GB2312"/>
          <w:b w:val="0"/>
          <w:bCs w:val="0"/>
          <w:sz w:val="28"/>
          <w:szCs w:val="28"/>
          <w:highlight w:val="none"/>
          <w:lang w:eastAsia="zh-CN"/>
        </w:rPr>
        <w:t>根据《南湾街道城市管家服务项目采购服务合同》相关条款及龙岗区南湾街道城市管家服务项目服务合同履约要求，甲方有权聘请第三方机构对乙方（长沙中联重科环境产业有限公司）项目实施情况进行审计。本次审计旨在通过对合同管理制度的有效性、合同条款履约的真实性与完整性、组织架构与运行机制等方面的全面审查，提前识别和评估合同履约过程中的潜在风险，发现可能存在的缺陷与不足，提出切实可行的改进建议，避免因履约不到位导致的合同违约及经济责任风险，保障城市管家服务项目的服务质量与资金使用效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黑体" w:hAnsi="黑体" w:eastAsia="黑体" w:cs="黑体"/>
          <w:b w:val="0"/>
          <w:bCs w:val="0"/>
          <w:sz w:val="28"/>
          <w:szCs w:val="28"/>
          <w:highlight w:val="none"/>
          <w:lang w:eastAsia="zh-CN"/>
        </w:rPr>
      </w:pPr>
      <w:r>
        <w:rPr>
          <w:rFonts w:hint="eastAsia" w:ascii="黑体" w:hAnsi="黑体" w:eastAsia="黑体" w:cs="黑体"/>
          <w:b w:val="0"/>
          <w:bCs w:val="0"/>
          <w:sz w:val="28"/>
          <w:szCs w:val="28"/>
          <w:highlight w:val="none"/>
          <w:lang w:eastAsia="zh-CN"/>
        </w:rPr>
        <w:t>二、工作目标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val="0"/>
          <w:sz w:val="28"/>
          <w:szCs w:val="28"/>
          <w:highlight w:val="none"/>
          <w:lang w:eastAsia="zh-CN"/>
        </w:rPr>
      </w:pPr>
      <w:r>
        <w:rPr>
          <w:rFonts w:hint="eastAsia" w:ascii="仿宋_GB2312" w:hAnsi="仿宋_GB2312" w:eastAsia="仿宋_GB2312" w:cs="仿宋_GB2312"/>
          <w:b w:val="0"/>
          <w:bCs w:val="0"/>
          <w:sz w:val="28"/>
          <w:szCs w:val="28"/>
          <w:highlight w:val="none"/>
          <w:lang w:eastAsia="zh-CN"/>
        </w:rPr>
        <w:t>为确保2025-2026年度城市管家服务合同有效履行，保障财政资金效益与公共服务质量，通过规范、高效的专项审计，评估长沙中联重科环境产业公司合同管理制度的健全性与执行有效性；逐项核实采购服务合同主要条款的履约情况，判断其真实性、完整性；识别合同履行过程中存在的问题与风险，提出针对性改进方案；检查公司组织架构、岗位设置及运行机制是否支持项目的高效履约，最终形成客观、公正的审计结论与建议，助力项目顺利推进。</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黑体" w:hAnsi="黑体" w:eastAsia="黑体" w:cs="黑体"/>
          <w:b w:val="0"/>
          <w:bCs w:val="0"/>
          <w:sz w:val="28"/>
          <w:szCs w:val="28"/>
          <w:highlight w:val="none"/>
          <w:lang w:eastAsia="zh-CN"/>
        </w:rPr>
      </w:pPr>
      <w:r>
        <w:rPr>
          <w:rFonts w:hint="eastAsia" w:ascii="黑体" w:hAnsi="黑体" w:eastAsia="黑体" w:cs="黑体"/>
          <w:b w:val="0"/>
          <w:bCs w:val="0"/>
          <w:sz w:val="28"/>
          <w:szCs w:val="28"/>
          <w:highlight w:val="none"/>
          <w:lang w:eastAsia="zh-CN"/>
        </w:rPr>
        <w:t>三、审计范围及依据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val="0"/>
          <w:sz w:val="28"/>
          <w:szCs w:val="28"/>
          <w:highlight w:val="none"/>
          <w:lang w:eastAsia="zh-CN"/>
        </w:rPr>
      </w:pPr>
      <w:r>
        <w:rPr>
          <w:rFonts w:hint="eastAsia" w:ascii="仿宋_GB2312" w:hAnsi="仿宋_GB2312" w:eastAsia="仿宋_GB2312" w:cs="仿宋_GB2312"/>
          <w:b w:val="0"/>
          <w:bCs w:val="0"/>
          <w:sz w:val="28"/>
          <w:szCs w:val="28"/>
          <w:highlight w:val="none"/>
          <w:lang w:eastAsia="zh-CN"/>
        </w:rPr>
        <w:t>（一）审计范围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val="0"/>
          <w:sz w:val="28"/>
          <w:szCs w:val="28"/>
          <w:highlight w:val="none"/>
          <w:lang w:eastAsia="zh-CN"/>
        </w:rPr>
      </w:pPr>
      <w:r>
        <w:rPr>
          <w:rFonts w:hint="eastAsia" w:ascii="仿宋_GB2312" w:hAnsi="仿宋_GB2312" w:eastAsia="仿宋_GB2312" w:cs="仿宋_GB2312"/>
          <w:b w:val="0"/>
          <w:bCs w:val="0"/>
          <w:sz w:val="28"/>
          <w:szCs w:val="28"/>
          <w:highlight w:val="none"/>
          <w:lang w:eastAsia="zh-CN"/>
        </w:rPr>
        <w:t>以中联重科环境产业公司与南湾街道签订的《南湾街道城市管家服务项目采购服务合同》为基础，覆盖自合同生效之日起至审计日止的合同履约全过程。重点包括合同管理机制、资金使用、车辆设备配置、人员工资发放、安全生产作业等核心环节，并延伸至与项目相关的财务、人事、运营管理等支持体系。</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sz w:val="28"/>
          <w:szCs w:val="28"/>
          <w:highlight w:val="none"/>
          <w:lang w:eastAsia="zh-CN"/>
        </w:rPr>
      </w:pPr>
      <w:r>
        <w:rPr>
          <w:rFonts w:hint="eastAsia" w:ascii="仿宋_GB2312" w:hAnsi="仿宋_GB2312" w:eastAsia="仿宋_GB2312" w:cs="仿宋_GB2312"/>
          <w:b w:val="0"/>
          <w:bCs w:val="0"/>
          <w:sz w:val="28"/>
          <w:szCs w:val="28"/>
          <w:highlight w:val="none"/>
          <w:lang w:eastAsia="zh-CN"/>
        </w:rPr>
        <w:t xml:space="preserve">审计依据：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val="0"/>
          <w:sz w:val="28"/>
          <w:szCs w:val="28"/>
          <w:highlight w:val="none"/>
          <w:lang w:eastAsia="zh-CN"/>
        </w:rPr>
      </w:pPr>
      <w:r>
        <w:rPr>
          <w:rFonts w:hint="eastAsia" w:ascii="仿宋_GB2312" w:hAnsi="仿宋_GB2312" w:eastAsia="仿宋_GB2312" w:cs="仿宋_GB2312"/>
          <w:b w:val="0"/>
          <w:bCs w:val="0"/>
          <w:sz w:val="28"/>
          <w:szCs w:val="28"/>
          <w:highlight w:val="none"/>
          <w:lang w:val="en-US" w:eastAsia="zh-CN"/>
        </w:rPr>
        <w:t>1.</w:t>
      </w:r>
      <w:r>
        <w:rPr>
          <w:rFonts w:hint="eastAsia" w:ascii="仿宋_GB2312" w:hAnsi="仿宋_GB2312" w:eastAsia="仿宋_GB2312" w:cs="仿宋_GB2312"/>
          <w:b w:val="0"/>
          <w:bCs w:val="0"/>
          <w:sz w:val="28"/>
          <w:szCs w:val="28"/>
          <w:highlight w:val="none"/>
          <w:lang w:eastAsia="zh-CN"/>
        </w:rPr>
        <w:t>《南湾街道城市管家服务项目采购服务合同》及其附件；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val="0"/>
          <w:sz w:val="28"/>
          <w:szCs w:val="28"/>
          <w:highlight w:val="none"/>
          <w:lang w:eastAsia="zh-CN"/>
        </w:rPr>
      </w:pPr>
      <w:r>
        <w:rPr>
          <w:rFonts w:hint="eastAsia" w:ascii="仿宋_GB2312" w:hAnsi="仿宋_GB2312" w:eastAsia="仿宋_GB2312" w:cs="仿宋_GB2312"/>
          <w:b w:val="0"/>
          <w:bCs w:val="0"/>
          <w:sz w:val="28"/>
          <w:szCs w:val="28"/>
          <w:highlight w:val="none"/>
          <w:lang w:val="en-US" w:eastAsia="zh-CN"/>
        </w:rPr>
        <w:t>2.</w:t>
      </w:r>
      <w:r>
        <w:rPr>
          <w:rFonts w:hint="eastAsia" w:ascii="仿宋_GB2312" w:hAnsi="仿宋_GB2312" w:eastAsia="仿宋_GB2312" w:cs="仿宋_GB2312"/>
          <w:b w:val="0"/>
          <w:bCs w:val="0"/>
          <w:sz w:val="28"/>
          <w:szCs w:val="28"/>
          <w:highlight w:val="none"/>
          <w:lang w:eastAsia="zh-CN"/>
        </w:rPr>
        <w:t xml:space="preserve">龙岗区南湾街道城市管家服务项目服务合同履约要求；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val="0"/>
          <w:sz w:val="28"/>
          <w:szCs w:val="28"/>
          <w:highlight w:val="none"/>
          <w:lang w:eastAsia="zh-CN"/>
        </w:rPr>
      </w:pPr>
      <w:r>
        <w:rPr>
          <w:rFonts w:hint="eastAsia" w:ascii="仿宋_GB2312" w:hAnsi="仿宋_GB2312" w:eastAsia="仿宋_GB2312" w:cs="仿宋_GB2312"/>
          <w:b w:val="0"/>
          <w:bCs w:val="0"/>
          <w:sz w:val="28"/>
          <w:szCs w:val="28"/>
          <w:highlight w:val="none"/>
          <w:lang w:val="en-US" w:eastAsia="zh-CN"/>
        </w:rPr>
        <w:t>3.</w:t>
      </w:r>
      <w:r>
        <w:rPr>
          <w:rFonts w:hint="eastAsia" w:ascii="仿宋_GB2312" w:hAnsi="仿宋_GB2312" w:eastAsia="仿宋_GB2312" w:cs="仿宋_GB2312"/>
          <w:b w:val="0"/>
          <w:bCs w:val="0"/>
          <w:sz w:val="28"/>
          <w:szCs w:val="28"/>
          <w:highlight w:val="none"/>
          <w:lang w:eastAsia="zh-CN"/>
        </w:rPr>
        <w:t>国家、省、市相关政府采购、财务管理和安全生产法律法规；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val="0"/>
          <w:sz w:val="28"/>
          <w:szCs w:val="28"/>
          <w:highlight w:val="none"/>
          <w:lang w:eastAsia="zh-CN"/>
        </w:rPr>
      </w:pPr>
      <w:r>
        <w:rPr>
          <w:rFonts w:hint="eastAsia" w:ascii="仿宋_GB2312" w:hAnsi="仿宋_GB2312" w:eastAsia="仿宋_GB2312" w:cs="仿宋_GB2312"/>
          <w:b w:val="0"/>
          <w:bCs w:val="0"/>
          <w:sz w:val="28"/>
          <w:szCs w:val="28"/>
          <w:highlight w:val="none"/>
          <w:lang w:val="en-US" w:eastAsia="zh-CN"/>
        </w:rPr>
        <w:t>4.</w:t>
      </w:r>
      <w:r>
        <w:rPr>
          <w:rFonts w:hint="eastAsia" w:ascii="仿宋_GB2312" w:hAnsi="仿宋_GB2312" w:eastAsia="仿宋_GB2312" w:cs="仿宋_GB2312"/>
          <w:b w:val="0"/>
          <w:bCs w:val="0"/>
          <w:sz w:val="28"/>
          <w:szCs w:val="28"/>
          <w:highlight w:val="none"/>
          <w:lang w:eastAsia="zh-CN"/>
        </w:rPr>
        <w:t>中联重科环境产业公司内部管理制度（如合同管理、资金使用、人力资源、设备管理等）；</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val="0"/>
          <w:sz w:val="28"/>
          <w:szCs w:val="28"/>
          <w:highlight w:val="none"/>
          <w:lang w:eastAsia="zh-CN"/>
        </w:rPr>
      </w:pPr>
      <w:r>
        <w:rPr>
          <w:rFonts w:hint="eastAsia" w:ascii="仿宋_GB2312" w:hAnsi="仿宋_GB2312" w:eastAsia="仿宋_GB2312" w:cs="仿宋_GB2312"/>
          <w:b w:val="0"/>
          <w:bCs w:val="0"/>
          <w:sz w:val="28"/>
          <w:szCs w:val="28"/>
          <w:highlight w:val="none"/>
          <w:lang w:val="en-US" w:eastAsia="zh-CN"/>
        </w:rPr>
        <w:t>5.</w:t>
      </w:r>
      <w:r>
        <w:rPr>
          <w:rFonts w:hint="eastAsia" w:ascii="仿宋_GB2312" w:hAnsi="仿宋_GB2312" w:eastAsia="仿宋_GB2312" w:cs="仿宋_GB2312"/>
          <w:b w:val="0"/>
          <w:bCs w:val="0"/>
          <w:sz w:val="28"/>
          <w:szCs w:val="28"/>
          <w:highlight w:val="none"/>
          <w:lang w:eastAsia="zh-CN"/>
        </w:rPr>
        <w:t xml:space="preserve"> 第三方审计准则与相关职业标准。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黑体" w:hAnsi="黑体" w:eastAsia="黑体" w:cs="黑体"/>
          <w:b w:val="0"/>
          <w:bCs w:val="0"/>
          <w:sz w:val="28"/>
          <w:szCs w:val="28"/>
          <w:highlight w:val="none"/>
          <w:lang w:eastAsia="zh-CN"/>
        </w:rPr>
      </w:pPr>
      <w:r>
        <w:rPr>
          <w:rFonts w:hint="eastAsia" w:ascii="黑体" w:hAnsi="黑体" w:eastAsia="黑体" w:cs="黑体"/>
          <w:b w:val="0"/>
          <w:bCs w:val="0"/>
          <w:sz w:val="28"/>
          <w:szCs w:val="28"/>
          <w:highlight w:val="none"/>
          <w:lang w:eastAsia="zh-CN"/>
        </w:rPr>
        <w:t>四、审计工作内容</w:t>
      </w:r>
    </w:p>
    <w:p>
      <w:pPr>
        <w:keepNext w:val="0"/>
        <w:keepLines w:val="0"/>
        <w:pageBreakBefore w:val="0"/>
        <w:numPr>
          <w:ilvl w:val="0"/>
          <w:numId w:val="0"/>
        </w:numPr>
        <w:tabs>
          <w:tab w:val="left" w:pos="1260"/>
        </w:tabs>
        <w:kinsoku/>
        <w:wordWrap/>
        <w:overflowPunct/>
        <w:topLinePunct w:val="0"/>
        <w:autoSpaceDE/>
        <w:autoSpaceDN/>
        <w:bidi w:val="0"/>
        <w:adjustRightInd/>
        <w:snapToGrid/>
        <w:spacing w:line="560" w:lineRule="exact"/>
        <w:ind w:firstLine="560" w:firstLineChars="200"/>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本次审计</w:t>
      </w:r>
      <w:r>
        <w:rPr>
          <w:rFonts w:hint="eastAsia" w:ascii="仿宋_GB2312" w:hAnsi="仿宋_GB2312" w:eastAsia="仿宋_GB2312" w:cs="仿宋_GB2312"/>
          <w:b w:val="0"/>
          <w:bCs w:val="0"/>
          <w:sz w:val="28"/>
          <w:szCs w:val="28"/>
          <w:lang w:val="en-US" w:eastAsia="zh-CN"/>
        </w:rPr>
        <w:t>内容包括清扫保洁、垃圾清运、垃圾转运站管理、垃圾转运站除臭设备管理、公厕管理、道路绿化管养、公园管养、废旧家具收集清运及资源化处理、垃圾减量与分类及爱卫消杀共10个履约项目，审核范围自2025年8月13日至2026年8月12日</w:t>
      </w:r>
      <w:r>
        <w:rPr>
          <w:rFonts w:hint="eastAsia" w:ascii="仿宋_GB2312" w:hAnsi="仿宋_GB2312" w:eastAsia="仿宋_GB2312" w:cs="仿宋_GB2312"/>
          <w:b w:val="0"/>
          <w:bCs w:val="0"/>
          <w:sz w:val="28"/>
          <w:szCs w:val="28"/>
        </w:rPr>
        <w:t>。</w:t>
      </w:r>
    </w:p>
    <w:p>
      <w:pPr>
        <w:keepNext w:val="0"/>
        <w:keepLines w:val="0"/>
        <w:pageBreakBefore w:val="0"/>
        <w:numPr>
          <w:ilvl w:val="0"/>
          <w:numId w:val="0"/>
        </w:numPr>
        <w:tabs>
          <w:tab w:val="left" w:pos="1260"/>
        </w:tabs>
        <w:kinsoku/>
        <w:wordWrap/>
        <w:overflowPunct/>
        <w:topLinePunct w:val="0"/>
        <w:autoSpaceDE/>
        <w:autoSpaceDN/>
        <w:bidi w:val="0"/>
        <w:adjustRightInd/>
        <w:snapToGrid/>
        <w:spacing w:line="560" w:lineRule="exact"/>
        <w:ind w:firstLine="560" w:firstLineChars="200"/>
        <w:rPr>
          <w:rFonts w:hint="eastAsia" w:ascii="仿宋_GB2312" w:hAnsi="仿宋_GB2312" w:eastAsia="仿宋_GB2312" w:cs="仿宋_GB2312"/>
          <w:b w:val="0"/>
          <w:bCs w:val="0"/>
          <w:sz w:val="28"/>
          <w:szCs w:val="28"/>
          <w:lang w:eastAsia="zh-CN"/>
        </w:rPr>
      </w:pPr>
      <w:r>
        <w:rPr>
          <w:rFonts w:hint="eastAsia" w:ascii="仿宋_GB2312" w:hAnsi="仿宋_GB2312" w:eastAsia="仿宋_GB2312" w:cs="仿宋_GB2312"/>
          <w:b w:val="0"/>
          <w:bCs w:val="0"/>
          <w:sz w:val="28"/>
          <w:szCs w:val="28"/>
          <w:lang w:eastAsia="zh-CN"/>
        </w:rPr>
        <w:t>本项目重点工作内容包括：</w:t>
      </w:r>
    </w:p>
    <w:p>
      <w:pPr>
        <w:keepNext w:val="0"/>
        <w:keepLines w:val="0"/>
        <w:pageBreakBefore w:val="0"/>
        <w:numPr>
          <w:ilvl w:val="0"/>
          <w:numId w:val="0"/>
        </w:numPr>
        <w:tabs>
          <w:tab w:val="left" w:pos="1260"/>
        </w:tabs>
        <w:kinsoku/>
        <w:wordWrap/>
        <w:overflowPunct/>
        <w:topLinePunct w:val="0"/>
        <w:autoSpaceDE/>
        <w:autoSpaceDN/>
        <w:bidi w:val="0"/>
        <w:adjustRightInd/>
        <w:snapToGrid/>
        <w:spacing w:line="560" w:lineRule="exact"/>
        <w:ind w:firstLine="560" w:firstLineChars="200"/>
        <w:rPr>
          <w:rFonts w:hint="eastAsia" w:ascii="楷体" w:hAnsi="楷体" w:eastAsia="楷体" w:cs="楷体"/>
          <w:b w:val="0"/>
          <w:bCs w:val="0"/>
          <w:sz w:val="28"/>
          <w:szCs w:val="28"/>
        </w:rPr>
      </w:pPr>
      <w:r>
        <w:rPr>
          <w:rFonts w:hint="eastAsia" w:ascii="楷体" w:hAnsi="楷体" w:eastAsia="楷体" w:cs="楷体"/>
          <w:b w:val="0"/>
          <w:bCs w:val="0"/>
          <w:sz w:val="28"/>
          <w:szCs w:val="28"/>
        </w:rPr>
        <w:t xml:space="preserve"> （一）合同管理制度的有效性及完善性审核</w:t>
      </w:r>
    </w:p>
    <w:p>
      <w:pPr>
        <w:keepNext w:val="0"/>
        <w:keepLines w:val="0"/>
        <w:pageBreakBefore w:val="0"/>
        <w:numPr>
          <w:ilvl w:val="0"/>
          <w:numId w:val="0"/>
        </w:numPr>
        <w:tabs>
          <w:tab w:val="left" w:pos="1260"/>
        </w:tabs>
        <w:kinsoku/>
        <w:wordWrap/>
        <w:overflowPunct/>
        <w:topLinePunct w:val="0"/>
        <w:autoSpaceDE/>
        <w:autoSpaceDN/>
        <w:bidi w:val="0"/>
        <w:adjustRightInd/>
        <w:snapToGrid/>
        <w:spacing w:line="560" w:lineRule="exact"/>
        <w:ind w:firstLine="560" w:firstLineChars="200"/>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1.检查公司是否建立了一套涵盖合同起草、评审、签订、履行、变更、终止及纠纷处理的全流程管理制度，并评估其是否符合国家法律法规和行业实践。</w:t>
      </w:r>
    </w:p>
    <w:p>
      <w:pPr>
        <w:keepNext w:val="0"/>
        <w:keepLines w:val="0"/>
        <w:pageBreakBefore w:val="0"/>
        <w:numPr>
          <w:ilvl w:val="0"/>
          <w:numId w:val="0"/>
        </w:numPr>
        <w:tabs>
          <w:tab w:val="left" w:pos="1260"/>
        </w:tabs>
        <w:kinsoku/>
        <w:wordWrap/>
        <w:overflowPunct/>
        <w:topLinePunct w:val="0"/>
        <w:autoSpaceDE/>
        <w:autoSpaceDN/>
        <w:bidi w:val="0"/>
        <w:adjustRightInd/>
        <w:snapToGrid/>
        <w:spacing w:line="560" w:lineRule="exact"/>
        <w:ind w:firstLine="560" w:firstLineChars="200"/>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2.审阅合同管理相关内部控制流程，包括但不限于权限设置、审批流程、档案管理、履约监督等环节，判断是否存在关键控制缺失或执行失效的情况。</w:t>
      </w:r>
    </w:p>
    <w:p>
      <w:pPr>
        <w:keepNext w:val="0"/>
        <w:keepLines w:val="0"/>
        <w:pageBreakBefore w:val="0"/>
        <w:numPr>
          <w:ilvl w:val="0"/>
          <w:numId w:val="0"/>
        </w:numPr>
        <w:tabs>
          <w:tab w:val="left" w:pos="1260"/>
        </w:tabs>
        <w:kinsoku/>
        <w:wordWrap/>
        <w:overflowPunct/>
        <w:topLinePunct w:val="0"/>
        <w:autoSpaceDE/>
        <w:autoSpaceDN/>
        <w:bidi w:val="0"/>
        <w:adjustRightInd/>
        <w:snapToGrid/>
        <w:spacing w:line="560" w:lineRule="exact"/>
        <w:ind w:firstLine="560" w:firstLineChars="200"/>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3.通过访谈和穿行测试，了解合同管理相关岗位人员对制度的熟悉程度与执行情况，评估制度实际落地效果。</w:t>
      </w:r>
    </w:p>
    <w:p>
      <w:pPr>
        <w:keepNext w:val="0"/>
        <w:keepLines w:val="0"/>
        <w:pageBreakBefore w:val="0"/>
        <w:numPr>
          <w:ilvl w:val="0"/>
          <w:numId w:val="0"/>
        </w:numPr>
        <w:tabs>
          <w:tab w:val="left" w:pos="1260"/>
        </w:tabs>
        <w:kinsoku/>
        <w:wordWrap/>
        <w:overflowPunct/>
        <w:topLinePunct w:val="0"/>
        <w:autoSpaceDE/>
        <w:autoSpaceDN/>
        <w:bidi w:val="0"/>
        <w:adjustRightInd/>
        <w:snapToGrid/>
        <w:spacing w:line="560" w:lineRule="exact"/>
        <w:ind w:firstLine="560" w:firstLineChars="200"/>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 xml:space="preserve">4.重点评估项目重大事项（如金额调整、服务内容变更）的合同变更控制机制 是否健全，相关变更是否经过恰当审批并及时更新归档。 </w:t>
      </w:r>
    </w:p>
    <w:p>
      <w:pPr>
        <w:keepNext w:val="0"/>
        <w:keepLines w:val="0"/>
        <w:pageBreakBefore w:val="0"/>
        <w:numPr>
          <w:ilvl w:val="0"/>
          <w:numId w:val="0"/>
        </w:numPr>
        <w:tabs>
          <w:tab w:val="left" w:pos="1260"/>
        </w:tabs>
        <w:kinsoku/>
        <w:wordWrap/>
        <w:overflowPunct/>
        <w:topLinePunct w:val="0"/>
        <w:autoSpaceDE/>
        <w:autoSpaceDN/>
        <w:bidi w:val="0"/>
        <w:adjustRightInd/>
        <w:snapToGrid/>
        <w:spacing w:line="560" w:lineRule="exact"/>
        <w:ind w:firstLine="560" w:firstLineChars="200"/>
        <w:rPr>
          <w:rFonts w:hint="eastAsia" w:ascii="楷体" w:hAnsi="楷体" w:eastAsia="楷体" w:cs="楷体"/>
          <w:b w:val="0"/>
          <w:bCs w:val="0"/>
          <w:sz w:val="28"/>
          <w:szCs w:val="28"/>
        </w:rPr>
      </w:pPr>
      <w:r>
        <w:rPr>
          <w:rFonts w:hint="eastAsia" w:ascii="楷体" w:hAnsi="楷体" w:eastAsia="楷体" w:cs="楷体"/>
          <w:b w:val="0"/>
          <w:bCs w:val="0"/>
          <w:sz w:val="28"/>
          <w:szCs w:val="28"/>
        </w:rPr>
        <w:t>（二）采购服务合同主要条款履约情况核实</w:t>
      </w:r>
    </w:p>
    <w:p>
      <w:pPr>
        <w:keepNext w:val="0"/>
        <w:keepLines w:val="0"/>
        <w:pageBreakBefore w:val="0"/>
        <w:numPr>
          <w:ilvl w:val="0"/>
          <w:numId w:val="0"/>
        </w:numPr>
        <w:tabs>
          <w:tab w:val="left" w:pos="1260"/>
        </w:tabs>
        <w:kinsoku/>
        <w:wordWrap/>
        <w:overflowPunct/>
        <w:topLinePunct w:val="0"/>
        <w:autoSpaceDE/>
        <w:autoSpaceDN/>
        <w:bidi w:val="0"/>
        <w:adjustRightInd/>
        <w:snapToGrid/>
        <w:spacing w:line="560" w:lineRule="exact"/>
        <w:ind w:firstLine="560" w:firstLineChars="200"/>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1.逐项梳理合同中的核心条款，包括服务范围、服务质量标准、绩效指标、付款条件、交付要求、违约责任等，并通过以下程序进行核实。</w:t>
      </w:r>
    </w:p>
    <w:p>
      <w:pPr>
        <w:keepNext w:val="0"/>
        <w:keepLines w:val="0"/>
        <w:pageBreakBefore w:val="0"/>
        <w:numPr>
          <w:ilvl w:val="0"/>
          <w:numId w:val="0"/>
        </w:numPr>
        <w:tabs>
          <w:tab w:val="left" w:pos="1260"/>
        </w:tabs>
        <w:kinsoku/>
        <w:wordWrap/>
        <w:overflowPunct/>
        <w:topLinePunct w:val="0"/>
        <w:autoSpaceDE/>
        <w:autoSpaceDN/>
        <w:bidi w:val="0"/>
        <w:adjustRightInd/>
        <w:snapToGrid/>
        <w:spacing w:line="560" w:lineRule="exact"/>
        <w:ind w:firstLine="560" w:firstLineChars="200"/>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2.服务交付核实：调阅项目月报、服务记录、客户投诉处理记录等，比对合同要求，检查服务时间、区域、频次、质量是否达标；</w:t>
      </w:r>
    </w:p>
    <w:p>
      <w:pPr>
        <w:keepNext w:val="0"/>
        <w:keepLines w:val="0"/>
        <w:pageBreakBefore w:val="0"/>
        <w:numPr>
          <w:ilvl w:val="0"/>
          <w:numId w:val="0"/>
        </w:numPr>
        <w:tabs>
          <w:tab w:val="left" w:pos="1260"/>
        </w:tabs>
        <w:kinsoku/>
        <w:wordWrap/>
        <w:overflowPunct/>
        <w:topLinePunct w:val="0"/>
        <w:autoSpaceDE/>
        <w:autoSpaceDN/>
        <w:bidi w:val="0"/>
        <w:adjustRightInd/>
        <w:snapToGrid/>
        <w:spacing w:line="560" w:lineRule="exact"/>
        <w:ind w:firstLine="560" w:firstLineChars="200"/>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3.资金使用审核：检查项目资金拨付、使用及核算记录，关注资金流向是否符合合同约定，有无挪用、超支或不合理支出；</w:t>
      </w:r>
    </w:p>
    <w:p>
      <w:pPr>
        <w:keepNext w:val="0"/>
        <w:keepLines w:val="0"/>
        <w:pageBreakBefore w:val="0"/>
        <w:numPr>
          <w:ilvl w:val="0"/>
          <w:numId w:val="0"/>
        </w:numPr>
        <w:tabs>
          <w:tab w:val="left" w:pos="1260"/>
        </w:tabs>
        <w:kinsoku/>
        <w:wordWrap/>
        <w:overflowPunct/>
        <w:topLinePunct w:val="0"/>
        <w:autoSpaceDE/>
        <w:autoSpaceDN/>
        <w:bidi w:val="0"/>
        <w:adjustRightInd/>
        <w:snapToGrid/>
        <w:spacing w:line="560" w:lineRule="exact"/>
        <w:ind w:firstLine="560" w:firstLineChars="200"/>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4.车辆与设备到位情况：核对合同规定的车辆型号、数量、技术状态及使用记录，现场抽查设备存放与维护状况，确认其是否满足项目需求；</w:t>
      </w:r>
    </w:p>
    <w:p>
      <w:pPr>
        <w:keepNext w:val="0"/>
        <w:keepLines w:val="0"/>
        <w:pageBreakBefore w:val="0"/>
        <w:numPr>
          <w:ilvl w:val="0"/>
          <w:numId w:val="0"/>
        </w:numPr>
        <w:tabs>
          <w:tab w:val="left" w:pos="1260"/>
        </w:tabs>
        <w:kinsoku/>
        <w:wordWrap/>
        <w:overflowPunct/>
        <w:topLinePunct w:val="0"/>
        <w:autoSpaceDE/>
        <w:autoSpaceDN/>
        <w:bidi w:val="0"/>
        <w:adjustRightInd/>
        <w:snapToGrid/>
        <w:spacing w:line="560" w:lineRule="exact"/>
        <w:ind w:firstLine="560" w:firstLineChars="200"/>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5.人员配置与工资发放：根据合同要求的人员数量、资质、岗位配置，查阅员工花名册、劳动合同、考勤记录、工资发放银行流水及社保缴纳证明，检查工资是否按时足额发放，有无克扣或虚假列支；</w:t>
      </w:r>
    </w:p>
    <w:p>
      <w:pPr>
        <w:keepNext w:val="0"/>
        <w:keepLines w:val="0"/>
        <w:pageBreakBefore w:val="0"/>
        <w:numPr>
          <w:ilvl w:val="0"/>
          <w:numId w:val="0"/>
        </w:numPr>
        <w:tabs>
          <w:tab w:val="left" w:pos="1260"/>
        </w:tabs>
        <w:kinsoku/>
        <w:wordWrap/>
        <w:overflowPunct/>
        <w:topLinePunct w:val="0"/>
        <w:autoSpaceDE/>
        <w:autoSpaceDN/>
        <w:bidi w:val="0"/>
        <w:adjustRightInd/>
        <w:snapToGrid/>
        <w:spacing w:line="560" w:lineRule="exact"/>
        <w:ind w:firstLine="560" w:firstLineChars="200"/>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6.安全生产作业：检查安全生产制度、培训记录、事故应急预案及执行情况，现场观察作业流程是否符合安全规范，评估潜在风险。</w:t>
      </w:r>
    </w:p>
    <w:p>
      <w:pPr>
        <w:keepNext w:val="0"/>
        <w:keepLines w:val="0"/>
        <w:pageBreakBefore w:val="0"/>
        <w:numPr>
          <w:ilvl w:val="0"/>
          <w:numId w:val="0"/>
        </w:numPr>
        <w:tabs>
          <w:tab w:val="left" w:pos="1260"/>
        </w:tabs>
        <w:kinsoku/>
        <w:wordWrap/>
        <w:overflowPunct/>
        <w:topLinePunct w:val="0"/>
        <w:autoSpaceDE/>
        <w:autoSpaceDN/>
        <w:bidi w:val="0"/>
        <w:adjustRightInd/>
        <w:snapToGrid/>
        <w:spacing w:line="560" w:lineRule="exact"/>
        <w:ind w:firstLine="560" w:firstLineChars="200"/>
        <w:rPr>
          <w:rFonts w:hint="eastAsia" w:ascii="楷体" w:hAnsi="楷体" w:eastAsia="楷体" w:cs="楷体"/>
          <w:b w:val="0"/>
          <w:bCs w:val="0"/>
          <w:sz w:val="28"/>
          <w:szCs w:val="28"/>
        </w:rPr>
      </w:pPr>
      <w:r>
        <w:rPr>
          <w:rFonts w:hint="eastAsia" w:ascii="楷体" w:hAnsi="楷体" w:eastAsia="楷体" w:cs="楷体"/>
          <w:b w:val="0"/>
          <w:bCs w:val="0"/>
          <w:sz w:val="28"/>
          <w:szCs w:val="28"/>
        </w:rPr>
        <w:t>（三）审计发现问题整改与改善措施</w:t>
      </w:r>
    </w:p>
    <w:p>
      <w:pPr>
        <w:keepNext w:val="0"/>
        <w:keepLines w:val="0"/>
        <w:pageBreakBefore w:val="0"/>
        <w:numPr>
          <w:ilvl w:val="0"/>
          <w:numId w:val="0"/>
        </w:numPr>
        <w:tabs>
          <w:tab w:val="left" w:pos="1260"/>
        </w:tabs>
        <w:kinsoku/>
        <w:wordWrap/>
        <w:overflowPunct/>
        <w:topLinePunct w:val="0"/>
        <w:autoSpaceDE/>
        <w:autoSpaceDN/>
        <w:bidi w:val="0"/>
        <w:adjustRightInd/>
        <w:snapToGrid/>
        <w:spacing w:line="560" w:lineRule="exact"/>
        <w:ind w:firstLine="560" w:firstLineChars="200"/>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1.对审计过程中发现的各类问题（如制度缺陷、履约偏差、资金使用疑点、设备不到位、工资发放异常、安全隐患等）进行根本原因分析，区分系统性问题和执行问题。</w:t>
      </w:r>
    </w:p>
    <w:p>
      <w:pPr>
        <w:keepNext w:val="0"/>
        <w:keepLines w:val="0"/>
        <w:pageBreakBefore w:val="0"/>
        <w:numPr>
          <w:ilvl w:val="0"/>
          <w:numId w:val="0"/>
        </w:numPr>
        <w:tabs>
          <w:tab w:val="left" w:pos="1260"/>
        </w:tabs>
        <w:kinsoku/>
        <w:wordWrap/>
        <w:overflowPunct/>
        <w:topLinePunct w:val="0"/>
        <w:autoSpaceDE/>
        <w:autoSpaceDN/>
        <w:bidi w:val="0"/>
        <w:adjustRightInd/>
        <w:snapToGrid/>
        <w:spacing w:line="560" w:lineRule="exact"/>
        <w:ind w:firstLine="560" w:firstLineChars="200"/>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2.针对问题提出具体、可操作的改善建议，例如：若发现合同管理制度执行不力，建议加强内部培训与监督考核；如发现资金使用不规范，建议强化预算控制与支出审批；若设备维护不到位，建议建立完善的设备调度与保养计划；如发现工资发放存在问题，建议完善人力资源管理与工资审核机制。确保所提建议贴合实际，具备实施条件，并明确责任部门与整改时限。</w:t>
      </w:r>
    </w:p>
    <w:p>
      <w:pPr>
        <w:keepNext w:val="0"/>
        <w:keepLines w:val="0"/>
        <w:pageBreakBefore w:val="0"/>
        <w:numPr>
          <w:ilvl w:val="0"/>
          <w:numId w:val="0"/>
        </w:numPr>
        <w:tabs>
          <w:tab w:val="left" w:pos="1260"/>
        </w:tabs>
        <w:kinsoku/>
        <w:wordWrap/>
        <w:overflowPunct/>
        <w:topLinePunct w:val="0"/>
        <w:autoSpaceDE/>
        <w:autoSpaceDN/>
        <w:bidi w:val="0"/>
        <w:adjustRightInd/>
        <w:snapToGrid/>
        <w:spacing w:line="560" w:lineRule="exact"/>
        <w:ind w:firstLine="560" w:firstLineChars="200"/>
        <w:rPr>
          <w:rFonts w:hint="eastAsia" w:ascii="楷体" w:hAnsi="楷体" w:eastAsia="楷体" w:cs="楷体"/>
          <w:b w:val="0"/>
          <w:bCs w:val="0"/>
          <w:sz w:val="28"/>
          <w:szCs w:val="28"/>
        </w:rPr>
      </w:pPr>
      <w:r>
        <w:rPr>
          <w:rFonts w:hint="eastAsia" w:ascii="楷体" w:hAnsi="楷体" w:eastAsia="楷体" w:cs="楷体"/>
          <w:b w:val="0"/>
          <w:bCs w:val="0"/>
          <w:sz w:val="28"/>
          <w:szCs w:val="28"/>
        </w:rPr>
        <w:t>（四）公司组织架构、岗位设置与运行机制检查</w:t>
      </w:r>
    </w:p>
    <w:p>
      <w:pPr>
        <w:keepNext w:val="0"/>
        <w:keepLines w:val="0"/>
        <w:pageBreakBefore w:val="0"/>
        <w:numPr>
          <w:ilvl w:val="0"/>
          <w:numId w:val="0"/>
        </w:numPr>
        <w:tabs>
          <w:tab w:val="left" w:pos="1260"/>
        </w:tabs>
        <w:kinsoku/>
        <w:wordWrap/>
        <w:overflowPunct/>
        <w:topLinePunct w:val="0"/>
        <w:autoSpaceDE/>
        <w:autoSpaceDN/>
        <w:bidi w:val="0"/>
        <w:adjustRightInd/>
        <w:snapToGrid/>
        <w:spacing w:line="560" w:lineRule="exact"/>
        <w:ind w:firstLine="560" w:firstLineChars="200"/>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1.审阅公司组织架构图、部门职责说明书及岗位分工，评估其是否清晰界定项目相关各部门（如项目管理、财务、人力资源、运营等）的职责与协作机制。</w:t>
      </w:r>
    </w:p>
    <w:p>
      <w:pPr>
        <w:keepNext w:val="0"/>
        <w:keepLines w:val="0"/>
        <w:pageBreakBefore w:val="0"/>
        <w:numPr>
          <w:ilvl w:val="0"/>
          <w:numId w:val="0"/>
        </w:numPr>
        <w:tabs>
          <w:tab w:val="left" w:pos="1260"/>
        </w:tabs>
        <w:kinsoku/>
        <w:wordWrap/>
        <w:overflowPunct/>
        <w:topLinePunct w:val="0"/>
        <w:autoSpaceDE/>
        <w:autoSpaceDN/>
        <w:bidi w:val="0"/>
        <w:adjustRightInd/>
        <w:snapToGrid/>
        <w:spacing w:line="560" w:lineRule="exact"/>
        <w:ind w:firstLine="560" w:firstLineChars="200"/>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2.通过访谈与问卷，了解各部门在项目履约中的实际协作效率，是否存在沟通不畅、权责不清、资源分配不合理等问题。</w:t>
      </w:r>
    </w:p>
    <w:p>
      <w:pPr>
        <w:keepNext w:val="0"/>
        <w:keepLines w:val="0"/>
        <w:pageBreakBefore w:val="0"/>
        <w:numPr>
          <w:ilvl w:val="0"/>
          <w:numId w:val="0"/>
        </w:numPr>
        <w:tabs>
          <w:tab w:val="left" w:pos="1260"/>
        </w:tabs>
        <w:kinsoku/>
        <w:wordWrap/>
        <w:overflowPunct/>
        <w:topLinePunct w:val="0"/>
        <w:autoSpaceDE/>
        <w:autoSpaceDN/>
        <w:bidi w:val="0"/>
        <w:adjustRightInd/>
        <w:snapToGrid/>
        <w:spacing w:line="560" w:lineRule="exact"/>
        <w:ind w:firstLine="560" w:firstLineChars="200"/>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3.检查项目决策机制、信息报送流程及绩效考评体系是否支持合同高效履约，尤其关注项目管理层是否具备足够的授权与资源来推动工作。</w:t>
      </w:r>
    </w:p>
    <w:p>
      <w:pPr>
        <w:keepNext w:val="0"/>
        <w:keepLines w:val="0"/>
        <w:pageBreakBefore w:val="0"/>
        <w:numPr>
          <w:ilvl w:val="0"/>
          <w:numId w:val="0"/>
        </w:numPr>
        <w:tabs>
          <w:tab w:val="left" w:pos="1260"/>
        </w:tabs>
        <w:kinsoku/>
        <w:wordWrap/>
        <w:overflowPunct/>
        <w:topLinePunct w:val="0"/>
        <w:autoSpaceDE/>
        <w:autoSpaceDN/>
        <w:bidi w:val="0"/>
        <w:adjustRightInd/>
        <w:snapToGrid/>
        <w:spacing w:line="560" w:lineRule="exact"/>
        <w:ind w:firstLine="560" w:firstLineChars="200"/>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4.评估公司整体治理结构对项目风险管理的支持程度，包括内部审计、合规监督等功能是否有效运行。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黑体" w:hAnsi="黑体" w:eastAsia="黑体" w:cs="黑体"/>
          <w:b w:val="0"/>
          <w:bCs w:val="0"/>
          <w:sz w:val="28"/>
          <w:szCs w:val="28"/>
          <w:highlight w:val="none"/>
          <w:lang w:eastAsia="zh-CN"/>
        </w:rPr>
      </w:pPr>
      <w:r>
        <w:rPr>
          <w:rFonts w:hint="eastAsia" w:ascii="黑体" w:hAnsi="黑体" w:eastAsia="黑体" w:cs="黑体"/>
          <w:b w:val="0"/>
          <w:bCs w:val="0"/>
          <w:sz w:val="28"/>
          <w:szCs w:val="28"/>
          <w:highlight w:val="none"/>
          <w:lang w:val="en-US" w:eastAsia="zh-CN"/>
        </w:rPr>
        <w:t>五、工作流程</w:t>
      </w:r>
      <w:r>
        <w:rPr>
          <w:rFonts w:hint="eastAsia" w:ascii="黑体" w:hAnsi="黑体" w:eastAsia="黑体" w:cs="黑体"/>
          <w:b w:val="0"/>
          <w:bCs w:val="0"/>
          <w:sz w:val="28"/>
          <w:szCs w:val="28"/>
          <w:highlight w:val="none"/>
          <w:lang w:eastAsia="zh-CN"/>
        </w:rPr>
        <w:t xml:space="preserve"> </w:t>
      </w:r>
    </w:p>
    <w:p>
      <w:pPr>
        <w:keepNext w:val="0"/>
        <w:keepLines w:val="0"/>
        <w:pageBreakBefore w:val="0"/>
        <w:numPr>
          <w:ilvl w:val="0"/>
          <w:numId w:val="0"/>
        </w:numPr>
        <w:tabs>
          <w:tab w:val="left" w:pos="1260"/>
        </w:tabs>
        <w:kinsoku/>
        <w:wordWrap/>
        <w:overflowPunct/>
        <w:topLinePunct w:val="0"/>
        <w:autoSpaceDE/>
        <w:autoSpaceDN/>
        <w:bidi w:val="0"/>
        <w:adjustRightInd/>
        <w:snapToGrid/>
        <w:spacing w:line="560" w:lineRule="exact"/>
        <w:ind w:firstLine="560" w:firstLineChars="200"/>
        <w:rPr>
          <w:rFonts w:hint="eastAsia" w:ascii="楷体" w:hAnsi="楷体" w:eastAsia="楷体" w:cs="楷体"/>
          <w:b w:val="0"/>
          <w:bCs w:val="0"/>
          <w:sz w:val="28"/>
          <w:szCs w:val="28"/>
        </w:rPr>
      </w:pPr>
      <w:r>
        <w:rPr>
          <w:rFonts w:hint="eastAsia" w:ascii="楷体" w:hAnsi="楷体" w:eastAsia="楷体" w:cs="楷体"/>
          <w:b w:val="0"/>
          <w:bCs w:val="0"/>
          <w:sz w:val="28"/>
          <w:szCs w:val="28"/>
          <w:lang w:val="en-US" w:eastAsia="zh-CN"/>
        </w:rPr>
        <w:t>（一）总体工作流程</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560" w:firstLineChars="200"/>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1.接受委托，按项目进度要求安排审计工作；</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560" w:firstLineChars="200"/>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2.派出审计组到指定地点开展外勤审计工作，执行必要的审计程序，形成审计工作底稿；</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560" w:firstLineChars="200"/>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3.汇总审计资料及结果，拟定专项审计报告初稿；</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560" w:firstLineChars="200"/>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4.对审计项目三级复核制度，对专项审计报告及底稿依据进行部门复核、总审复核；</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560" w:firstLineChars="200"/>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5.就形成的专项审计报告（征求意见稿），向甲方征询指导意见，同时与被审计单位交换意见，确保审计结果的客观性、合规性；</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560" w:firstLineChars="200"/>
        <w:rPr>
          <w:rFonts w:hint="eastAsia" w:ascii="仿宋_GB2312" w:hAnsi="仿宋_GB2312" w:eastAsia="仿宋_GB2312" w:cs="仿宋_GB2312"/>
          <w:b w:val="0"/>
          <w:bCs w:val="0"/>
          <w:sz w:val="28"/>
          <w:szCs w:val="28"/>
          <w:highlight w:val="none"/>
          <w:lang w:val="en-US"/>
        </w:rPr>
      </w:pPr>
      <w:r>
        <w:rPr>
          <w:rFonts w:hint="eastAsia" w:ascii="仿宋_GB2312" w:hAnsi="仿宋_GB2312" w:eastAsia="仿宋_GB2312" w:cs="仿宋_GB2312"/>
          <w:b w:val="0"/>
          <w:bCs w:val="0"/>
          <w:sz w:val="28"/>
          <w:szCs w:val="28"/>
          <w:highlight w:val="none"/>
          <w:lang w:val="en-US" w:eastAsia="zh-CN"/>
        </w:rPr>
        <w:t>6.经修改确认后，出具正式专项审计报告提交甲方。</w:t>
      </w:r>
    </w:p>
    <w:p>
      <w:pPr>
        <w:keepNext w:val="0"/>
        <w:keepLines w:val="0"/>
        <w:pageBreakBefore w:val="0"/>
        <w:numPr>
          <w:ilvl w:val="0"/>
          <w:numId w:val="0"/>
        </w:numPr>
        <w:tabs>
          <w:tab w:val="left" w:pos="1260"/>
        </w:tabs>
        <w:kinsoku/>
        <w:wordWrap/>
        <w:overflowPunct/>
        <w:topLinePunct w:val="0"/>
        <w:autoSpaceDE/>
        <w:autoSpaceDN/>
        <w:bidi w:val="0"/>
        <w:adjustRightInd/>
        <w:snapToGrid/>
        <w:spacing w:line="560" w:lineRule="exact"/>
        <w:ind w:firstLine="560" w:firstLineChars="200"/>
        <w:rPr>
          <w:rFonts w:hint="eastAsia" w:ascii="楷体" w:hAnsi="楷体" w:eastAsia="楷体" w:cs="楷体"/>
          <w:b w:val="0"/>
          <w:bCs w:val="0"/>
          <w:sz w:val="28"/>
          <w:szCs w:val="28"/>
          <w:lang w:val="en-US" w:eastAsia="zh-CN"/>
        </w:rPr>
      </w:pPr>
      <w:r>
        <w:rPr>
          <w:rFonts w:hint="eastAsia" w:ascii="楷体" w:hAnsi="楷体" w:eastAsia="楷体" w:cs="楷体"/>
          <w:b w:val="0"/>
          <w:bCs w:val="0"/>
          <w:sz w:val="28"/>
          <w:szCs w:val="28"/>
          <w:lang w:val="en-US" w:eastAsia="zh-CN"/>
        </w:rPr>
        <w:t>（二）具体工作流程</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560" w:firstLineChars="200"/>
        <w:rPr>
          <w:rFonts w:hint="eastAsia" w:ascii="仿宋_GB2312" w:hAnsi="仿宋_GB2312" w:eastAsia="仿宋_GB2312" w:cs="仿宋_GB2312"/>
          <w:b w:val="0"/>
          <w:bCs w:val="0"/>
          <w:sz w:val="28"/>
          <w:szCs w:val="28"/>
          <w:highlight w:val="none"/>
        </w:rPr>
      </w:pPr>
      <w:r>
        <w:rPr>
          <w:rFonts w:hint="eastAsia" w:ascii="仿宋_GB2312" w:hAnsi="仿宋_GB2312" w:eastAsia="仿宋_GB2312" w:cs="仿宋_GB2312"/>
          <w:b w:val="0"/>
          <w:bCs w:val="0"/>
          <w:sz w:val="28"/>
          <w:szCs w:val="28"/>
          <w:highlight w:val="none"/>
          <w:lang w:val="en-US" w:eastAsia="zh-CN"/>
        </w:rPr>
        <w:t>1.</w:t>
      </w:r>
      <w:r>
        <w:rPr>
          <w:rFonts w:hint="eastAsia" w:ascii="仿宋_GB2312" w:hAnsi="仿宋_GB2312" w:eastAsia="仿宋_GB2312" w:cs="仿宋_GB2312"/>
          <w:b w:val="0"/>
          <w:bCs w:val="0"/>
          <w:sz w:val="28"/>
          <w:szCs w:val="28"/>
          <w:highlight w:val="none"/>
        </w:rPr>
        <w:t>准备阶段</w:t>
      </w:r>
    </w:p>
    <w:p>
      <w:pPr>
        <w:pStyle w:val="4"/>
        <w:keepNext w:val="0"/>
        <w:keepLines w:val="0"/>
        <w:pageBreakBefore w:val="0"/>
        <w:kinsoku/>
        <w:wordWrap/>
        <w:overflowPunct/>
        <w:topLinePunct w:val="0"/>
        <w:autoSpaceDE/>
        <w:autoSpaceDN/>
        <w:bidi w:val="0"/>
        <w:adjustRightInd/>
        <w:snapToGrid/>
        <w:spacing w:line="560" w:lineRule="exact"/>
        <w:ind w:firstLine="560" w:firstLineChars="200"/>
        <w:outlineLvl w:val="1"/>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前期调查与沟通：取得项目服务合同及运营单位的相关背景资料，并与</w:t>
      </w:r>
      <w:r>
        <w:rPr>
          <w:rFonts w:hint="eastAsia" w:ascii="仿宋_GB2312" w:hAnsi="仿宋_GB2312" w:cs="仿宋_GB2312"/>
          <w:b w:val="0"/>
          <w:bCs w:val="0"/>
          <w:sz w:val="28"/>
          <w:szCs w:val="28"/>
          <w:lang w:val="en-US" w:eastAsia="zh-CN"/>
        </w:rPr>
        <w:t>甲方</w:t>
      </w:r>
      <w:r>
        <w:rPr>
          <w:rFonts w:hint="eastAsia" w:ascii="仿宋_GB2312" w:hAnsi="仿宋_GB2312" w:eastAsia="仿宋_GB2312" w:cs="仿宋_GB2312"/>
          <w:b w:val="0"/>
          <w:bCs w:val="0"/>
          <w:sz w:val="28"/>
          <w:szCs w:val="28"/>
          <w:lang w:val="en-US" w:eastAsia="zh-CN"/>
        </w:rPr>
        <w:t>及运营单位进行初步沟通，了解项目运营情况及验收标准，按审计项目要求在年度审核进场前列明审计资料清单，提交被审计单位，并告知需要配合的相关事项。</w:t>
      </w:r>
    </w:p>
    <w:p>
      <w:pPr>
        <w:pStyle w:val="4"/>
        <w:keepNext w:val="0"/>
        <w:keepLines w:val="0"/>
        <w:pageBreakBefore w:val="0"/>
        <w:kinsoku/>
        <w:wordWrap/>
        <w:overflowPunct/>
        <w:topLinePunct w:val="0"/>
        <w:autoSpaceDE/>
        <w:autoSpaceDN/>
        <w:bidi w:val="0"/>
        <w:adjustRightInd/>
        <w:snapToGrid/>
        <w:spacing w:line="560" w:lineRule="exact"/>
        <w:ind w:firstLine="560" w:firstLineChars="200"/>
        <w:outlineLvl w:val="1"/>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编制审计计划，制订工作进度表：根据沟通</w:t>
      </w:r>
      <w:r>
        <w:rPr>
          <w:rFonts w:hint="eastAsia" w:ascii="仿宋_GB2312" w:hAnsi="仿宋_GB2312" w:eastAsia="仿宋_GB2312" w:cs="仿宋_GB2312"/>
          <w:b w:val="0"/>
          <w:bCs w:val="0"/>
          <w:sz w:val="28"/>
          <w:szCs w:val="28"/>
          <w:lang w:val="en-US" w:eastAsia="zh-CN"/>
        </w:rPr>
        <w:t>了解</w:t>
      </w:r>
      <w:r>
        <w:rPr>
          <w:rFonts w:hint="eastAsia" w:ascii="仿宋_GB2312" w:hAnsi="仿宋_GB2312" w:eastAsia="仿宋_GB2312" w:cs="仿宋_GB2312"/>
          <w:b w:val="0"/>
          <w:bCs w:val="0"/>
          <w:sz w:val="28"/>
          <w:szCs w:val="28"/>
        </w:rPr>
        <w:t>及收集的初步资料</w:t>
      </w:r>
      <w:r>
        <w:rPr>
          <w:rFonts w:hint="eastAsia" w:ascii="仿宋_GB2312" w:hAnsi="仿宋_GB2312" w:eastAsia="仿宋_GB2312" w:cs="仿宋_GB2312"/>
          <w:b w:val="0"/>
          <w:bCs w:val="0"/>
          <w:sz w:val="28"/>
          <w:szCs w:val="28"/>
          <w:lang w:val="en-US" w:eastAsia="zh-CN"/>
        </w:rPr>
        <w:t>编制审计计划，明确审计组人员分工、审计工作开展进场时间、现场审计时间等，对收集到的资料进行初步梳理和分析，识别重点审计环节潜在的风险点，对</w:t>
      </w:r>
      <w:r>
        <w:rPr>
          <w:rFonts w:hint="eastAsia" w:ascii="仿宋_GB2312" w:hAnsi="仿宋_GB2312" w:eastAsia="仿宋_GB2312" w:cs="仿宋_GB2312"/>
          <w:b w:val="0"/>
          <w:bCs w:val="0"/>
          <w:sz w:val="28"/>
          <w:szCs w:val="28"/>
        </w:rPr>
        <w:t>可能出现的问题</w:t>
      </w:r>
      <w:r>
        <w:rPr>
          <w:rFonts w:hint="eastAsia" w:ascii="仿宋_GB2312" w:hAnsi="仿宋_GB2312" w:eastAsia="仿宋_GB2312" w:cs="仿宋_GB2312"/>
          <w:b w:val="0"/>
          <w:bCs w:val="0"/>
          <w:sz w:val="28"/>
          <w:szCs w:val="28"/>
          <w:lang w:val="en-US" w:eastAsia="zh-CN"/>
        </w:rPr>
        <w:t>列明</w:t>
      </w:r>
      <w:r>
        <w:rPr>
          <w:rFonts w:hint="eastAsia" w:ascii="仿宋_GB2312" w:hAnsi="仿宋_GB2312" w:eastAsia="仿宋_GB2312" w:cs="仿宋_GB2312"/>
          <w:b w:val="0"/>
          <w:bCs w:val="0"/>
          <w:sz w:val="28"/>
          <w:szCs w:val="28"/>
        </w:rPr>
        <w:t>应对策略。</w:t>
      </w:r>
    </w:p>
    <w:p>
      <w:pPr>
        <w:pStyle w:val="4"/>
        <w:keepNext w:val="0"/>
        <w:keepLines w:val="0"/>
        <w:pageBreakBefore w:val="0"/>
        <w:kinsoku/>
        <w:wordWrap/>
        <w:overflowPunct/>
        <w:topLinePunct w:val="0"/>
        <w:autoSpaceDE/>
        <w:autoSpaceDN/>
        <w:bidi w:val="0"/>
        <w:adjustRightInd/>
        <w:snapToGrid/>
        <w:spacing w:line="560" w:lineRule="exact"/>
        <w:ind w:firstLine="560" w:firstLineChars="200"/>
        <w:outlineLvl w:val="1"/>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lang w:val="en-US" w:eastAsia="zh-CN"/>
        </w:rPr>
        <w:t>审前学习培训：全面了解和掌握与本项目相关政策和制度规定，包括签约合同约定内容等，以保证后续审计工作有目的、有重点的开展，提高审计质量和效率。</w:t>
      </w:r>
    </w:p>
    <w:p>
      <w:pPr>
        <w:pStyle w:val="4"/>
        <w:keepNext w:val="0"/>
        <w:keepLines w:val="0"/>
        <w:pageBreakBefore w:val="0"/>
        <w:kinsoku/>
        <w:wordWrap/>
        <w:overflowPunct/>
        <w:topLinePunct w:val="0"/>
        <w:autoSpaceDE/>
        <w:autoSpaceDN/>
        <w:bidi w:val="0"/>
        <w:adjustRightInd/>
        <w:snapToGrid/>
        <w:spacing w:line="560" w:lineRule="exact"/>
        <w:ind w:firstLine="560" w:firstLineChars="200"/>
        <w:outlineLvl w:val="1"/>
        <w:rPr>
          <w:rFonts w:hint="eastAsia" w:ascii="仿宋_GB2312" w:hAnsi="仿宋_GB2312" w:eastAsia="仿宋_GB2312" w:cs="仿宋_GB2312"/>
          <w:b w:val="0"/>
          <w:bCs w:val="0"/>
          <w:sz w:val="28"/>
          <w:szCs w:val="28"/>
          <w:highlight w:val="none"/>
        </w:rPr>
      </w:pPr>
      <w:r>
        <w:rPr>
          <w:rFonts w:hint="eastAsia" w:ascii="仿宋_GB2312" w:hAnsi="仿宋_GB2312" w:eastAsia="仿宋_GB2312" w:cs="仿宋_GB2312"/>
          <w:b w:val="0"/>
          <w:bCs w:val="0"/>
          <w:sz w:val="28"/>
          <w:szCs w:val="28"/>
          <w:highlight w:val="none"/>
          <w:lang w:val="en-US" w:eastAsia="zh-CN"/>
        </w:rPr>
        <w:t>2.</w:t>
      </w:r>
      <w:r>
        <w:rPr>
          <w:rFonts w:hint="eastAsia" w:ascii="仿宋_GB2312" w:hAnsi="仿宋_GB2312" w:eastAsia="仿宋_GB2312" w:cs="仿宋_GB2312"/>
          <w:b w:val="0"/>
          <w:bCs w:val="0"/>
          <w:sz w:val="28"/>
          <w:szCs w:val="28"/>
          <w:highlight w:val="none"/>
        </w:rPr>
        <w:t>实施阶段</w:t>
      </w:r>
    </w:p>
    <w:p>
      <w:pPr>
        <w:pStyle w:val="4"/>
        <w:keepNext w:val="0"/>
        <w:keepLines w:val="0"/>
        <w:pageBreakBefore w:val="0"/>
        <w:kinsoku/>
        <w:wordWrap/>
        <w:overflowPunct/>
        <w:topLinePunct w:val="0"/>
        <w:autoSpaceDE/>
        <w:autoSpaceDN/>
        <w:bidi w:val="0"/>
        <w:adjustRightInd/>
        <w:snapToGrid/>
        <w:spacing w:line="560" w:lineRule="exact"/>
        <w:ind w:firstLine="560" w:firstLineChars="200"/>
        <w:outlineLvl w:val="1"/>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highlight w:val="none"/>
          <w:lang w:eastAsia="zh-CN"/>
        </w:rPr>
        <w:t>（</w:t>
      </w:r>
      <w:r>
        <w:rPr>
          <w:rFonts w:hint="eastAsia" w:ascii="仿宋_GB2312" w:hAnsi="仿宋_GB2312" w:eastAsia="仿宋_GB2312" w:cs="仿宋_GB2312"/>
          <w:b w:val="0"/>
          <w:bCs w:val="0"/>
          <w:sz w:val="28"/>
          <w:szCs w:val="28"/>
          <w:highlight w:val="none"/>
          <w:lang w:val="en-US" w:eastAsia="zh-CN"/>
        </w:rPr>
        <w:t>1）资料审核</w:t>
      </w:r>
    </w:p>
    <w:p>
      <w:pPr>
        <w:pStyle w:val="4"/>
        <w:keepNext w:val="0"/>
        <w:keepLines w:val="0"/>
        <w:pageBreakBefore w:val="0"/>
        <w:kinsoku/>
        <w:wordWrap/>
        <w:overflowPunct/>
        <w:topLinePunct w:val="0"/>
        <w:autoSpaceDE/>
        <w:autoSpaceDN/>
        <w:bidi w:val="0"/>
        <w:adjustRightInd/>
        <w:snapToGrid/>
        <w:spacing w:line="560" w:lineRule="exact"/>
        <w:ind w:firstLine="560" w:firstLineChars="200"/>
        <w:outlineLvl w:val="1"/>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lang w:val="en-US" w:eastAsia="zh-CN"/>
        </w:rPr>
        <w:t>分为定期跟踪审核和年度审核，定期跟踪审核是按照</w:t>
      </w:r>
      <w:r>
        <w:rPr>
          <w:rFonts w:hint="eastAsia" w:ascii="仿宋_GB2312" w:hAnsi="仿宋_GB2312" w:cs="仿宋_GB2312"/>
          <w:b w:val="0"/>
          <w:bCs w:val="0"/>
          <w:sz w:val="28"/>
          <w:szCs w:val="28"/>
          <w:lang w:val="en-US" w:eastAsia="zh-CN"/>
        </w:rPr>
        <w:t>甲方</w:t>
      </w:r>
      <w:r>
        <w:rPr>
          <w:rFonts w:hint="eastAsia" w:ascii="仿宋_GB2312" w:hAnsi="仿宋_GB2312" w:eastAsia="仿宋_GB2312" w:cs="仿宋_GB2312"/>
          <w:b w:val="0"/>
          <w:bCs w:val="0"/>
          <w:sz w:val="28"/>
          <w:szCs w:val="28"/>
          <w:lang w:val="en-US" w:eastAsia="zh-CN"/>
        </w:rPr>
        <w:t>要求，对每月付款前要求提供的资料进行审核，主要依据合同验收标准进行；年度审核是根据审计项目资料清单，对取得的运营资料进行核对，包括项目收支情况审核、日常工作记录核对、人员资质及考勤情况核对、配置设备盘点等，确认运营期内项目履约情况，完成工作量及运营管理是否符合合同要求等。</w:t>
      </w:r>
    </w:p>
    <w:p>
      <w:pPr>
        <w:pStyle w:val="4"/>
        <w:keepNext w:val="0"/>
        <w:keepLines w:val="0"/>
        <w:pageBreakBefore w:val="0"/>
        <w:numPr>
          <w:ilvl w:val="0"/>
          <w:numId w:val="2"/>
        </w:numPr>
        <w:kinsoku/>
        <w:wordWrap/>
        <w:overflowPunct/>
        <w:topLinePunct w:val="0"/>
        <w:autoSpaceDE/>
        <w:autoSpaceDN/>
        <w:bidi w:val="0"/>
        <w:adjustRightInd/>
        <w:snapToGrid/>
        <w:spacing w:line="560" w:lineRule="exact"/>
        <w:ind w:firstLine="560" w:firstLineChars="200"/>
        <w:outlineLvl w:val="1"/>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审计分析及应对</w:t>
      </w:r>
    </w:p>
    <w:p>
      <w:pPr>
        <w:pStyle w:val="4"/>
        <w:keepNext w:val="0"/>
        <w:keepLines w:val="0"/>
        <w:pageBreakBefore w:val="0"/>
        <w:numPr>
          <w:ilvl w:val="0"/>
          <w:numId w:val="0"/>
        </w:numPr>
        <w:kinsoku/>
        <w:wordWrap/>
        <w:overflowPunct/>
        <w:topLinePunct w:val="0"/>
        <w:autoSpaceDE/>
        <w:autoSpaceDN/>
        <w:bidi w:val="0"/>
        <w:adjustRightInd/>
        <w:snapToGrid/>
        <w:spacing w:line="560" w:lineRule="exact"/>
        <w:ind w:firstLine="560" w:firstLineChars="200"/>
        <w:outlineLvl w:val="1"/>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以谨慎的执业态度评价获取审计证据的充分性和适当性，对在审计工作中发现的问题，由审计组内部复核后与被审计单位相关的经办人和负责人沟通，并形成书面备忘资料，被审计单位可对问题进行书面补充说明或提供其他佐证资料。对有疑问或有争议的问题，及时征询</w:t>
      </w:r>
      <w:r>
        <w:rPr>
          <w:rFonts w:hint="eastAsia" w:ascii="仿宋_GB2312" w:hAnsi="仿宋_GB2312" w:cs="仿宋_GB2312"/>
          <w:b w:val="0"/>
          <w:bCs w:val="0"/>
          <w:sz w:val="28"/>
          <w:szCs w:val="28"/>
          <w:lang w:val="en-US" w:eastAsia="zh-CN"/>
        </w:rPr>
        <w:t>甲方</w:t>
      </w:r>
      <w:r>
        <w:rPr>
          <w:rFonts w:hint="eastAsia" w:ascii="仿宋_GB2312" w:hAnsi="仿宋_GB2312" w:eastAsia="仿宋_GB2312" w:cs="仿宋_GB2312"/>
          <w:b w:val="0"/>
          <w:bCs w:val="0"/>
          <w:sz w:val="28"/>
          <w:szCs w:val="28"/>
          <w:lang w:val="en-US" w:eastAsia="zh-CN"/>
        </w:rPr>
        <w:t>或相关部门的指导意见。</w:t>
      </w:r>
    </w:p>
    <w:p>
      <w:pPr>
        <w:pStyle w:val="4"/>
        <w:keepNext w:val="0"/>
        <w:keepLines w:val="0"/>
        <w:pageBreakBefore w:val="0"/>
        <w:numPr>
          <w:ilvl w:val="0"/>
          <w:numId w:val="0"/>
        </w:numPr>
        <w:kinsoku/>
        <w:wordWrap/>
        <w:overflowPunct/>
        <w:topLinePunct w:val="0"/>
        <w:autoSpaceDE/>
        <w:autoSpaceDN/>
        <w:bidi w:val="0"/>
        <w:adjustRightInd/>
        <w:snapToGrid/>
        <w:spacing w:line="560" w:lineRule="exact"/>
        <w:ind w:firstLine="560" w:firstLineChars="200"/>
        <w:outlineLvl w:val="1"/>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（3）审计底稿管理</w:t>
      </w:r>
    </w:p>
    <w:p>
      <w:pPr>
        <w:pStyle w:val="4"/>
        <w:keepNext w:val="0"/>
        <w:keepLines w:val="0"/>
        <w:pageBreakBefore w:val="0"/>
        <w:numPr>
          <w:ilvl w:val="0"/>
          <w:numId w:val="0"/>
        </w:numPr>
        <w:kinsoku/>
        <w:wordWrap/>
        <w:overflowPunct/>
        <w:topLinePunct w:val="0"/>
        <w:autoSpaceDE/>
        <w:autoSpaceDN/>
        <w:bidi w:val="0"/>
        <w:adjustRightInd/>
        <w:snapToGrid/>
        <w:spacing w:line="560" w:lineRule="exact"/>
        <w:ind w:firstLine="560" w:firstLineChars="200"/>
        <w:outlineLvl w:val="1"/>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审计人员执行的所有审计程序均形成审计工作底稿，包括核对过程和结论，沟通记录及确认，并附相应的佐证资料。审计工程底稿编制要求要素齐全、索引及编码完整，经确认的佐证资料充分，并作为后续复核工作和审计报告的确定依据。</w:t>
      </w:r>
    </w:p>
    <w:p>
      <w:pPr>
        <w:pStyle w:val="4"/>
        <w:keepNext w:val="0"/>
        <w:keepLines w:val="0"/>
        <w:pageBreakBefore w:val="0"/>
        <w:numPr>
          <w:ilvl w:val="0"/>
          <w:numId w:val="0"/>
        </w:numPr>
        <w:kinsoku/>
        <w:wordWrap/>
        <w:overflowPunct/>
        <w:topLinePunct w:val="0"/>
        <w:autoSpaceDE/>
        <w:autoSpaceDN/>
        <w:bidi w:val="0"/>
        <w:adjustRightInd/>
        <w:snapToGrid/>
        <w:spacing w:line="560" w:lineRule="exact"/>
        <w:ind w:firstLine="560" w:firstLineChars="200"/>
        <w:outlineLvl w:val="1"/>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外勤工作完成后，对取得的项目审核资料、现场沟通资料等，均要求被审计单位加盖公章，对提供的书面情况说明也须加盖公章及单位负责人签字。以上资料均为本次审计的佐证依据，作为审计项目底稿归档管理。</w:t>
      </w:r>
    </w:p>
    <w:p>
      <w:pPr>
        <w:pStyle w:val="4"/>
        <w:keepNext w:val="0"/>
        <w:keepLines w:val="0"/>
        <w:pageBreakBefore w:val="0"/>
        <w:kinsoku/>
        <w:wordWrap/>
        <w:overflowPunct/>
        <w:topLinePunct w:val="0"/>
        <w:autoSpaceDE/>
        <w:autoSpaceDN/>
        <w:bidi w:val="0"/>
        <w:adjustRightInd/>
        <w:snapToGrid/>
        <w:spacing w:line="560" w:lineRule="exact"/>
        <w:ind w:firstLine="560" w:firstLineChars="200"/>
        <w:outlineLvl w:val="1"/>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lang w:val="en-US" w:eastAsia="zh-CN"/>
        </w:rPr>
        <w:t>3.</w:t>
      </w:r>
      <w:r>
        <w:rPr>
          <w:rFonts w:hint="eastAsia" w:ascii="仿宋_GB2312" w:hAnsi="仿宋_GB2312" w:eastAsia="仿宋_GB2312" w:cs="仿宋_GB2312"/>
          <w:b w:val="0"/>
          <w:bCs w:val="0"/>
          <w:sz w:val="28"/>
          <w:szCs w:val="28"/>
        </w:rPr>
        <w:t>报告阶段</w:t>
      </w:r>
    </w:p>
    <w:p>
      <w:pPr>
        <w:keepNext w:val="0"/>
        <w:keepLines w:val="0"/>
        <w:pageBreakBefore w:val="0"/>
        <w:kinsoku/>
        <w:wordWrap/>
        <w:overflowPunct/>
        <w:topLinePunct w:val="0"/>
        <w:autoSpaceDE/>
        <w:autoSpaceDN/>
        <w:bidi w:val="0"/>
        <w:adjustRightInd/>
        <w:snapToGrid/>
        <w:spacing w:line="560" w:lineRule="exact"/>
        <w:ind w:firstLine="560" w:firstLineChars="200"/>
        <w:rPr>
          <w:rFonts w:hint="eastAsia" w:ascii="仿宋_GB2312" w:hAnsi="仿宋_GB2312" w:eastAsia="仿宋_GB2312" w:cs="仿宋_GB2312"/>
          <w:b w:val="0"/>
          <w:bCs w:val="0"/>
          <w:sz w:val="28"/>
          <w:szCs w:val="28"/>
          <w:lang w:eastAsia="zh-CN"/>
        </w:rPr>
      </w:pPr>
      <w:r>
        <w:rPr>
          <w:rFonts w:hint="eastAsia" w:ascii="仿宋_GB2312" w:hAnsi="仿宋_GB2312" w:eastAsia="仿宋_GB2312" w:cs="仿宋_GB2312"/>
          <w:b w:val="0"/>
          <w:bCs w:val="0"/>
          <w:sz w:val="28"/>
          <w:szCs w:val="28"/>
        </w:rPr>
        <w:t>总结和分析：对审计过程中所收集的资料进行整理、汇总和分类，对</w:t>
      </w:r>
      <w:r>
        <w:rPr>
          <w:rFonts w:hint="eastAsia" w:ascii="仿宋_GB2312" w:hAnsi="仿宋_GB2312" w:eastAsia="仿宋_GB2312" w:cs="仿宋_GB2312"/>
          <w:b w:val="0"/>
          <w:bCs w:val="0"/>
          <w:sz w:val="28"/>
          <w:szCs w:val="28"/>
          <w:lang w:val="en-US" w:eastAsia="zh-CN"/>
        </w:rPr>
        <w:t>确认的项目收支及验收资料</w:t>
      </w:r>
      <w:r>
        <w:rPr>
          <w:rFonts w:hint="eastAsia" w:ascii="仿宋_GB2312" w:hAnsi="仿宋_GB2312" w:eastAsia="仿宋_GB2312" w:cs="仿宋_GB2312"/>
          <w:b w:val="0"/>
          <w:bCs w:val="0"/>
          <w:sz w:val="28"/>
          <w:szCs w:val="28"/>
        </w:rPr>
        <w:t>，做到依据充分、数据真实、内容完整</w:t>
      </w:r>
      <w:r>
        <w:rPr>
          <w:rFonts w:hint="eastAsia" w:ascii="仿宋_GB2312" w:hAnsi="仿宋_GB2312" w:eastAsia="仿宋_GB2312" w:cs="仿宋_GB2312"/>
          <w:b w:val="0"/>
          <w:bCs w:val="0"/>
          <w:sz w:val="28"/>
          <w:szCs w:val="28"/>
          <w:lang w:eastAsia="zh-CN"/>
        </w:rPr>
        <w:t>。</w:t>
      </w:r>
    </w:p>
    <w:p>
      <w:pPr>
        <w:keepNext w:val="0"/>
        <w:keepLines w:val="0"/>
        <w:pageBreakBefore w:val="0"/>
        <w:kinsoku/>
        <w:wordWrap/>
        <w:overflowPunct/>
        <w:topLinePunct w:val="0"/>
        <w:autoSpaceDE/>
        <w:autoSpaceDN/>
        <w:bidi w:val="0"/>
        <w:adjustRightInd/>
        <w:snapToGrid/>
        <w:spacing w:line="560" w:lineRule="exact"/>
        <w:ind w:firstLine="560" w:firstLineChars="200"/>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复核审计工作底稿：严格执行审计三级复核制度，审计项目负责人及总审应对每个审计项目的工作底稿及相关证据资料进行详细复核，关注审计人员实施的相关审计程序是否适当，并进行指导和监督。</w:t>
      </w:r>
    </w:p>
    <w:p>
      <w:pPr>
        <w:keepNext w:val="0"/>
        <w:keepLines w:val="0"/>
        <w:pageBreakBefore w:val="0"/>
        <w:kinsoku/>
        <w:wordWrap/>
        <w:overflowPunct/>
        <w:topLinePunct w:val="0"/>
        <w:autoSpaceDE/>
        <w:autoSpaceDN/>
        <w:bidi w:val="0"/>
        <w:adjustRightInd/>
        <w:snapToGrid/>
        <w:spacing w:line="560" w:lineRule="exact"/>
        <w:ind w:firstLine="560" w:firstLineChars="200"/>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草拟</w:t>
      </w:r>
      <w:r>
        <w:rPr>
          <w:rFonts w:hint="eastAsia" w:ascii="仿宋_GB2312" w:hAnsi="仿宋_GB2312" w:eastAsia="仿宋_GB2312" w:cs="仿宋_GB2312"/>
          <w:b w:val="0"/>
          <w:bCs w:val="0"/>
          <w:sz w:val="28"/>
          <w:szCs w:val="28"/>
          <w:lang w:eastAsia="zh-CN"/>
        </w:rPr>
        <w:t>专项</w:t>
      </w:r>
      <w:r>
        <w:rPr>
          <w:rFonts w:hint="eastAsia" w:ascii="仿宋_GB2312" w:hAnsi="仿宋_GB2312" w:eastAsia="仿宋_GB2312" w:cs="仿宋_GB2312"/>
          <w:b w:val="0"/>
          <w:bCs w:val="0"/>
          <w:sz w:val="28"/>
          <w:szCs w:val="28"/>
        </w:rPr>
        <w:t>审计报告：审计外勤工作结束后，及时撰写审计报告初稿，做到内容完整，分析透彻，逻辑清晰，用语准确。并就审计初稿的内容与被审计单位交换意见。交换意见时须对具体审计发现问题和初步建议进行阐述，对发生歧义的事项须及时向</w:t>
      </w:r>
      <w:r>
        <w:rPr>
          <w:rFonts w:hint="eastAsia" w:ascii="仿宋_GB2312" w:hAnsi="仿宋_GB2312" w:eastAsia="仿宋_GB2312" w:cs="仿宋_GB2312"/>
          <w:b w:val="0"/>
          <w:bCs w:val="0"/>
          <w:sz w:val="28"/>
          <w:szCs w:val="28"/>
          <w:lang w:eastAsia="zh-CN"/>
        </w:rPr>
        <w:t>甲方</w:t>
      </w:r>
      <w:r>
        <w:rPr>
          <w:rFonts w:hint="eastAsia" w:ascii="仿宋_GB2312" w:hAnsi="仿宋_GB2312" w:eastAsia="仿宋_GB2312" w:cs="仿宋_GB2312"/>
          <w:b w:val="0"/>
          <w:bCs w:val="0"/>
          <w:sz w:val="28"/>
          <w:szCs w:val="28"/>
        </w:rPr>
        <w:t>征询指导意见，交换意见的沟通内容应形成底稿记录，作为后续出具正式报告的依据。</w:t>
      </w:r>
    </w:p>
    <w:p>
      <w:pPr>
        <w:keepNext w:val="0"/>
        <w:keepLines w:val="0"/>
        <w:pageBreakBefore w:val="0"/>
        <w:kinsoku/>
        <w:wordWrap/>
        <w:overflowPunct/>
        <w:topLinePunct w:val="0"/>
        <w:autoSpaceDE/>
        <w:autoSpaceDN/>
        <w:bidi w:val="0"/>
        <w:adjustRightInd/>
        <w:snapToGrid/>
        <w:spacing w:line="560" w:lineRule="exact"/>
        <w:ind w:firstLine="560" w:firstLineChars="200"/>
        <w:rPr>
          <w:rFonts w:hint="eastAsia" w:ascii="仿宋_GB2312" w:hAnsi="仿宋_GB2312" w:eastAsia="仿宋_GB2312" w:cs="仿宋_GB2312"/>
          <w:b w:val="0"/>
          <w:bCs w:val="0"/>
          <w:sz w:val="28"/>
          <w:szCs w:val="28"/>
          <w:lang w:eastAsia="zh-CN"/>
        </w:rPr>
      </w:pPr>
      <w:r>
        <w:rPr>
          <w:rFonts w:hint="eastAsia" w:ascii="仿宋_GB2312" w:hAnsi="仿宋_GB2312" w:eastAsia="仿宋_GB2312" w:cs="仿宋_GB2312"/>
          <w:b w:val="0"/>
          <w:bCs w:val="0"/>
          <w:sz w:val="28"/>
          <w:szCs w:val="28"/>
        </w:rPr>
        <w:t>出具正式审计报告：正式审计报告是在与被审计单位意见交换及与</w:t>
      </w:r>
      <w:r>
        <w:rPr>
          <w:rFonts w:hint="eastAsia" w:ascii="仿宋_GB2312" w:hAnsi="仿宋_GB2312" w:eastAsia="仿宋_GB2312" w:cs="仿宋_GB2312"/>
          <w:b w:val="0"/>
          <w:bCs w:val="0"/>
          <w:sz w:val="28"/>
          <w:szCs w:val="28"/>
          <w:lang w:eastAsia="zh-CN"/>
        </w:rPr>
        <w:t>甲方</w:t>
      </w:r>
      <w:r>
        <w:rPr>
          <w:rFonts w:hint="eastAsia" w:ascii="仿宋_GB2312" w:hAnsi="仿宋_GB2312" w:eastAsia="仿宋_GB2312" w:cs="仿宋_GB2312"/>
          <w:b w:val="0"/>
          <w:bCs w:val="0"/>
          <w:sz w:val="28"/>
          <w:szCs w:val="28"/>
        </w:rPr>
        <w:t>征询指导的基础上，根据沟通结果编制完成</w:t>
      </w:r>
      <w:r>
        <w:rPr>
          <w:rFonts w:hint="eastAsia" w:ascii="仿宋_GB2312" w:hAnsi="仿宋_GB2312" w:eastAsia="仿宋_GB2312" w:cs="仿宋_GB2312"/>
          <w:b w:val="0"/>
          <w:bCs w:val="0"/>
          <w:sz w:val="28"/>
          <w:szCs w:val="28"/>
          <w:lang w:eastAsia="zh-CN"/>
        </w:rPr>
        <w:t>，</w:t>
      </w:r>
      <w:r>
        <w:rPr>
          <w:rFonts w:hint="eastAsia" w:ascii="仿宋_GB2312" w:hAnsi="仿宋_GB2312" w:eastAsia="仿宋_GB2312" w:cs="仿宋_GB2312"/>
          <w:b w:val="0"/>
          <w:bCs w:val="0"/>
          <w:sz w:val="28"/>
          <w:szCs w:val="28"/>
        </w:rPr>
        <w:t>报告编制须遵循独立、客观、公正的原则</w:t>
      </w:r>
      <w:r>
        <w:rPr>
          <w:rFonts w:hint="eastAsia" w:ascii="仿宋_GB2312" w:hAnsi="仿宋_GB2312" w:eastAsia="仿宋_GB2312" w:cs="仿宋_GB2312"/>
          <w:b w:val="0"/>
          <w:bCs w:val="0"/>
          <w:sz w:val="28"/>
          <w:szCs w:val="28"/>
          <w:lang w:eastAsia="zh-CN"/>
        </w:rPr>
        <w:t>，</w:t>
      </w:r>
      <w:r>
        <w:rPr>
          <w:rFonts w:hint="eastAsia" w:ascii="仿宋_GB2312" w:hAnsi="仿宋_GB2312" w:eastAsia="仿宋_GB2312" w:cs="仿宋_GB2312"/>
          <w:b w:val="0"/>
          <w:bCs w:val="0"/>
          <w:sz w:val="28"/>
          <w:szCs w:val="28"/>
          <w:lang w:val="en-US" w:eastAsia="zh-CN"/>
        </w:rPr>
        <w:t>并</w:t>
      </w:r>
      <w:r>
        <w:rPr>
          <w:rFonts w:hint="eastAsia" w:ascii="仿宋_GB2312" w:hAnsi="仿宋_GB2312" w:eastAsia="仿宋_GB2312" w:cs="仿宋_GB2312"/>
          <w:b w:val="0"/>
          <w:bCs w:val="0"/>
          <w:sz w:val="28"/>
          <w:szCs w:val="28"/>
        </w:rPr>
        <w:t>在合同规定时间内出具报告正稿，提交</w:t>
      </w:r>
      <w:r>
        <w:rPr>
          <w:rFonts w:hint="eastAsia" w:ascii="仿宋_GB2312" w:hAnsi="仿宋_GB2312" w:eastAsia="仿宋_GB2312" w:cs="仿宋_GB2312"/>
          <w:b w:val="0"/>
          <w:bCs w:val="0"/>
          <w:sz w:val="28"/>
          <w:szCs w:val="28"/>
          <w:lang w:eastAsia="zh-CN"/>
        </w:rPr>
        <w:t>甲方。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default" w:ascii="黑体" w:hAnsi="黑体" w:eastAsia="黑体" w:cs="黑体"/>
          <w:b w:val="0"/>
          <w:bCs w:val="0"/>
          <w:sz w:val="28"/>
          <w:szCs w:val="28"/>
          <w:highlight w:val="none"/>
          <w:lang w:val="en-US" w:eastAsia="zh-CN"/>
        </w:rPr>
      </w:pPr>
      <w:r>
        <w:rPr>
          <w:rFonts w:hint="eastAsia" w:ascii="黑体" w:hAnsi="黑体" w:eastAsia="黑体" w:cs="黑体"/>
          <w:b w:val="0"/>
          <w:bCs w:val="0"/>
          <w:sz w:val="28"/>
          <w:szCs w:val="28"/>
          <w:highlight w:val="none"/>
          <w:lang w:val="en-US" w:eastAsia="zh-CN"/>
        </w:rPr>
        <w:t>六、质量保障</w:t>
      </w:r>
    </w:p>
    <w:p>
      <w:pPr>
        <w:keepNext w:val="0"/>
        <w:keepLines w:val="0"/>
        <w:pageBreakBefore w:val="0"/>
        <w:kinsoku/>
        <w:wordWrap/>
        <w:overflowPunct/>
        <w:topLinePunct w:val="0"/>
        <w:autoSpaceDE/>
        <w:autoSpaceDN/>
        <w:bidi w:val="0"/>
        <w:adjustRightInd/>
        <w:snapToGrid/>
        <w:spacing w:line="560" w:lineRule="exact"/>
        <w:ind w:firstLine="560" w:firstLineChars="200"/>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lang w:val="en-US" w:eastAsia="zh-CN"/>
        </w:rPr>
        <w:t>为</w:t>
      </w:r>
      <w:r>
        <w:rPr>
          <w:rFonts w:hint="eastAsia" w:ascii="仿宋_GB2312" w:hAnsi="仿宋_GB2312" w:eastAsia="仿宋_GB2312" w:cs="仿宋_GB2312"/>
          <w:b w:val="0"/>
          <w:bCs w:val="0"/>
          <w:sz w:val="28"/>
          <w:szCs w:val="28"/>
        </w:rPr>
        <w:t>确保审计工作的准确性、全面性和可靠性</w:t>
      </w:r>
      <w:r>
        <w:rPr>
          <w:rFonts w:hint="eastAsia" w:ascii="仿宋_GB2312" w:hAnsi="仿宋_GB2312" w:eastAsia="仿宋_GB2312" w:cs="仿宋_GB2312"/>
          <w:b w:val="0"/>
          <w:bCs w:val="0"/>
          <w:sz w:val="28"/>
          <w:szCs w:val="28"/>
          <w:lang w:eastAsia="zh-CN"/>
        </w:rPr>
        <w:t>，</w:t>
      </w:r>
      <w:r>
        <w:rPr>
          <w:rFonts w:hint="eastAsia" w:ascii="仿宋_GB2312" w:hAnsi="仿宋_GB2312" w:eastAsia="仿宋_GB2312" w:cs="仿宋_GB2312"/>
          <w:b w:val="0"/>
          <w:bCs w:val="0"/>
          <w:sz w:val="28"/>
          <w:szCs w:val="28"/>
        </w:rPr>
        <w:t>针对本次审计项目</w:t>
      </w:r>
      <w:r>
        <w:rPr>
          <w:rFonts w:hint="eastAsia" w:ascii="仿宋_GB2312" w:hAnsi="仿宋_GB2312" w:eastAsia="仿宋_GB2312" w:cs="仿宋_GB2312"/>
          <w:b w:val="0"/>
          <w:bCs w:val="0"/>
          <w:sz w:val="28"/>
          <w:szCs w:val="28"/>
          <w:lang w:val="en-US" w:eastAsia="zh-CN"/>
        </w:rPr>
        <w:t>特点，</w:t>
      </w:r>
      <w:r>
        <w:rPr>
          <w:rFonts w:hint="eastAsia" w:ascii="仿宋_GB2312" w:hAnsi="仿宋_GB2312" w:eastAsia="仿宋_GB2312" w:cs="仿宋_GB2312"/>
          <w:b w:val="0"/>
          <w:bCs w:val="0"/>
          <w:sz w:val="28"/>
          <w:szCs w:val="28"/>
          <w:lang w:eastAsia="zh-CN"/>
        </w:rPr>
        <w:t>乙方</w:t>
      </w:r>
      <w:r>
        <w:rPr>
          <w:rFonts w:hint="eastAsia" w:ascii="仿宋_GB2312" w:hAnsi="仿宋_GB2312" w:eastAsia="仿宋_GB2312" w:cs="仿宋_GB2312"/>
          <w:b w:val="0"/>
          <w:bCs w:val="0"/>
          <w:sz w:val="28"/>
          <w:szCs w:val="28"/>
        </w:rPr>
        <w:t>采取以下质量保障措施：</w:t>
      </w:r>
    </w:p>
    <w:p>
      <w:pPr>
        <w:keepNext w:val="0"/>
        <w:keepLines w:val="0"/>
        <w:pageBreakBefore w:val="0"/>
        <w:kinsoku/>
        <w:wordWrap/>
        <w:overflowPunct/>
        <w:topLinePunct w:val="0"/>
        <w:autoSpaceDE/>
        <w:autoSpaceDN/>
        <w:bidi w:val="0"/>
        <w:adjustRightInd/>
        <w:snapToGrid/>
        <w:spacing w:line="560" w:lineRule="exact"/>
        <w:ind w:firstLine="560" w:firstLineChars="200"/>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（一）提升审计人员素质</w:t>
      </w:r>
    </w:p>
    <w:p>
      <w:pPr>
        <w:keepNext w:val="0"/>
        <w:keepLines w:val="0"/>
        <w:pageBreakBefore w:val="0"/>
        <w:kinsoku/>
        <w:wordWrap/>
        <w:overflowPunct/>
        <w:topLinePunct w:val="0"/>
        <w:autoSpaceDE/>
        <w:autoSpaceDN/>
        <w:bidi w:val="0"/>
        <w:adjustRightInd/>
        <w:snapToGrid/>
        <w:spacing w:line="560" w:lineRule="exact"/>
        <w:ind w:firstLine="560" w:firstLineChars="200"/>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1.专业知识与技能：审计人员需要具备必要的管理学、经济学知识，以及专业技能和职业道德。我们配备的审计团队成员有注册会计师、经济师、助理会计师等执业资格和职称，近几年通过参加各类考试和培训，整体素质都得到了较大的提升，具备审计人员的专业理论水平和实践能力。</w:t>
      </w:r>
    </w:p>
    <w:p>
      <w:pPr>
        <w:keepNext w:val="0"/>
        <w:keepLines w:val="0"/>
        <w:pageBreakBefore w:val="0"/>
        <w:kinsoku/>
        <w:wordWrap/>
        <w:overflowPunct/>
        <w:topLinePunct w:val="0"/>
        <w:autoSpaceDE/>
        <w:autoSpaceDN/>
        <w:bidi w:val="0"/>
        <w:adjustRightInd/>
        <w:snapToGrid/>
        <w:spacing w:line="560" w:lineRule="exact"/>
        <w:ind w:firstLine="560" w:firstLineChars="200"/>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2.持续学习与培训：我所审计人员每年定期接受专业的后续教育培训，能及时了解最新的审计方法和技术，以应对不断变化的审计环境。</w:t>
      </w:r>
    </w:p>
    <w:p>
      <w:pPr>
        <w:keepNext w:val="0"/>
        <w:keepLines w:val="0"/>
        <w:pageBreakBefore w:val="0"/>
        <w:kinsoku/>
        <w:wordWrap/>
        <w:overflowPunct/>
        <w:topLinePunct w:val="0"/>
        <w:autoSpaceDE/>
        <w:autoSpaceDN/>
        <w:bidi w:val="0"/>
        <w:adjustRightInd/>
        <w:snapToGrid/>
        <w:spacing w:line="560" w:lineRule="exact"/>
        <w:ind w:firstLine="560" w:firstLineChars="200"/>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w:t>
      </w:r>
      <w:r>
        <w:rPr>
          <w:rFonts w:hint="eastAsia" w:ascii="仿宋_GB2312" w:hAnsi="仿宋_GB2312" w:eastAsia="仿宋_GB2312" w:cs="仿宋_GB2312"/>
          <w:b w:val="0"/>
          <w:bCs w:val="0"/>
          <w:sz w:val="28"/>
          <w:szCs w:val="28"/>
          <w:lang w:val="en-US" w:eastAsia="zh-CN"/>
        </w:rPr>
        <w:t>二</w:t>
      </w:r>
      <w:r>
        <w:rPr>
          <w:rFonts w:hint="eastAsia" w:ascii="仿宋_GB2312" w:hAnsi="仿宋_GB2312" w:eastAsia="仿宋_GB2312" w:cs="仿宋_GB2312"/>
          <w:b w:val="0"/>
          <w:bCs w:val="0"/>
          <w:sz w:val="28"/>
          <w:szCs w:val="28"/>
        </w:rPr>
        <w:t>）严</w:t>
      </w:r>
      <w:r>
        <w:rPr>
          <w:rFonts w:hint="eastAsia" w:ascii="仿宋_GB2312" w:hAnsi="仿宋_GB2312" w:eastAsia="仿宋_GB2312" w:cs="仿宋_GB2312"/>
          <w:b w:val="0"/>
          <w:bCs w:val="0"/>
          <w:sz w:val="28"/>
          <w:szCs w:val="28"/>
          <w:lang w:val="en-US" w:eastAsia="zh-CN"/>
        </w:rPr>
        <w:t>格审计</w:t>
      </w:r>
      <w:r>
        <w:rPr>
          <w:rFonts w:hint="eastAsia" w:ascii="仿宋_GB2312" w:hAnsi="仿宋_GB2312" w:eastAsia="仿宋_GB2312" w:cs="仿宋_GB2312"/>
          <w:b w:val="0"/>
          <w:bCs w:val="0"/>
          <w:sz w:val="28"/>
          <w:szCs w:val="28"/>
        </w:rPr>
        <w:t>程序</w:t>
      </w:r>
      <w:r>
        <w:rPr>
          <w:rFonts w:hint="eastAsia" w:ascii="仿宋_GB2312" w:hAnsi="仿宋_GB2312" w:eastAsia="仿宋_GB2312" w:cs="仿宋_GB2312"/>
          <w:b w:val="0"/>
          <w:bCs w:val="0"/>
          <w:sz w:val="28"/>
          <w:szCs w:val="28"/>
          <w:lang w:eastAsia="zh-CN"/>
        </w:rPr>
        <w:t>，</w:t>
      </w:r>
      <w:r>
        <w:rPr>
          <w:rFonts w:hint="eastAsia" w:ascii="仿宋_GB2312" w:hAnsi="仿宋_GB2312" w:eastAsia="仿宋_GB2312" w:cs="仿宋_GB2312"/>
          <w:b w:val="0"/>
          <w:bCs w:val="0"/>
          <w:sz w:val="28"/>
          <w:szCs w:val="28"/>
          <w:lang w:val="en-US" w:eastAsia="zh-CN"/>
        </w:rPr>
        <w:t>重视审计</w:t>
      </w:r>
      <w:r>
        <w:rPr>
          <w:rFonts w:hint="eastAsia" w:ascii="仿宋_GB2312" w:hAnsi="仿宋_GB2312" w:eastAsia="仿宋_GB2312" w:cs="仿宋_GB2312"/>
          <w:b w:val="0"/>
          <w:bCs w:val="0"/>
          <w:sz w:val="28"/>
          <w:szCs w:val="28"/>
        </w:rPr>
        <w:t>取证</w:t>
      </w:r>
    </w:p>
    <w:p>
      <w:pPr>
        <w:keepNext w:val="0"/>
        <w:keepLines w:val="0"/>
        <w:pageBreakBefore w:val="0"/>
        <w:kinsoku/>
        <w:wordWrap/>
        <w:overflowPunct/>
        <w:topLinePunct w:val="0"/>
        <w:autoSpaceDE/>
        <w:autoSpaceDN/>
        <w:bidi w:val="0"/>
        <w:adjustRightInd/>
        <w:snapToGrid/>
        <w:spacing w:line="560" w:lineRule="exact"/>
        <w:ind w:firstLine="560" w:firstLineChars="200"/>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1.法定方法与步骤：按照审计方案确定的方法、方式、步骤、时间和顺序开展审计工作，确保审计工作的规范性和一致性。</w:t>
      </w:r>
    </w:p>
    <w:p>
      <w:pPr>
        <w:keepNext w:val="0"/>
        <w:keepLines w:val="0"/>
        <w:pageBreakBefore w:val="0"/>
        <w:kinsoku/>
        <w:wordWrap/>
        <w:overflowPunct/>
        <w:topLinePunct w:val="0"/>
        <w:autoSpaceDE/>
        <w:autoSpaceDN/>
        <w:bidi w:val="0"/>
        <w:adjustRightInd/>
        <w:snapToGrid/>
        <w:spacing w:line="560" w:lineRule="exact"/>
        <w:ind w:firstLine="560" w:firstLineChars="200"/>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2.高质量审计证据：多渠道、多方式取得项目资料，通过交叉对比、数据分析等审计方法确认审计证据的有效性、客观性、相关性和充分性。</w:t>
      </w:r>
    </w:p>
    <w:p>
      <w:pPr>
        <w:keepNext w:val="0"/>
        <w:keepLines w:val="0"/>
        <w:pageBreakBefore w:val="0"/>
        <w:kinsoku/>
        <w:wordWrap/>
        <w:overflowPunct/>
        <w:topLinePunct w:val="0"/>
        <w:autoSpaceDE/>
        <w:autoSpaceDN/>
        <w:bidi w:val="0"/>
        <w:adjustRightInd/>
        <w:snapToGrid/>
        <w:spacing w:line="560" w:lineRule="exact"/>
        <w:ind w:firstLine="560" w:firstLineChars="200"/>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w:t>
      </w:r>
      <w:r>
        <w:rPr>
          <w:rFonts w:hint="eastAsia" w:ascii="仿宋_GB2312" w:hAnsi="仿宋_GB2312" w:eastAsia="仿宋_GB2312" w:cs="仿宋_GB2312"/>
          <w:b w:val="0"/>
          <w:bCs w:val="0"/>
          <w:sz w:val="28"/>
          <w:szCs w:val="28"/>
          <w:lang w:val="en-US" w:eastAsia="zh-CN"/>
        </w:rPr>
        <w:t>三</w:t>
      </w:r>
      <w:r>
        <w:rPr>
          <w:rFonts w:hint="eastAsia" w:ascii="仿宋_GB2312" w:hAnsi="仿宋_GB2312" w:eastAsia="仿宋_GB2312" w:cs="仿宋_GB2312"/>
          <w:b w:val="0"/>
          <w:bCs w:val="0"/>
          <w:sz w:val="28"/>
          <w:szCs w:val="28"/>
        </w:rPr>
        <w:t>）建立健全全面质量控制体系</w:t>
      </w:r>
    </w:p>
    <w:p>
      <w:pPr>
        <w:keepNext w:val="0"/>
        <w:keepLines w:val="0"/>
        <w:pageBreakBefore w:val="0"/>
        <w:kinsoku/>
        <w:wordWrap/>
        <w:overflowPunct/>
        <w:topLinePunct w:val="0"/>
        <w:autoSpaceDE/>
        <w:autoSpaceDN/>
        <w:bidi w:val="0"/>
        <w:adjustRightInd/>
        <w:snapToGrid/>
        <w:spacing w:line="560" w:lineRule="exact"/>
        <w:ind w:firstLine="560" w:firstLineChars="200"/>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1.质量控制点设置：在审计过程中设置关键质量控制点，对审计工作的关键环节进行重点把控。利用数据分析工具对审计对象的相关数据进行分析，发现异常情况和潜在风险，并进行进一步的审计调查。</w:t>
      </w:r>
    </w:p>
    <w:p>
      <w:pPr>
        <w:keepNext w:val="0"/>
        <w:keepLines w:val="0"/>
        <w:pageBreakBefore w:val="0"/>
        <w:kinsoku/>
        <w:wordWrap/>
        <w:overflowPunct/>
        <w:topLinePunct w:val="0"/>
        <w:autoSpaceDE/>
        <w:autoSpaceDN/>
        <w:bidi w:val="0"/>
        <w:adjustRightInd/>
        <w:snapToGrid/>
        <w:spacing w:line="560" w:lineRule="exact"/>
        <w:ind w:firstLine="560" w:firstLineChars="200"/>
        <w:rPr>
          <w:rFonts w:hint="eastAsia" w:ascii="仿宋_GB2312" w:hAnsi="仿宋_GB2312" w:eastAsia="仿宋_GB2312" w:cs="仿宋_GB2312"/>
          <w:b w:val="0"/>
          <w:bCs w:val="0"/>
          <w:sz w:val="28"/>
          <w:szCs w:val="28"/>
          <w:lang w:eastAsia="zh-CN"/>
        </w:rPr>
      </w:pPr>
      <w:r>
        <w:rPr>
          <w:rFonts w:hint="eastAsia" w:ascii="仿宋_GB2312" w:hAnsi="仿宋_GB2312" w:eastAsia="仿宋_GB2312" w:cs="仿宋_GB2312"/>
          <w:b w:val="0"/>
          <w:bCs w:val="0"/>
          <w:sz w:val="28"/>
          <w:szCs w:val="28"/>
        </w:rPr>
        <w:t>2.三级复核制度：实施项目组内复核、项目负责人复核、总审复核的三级复核制度，确保审计底稿的准确性和完整性。</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黑体" w:hAnsi="黑体" w:eastAsia="黑体" w:cs="黑体"/>
          <w:b w:val="0"/>
          <w:bCs w:val="0"/>
          <w:sz w:val="28"/>
          <w:szCs w:val="28"/>
          <w:highlight w:val="none"/>
          <w:lang w:val="en-US" w:eastAsia="zh-CN"/>
        </w:rPr>
      </w:pPr>
      <w:r>
        <w:rPr>
          <w:rFonts w:hint="eastAsia" w:ascii="黑体" w:hAnsi="黑体" w:eastAsia="黑体" w:cs="黑体"/>
          <w:b w:val="0"/>
          <w:bCs w:val="0"/>
          <w:sz w:val="28"/>
          <w:szCs w:val="28"/>
          <w:highlight w:val="none"/>
          <w:lang w:val="en-US" w:eastAsia="zh-CN"/>
        </w:rPr>
        <w:t>七、项目执行团队</w:t>
      </w:r>
    </w:p>
    <w:p>
      <w:pPr>
        <w:keepNext w:val="0"/>
        <w:keepLines w:val="0"/>
        <w:pageBreakBefore w:val="0"/>
        <w:kinsoku/>
        <w:wordWrap/>
        <w:overflowPunct/>
        <w:topLinePunct w:val="0"/>
        <w:autoSpaceDE/>
        <w:autoSpaceDN/>
        <w:bidi w:val="0"/>
        <w:adjustRightInd/>
        <w:snapToGrid/>
        <w:spacing w:line="560" w:lineRule="exact"/>
        <w:ind w:firstLine="560" w:firstLineChars="200"/>
        <w:rPr>
          <w:rFonts w:hint="default" w:ascii="仿宋_GB2312" w:hAnsi="仿宋_GB2312" w:eastAsia="仿宋_GB2312" w:cs="仿宋_GB2312"/>
          <w:b w:val="0"/>
          <w:bCs w:val="0"/>
          <w:sz w:val="28"/>
          <w:szCs w:val="28"/>
          <w:lang w:val="en-US"/>
        </w:rPr>
      </w:pPr>
      <w:r>
        <w:rPr>
          <w:rFonts w:hint="eastAsia" w:ascii="仿宋_GB2312" w:hAnsi="仿宋_GB2312" w:eastAsia="仿宋_GB2312" w:cs="仿宋_GB2312"/>
          <w:b w:val="0"/>
          <w:bCs w:val="0"/>
          <w:sz w:val="28"/>
          <w:szCs w:val="28"/>
          <w:lang w:val="en-US" w:eastAsia="zh-CN"/>
        </w:rPr>
        <w:t>组建项目专项审计组共4人，设</w:t>
      </w:r>
      <w:r>
        <w:rPr>
          <w:rFonts w:hint="eastAsia" w:ascii="仿宋_GB2312" w:hAnsi="仿宋_GB2312" w:eastAsia="仿宋_GB2312" w:cs="仿宋_GB2312"/>
          <w:b w:val="0"/>
          <w:bCs w:val="0"/>
          <w:sz w:val="28"/>
          <w:szCs w:val="28"/>
          <w:lang w:eastAsia="zh-CN"/>
        </w:rPr>
        <w:t>总项目负责人</w:t>
      </w:r>
      <w:r>
        <w:rPr>
          <w:rFonts w:hint="eastAsia" w:ascii="仿宋_GB2312" w:hAnsi="仿宋_GB2312" w:eastAsia="仿宋_GB2312" w:cs="仿宋_GB2312"/>
          <w:b w:val="0"/>
          <w:bCs w:val="0"/>
          <w:sz w:val="28"/>
          <w:szCs w:val="28"/>
          <w:lang w:val="en-US" w:eastAsia="zh-CN"/>
        </w:rPr>
        <w:t>1人，</w:t>
      </w:r>
      <w:r>
        <w:rPr>
          <w:rFonts w:hint="eastAsia" w:ascii="仿宋_GB2312" w:hAnsi="仿宋_GB2312" w:eastAsia="仿宋_GB2312" w:cs="仿宋_GB2312"/>
          <w:b w:val="0"/>
          <w:bCs w:val="0"/>
          <w:sz w:val="28"/>
          <w:szCs w:val="28"/>
          <w:lang w:eastAsia="zh-CN"/>
        </w:rPr>
        <w:t>负责项目的管理、沟通及协调工作</w:t>
      </w:r>
      <w:r>
        <w:rPr>
          <w:rFonts w:hint="eastAsia" w:ascii="仿宋_GB2312" w:hAnsi="仿宋_GB2312" w:eastAsia="仿宋_GB2312" w:cs="仿宋_GB2312"/>
          <w:b w:val="0"/>
          <w:bCs w:val="0"/>
          <w:sz w:val="28"/>
          <w:szCs w:val="28"/>
          <w:lang w:val="en-US" w:eastAsia="zh-CN"/>
        </w:rPr>
        <w:t>；设项目经理1人，负责落实审计项目计划，汇总现场勘察资料，反馈审计发现问题等具体审计事项；配备审计助理2人。审计项目人员配置确定后，及时将项目负责人及联系方式向甲方报备。项目人员确认后未经甲</w:t>
      </w:r>
      <w:bookmarkStart w:id="0" w:name="_GoBack"/>
      <w:bookmarkEnd w:id="0"/>
      <w:r>
        <w:rPr>
          <w:rFonts w:hint="eastAsia" w:ascii="仿宋_GB2312" w:hAnsi="仿宋_GB2312" w:eastAsia="仿宋_GB2312" w:cs="仿宋_GB2312"/>
          <w:b w:val="0"/>
          <w:bCs w:val="0"/>
          <w:sz w:val="28"/>
          <w:szCs w:val="28"/>
          <w:lang w:val="en-US" w:eastAsia="zh-CN"/>
        </w:rPr>
        <w:t>方同意不得随意更换核心人员</w:t>
      </w:r>
      <w:r>
        <w:rPr>
          <w:rFonts w:hint="default" w:ascii="仿宋_GB2312" w:hAnsi="仿宋_GB2312" w:eastAsia="仿宋_GB2312" w:cs="仿宋_GB2312"/>
          <w:b w:val="0"/>
          <w:bCs w:val="0"/>
          <w:sz w:val="28"/>
          <w:szCs w:val="28"/>
          <w:lang w:val="en-US" w:eastAsia="zh-CN"/>
        </w:rPr>
        <w:t>.</w:t>
      </w:r>
    </w:p>
    <w:p>
      <w:pPr>
        <w:keepNext w:val="0"/>
        <w:keepLines w:val="0"/>
        <w:pageBreakBefore w:val="0"/>
        <w:kinsoku/>
        <w:wordWrap/>
        <w:overflowPunct/>
        <w:topLinePunct w:val="0"/>
        <w:autoSpaceDE/>
        <w:autoSpaceDN/>
        <w:bidi w:val="0"/>
        <w:adjustRightInd/>
        <w:snapToGrid/>
        <w:spacing w:line="560" w:lineRule="exact"/>
        <w:ind w:firstLine="560" w:firstLineChars="200"/>
        <w:rPr>
          <w:rFonts w:hint="eastAsia" w:ascii="仿宋_GB2312" w:hAnsi="仿宋_GB2312" w:eastAsia="仿宋_GB2312" w:cs="仿宋_GB2312"/>
          <w:b w:val="0"/>
          <w:bCs w:val="0"/>
          <w:sz w:val="28"/>
          <w:szCs w:val="28"/>
          <w:lang w:val="en-US" w:eastAsia="zh-CN"/>
        </w:rPr>
      </w:pPr>
    </w:p>
    <w:tbl>
      <w:tblPr>
        <w:tblStyle w:val="2"/>
        <w:tblW w:w="8125" w:type="dxa"/>
        <w:tblInd w:w="10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22"/>
        <w:gridCol w:w="3547"/>
        <w:gridCol w:w="39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b w:val="0"/>
                <w:bCs w:val="0"/>
                <w:i w:val="0"/>
                <w:iCs w:val="0"/>
                <w:color w:val="000000"/>
                <w:sz w:val="20"/>
                <w:szCs w:val="20"/>
                <w:u w:val="none"/>
              </w:rPr>
            </w:pPr>
            <w:r>
              <w:rPr>
                <w:rFonts w:hint="eastAsia" w:ascii="仿宋_GB2312" w:hAnsi="仿宋_GB2312" w:eastAsia="仿宋_GB2312" w:cs="仿宋_GB2312"/>
                <w:b w:val="0"/>
                <w:bCs w:val="0"/>
                <w:i w:val="0"/>
                <w:iCs w:val="0"/>
                <w:color w:val="000000"/>
                <w:kern w:val="0"/>
                <w:sz w:val="20"/>
                <w:szCs w:val="20"/>
                <w:u w:val="none"/>
                <w:lang w:val="en-US" w:eastAsia="zh-CN" w:bidi="ar"/>
              </w:rPr>
              <w:t>序号</w:t>
            </w:r>
          </w:p>
        </w:tc>
        <w:tc>
          <w:tcPr>
            <w:tcW w:w="35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b w:val="0"/>
                <w:bCs w:val="0"/>
                <w:i w:val="0"/>
                <w:iCs w:val="0"/>
                <w:color w:val="000000"/>
                <w:sz w:val="20"/>
                <w:szCs w:val="20"/>
                <w:u w:val="none"/>
              </w:rPr>
            </w:pPr>
            <w:r>
              <w:rPr>
                <w:rFonts w:hint="eastAsia" w:ascii="仿宋_GB2312" w:hAnsi="仿宋_GB2312" w:eastAsia="仿宋_GB2312" w:cs="仿宋_GB2312"/>
                <w:b w:val="0"/>
                <w:bCs w:val="0"/>
                <w:i w:val="0"/>
                <w:iCs w:val="0"/>
                <w:color w:val="000000"/>
                <w:kern w:val="0"/>
                <w:sz w:val="20"/>
                <w:szCs w:val="20"/>
                <w:u w:val="none"/>
                <w:lang w:val="en-US" w:eastAsia="zh-CN" w:bidi="ar"/>
              </w:rPr>
              <w:t>项目职责</w:t>
            </w:r>
          </w:p>
        </w:tc>
        <w:tc>
          <w:tcPr>
            <w:tcW w:w="39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b w:val="0"/>
                <w:bCs w:val="0"/>
                <w:i w:val="0"/>
                <w:iCs w:val="0"/>
                <w:color w:val="000000"/>
                <w:sz w:val="20"/>
                <w:szCs w:val="20"/>
                <w:u w:val="none"/>
              </w:rPr>
            </w:pPr>
            <w:r>
              <w:rPr>
                <w:rFonts w:hint="eastAsia" w:ascii="仿宋_GB2312" w:hAnsi="仿宋_GB2312" w:eastAsia="仿宋_GB2312" w:cs="仿宋_GB2312"/>
                <w:b w:val="0"/>
                <w:bCs w:val="0"/>
                <w:i w:val="0"/>
                <w:iCs w:val="0"/>
                <w:color w:val="000000"/>
                <w:kern w:val="0"/>
                <w:sz w:val="20"/>
                <w:szCs w:val="20"/>
                <w:u w:val="none"/>
                <w:lang w:val="en-US" w:eastAsia="zh-CN" w:bidi="ar"/>
              </w:rPr>
              <w:t>执业资格/职称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b w:val="0"/>
                <w:bCs w:val="0"/>
                <w:i w:val="0"/>
                <w:iCs w:val="0"/>
                <w:color w:val="000000"/>
                <w:sz w:val="20"/>
                <w:szCs w:val="20"/>
                <w:u w:val="none"/>
              </w:rPr>
            </w:pPr>
            <w:r>
              <w:rPr>
                <w:rFonts w:hint="eastAsia" w:ascii="仿宋_GB2312" w:hAnsi="仿宋_GB2312" w:eastAsia="仿宋_GB2312" w:cs="仿宋_GB2312"/>
                <w:b w:val="0"/>
                <w:bCs w:val="0"/>
                <w:i w:val="0"/>
                <w:iCs w:val="0"/>
                <w:color w:val="000000"/>
                <w:kern w:val="0"/>
                <w:sz w:val="20"/>
                <w:szCs w:val="20"/>
                <w:u w:val="none"/>
                <w:lang w:val="en-US" w:eastAsia="zh-CN" w:bidi="ar"/>
              </w:rPr>
              <w:t>1</w:t>
            </w:r>
          </w:p>
        </w:tc>
        <w:tc>
          <w:tcPr>
            <w:tcW w:w="35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b w:val="0"/>
                <w:bCs w:val="0"/>
                <w:i w:val="0"/>
                <w:iCs w:val="0"/>
                <w:color w:val="000000"/>
                <w:sz w:val="20"/>
                <w:szCs w:val="20"/>
                <w:u w:val="none"/>
              </w:rPr>
            </w:pPr>
            <w:r>
              <w:rPr>
                <w:rFonts w:hint="eastAsia" w:ascii="仿宋_GB2312" w:hAnsi="仿宋_GB2312" w:eastAsia="仿宋_GB2312" w:cs="仿宋_GB2312"/>
                <w:b w:val="0"/>
                <w:bCs w:val="0"/>
                <w:i w:val="0"/>
                <w:iCs w:val="0"/>
                <w:color w:val="000000"/>
                <w:kern w:val="0"/>
                <w:sz w:val="20"/>
                <w:szCs w:val="20"/>
                <w:u w:val="none"/>
                <w:lang w:val="en-US" w:eastAsia="zh-CN" w:bidi="ar"/>
              </w:rPr>
              <w:t>项目负责人</w:t>
            </w:r>
          </w:p>
        </w:tc>
        <w:tc>
          <w:tcPr>
            <w:tcW w:w="39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b w:val="0"/>
                <w:bCs w:val="0"/>
                <w:i w:val="0"/>
                <w:iCs w:val="0"/>
                <w:color w:val="000000"/>
                <w:sz w:val="20"/>
                <w:szCs w:val="20"/>
                <w:u w:val="none"/>
              </w:rPr>
            </w:pPr>
            <w:r>
              <w:rPr>
                <w:rFonts w:hint="eastAsia" w:ascii="仿宋_GB2312" w:hAnsi="仿宋_GB2312" w:eastAsia="仿宋_GB2312" w:cs="仿宋_GB2312"/>
                <w:b w:val="0"/>
                <w:bCs w:val="0"/>
                <w:i w:val="0"/>
                <w:iCs w:val="0"/>
                <w:color w:val="000000"/>
                <w:kern w:val="0"/>
                <w:sz w:val="20"/>
                <w:szCs w:val="20"/>
                <w:u w:val="none"/>
                <w:lang w:val="en-US" w:eastAsia="zh-CN" w:bidi="ar"/>
              </w:rPr>
              <w:t>注册会计师,注册资产评估师,注册税务师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b w:val="0"/>
                <w:bCs w:val="0"/>
                <w:i w:val="0"/>
                <w:iCs w:val="0"/>
                <w:color w:val="000000"/>
                <w:sz w:val="20"/>
                <w:szCs w:val="20"/>
                <w:u w:val="none"/>
              </w:rPr>
            </w:pPr>
            <w:r>
              <w:rPr>
                <w:rFonts w:hint="eastAsia" w:ascii="仿宋_GB2312" w:hAnsi="仿宋_GB2312" w:eastAsia="仿宋_GB2312" w:cs="仿宋_GB2312"/>
                <w:b w:val="0"/>
                <w:bCs w:val="0"/>
                <w:i w:val="0"/>
                <w:iCs w:val="0"/>
                <w:color w:val="000000"/>
                <w:kern w:val="0"/>
                <w:sz w:val="20"/>
                <w:szCs w:val="20"/>
                <w:u w:val="none"/>
                <w:lang w:val="en-US" w:eastAsia="zh-CN" w:bidi="ar"/>
              </w:rPr>
              <w:t>2</w:t>
            </w:r>
          </w:p>
        </w:tc>
        <w:tc>
          <w:tcPr>
            <w:tcW w:w="35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b w:val="0"/>
                <w:bCs w:val="0"/>
                <w:i w:val="0"/>
                <w:iCs w:val="0"/>
                <w:color w:val="000000"/>
                <w:sz w:val="20"/>
                <w:szCs w:val="20"/>
                <w:u w:val="none"/>
              </w:rPr>
            </w:pPr>
            <w:r>
              <w:rPr>
                <w:rFonts w:hint="eastAsia" w:ascii="仿宋_GB2312" w:hAnsi="仿宋_GB2312" w:eastAsia="仿宋_GB2312" w:cs="仿宋_GB2312"/>
                <w:b w:val="0"/>
                <w:bCs w:val="0"/>
                <w:i w:val="0"/>
                <w:iCs w:val="0"/>
                <w:color w:val="000000"/>
                <w:kern w:val="0"/>
                <w:sz w:val="20"/>
                <w:szCs w:val="20"/>
                <w:u w:val="none"/>
                <w:lang w:val="en-US" w:eastAsia="zh-CN" w:bidi="ar"/>
              </w:rPr>
              <w:t>项目经理</w:t>
            </w:r>
          </w:p>
        </w:tc>
        <w:tc>
          <w:tcPr>
            <w:tcW w:w="39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b w:val="0"/>
                <w:bCs w:val="0"/>
                <w:i w:val="0"/>
                <w:iCs w:val="0"/>
                <w:color w:val="000000"/>
                <w:sz w:val="20"/>
                <w:szCs w:val="20"/>
                <w:u w:val="none"/>
              </w:rPr>
            </w:pPr>
            <w:r>
              <w:rPr>
                <w:rFonts w:hint="eastAsia" w:ascii="仿宋_GB2312" w:hAnsi="仿宋_GB2312" w:eastAsia="仿宋_GB2312" w:cs="仿宋_GB2312"/>
                <w:b w:val="0"/>
                <w:bCs w:val="0"/>
                <w:i w:val="0"/>
                <w:iCs w:val="0"/>
                <w:color w:val="000000"/>
                <w:kern w:val="0"/>
                <w:sz w:val="20"/>
                <w:szCs w:val="20"/>
                <w:u w:val="none"/>
                <w:lang w:val="en-US" w:eastAsia="zh-CN" w:bidi="ar"/>
              </w:rPr>
              <w:t>注册会计师，注册税务师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b w:val="0"/>
                <w:bCs w:val="0"/>
                <w:i w:val="0"/>
                <w:iCs w:val="0"/>
                <w:color w:val="000000"/>
                <w:sz w:val="20"/>
                <w:szCs w:val="20"/>
                <w:u w:val="none"/>
              </w:rPr>
            </w:pPr>
            <w:r>
              <w:rPr>
                <w:rFonts w:hint="eastAsia" w:ascii="仿宋_GB2312" w:hAnsi="仿宋_GB2312" w:eastAsia="仿宋_GB2312" w:cs="仿宋_GB2312"/>
                <w:b w:val="0"/>
                <w:bCs w:val="0"/>
                <w:i w:val="0"/>
                <w:iCs w:val="0"/>
                <w:color w:val="000000"/>
                <w:kern w:val="0"/>
                <w:sz w:val="20"/>
                <w:szCs w:val="20"/>
                <w:u w:val="none"/>
                <w:lang w:val="en-US" w:eastAsia="zh-CN" w:bidi="ar"/>
              </w:rPr>
              <w:t>3</w:t>
            </w:r>
          </w:p>
        </w:tc>
        <w:tc>
          <w:tcPr>
            <w:tcW w:w="35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b w:val="0"/>
                <w:bCs w:val="0"/>
                <w:i w:val="0"/>
                <w:iCs w:val="0"/>
                <w:color w:val="000000"/>
                <w:sz w:val="20"/>
                <w:szCs w:val="20"/>
                <w:u w:val="none"/>
              </w:rPr>
            </w:pPr>
            <w:r>
              <w:rPr>
                <w:rFonts w:hint="eastAsia" w:ascii="仿宋_GB2312" w:hAnsi="仿宋_GB2312" w:eastAsia="仿宋_GB2312" w:cs="仿宋_GB2312"/>
                <w:b w:val="0"/>
                <w:bCs w:val="0"/>
                <w:i w:val="0"/>
                <w:iCs w:val="0"/>
                <w:color w:val="000000"/>
                <w:kern w:val="0"/>
                <w:sz w:val="20"/>
                <w:szCs w:val="20"/>
                <w:u w:val="none"/>
                <w:lang w:val="en-US" w:eastAsia="zh-CN" w:bidi="ar"/>
              </w:rPr>
              <w:t>审计助理</w:t>
            </w:r>
          </w:p>
        </w:tc>
        <w:tc>
          <w:tcPr>
            <w:tcW w:w="39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b w:val="0"/>
                <w:bCs w:val="0"/>
                <w:i w:val="0"/>
                <w:iCs w:val="0"/>
                <w:color w:val="000000"/>
                <w:sz w:val="20"/>
                <w:szCs w:val="20"/>
                <w:u w:val="none"/>
              </w:rPr>
            </w:pPr>
            <w:r>
              <w:rPr>
                <w:rFonts w:hint="eastAsia" w:ascii="仿宋_GB2312" w:hAnsi="仿宋_GB2312" w:eastAsia="仿宋_GB2312" w:cs="仿宋_GB2312"/>
                <w:b w:val="0"/>
                <w:bCs w:val="0"/>
                <w:i w:val="0"/>
                <w:iCs w:val="0"/>
                <w:color w:val="000000"/>
                <w:kern w:val="0"/>
                <w:sz w:val="20"/>
                <w:szCs w:val="20"/>
                <w:u w:val="none"/>
                <w:lang w:val="en-US" w:eastAsia="zh-CN" w:bidi="ar"/>
              </w:rPr>
              <w:t>助理会计师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b w:val="0"/>
                <w:bCs w:val="0"/>
                <w:i w:val="0"/>
                <w:iCs w:val="0"/>
                <w:color w:val="000000"/>
                <w:sz w:val="20"/>
                <w:szCs w:val="20"/>
                <w:u w:val="none"/>
              </w:rPr>
            </w:pPr>
            <w:r>
              <w:rPr>
                <w:rFonts w:hint="eastAsia" w:ascii="仿宋_GB2312" w:hAnsi="仿宋_GB2312" w:eastAsia="仿宋_GB2312" w:cs="仿宋_GB2312"/>
                <w:b w:val="0"/>
                <w:bCs w:val="0"/>
                <w:i w:val="0"/>
                <w:iCs w:val="0"/>
                <w:color w:val="000000"/>
                <w:kern w:val="0"/>
                <w:sz w:val="20"/>
                <w:szCs w:val="20"/>
                <w:u w:val="none"/>
                <w:lang w:val="en-US" w:eastAsia="zh-CN" w:bidi="ar"/>
              </w:rPr>
              <w:t>4</w:t>
            </w:r>
          </w:p>
        </w:tc>
        <w:tc>
          <w:tcPr>
            <w:tcW w:w="35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b w:val="0"/>
                <w:bCs w:val="0"/>
                <w:i w:val="0"/>
                <w:iCs w:val="0"/>
                <w:color w:val="000000"/>
                <w:sz w:val="20"/>
                <w:szCs w:val="20"/>
                <w:u w:val="none"/>
              </w:rPr>
            </w:pPr>
            <w:r>
              <w:rPr>
                <w:rFonts w:hint="eastAsia" w:ascii="仿宋_GB2312" w:hAnsi="仿宋_GB2312" w:eastAsia="仿宋_GB2312" w:cs="仿宋_GB2312"/>
                <w:b w:val="0"/>
                <w:bCs w:val="0"/>
                <w:i w:val="0"/>
                <w:iCs w:val="0"/>
                <w:color w:val="000000"/>
                <w:kern w:val="0"/>
                <w:sz w:val="20"/>
                <w:szCs w:val="20"/>
                <w:u w:val="none"/>
                <w:lang w:val="en-US" w:eastAsia="zh-CN" w:bidi="ar"/>
              </w:rPr>
              <w:t>审计助理</w:t>
            </w:r>
          </w:p>
        </w:tc>
        <w:tc>
          <w:tcPr>
            <w:tcW w:w="39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b w:val="0"/>
                <w:bCs w:val="0"/>
                <w:i w:val="0"/>
                <w:iCs w:val="0"/>
                <w:color w:val="000000"/>
                <w:sz w:val="20"/>
                <w:szCs w:val="20"/>
                <w:u w:val="none"/>
              </w:rPr>
            </w:pPr>
            <w:r>
              <w:rPr>
                <w:rFonts w:hint="eastAsia" w:ascii="仿宋_GB2312" w:hAnsi="仿宋_GB2312" w:eastAsia="仿宋_GB2312" w:cs="仿宋_GB2312"/>
                <w:b w:val="0"/>
                <w:bCs w:val="0"/>
                <w:i w:val="0"/>
                <w:iCs w:val="0"/>
                <w:color w:val="000000"/>
                <w:kern w:val="0"/>
                <w:sz w:val="20"/>
                <w:szCs w:val="20"/>
                <w:u w:val="none"/>
                <w:lang w:val="en-US" w:eastAsia="zh-CN" w:bidi="ar"/>
              </w:rPr>
              <w:t>助理会计师</w:t>
            </w:r>
          </w:p>
        </w:tc>
      </w:tr>
    </w:tbl>
    <w:p>
      <w:pPr>
        <w:keepNext w:val="0"/>
        <w:keepLines w:val="0"/>
        <w:pageBreakBefore w:val="0"/>
        <w:kinsoku/>
        <w:wordWrap/>
        <w:overflowPunct/>
        <w:topLinePunct w:val="0"/>
        <w:autoSpaceDE/>
        <w:autoSpaceDN/>
        <w:bidi w:val="0"/>
        <w:adjustRightInd/>
        <w:snapToGrid/>
        <w:spacing w:line="560" w:lineRule="exact"/>
        <w:ind w:firstLine="560" w:firstLineChars="200"/>
        <w:rPr>
          <w:rFonts w:hint="eastAsia" w:ascii="仿宋_GB2312" w:hAnsi="仿宋_GB2312" w:eastAsia="仿宋_GB2312" w:cs="仿宋_GB2312"/>
          <w:b w:val="0"/>
          <w:bCs w:val="0"/>
          <w:sz w:val="28"/>
          <w:szCs w:val="28"/>
          <w:lang w:eastAsia="zh-CN"/>
        </w:rPr>
      </w:pPr>
      <w:r>
        <w:rPr>
          <w:rFonts w:hint="eastAsia" w:ascii="仿宋_GB2312" w:hAnsi="仿宋_GB2312" w:eastAsia="仿宋_GB2312" w:cs="仿宋_GB2312"/>
          <w:b w:val="0"/>
          <w:bCs w:val="0"/>
          <w:sz w:val="28"/>
          <w:szCs w:val="28"/>
          <w:lang w:val="en-US" w:eastAsia="zh-CN"/>
        </w:rPr>
        <w:t>审计组组建完成后，需开展进场前对该项目合同及相关政策的学习和培训，旨在了解项目运营管理方式、验收标准等，熟悉本次审计内容和要求，以保证后续审计工作有目的、有重点的开展，提高审计质量和效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黑体" w:hAnsi="黑体" w:eastAsia="黑体" w:cs="黑体"/>
          <w:b w:val="0"/>
          <w:bCs w:val="0"/>
          <w:sz w:val="28"/>
          <w:szCs w:val="28"/>
          <w:highlight w:val="none"/>
          <w:lang w:val="en-US" w:eastAsia="zh-CN"/>
        </w:rPr>
      </w:pPr>
      <w:r>
        <w:rPr>
          <w:rFonts w:hint="eastAsia" w:ascii="黑体" w:hAnsi="黑体" w:eastAsia="黑体" w:cs="黑体"/>
          <w:b w:val="0"/>
          <w:bCs w:val="0"/>
          <w:sz w:val="28"/>
          <w:szCs w:val="28"/>
          <w:highlight w:val="none"/>
          <w:lang w:val="en-US" w:eastAsia="zh-CN"/>
        </w:rPr>
        <w:t>八、经费预算</w:t>
      </w:r>
    </w:p>
    <w:p>
      <w:pPr>
        <w:keepNext w:val="0"/>
        <w:keepLines w:val="0"/>
        <w:pageBreakBefore w:val="0"/>
        <w:kinsoku/>
        <w:wordWrap/>
        <w:overflowPunct/>
        <w:topLinePunct w:val="0"/>
        <w:autoSpaceDE/>
        <w:autoSpaceDN/>
        <w:bidi w:val="0"/>
        <w:adjustRightInd/>
        <w:snapToGrid/>
        <w:spacing w:line="560" w:lineRule="exact"/>
        <w:ind w:firstLine="560" w:firstLineChars="200"/>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本项目经费预算132400元，主要以项目合同金额为依据，并结合审计人员期间跟进安排及预计工作时间，综合确定：一是以中标价1.08亿及审计计费标准计算，费用是9.4万；二是每月跟踪审核，全年预计12天，按助理2人标准是1600*2*12，即3.84万。</w:t>
      </w:r>
    </w:p>
    <w:tbl>
      <w:tblPr>
        <w:tblStyle w:val="2"/>
        <w:tblpPr w:leftFromText="180" w:rightFromText="180" w:vertAnchor="text" w:horzAnchor="page" w:tblpXSpec="center" w:tblpY="124"/>
        <w:tblOverlap w:val="never"/>
        <w:tblW w:w="897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75"/>
        <w:gridCol w:w="1820"/>
        <w:gridCol w:w="2328"/>
        <w:gridCol w:w="1381"/>
        <w:gridCol w:w="1087"/>
        <w:gridCol w:w="158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775"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序号</w:t>
            </w:r>
          </w:p>
        </w:tc>
        <w:tc>
          <w:tcPr>
            <w:tcW w:w="1820"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审计项目</w:t>
            </w:r>
          </w:p>
        </w:tc>
        <w:tc>
          <w:tcPr>
            <w:tcW w:w="2328" w:type="dxa"/>
            <w:vMerge w:val="restart"/>
            <w:tcBorders>
              <w:top w:val="single" w:color="000000" w:sz="4" w:space="0"/>
              <w:left w:val="single" w:color="000000" w:sz="4" w:space="0"/>
              <w:bottom w:val="single" w:color="000000" w:sz="4" w:space="0"/>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人员及工作安排</w:t>
            </w:r>
          </w:p>
        </w:tc>
        <w:tc>
          <w:tcPr>
            <w:tcW w:w="1381" w:type="dxa"/>
            <w:tcBorders>
              <w:top w:val="single" w:color="000000" w:sz="4" w:space="0"/>
              <w:left w:val="single" w:color="000000" w:sz="4" w:space="0"/>
              <w:bottom w:val="nil"/>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合同金额</w:t>
            </w:r>
          </w:p>
        </w:tc>
        <w:tc>
          <w:tcPr>
            <w:tcW w:w="1087" w:type="dxa"/>
            <w:tcBorders>
              <w:top w:val="single" w:color="000000" w:sz="4" w:space="0"/>
              <w:left w:val="single" w:color="000000" w:sz="4" w:space="0"/>
              <w:bottom w:val="nil"/>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预算报价</w:t>
            </w:r>
          </w:p>
        </w:tc>
        <w:tc>
          <w:tcPr>
            <w:tcW w:w="1586" w:type="dxa"/>
            <w:vMerge w:val="restar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775"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560" w:lineRule="exact"/>
              <w:ind w:firstLine="420" w:firstLineChars="200"/>
              <w:jc w:val="center"/>
              <w:rPr>
                <w:rFonts w:hint="eastAsia" w:ascii="仿宋_GB2312" w:hAnsi="仿宋_GB2312" w:eastAsia="仿宋_GB2312" w:cs="仿宋_GB2312"/>
                <w:b w:val="0"/>
                <w:bCs w:val="0"/>
                <w:i w:val="0"/>
                <w:iCs w:val="0"/>
                <w:color w:val="000000"/>
                <w:sz w:val="21"/>
                <w:szCs w:val="21"/>
                <w:u w:val="none"/>
              </w:rPr>
            </w:pPr>
          </w:p>
        </w:tc>
        <w:tc>
          <w:tcPr>
            <w:tcW w:w="1820"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560" w:lineRule="exact"/>
              <w:ind w:firstLine="420" w:firstLineChars="200"/>
              <w:jc w:val="center"/>
              <w:rPr>
                <w:rFonts w:hint="eastAsia" w:ascii="仿宋_GB2312" w:hAnsi="仿宋_GB2312" w:eastAsia="仿宋_GB2312" w:cs="仿宋_GB2312"/>
                <w:b w:val="0"/>
                <w:bCs w:val="0"/>
                <w:i w:val="0"/>
                <w:iCs w:val="0"/>
                <w:color w:val="000000"/>
                <w:sz w:val="21"/>
                <w:szCs w:val="21"/>
                <w:u w:val="none"/>
              </w:rPr>
            </w:pPr>
          </w:p>
        </w:tc>
        <w:tc>
          <w:tcPr>
            <w:tcW w:w="2328" w:type="dxa"/>
            <w:vMerge w:val="continue"/>
            <w:tcBorders>
              <w:top w:val="single" w:color="000000" w:sz="4" w:space="0"/>
              <w:left w:val="single" w:color="000000" w:sz="4" w:space="0"/>
              <w:bottom w:val="single" w:color="000000" w:sz="4" w:space="0"/>
              <w:right w:val="nil"/>
            </w:tcBorders>
            <w:noWrap/>
            <w:vAlign w:val="center"/>
          </w:tcPr>
          <w:p>
            <w:pPr>
              <w:keepNext w:val="0"/>
              <w:keepLines w:val="0"/>
              <w:pageBreakBefore w:val="0"/>
              <w:kinsoku/>
              <w:wordWrap/>
              <w:overflowPunct/>
              <w:topLinePunct w:val="0"/>
              <w:autoSpaceDE/>
              <w:autoSpaceDN/>
              <w:bidi w:val="0"/>
              <w:adjustRightInd/>
              <w:snapToGrid/>
              <w:spacing w:line="560" w:lineRule="exact"/>
              <w:ind w:firstLine="420" w:firstLineChars="200"/>
              <w:jc w:val="center"/>
              <w:rPr>
                <w:rFonts w:hint="eastAsia" w:ascii="仿宋_GB2312" w:hAnsi="仿宋_GB2312" w:eastAsia="仿宋_GB2312" w:cs="仿宋_GB2312"/>
                <w:b w:val="0"/>
                <w:bCs w:val="0"/>
                <w:i w:val="0"/>
                <w:iCs w:val="0"/>
                <w:color w:val="000000"/>
                <w:sz w:val="21"/>
                <w:szCs w:val="21"/>
                <w:u w:val="none"/>
              </w:rPr>
            </w:pPr>
          </w:p>
        </w:tc>
        <w:tc>
          <w:tcPr>
            <w:tcW w:w="1381"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（万元）</w:t>
            </w:r>
          </w:p>
        </w:tc>
        <w:tc>
          <w:tcPr>
            <w:tcW w:w="1087"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（元）</w:t>
            </w:r>
          </w:p>
        </w:tc>
        <w:tc>
          <w:tcPr>
            <w:tcW w:w="1586" w:type="dxa"/>
            <w:vMerge w:val="continue"/>
            <w:tcBorders>
              <w:top w:val="single" w:color="000000" w:sz="4" w:space="0"/>
              <w:left w:val="nil"/>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560" w:lineRule="exact"/>
              <w:ind w:firstLine="420" w:firstLineChars="200"/>
              <w:jc w:val="center"/>
              <w:rPr>
                <w:rFonts w:hint="eastAsia" w:ascii="仿宋_GB2312" w:hAnsi="仿宋_GB2312" w:eastAsia="仿宋_GB2312" w:cs="仿宋_GB2312"/>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60" w:hRule="atLeast"/>
          <w:jc w:val="center"/>
        </w:trPr>
        <w:tc>
          <w:tcPr>
            <w:tcW w:w="7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420" w:firstLineChars="20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1</w:t>
            </w:r>
          </w:p>
        </w:tc>
        <w:tc>
          <w:tcPr>
            <w:tcW w:w="18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2025-2026南湾街道城市管家项目</w:t>
            </w:r>
          </w:p>
        </w:tc>
        <w:tc>
          <w:tcPr>
            <w:tcW w:w="23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审计组4人</w:t>
            </w:r>
            <w:r>
              <w:rPr>
                <w:rFonts w:hint="eastAsia" w:ascii="仿宋_GB2312" w:hAnsi="仿宋_GB2312" w:eastAsia="仿宋_GB2312" w:cs="仿宋_GB2312"/>
                <w:b w:val="0"/>
                <w:bCs w:val="0"/>
                <w:i w:val="0"/>
                <w:iCs w:val="0"/>
                <w:color w:val="000000"/>
                <w:kern w:val="0"/>
                <w:sz w:val="21"/>
                <w:szCs w:val="21"/>
                <w:u w:val="none"/>
                <w:lang w:val="en-US" w:eastAsia="zh-CN" w:bidi="ar"/>
              </w:rPr>
              <w:br w:type="textWrapping"/>
            </w:r>
            <w:r>
              <w:rPr>
                <w:rFonts w:hint="eastAsia" w:ascii="仿宋_GB2312" w:hAnsi="仿宋_GB2312" w:eastAsia="仿宋_GB2312" w:cs="仿宋_GB2312"/>
                <w:b w:val="0"/>
                <w:bCs w:val="0"/>
                <w:i w:val="0"/>
                <w:iCs w:val="0"/>
                <w:color w:val="000000"/>
                <w:kern w:val="0"/>
                <w:sz w:val="21"/>
                <w:szCs w:val="21"/>
                <w:u w:val="none"/>
                <w:lang w:val="en-US" w:eastAsia="zh-CN" w:bidi="ar"/>
              </w:rPr>
              <w:t>定期审核：每月跟进，审核付款前资料，审计人员到指定地开展</w:t>
            </w:r>
            <w:r>
              <w:rPr>
                <w:rFonts w:hint="eastAsia" w:ascii="仿宋_GB2312" w:hAnsi="仿宋_GB2312" w:eastAsia="仿宋_GB2312" w:cs="仿宋_GB2312"/>
                <w:b w:val="0"/>
                <w:bCs w:val="0"/>
                <w:i w:val="0"/>
                <w:iCs w:val="0"/>
                <w:color w:val="000000"/>
                <w:kern w:val="0"/>
                <w:sz w:val="21"/>
                <w:szCs w:val="21"/>
                <w:u w:val="none"/>
                <w:lang w:val="en-US" w:eastAsia="zh-CN" w:bidi="ar"/>
              </w:rPr>
              <w:br w:type="textWrapping"/>
            </w:r>
            <w:r>
              <w:rPr>
                <w:rFonts w:hint="eastAsia" w:ascii="仿宋_GB2312" w:hAnsi="仿宋_GB2312" w:eastAsia="仿宋_GB2312" w:cs="仿宋_GB2312"/>
                <w:b w:val="0"/>
                <w:bCs w:val="0"/>
                <w:i w:val="0"/>
                <w:iCs w:val="0"/>
                <w:color w:val="000000"/>
                <w:kern w:val="0"/>
                <w:sz w:val="21"/>
                <w:szCs w:val="21"/>
                <w:u w:val="none"/>
                <w:lang w:val="en-US" w:eastAsia="zh-CN" w:bidi="ar"/>
              </w:rPr>
              <w:t>年度审核：项目结束后开展，审计组全面审核</w:t>
            </w:r>
          </w:p>
        </w:tc>
        <w:tc>
          <w:tcPr>
            <w:tcW w:w="1381" w:type="dxa"/>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10858.85</w:t>
            </w:r>
          </w:p>
        </w:tc>
        <w:tc>
          <w:tcPr>
            <w:tcW w:w="1087" w:type="dxa"/>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b w:val="0"/>
                <w:bCs w:val="0"/>
                <w:i w:val="0"/>
                <w:iCs w:val="0"/>
                <w:color w:val="000000"/>
                <w:sz w:val="21"/>
                <w:szCs w:val="21"/>
                <w:u w:val="none"/>
                <w:lang w:val="en-US"/>
              </w:rPr>
            </w:pPr>
            <w:r>
              <w:rPr>
                <w:rFonts w:hint="eastAsia" w:ascii="仿宋_GB2312" w:hAnsi="仿宋_GB2312" w:eastAsia="仿宋_GB2312" w:cs="仿宋_GB2312"/>
                <w:b w:val="0"/>
                <w:bCs w:val="0"/>
                <w:i w:val="0"/>
                <w:iCs w:val="0"/>
                <w:color w:val="000000"/>
                <w:kern w:val="0"/>
                <w:sz w:val="21"/>
                <w:szCs w:val="21"/>
                <w:u w:val="none"/>
                <w:lang w:val="en-US" w:eastAsia="zh-CN" w:bidi="ar"/>
              </w:rPr>
              <w:t>132400</w:t>
            </w:r>
          </w:p>
        </w:tc>
        <w:tc>
          <w:tcPr>
            <w:tcW w:w="1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实际报价已包含人员差旅费、日常办公费用等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7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560" w:lineRule="exact"/>
              <w:ind w:firstLine="420" w:firstLineChars="200"/>
              <w:jc w:val="center"/>
              <w:rPr>
                <w:rFonts w:hint="eastAsia" w:ascii="仿宋_GB2312" w:hAnsi="仿宋_GB2312" w:eastAsia="仿宋_GB2312" w:cs="仿宋_GB2312"/>
                <w:b w:val="0"/>
                <w:bCs w:val="0"/>
                <w:i w:val="0"/>
                <w:iCs w:val="0"/>
                <w:color w:val="000000"/>
                <w:sz w:val="21"/>
                <w:szCs w:val="21"/>
                <w:u w:val="none"/>
              </w:rPr>
            </w:pPr>
          </w:p>
        </w:tc>
        <w:tc>
          <w:tcPr>
            <w:tcW w:w="18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合计</w:t>
            </w:r>
          </w:p>
        </w:tc>
        <w:tc>
          <w:tcPr>
            <w:tcW w:w="232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560" w:lineRule="exact"/>
              <w:ind w:firstLine="420" w:firstLineChars="200"/>
              <w:jc w:val="center"/>
              <w:rPr>
                <w:rFonts w:hint="eastAsia" w:ascii="仿宋_GB2312" w:hAnsi="仿宋_GB2312" w:eastAsia="仿宋_GB2312" w:cs="仿宋_GB2312"/>
                <w:b w:val="0"/>
                <w:bCs w:val="0"/>
                <w:i w:val="0"/>
                <w:iCs w:val="0"/>
                <w:color w:val="000000"/>
                <w:sz w:val="21"/>
                <w:szCs w:val="21"/>
                <w:u w:val="none"/>
              </w:rPr>
            </w:pPr>
          </w:p>
        </w:tc>
        <w:tc>
          <w:tcPr>
            <w:tcW w:w="13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560" w:lineRule="exact"/>
              <w:ind w:firstLine="420" w:firstLineChars="200"/>
              <w:jc w:val="center"/>
              <w:rPr>
                <w:rFonts w:hint="eastAsia" w:ascii="仿宋_GB2312" w:hAnsi="仿宋_GB2312" w:eastAsia="仿宋_GB2312" w:cs="仿宋_GB2312"/>
                <w:b w:val="0"/>
                <w:bCs w:val="0"/>
                <w:i w:val="0"/>
                <w:iCs w:val="0"/>
                <w:color w:val="000000"/>
                <w:sz w:val="21"/>
                <w:szCs w:val="21"/>
                <w:u w:val="none"/>
              </w:rPr>
            </w:pPr>
          </w:p>
        </w:tc>
        <w:tc>
          <w:tcPr>
            <w:tcW w:w="108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b w:val="0"/>
                <w:bCs w:val="0"/>
                <w:i w:val="0"/>
                <w:iCs w:val="0"/>
                <w:color w:val="000000"/>
                <w:sz w:val="21"/>
                <w:szCs w:val="21"/>
                <w:u w:val="none"/>
                <w:lang w:val="en-US"/>
              </w:rPr>
            </w:pPr>
            <w:r>
              <w:rPr>
                <w:rFonts w:hint="eastAsia" w:ascii="仿宋_GB2312" w:hAnsi="仿宋_GB2312" w:eastAsia="仿宋_GB2312" w:cs="仿宋_GB2312"/>
                <w:b w:val="0"/>
                <w:bCs w:val="0"/>
                <w:i w:val="0"/>
                <w:iCs w:val="0"/>
                <w:color w:val="000000"/>
                <w:kern w:val="0"/>
                <w:sz w:val="21"/>
                <w:szCs w:val="21"/>
                <w:u w:val="none"/>
                <w:lang w:val="en-US" w:eastAsia="zh-CN" w:bidi="ar"/>
              </w:rPr>
              <w:t>132400</w:t>
            </w:r>
          </w:p>
        </w:tc>
        <w:tc>
          <w:tcPr>
            <w:tcW w:w="15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560" w:lineRule="exact"/>
              <w:ind w:firstLine="480" w:firstLineChars="200"/>
              <w:jc w:val="center"/>
              <w:rPr>
                <w:rFonts w:hint="eastAsia" w:ascii="仿宋_GB2312" w:hAnsi="仿宋_GB2312" w:eastAsia="仿宋_GB2312" w:cs="仿宋_GB2312"/>
                <w:b w:val="0"/>
                <w:bCs w:val="0"/>
                <w:i w:val="0"/>
                <w:iCs w:val="0"/>
                <w:color w:val="000000"/>
                <w:sz w:val="24"/>
                <w:szCs w:val="24"/>
                <w:u w:val="none"/>
              </w:rPr>
            </w:pPr>
          </w:p>
        </w:tc>
      </w:tr>
    </w:tbl>
    <w:p>
      <w:pPr>
        <w:spacing w:line="360" w:lineRule="auto"/>
        <w:ind w:firstLine="562" w:firstLineChars="200"/>
        <w:rPr>
          <w:rFonts w:hint="eastAsia" w:ascii="仿宋" w:hAnsi="仿宋" w:eastAsia="仿宋" w:cs="仿宋"/>
          <w:b/>
          <w:bCs/>
          <w:sz w:val="28"/>
          <w:szCs w:val="28"/>
        </w:rPr>
      </w:pPr>
      <w:r>
        <w:rPr>
          <w:rFonts w:hint="eastAsia" w:ascii="仿宋" w:hAnsi="仿宋" w:eastAsia="仿宋" w:cs="仿宋"/>
          <w:b/>
          <w:bCs/>
          <w:sz w:val="28"/>
          <w:szCs w:val="28"/>
          <w:lang w:val="en-US" w:eastAsia="zh-CN"/>
        </w:rPr>
        <w:t>九</w:t>
      </w:r>
      <w:r>
        <w:rPr>
          <w:rFonts w:hint="eastAsia" w:ascii="仿宋" w:hAnsi="仿宋" w:eastAsia="仿宋" w:cs="仿宋"/>
          <w:b/>
          <w:bCs/>
          <w:sz w:val="28"/>
          <w:szCs w:val="28"/>
          <w:lang w:eastAsia="zh-CN"/>
        </w:rPr>
        <w:t>、后期事项</w:t>
      </w:r>
    </w:p>
    <w:p>
      <w:pPr>
        <w:spacing w:line="360" w:lineRule="auto"/>
        <w:rPr>
          <w:rFonts w:hint="eastAsia" w:ascii="仿宋" w:hAnsi="仿宋" w:eastAsia="仿宋" w:cs="仿宋"/>
          <w:sz w:val="28"/>
          <w:szCs w:val="28"/>
        </w:rPr>
      </w:pPr>
      <w:r>
        <w:rPr>
          <w:rFonts w:hint="eastAsia" w:ascii="仿宋" w:hAnsi="仿宋" w:eastAsia="仿宋" w:cs="仿宋"/>
          <w:sz w:val="28"/>
          <w:szCs w:val="28"/>
          <w:lang w:val="en-US" w:eastAsia="zh-CN"/>
        </w:rPr>
        <w:t xml:space="preserve">   将</w:t>
      </w:r>
      <w:r>
        <w:rPr>
          <w:rFonts w:hint="eastAsia" w:ascii="仿宋" w:hAnsi="仿宋" w:eastAsia="仿宋" w:cs="仿宋"/>
          <w:sz w:val="28"/>
          <w:szCs w:val="28"/>
          <w:lang w:eastAsia="zh-CN"/>
        </w:rPr>
        <w:t>审计过程中</w:t>
      </w:r>
      <w:r>
        <w:rPr>
          <w:rFonts w:hint="eastAsia" w:ascii="仿宋" w:hAnsi="仿宋" w:eastAsia="仿宋" w:cs="仿宋"/>
          <w:sz w:val="28"/>
          <w:szCs w:val="28"/>
        </w:rPr>
        <w:t>编制、整理</w:t>
      </w:r>
      <w:r>
        <w:rPr>
          <w:rFonts w:hint="eastAsia" w:ascii="仿宋" w:hAnsi="仿宋" w:eastAsia="仿宋" w:cs="仿宋"/>
          <w:sz w:val="28"/>
          <w:szCs w:val="28"/>
          <w:lang w:eastAsia="zh-CN"/>
        </w:rPr>
        <w:t>形成的</w:t>
      </w:r>
      <w:r>
        <w:rPr>
          <w:rFonts w:hint="eastAsia" w:ascii="仿宋" w:hAnsi="仿宋" w:eastAsia="仿宋" w:cs="仿宋"/>
          <w:sz w:val="28"/>
          <w:szCs w:val="28"/>
        </w:rPr>
        <w:t>工作底稿</w:t>
      </w:r>
      <w:r>
        <w:rPr>
          <w:rFonts w:hint="eastAsia" w:ascii="仿宋" w:hAnsi="仿宋" w:eastAsia="仿宋" w:cs="仿宋"/>
          <w:sz w:val="28"/>
          <w:szCs w:val="28"/>
          <w:lang w:eastAsia="zh-CN"/>
        </w:rPr>
        <w:t>装订归档</w:t>
      </w:r>
      <w:r>
        <w:rPr>
          <w:rFonts w:hint="eastAsia" w:ascii="仿宋" w:hAnsi="仿宋" w:eastAsia="仿宋" w:cs="仿宋"/>
          <w:sz w:val="28"/>
          <w:szCs w:val="28"/>
        </w:rPr>
        <w:t>，</w:t>
      </w:r>
      <w:r>
        <w:rPr>
          <w:rFonts w:hint="eastAsia" w:ascii="仿宋" w:hAnsi="仿宋" w:eastAsia="仿宋" w:cs="仿宋"/>
          <w:sz w:val="28"/>
          <w:szCs w:val="28"/>
          <w:lang w:val="en-US" w:eastAsia="zh-CN"/>
        </w:rPr>
        <w:t>审计资料</w:t>
      </w:r>
      <w:r>
        <w:rPr>
          <w:rFonts w:hint="eastAsia" w:ascii="仿宋" w:hAnsi="仿宋" w:eastAsia="仿宋" w:cs="仿宋"/>
          <w:sz w:val="28"/>
          <w:szCs w:val="28"/>
        </w:rPr>
        <w:t>可根据</w:t>
      </w:r>
      <w:r>
        <w:rPr>
          <w:rFonts w:hint="eastAsia" w:ascii="仿宋" w:hAnsi="仿宋" w:eastAsia="仿宋" w:cs="仿宋"/>
          <w:sz w:val="28"/>
          <w:szCs w:val="28"/>
          <w:lang w:eastAsia="zh-CN"/>
        </w:rPr>
        <w:t>甲</w:t>
      </w:r>
      <w:r>
        <w:rPr>
          <w:rFonts w:hint="eastAsia" w:ascii="仿宋" w:hAnsi="仿宋" w:eastAsia="仿宋" w:cs="仿宋"/>
          <w:sz w:val="28"/>
          <w:szCs w:val="28"/>
        </w:rPr>
        <w:t>方需求</w:t>
      </w:r>
      <w:r>
        <w:rPr>
          <w:rFonts w:hint="eastAsia" w:ascii="仿宋" w:hAnsi="仿宋" w:eastAsia="仿宋" w:cs="仿宋"/>
          <w:sz w:val="28"/>
          <w:szCs w:val="28"/>
          <w:lang w:eastAsia="zh-CN"/>
        </w:rPr>
        <w:t>随时提供</w:t>
      </w:r>
      <w:r>
        <w:rPr>
          <w:rFonts w:hint="eastAsia" w:ascii="仿宋" w:hAnsi="仿宋" w:eastAsia="仿宋" w:cs="仿宋"/>
          <w:sz w:val="28"/>
          <w:szCs w:val="28"/>
        </w:rPr>
        <w:t>参</w:t>
      </w:r>
      <w:r>
        <w:rPr>
          <w:rFonts w:hint="eastAsia" w:ascii="仿宋" w:hAnsi="仿宋" w:eastAsia="仿宋" w:cs="仿宋"/>
          <w:sz w:val="28"/>
          <w:szCs w:val="28"/>
          <w:lang w:eastAsia="zh-CN"/>
        </w:rPr>
        <w:t>考</w:t>
      </w:r>
      <w:r>
        <w:rPr>
          <w:rFonts w:hint="eastAsia" w:ascii="仿宋" w:hAnsi="仿宋" w:eastAsia="仿宋" w:cs="仿宋"/>
          <w:sz w:val="28"/>
          <w:szCs w:val="28"/>
        </w:rPr>
        <w:t>。</w:t>
      </w:r>
    </w:p>
    <w:p>
      <w:pPr>
        <w:keepNext w:val="0"/>
        <w:keepLines w:val="0"/>
        <w:pageBreakBefore w:val="0"/>
        <w:kinsoku/>
        <w:wordWrap/>
        <w:overflowPunct/>
        <w:topLinePunct w:val="0"/>
        <w:autoSpaceDE/>
        <w:autoSpaceDN/>
        <w:bidi w:val="0"/>
        <w:adjustRightInd/>
        <w:snapToGrid/>
        <w:spacing w:line="560" w:lineRule="exact"/>
        <w:ind w:firstLine="560" w:firstLineChars="200"/>
        <w:rPr>
          <w:rFonts w:hint="eastAsia" w:ascii="仿宋_GB2312" w:hAnsi="仿宋_GB2312" w:eastAsia="仿宋_GB2312" w:cs="仿宋_GB2312"/>
          <w:b w:val="0"/>
          <w:bCs w:val="0"/>
          <w:sz w:val="28"/>
          <w:szCs w:val="28"/>
          <w:lang w:val="en-US" w:eastAsia="zh-CN"/>
        </w:rPr>
      </w:pPr>
    </w:p>
    <w:p>
      <w:pPr>
        <w:keepNext w:val="0"/>
        <w:keepLines w:val="0"/>
        <w:pageBreakBefore w:val="0"/>
        <w:kinsoku/>
        <w:wordWrap/>
        <w:overflowPunct/>
        <w:topLinePunct w:val="0"/>
        <w:autoSpaceDE/>
        <w:autoSpaceDN/>
        <w:bidi w:val="0"/>
        <w:adjustRightInd/>
        <w:snapToGrid/>
        <w:spacing w:line="560" w:lineRule="exact"/>
        <w:ind w:firstLine="560" w:firstLineChars="200"/>
        <w:rPr>
          <w:rFonts w:hint="eastAsia" w:ascii="仿宋_GB2312" w:hAnsi="仿宋_GB2312" w:eastAsia="仿宋_GB2312" w:cs="仿宋_GB2312"/>
          <w:b w:val="0"/>
          <w:bCs w:val="0"/>
          <w:sz w:val="28"/>
          <w:szCs w:val="28"/>
        </w:rPr>
      </w:pPr>
    </w:p>
    <w:p>
      <w:pPr>
        <w:keepNext w:val="0"/>
        <w:keepLines w:val="0"/>
        <w:pageBreakBefore w:val="0"/>
        <w:numPr>
          <w:ilvl w:val="0"/>
          <w:numId w:val="0"/>
        </w:numPr>
        <w:kinsoku/>
        <w:wordWrap/>
        <w:overflowPunct/>
        <w:topLinePunct w:val="0"/>
        <w:autoSpaceDE/>
        <w:autoSpaceDN/>
        <w:bidi w:val="0"/>
        <w:adjustRightInd/>
        <w:snapToGrid/>
        <w:spacing w:line="560" w:lineRule="exact"/>
        <w:rPr>
          <w:rFonts w:hint="eastAsia" w:ascii="仿宋_GB2312" w:hAnsi="仿宋_GB2312" w:eastAsia="仿宋_GB2312" w:cs="仿宋_GB2312"/>
          <w:b w:val="0"/>
          <w:bCs w:val="0"/>
          <w:sz w:val="28"/>
          <w:szCs w:val="28"/>
          <w:highlight w:val="none"/>
          <w:lang w:eastAsia="zh-CN"/>
        </w:rPr>
      </w:pPr>
    </w:p>
    <w:p>
      <w:pPr>
        <w:jc w:val="both"/>
        <w:rPr>
          <w:rFonts w:hint="eastAsia" w:ascii="仿宋_GB2312" w:hAnsi="仿宋_GB2312" w:eastAsia="仿宋_GB2312" w:cs="仿宋_GB2312"/>
          <w:b w:val="0"/>
          <w:bCs w:val="0"/>
          <w:sz w:val="44"/>
          <w:szCs w:val="44"/>
          <w:lang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none">
    <w:altName w:val="C059"/>
    <w:panose1 w:val="00000000000000000000"/>
    <w:charset w:val="00"/>
    <w:family w:val="auto"/>
    <w:pitch w:val="default"/>
    <w:sig w:usb0="00000000" w:usb1="00000000" w:usb2="00000000" w:usb3="00000000" w:csb0="00000000" w:csb1="00000000"/>
  </w:font>
  <w:font w:name="C059">
    <w:panose1 w:val="00000500000000000000"/>
    <w:charset w:val="00"/>
    <w:family w:val="auto"/>
    <w:pitch w:val="default"/>
    <w:sig w:usb0="00000287" w:usb1="00000800" w:usb2="00000000" w:usb3="00000000" w:csb0="6000009F" w:csb1="00000000"/>
  </w:font>
  <w:font w:name="方正仿宋_GBK">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D2B1DB"/>
    <w:multiLevelType w:val="singleLevel"/>
    <w:tmpl w:val="C7D2B1DB"/>
    <w:lvl w:ilvl="0" w:tentative="0">
      <w:start w:val="2"/>
      <w:numFmt w:val="chineseCounting"/>
      <w:suff w:val="nothing"/>
      <w:lvlText w:val="（%1）"/>
      <w:lvlJc w:val="left"/>
      <w:rPr>
        <w:rFonts w:hint="eastAsia"/>
      </w:rPr>
    </w:lvl>
  </w:abstractNum>
  <w:abstractNum w:abstractNumId="1">
    <w:nsid w:val="4978A60F"/>
    <w:multiLevelType w:val="singleLevel"/>
    <w:tmpl w:val="4978A60F"/>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1"/>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9F851304"/>
    <w:rsid w:val="74BF3F0B"/>
    <w:rsid w:val="7BBE7BD7"/>
    <w:rsid w:val="7EFDB743"/>
    <w:rsid w:val="9F851304"/>
    <w:rsid w:val="FFDB5864"/>
    <w:rsid w:val="FFEE678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正文 New New New New New New New New New New New New New New New"/>
    <w:qFormat/>
    <w:uiPriority w:val="0"/>
    <w:pPr>
      <w:widowControl w:val="0"/>
      <w:jc w:val="both"/>
    </w:pPr>
    <w:rPr>
      <w:rFonts w:ascii="Times New Roman" w:hAnsi="Times New Roman" w:eastAsia="仿宋_GB2312" w:cs="Times New Roman"/>
      <w:kern w:val="2"/>
      <w:sz w:val="3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25</TotalTime>
  <ScaleCrop>false</ScaleCrop>
  <LinksUpToDate>false</LinksUpToDate>
  <CharactersWithSpaces>0</CharactersWithSpaces>
  <Application>WPS Office_11.8.2.12313_F1E327BC-269C-435d-A152-05C5408002CA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2025-09-11T23:17:00Z</dcterms:created>
  <dc:creator>综合行政执法队(城市管理科)</dc:creator>
  <cp:lastModifiedBy>WPS_1663641615</cp:lastModifiedBy>
  <dcterms:modified xsi:type="dcterms:W3CDTF">2025-10-09T09:01:20Z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2052-11.8.2.12313</vt:lpwstr>
  </property>
  <property fmtid="{D5CDD505-2E9C-101B-9397-08002B2CF9AE}" pid="3" name="ICV">
    <vt:lpwstr>7644AFF4393C2B2AA55DD6681887255F</vt:lpwstr>
  </property>
</Properties>
</file>