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ind w:right="13" w:firstLine="0" w:firstLineChars="0"/>
        <w:rPr>
          <w:rFonts w:hint="eastAsia" w:ascii="黑体" w:hAnsi="黑体" w:eastAsia="黑体" w:cs="黑体"/>
          <w:color w:val="000000"/>
          <w:kern w:val="21"/>
          <w:szCs w:val="32"/>
        </w:rPr>
      </w:pPr>
      <w:r>
        <w:rPr>
          <w:rFonts w:hint="eastAsia" w:ascii="黑体" w:hAnsi="黑体" w:eastAsia="黑体" w:cs="黑体"/>
          <w:b w:val="0"/>
          <w:bCs w:val="0"/>
          <w:color w:val="000000"/>
          <w:kern w:val="21"/>
          <w:sz w:val="32"/>
          <w:szCs w:val="32"/>
          <w:lang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320" w:firstLineChars="300"/>
        <w:jc w:val="both"/>
        <w:textAlignment w:val="auto"/>
        <w:outlineLvl w:val="9"/>
        <w:rPr>
          <w:rFonts w:hint="default"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sz w:val="44"/>
          <w:szCs w:val="44"/>
          <w:lang w:eastAsia="zh-CN"/>
        </w:rPr>
        <w:t>南湾</w:t>
      </w:r>
      <w:r>
        <w:rPr>
          <w:rFonts w:hint="default" w:ascii="方正小标宋简体" w:hAnsi="方正小标宋简体" w:eastAsia="方正小标宋简体" w:cs="方正小标宋简体"/>
          <w:sz w:val="44"/>
          <w:szCs w:val="44"/>
          <w:lang w:val="en-US" w:eastAsia="zh-CN"/>
        </w:rPr>
        <w:t>街道</w:t>
      </w:r>
      <w:r>
        <w:rPr>
          <w:rFonts w:hint="default" w:ascii="方正小标宋简体" w:hAnsi="方正小标宋简体" w:eastAsia="方正小标宋简体" w:cs="方正小标宋简体"/>
          <w:sz w:val="44"/>
          <w:szCs w:val="44"/>
          <w:lang w:eastAsia="zh-CN"/>
        </w:rPr>
        <w:t>2025年-2026年城市管家项目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eastAsia="zh-CN"/>
        </w:rPr>
        <w:t>合同履约专项审计</w:t>
      </w:r>
      <w:r>
        <w:rPr>
          <w:rFonts w:hint="eastAsia" w:ascii="方正小标宋简体" w:hAnsi="方正小标宋简体" w:eastAsia="方正小标宋简体" w:cs="方正小标宋简体"/>
          <w:sz w:val="44"/>
          <w:szCs w:val="44"/>
          <w:lang w:val="en-US"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sz w:val="44"/>
          <w:szCs w:val="44"/>
          <w:lang w:eastAsia="zh-CN"/>
        </w:rPr>
        <w:t>公开询价公告</w:t>
      </w:r>
    </w:p>
    <w:p>
      <w:pPr>
        <w:numPr>
          <w:ilvl w:val="0"/>
          <w:numId w:val="0"/>
        </w:numPr>
        <w:tabs>
          <w:tab w:val="left" w:pos="740"/>
        </w:tabs>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深圳市龙岗区</w:t>
      </w:r>
      <w:r>
        <w:rPr>
          <w:rFonts w:hint="eastAsia" w:ascii="仿宋_GB2312" w:hAnsi="仿宋_GB2312" w:eastAsia="仿宋_GB2312" w:cs="仿宋_GB2312"/>
          <w:b w:val="0"/>
          <w:bCs w:val="0"/>
          <w:color w:val="auto"/>
          <w:sz w:val="32"/>
          <w:szCs w:val="32"/>
          <w:highlight w:val="none"/>
          <w:lang w:val="en-US" w:eastAsia="zh-CN"/>
        </w:rPr>
        <w:t>南湾</w:t>
      </w:r>
      <w:r>
        <w:rPr>
          <w:rFonts w:hint="eastAsia" w:ascii="仿宋_GB2312" w:hAnsi="仿宋_GB2312" w:eastAsia="仿宋_GB2312" w:cs="仿宋_GB2312"/>
          <w:b w:val="0"/>
          <w:bCs w:val="0"/>
          <w:color w:val="auto"/>
          <w:sz w:val="32"/>
          <w:szCs w:val="32"/>
          <w:highlight w:val="none"/>
          <w:lang w:eastAsia="zh-CN"/>
        </w:rPr>
        <w:t>街道</w:t>
      </w:r>
      <w:r>
        <w:rPr>
          <w:rFonts w:hint="eastAsia" w:ascii="仿宋_GB2312" w:hAnsi="仿宋_GB2312" w:eastAsia="仿宋_GB2312" w:cs="仿宋_GB2312"/>
          <w:b w:val="0"/>
          <w:bCs w:val="0"/>
          <w:color w:val="auto"/>
          <w:sz w:val="32"/>
          <w:szCs w:val="32"/>
          <w:highlight w:val="none"/>
          <w:lang w:val="en-US" w:eastAsia="zh-CN"/>
        </w:rPr>
        <w:t>2025年-2026年城市管家项目合同履约专项审计</w:t>
      </w:r>
      <w:r>
        <w:rPr>
          <w:rFonts w:hint="eastAsia" w:ascii="仿宋_GB2312" w:hAnsi="仿宋_GB2312" w:eastAsia="仿宋_GB2312" w:cs="仿宋_GB2312"/>
          <w:b w:val="0"/>
          <w:bCs w:val="0"/>
          <w:color w:val="auto"/>
          <w:sz w:val="32"/>
          <w:szCs w:val="32"/>
          <w:highlight w:val="none"/>
          <w:lang w:eastAsia="zh-CN"/>
        </w:rPr>
        <w:t>采购项目，采用</w:t>
      </w:r>
      <w:r>
        <w:rPr>
          <w:rFonts w:hint="eastAsia" w:ascii="仿宋_GB2312" w:hAnsi="仿宋_GB2312" w:eastAsia="仿宋_GB2312" w:cs="仿宋_GB2312"/>
          <w:b w:val="0"/>
          <w:bCs w:val="0"/>
          <w:color w:val="auto"/>
          <w:sz w:val="32"/>
          <w:szCs w:val="32"/>
          <w:highlight w:val="none"/>
          <w:lang w:val="en-US" w:eastAsia="zh-CN"/>
        </w:rPr>
        <w:t>公开</w:t>
      </w:r>
      <w:r>
        <w:rPr>
          <w:rFonts w:hint="eastAsia" w:ascii="仿宋_GB2312" w:hAnsi="仿宋_GB2312" w:eastAsia="仿宋_GB2312" w:cs="仿宋_GB2312"/>
          <w:b w:val="0"/>
          <w:bCs w:val="0"/>
          <w:color w:val="auto"/>
          <w:sz w:val="32"/>
          <w:szCs w:val="32"/>
          <w:highlight w:val="none"/>
          <w:lang w:eastAsia="zh-CN"/>
        </w:rPr>
        <w:t>询价</w:t>
      </w:r>
      <w:r>
        <w:rPr>
          <w:rFonts w:hint="eastAsia" w:ascii="仿宋_GB2312" w:hAnsi="仿宋_GB2312" w:eastAsia="仿宋_GB2312" w:cs="仿宋_GB2312"/>
          <w:b w:val="0"/>
          <w:bCs w:val="0"/>
          <w:color w:val="auto"/>
          <w:sz w:val="32"/>
          <w:szCs w:val="32"/>
          <w:highlight w:val="none"/>
          <w:lang w:val="en-US" w:eastAsia="zh-CN"/>
        </w:rPr>
        <w:t>进行采购</w:t>
      </w:r>
      <w:r>
        <w:rPr>
          <w:rFonts w:hint="eastAsia" w:ascii="仿宋_GB2312" w:hAnsi="仿宋_GB2312" w:eastAsia="仿宋_GB2312" w:cs="仿宋_GB2312"/>
          <w:b w:val="0"/>
          <w:bCs w:val="0"/>
          <w:color w:val="auto"/>
          <w:sz w:val="32"/>
          <w:szCs w:val="32"/>
          <w:highlight w:val="none"/>
          <w:lang w:eastAsia="zh-CN"/>
        </w:rPr>
        <w:t>，评审方法为最低价法，欢迎符合资格的供应商报名参加。</w:t>
      </w:r>
    </w:p>
    <w:tbl>
      <w:tblPr>
        <w:tblStyle w:val="7"/>
        <w:tblW w:w="9421"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887"/>
        <w:gridCol w:w="1738"/>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项目名称</w:t>
            </w:r>
          </w:p>
        </w:tc>
        <w:tc>
          <w:tcPr>
            <w:tcW w:w="2887"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rPr>
            </w:pPr>
            <w:r>
              <w:rPr>
                <w:rFonts w:hint="eastAsia" w:ascii="仿宋_GB2312" w:hAnsi="仿宋_GB2312" w:eastAsia="仿宋_GB2312" w:cs="仿宋_GB2312"/>
                <w:kern w:val="0"/>
                <w:sz w:val="22"/>
                <w:szCs w:val="16"/>
                <w:lang w:val="en-US" w:eastAsia="zh-CN" w:bidi="ar-SA"/>
              </w:rPr>
              <w:t>南湾街道2025年-2026年城市管家项目合同履约专项审计项目</w:t>
            </w:r>
          </w:p>
        </w:tc>
        <w:tc>
          <w:tcPr>
            <w:tcW w:w="1738"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预算</w:t>
            </w: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eastAsia="zh-CN"/>
              </w:rPr>
              <w:t>金额（元）</w:t>
            </w:r>
          </w:p>
        </w:tc>
        <w:tc>
          <w:tcPr>
            <w:tcW w:w="3134" w:type="dxa"/>
            <w:noWrap w:val="0"/>
            <w:vAlign w:val="top"/>
          </w:tcPr>
          <w:p>
            <w:pPr>
              <w:pStyle w:val="5"/>
              <w:keepNext w:val="0"/>
              <w:keepLines w:val="0"/>
              <w:widowControl/>
              <w:suppressLineNumbers w:val="0"/>
              <w:spacing w:before="0" w:beforeAutospacing="0" w:after="0" w:afterAutospacing="0" w:line="560" w:lineRule="exact"/>
              <w:ind w:right="0"/>
              <w:jc w:val="left"/>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kern w:val="0"/>
                <w:sz w:val="22"/>
                <w:szCs w:val="16"/>
                <w:lang w:val="en-US" w:eastAsia="zh-CN" w:bidi="ar-SA"/>
              </w:rPr>
              <w:t>132400元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662"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项目内容</w:t>
            </w:r>
          </w:p>
        </w:tc>
        <w:tc>
          <w:tcPr>
            <w:tcW w:w="7759" w:type="dxa"/>
            <w:gridSpan w:val="3"/>
            <w:noWrap w:val="0"/>
            <w:vAlign w:val="top"/>
          </w:tcPr>
          <w:p>
            <w:pPr>
              <w:numPr>
                <w:ilvl w:val="0"/>
                <w:numId w:val="1"/>
              </w:numPr>
              <w:spacing w:line="560" w:lineRule="exact"/>
              <w:ind w:left="0" w:leftChars="0" w:firstLine="0" w:firstLineChars="0"/>
              <w:rPr>
                <w:rFonts w:hint="eastAsia" w:ascii="仿宋_GB2312" w:hAnsi="仿宋_GB2312" w:cs="仿宋_GB2312"/>
                <w:kern w:val="0"/>
                <w:sz w:val="22"/>
                <w:szCs w:val="16"/>
              </w:rPr>
            </w:pPr>
            <w:r>
              <w:rPr>
                <w:rFonts w:hint="eastAsia" w:ascii="仿宋_GB2312" w:hAnsi="仿宋_GB2312" w:cs="仿宋_GB2312"/>
                <w:kern w:val="0"/>
                <w:sz w:val="22"/>
                <w:szCs w:val="16"/>
              </w:rPr>
              <w:t>按照委托方要求对南湾街道城市管家项目履约情况进行专项审计（2025.8.13-2026.8.12）</w:t>
            </w:r>
            <w:r>
              <w:rPr>
                <w:rFonts w:hint="eastAsia" w:ascii="仿宋_GB2312" w:hAnsi="仿宋_GB2312" w:cs="仿宋_GB2312"/>
                <w:kern w:val="0"/>
                <w:sz w:val="22"/>
                <w:szCs w:val="16"/>
                <w:lang w:eastAsia="zh-CN"/>
              </w:rPr>
              <w:t>。</w:t>
            </w:r>
          </w:p>
          <w:p>
            <w:pPr>
              <w:numPr>
                <w:ilvl w:val="0"/>
                <w:numId w:val="1"/>
              </w:numPr>
              <w:spacing w:line="560" w:lineRule="exact"/>
              <w:ind w:left="0" w:leftChars="0" w:firstLine="0" w:firstLineChars="0"/>
              <w:rPr>
                <w:rFonts w:hint="eastAsia" w:ascii="仿宋_GB2312" w:hAnsi="仿宋_GB2312" w:cs="仿宋_GB2312"/>
                <w:kern w:val="0"/>
                <w:sz w:val="22"/>
                <w:szCs w:val="16"/>
              </w:rPr>
            </w:pPr>
            <w:r>
              <w:rPr>
                <w:rFonts w:hint="eastAsia" w:ascii="仿宋_GB2312" w:hAnsi="仿宋_GB2312" w:cs="仿宋_GB2312"/>
                <w:kern w:val="0"/>
                <w:sz w:val="22"/>
                <w:szCs w:val="16"/>
              </w:rPr>
              <w:t>根据中标合同、履约单位提供的财务资料及项目管理资料，核实各履约服务项目业务开展情况，通过查阅资料、问询、实地盘点、项目收支账簿审核等方式确认项目实施过程中的人员配置、设备投入、完成数量等是否达到合同规定的标准，成本项目支出是否符合合同约定。对现场资料记录，保存归档以及管理进行审核是否符合合同要求等。</w:t>
            </w:r>
          </w:p>
          <w:p>
            <w:pPr>
              <w:spacing w:line="560" w:lineRule="exact"/>
              <w:ind w:left="0" w:leftChars="0" w:firstLine="0" w:firstLineChars="0"/>
              <w:rPr>
                <w:rFonts w:hint="eastAsia" w:ascii="仿宋_GB2312" w:hAnsi="仿宋_GB2312" w:cs="仿宋_GB2312"/>
                <w:kern w:val="0"/>
                <w:sz w:val="22"/>
                <w:szCs w:val="16"/>
              </w:rPr>
            </w:pPr>
            <w:r>
              <w:rPr>
                <w:rFonts w:hint="eastAsia" w:ascii="仿宋_GB2312" w:hAnsi="仿宋_GB2312" w:cs="仿宋_GB2312"/>
                <w:kern w:val="0"/>
                <w:sz w:val="22"/>
                <w:szCs w:val="16"/>
              </w:rPr>
              <w:t>3、根据项目考核标准，核实履约付款金额，对审计中发现的重大差异、合同执行不到位等情况及时向委托方反馈。</w:t>
            </w:r>
          </w:p>
          <w:p>
            <w:pPr>
              <w:spacing w:line="560" w:lineRule="exact"/>
              <w:ind w:left="0" w:leftChars="0" w:firstLine="0" w:firstLineChars="0"/>
              <w:rPr>
                <w:rFonts w:hint="eastAsia" w:ascii="仿宋_GB2312" w:hAnsi="仿宋_GB2312" w:cs="仿宋_GB2312"/>
                <w:kern w:val="0"/>
                <w:sz w:val="22"/>
                <w:szCs w:val="16"/>
              </w:rPr>
            </w:pPr>
            <w:r>
              <w:rPr>
                <w:rFonts w:hint="eastAsia" w:ascii="仿宋_GB2312" w:hAnsi="仿宋_GB2312" w:cs="仿宋_GB2312"/>
                <w:kern w:val="0"/>
                <w:sz w:val="22"/>
                <w:szCs w:val="16"/>
              </w:rPr>
              <w:t>4、根据委托方要求定期跟进项目履约情况，对每月付款资料指导协助审核，可按要求到指定地点开展审核工作。</w:t>
            </w:r>
          </w:p>
          <w:p>
            <w:pPr>
              <w:spacing w:line="560" w:lineRule="exact"/>
              <w:ind w:left="0" w:leftChars="0" w:firstLine="0" w:firstLineChars="0"/>
              <w:rPr>
                <w:rFonts w:hint="eastAsia" w:ascii="仿宋_GB2312" w:hAnsi="仿宋_GB2312" w:eastAsia="仿宋_GB2312" w:cs="仿宋_GB2312"/>
                <w:kern w:val="0"/>
                <w:sz w:val="22"/>
                <w:szCs w:val="16"/>
                <w:lang w:val="en-US" w:eastAsia="zh-CN"/>
              </w:rPr>
            </w:pPr>
            <w:r>
              <w:rPr>
                <w:rFonts w:hint="eastAsia" w:ascii="仿宋_GB2312" w:hAnsi="仿宋_GB2312" w:cs="仿宋_GB2312"/>
                <w:kern w:val="0"/>
                <w:sz w:val="22"/>
                <w:szCs w:val="16"/>
              </w:rPr>
              <w:t>5、根据审计结果出具专项审计报告，提交委托方。</w:t>
            </w:r>
          </w:p>
          <w:p>
            <w:pPr>
              <w:keepNext w:val="0"/>
              <w:keepLines w:val="0"/>
              <w:widowControl/>
              <w:suppressLineNumbers w:val="0"/>
              <w:jc w:val="left"/>
              <w:rPr>
                <w:rFonts w:hint="eastAsia" w:ascii="仿宋_GB2312" w:hAnsi="仿宋_GB2312" w:eastAsia="仿宋_GB2312" w:cs="仿宋_GB2312"/>
                <w:kern w:val="0"/>
                <w:sz w:val="22"/>
                <w:szCs w:val="16"/>
                <w:lang w:val="en-US" w:eastAsia="zh-CN"/>
              </w:rPr>
            </w:pPr>
            <w:r>
              <w:rPr>
                <w:rFonts w:hint="eastAsia" w:ascii="仿宋_GB2312" w:hAnsi="仿宋_GB2312" w:eastAsia="仿宋_GB2312" w:cs="仿宋_GB2312"/>
                <w:kern w:val="0"/>
                <w:sz w:val="22"/>
                <w:szCs w:val="16"/>
                <w:lang w:val="en-US" w:eastAsia="zh-CN"/>
              </w:rPr>
              <w:t>组建项目专项审计组共4人，设总项目负责人1人，负责项目的管理、沟通及协调工作；设项目经理1人，负责落实审计项目计划，汇总现场勘察资料，反馈审计发现问题等具体审计事项；配备审计助理2人。项目负责人和项目经理为注册会计师，审计组成员为助理会计师，未经甲方同意不得随意更换核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1662" w:type="dxa"/>
            <w:noWrap w:val="0"/>
            <w:vAlign w:val="top"/>
          </w:tcPr>
          <w:p>
            <w:pPr>
              <w:pStyle w:val="5"/>
              <w:keepNext w:val="0"/>
              <w:keepLines w:val="0"/>
              <w:widowControl/>
              <w:numPr>
                <w:ilvl w:val="0"/>
                <w:numId w:val="0"/>
              </w:numPr>
              <w:suppressLineNumbers w:val="0"/>
              <w:spacing w:before="0" w:beforeAutospacing="0" w:after="0" w:afterAutospacing="0" w:line="560" w:lineRule="exact"/>
              <w:ind w:right="0" w:rightChars="0"/>
              <w:jc w:val="left"/>
              <w:rPr>
                <w:rFonts w:hint="eastAsia" w:ascii="仿宋_GB2312" w:hAnsi="仿宋_GB2312" w:eastAsia="仿宋_GB2312" w:cs="仿宋_GB2312"/>
                <w:i w:val="0"/>
                <w:iCs w:val="0"/>
                <w:caps w:val="0"/>
                <w:color w:val="auto"/>
                <w:spacing w:val="0"/>
                <w:kern w:val="2"/>
                <w:sz w:val="28"/>
                <w:szCs w:val="28"/>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供应商资格条件</w:t>
            </w:r>
          </w:p>
        </w:tc>
        <w:tc>
          <w:tcPr>
            <w:tcW w:w="7759" w:type="dxa"/>
            <w:gridSpan w:val="3"/>
            <w:noWrap w:val="0"/>
            <w:vAlign w:val="top"/>
          </w:tcPr>
          <w:p>
            <w:pPr>
              <w:spacing w:line="560" w:lineRule="exact"/>
              <w:ind w:left="0" w:leftChars="0" w:firstLine="0" w:firstLineChars="0"/>
              <w:rPr>
                <w:rFonts w:hint="eastAsia" w:ascii="仿宋_GB2312" w:hAnsi="仿宋_GB2312" w:eastAsia="仿宋_GB2312" w:cs="仿宋_GB2312"/>
                <w:kern w:val="0"/>
                <w:sz w:val="22"/>
                <w:szCs w:val="16"/>
              </w:rPr>
            </w:pPr>
            <w:bookmarkStart w:id="0" w:name="_Hlk72162904"/>
            <w:r>
              <w:rPr>
                <w:rFonts w:hint="eastAsia" w:ascii="仿宋_GB2312" w:hAnsi="仿宋_GB2312" w:eastAsia="仿宋_GB2312" w:cs="仿宋_GB2312"/>
                <w:kern w:val="0"/>
                <w:sz w:val="22"/>
                <w:szCs w:val="16"/>
              </w:rPr>
              <w:t>1.具有独立承担民事责任的能力（提供营业执照或事业单位法人证书等证明资料复印件，原件备查，分支机构参与响应的，须同时提供总公司授权文件且授权书载明其民事责任由总公司承担）；</w:t>
            </w:r>
            <w:bookmarkEnd w:id="0"/>
          </w:p>
          <w:p>
            <w:pPr>
              <w:spacing w:line="560" w:lineRule="exact"/>
              <w:ind w:left="0" w:leftChars="0" w:firstLine="0" w:firstLineChars="0"/>
              <w:rPr>
                <w:rFonts w:hint="eastAsia" w:ascii="仿宋_GB2312" w:hAnsi="仿宋_GB2312" w:eastAsia="仿宋_GB2312" w:cs="仿宋_GB2312"/>
                <w:kern w:val="0"/>
                <w:sz w:val="22"/>
                <w:szCs w:val="16"/>
              </w:rPr>
            </w:pPr>
            <w:r>
              <w:rPr>
                <w:rFonts w:hint="eastAsia" w:ascii="仿宋_GB2312" w:hAnsi="仿宋_GB2312" w:eastAsia="仿宋_GB2312" w:cs="仿宋_GB2312"/>
                <w:kern w:val="0"/>
                <w:sz w:val="22"/>
                <w:szCs w:val="16"/>
              </w:rPr>
              <w:t>2.本项目不接受联合体投标，不接受投标人选用进口产品参与投标，不允许分包；</w:t>
            </w:r>
          </w:p>
          <w:p>
            <w:pPr>
              <w:spacing w:line="560" w:lineRule="exact"/>
              <w:ind w:left="0" w:leftChars="0" w:firstLine="0" w:firstLineChars="0"/>
              <w:rPr>
                <w:rFonts w:hint="eastAsia" w:ascii="仿宋_GB2312" w:hAnsi="仿宋_GB2312" w:eastAsia="仿宋_GB2312" w:cs="仿宋_GB2312"/>
                <w:kern w:val="0"/>
                <w:sz w:val="22"/>
                <w:szCs w:val="16"/>
              </w:rPr>
            </w:pPr>
            <w:r>
              <w:rPr>
                <w:rFonts w:hint="eastAsia" w:ascii="仿宋_GB2312" w:hAnsi="仿宋_GB2312" w:eastAsia="仿宋_GB2312" w:cs="仿宋_GB2312"/>
                <w:kern w:val="0"/>
                <w:sz w:val="22"/>
                <w:szCs w:val="16"/>
              </w:rPr>
              <w:t>3.参与本项目政府采购活动时不存在被有关部门禁止参与政府采购活动且在有效期内的情况（由供应商在《</w:t>
            </w:r>
            <w:r>
              <w:rPr>
                <w:rFonts w:hint="eastAsia" w:ascii="仿宋_GB2312" w:hAnsi="仿宋_GB2312" w:eastAsia="仿宋_GB2312" w:cs="仿宋_GB2312"/>
                <w:kern w:val="0"/>
                <w:sz w:val="22"/>
                <w:szCs w:val="16"/>
                <w:lang w:val="en-US" w:eastAsia="zh-CN"/>
              </w:rPr>
              <w:t>参与政府采购活动及履约承诺函</w:t>
            </w:r>
            <w:r>
              <w:rPr>
                <w:rFonts w:hint="eastAsia" w:ascii="仿宋_GB2312" w:hAnsi="仿宋_GB2312" w:eastAsia="仿宋_GB2312" w:cs="仿宋_GB2312"/>
                <w:kern w:val="0"/>
                <w:sz w:val="22"/>
                <w:szCs w:val="16"/>
              </w:rPr>
              <w:t>》中作出声明）；</w:t>
            </w:r>
          </w:p>
          <w:p>
            <w:pPr>
              <w:spacing w:line="560" w:lineRule="exact"/>
              <w:ind w:left="0" w:leftChars="0" w:firstLine="0" w:firstLineChars="0"/>
              <w:rPr>
                <w:rFonts w:hint="eastAsia" w:ascii="仿宋_GB2312" w:hAnsi="仿宋_GB2312" w:eastAsia="仿宋_GB2312" w:cs="仿宋_GB2312"/>
                <w:kern w:val="0"/>
                <w:sz w:val="22"/>
                <w:szCs w:val="16"/>
              </w:rPr>
            </w:pPr>
            <w:r>
              <w:rPr>
                <w:rFonts w:hint="eastAsia" w:ascii="仿宋_GB2312" w:hAnsi="仿宋_GB2312" w:eastAsia="仿宋_GB2312" w:cs="仿宋_GB2312"/>
                <w:kern w:val="0"/>
                <w:sz w:val="22"/>
                <w:szCs w:val="16"/>
              </w:rPr>
              <w:t>4.具备《中华人民共和国政府采购法》第二十二条第一款的条件（由供应商在《</w:t>
            </w:r>
            <w:r>
              <w:rPr>
                <w:rFonts w:hint="eastAsia" w:ascii="仿宋_GB2312" w:hAnsi="仿宋_GB2312" w:eastAsia="仿宋_GB2312" w:cs="仿宋_GB2312"/>
                <w:kern w:val="0"/>
                <w:sz w:val="22"/>
                <w:szCs w:val="16"/>
                <w:lang w:val="en-US" w:eastAsia="zh-CN"/>
              </w:rPr>
              <w:t>参与政府采购活动及履约承诺函</w:t>
            </w:r>
            <w:r>
              <w:rPr>
                <w:rFonts w:hint="eastAsia" w:ascii="仿宋_GB2312" w:hAnsi="仿宋_GB2312" w:eastAsia="仿宋_GB2312" w:cs="仿宋_GB2312"/>
                <w:kern w:val="0"/>
                <w:sz w:val="22"/>
                <w:szCs w:val="16"/>
              </w:rPr>
              <w:t>》中作出声明）；</w:t>
            </w:r>
          </w:p>
          <w:p>
            <w:pPr>
              <w:spacing w:line="560" w:lineRule="exact"/>
              <w:ind w:left="0" w:leftChars="0" w:firstLine="0" w:firstLineChars="0"/>
              <w:rPr>
                <w:rFonts w:hint="eastAsia" w:ascii="仿宋_GB2312" w:hAnsi="仿宋_GB2312" w:eastAsia="仿宋_GB2312" w:cs="仿宋_GB2312"/>
                <w:kern w:val="0"/>
                <w:sz w:val="22"/>
                <w:szCs w:val="16"/>
              </w:rPr>
            </w:pPr>
            <w:r>
              <w:rPr>
                <w:rFonts w:hint="eastAsia" w:ascii="仿宋_GB2312" w:hAnsi="仿宋_GB2312" w:eastAsia="仿宋_GB2312" w:cs="仿宋_GB2312"/>
                <w:kern w:val="0"/>
                <w:sz w:val="22"/>
                <w:szCs w:val="16"/>
              </w:rPr>
              <w:t>5.未被列入失信被执行人、重大税收违法案件当事人名单、政府采购严重违法失信行为记录名单（由供应商在《</w:t>
            </w:r>
            <w:r>
              <w:rPr>
                <w:rFonts w:hint="eastAsia" w:ascii="仿宋_GB2312" w:hAnsi="仿宋_GB2312" w:eastAsia="仿宋_GB2312" w:cs="仿宋_GB2312"/>
                <w:kern w:val="0"/>
                <w:sz w:val="22"/>
                <w:szCs w:val="16"/>
                <w:lang w:val="en-US" w:eastAsia="zh-CN"/>
              </w:rPr>
              <w:t>参与政府采购活动及履约承诺函</w:t>
            </w:r>
            <w:r>
              <w:rPr>
                <w:rFonts w:hint="eastAsia" w:ascii="仿宋_GB2312" w:hAnsi="仿宋_GB2312" w:eastAsia="仿宋_GB2312" w:cs="仿宋_GB2312"/>
                <w:kern w:val="0"/>
                <w:sz w:val="22"/>
                <w:szCs w:val="16"/>
              </w:rPr>
              <w:t>》中作出声明）；</w:t>
            </w:r>
          </w:p>
          <w:p>
            <w:pPr>
              <w:spacing w:line="560" w:lineRule="exact"/>
              <w:ind w:left="0" w:leftChars="0" w:firstLine="0" w:firstLineChars="0"/>
              <w:rPr>
                <w:rFonts w:hint="eastAsia" w:ascii="仿宋_GB2312" w:hAnsi="仿宋_GB2312" w:eastAsia="仿宋_GB2312" w:cs="仿宋_GB2312"/>
                <w:kern w:val="0"/>
                <w:sz w:val="22"/>
                <w:szCs w:val="16"/>
                <w:lang w:val="en-US" w:eastAsia="zh-CN"/>
              </w:rPr>
            </w:pPr>
            <w:r>
              <w:rPr>
                <w:rFonts w:hint="eastAsia" w:ascii="仿宋_GB2312" w:hAnsi="仿宋_GB2312" w:eastAsia="仿宋_GB2312" w:cs="仿宋_GB2312"/>
                <w:kern w:val="0"/>
                <w:sz w:val="22"/>
                <w:szCs w:val="16"/>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spacing w:line="560" w:lineRule="exact"/>
              <w:ind w:left="0" w:leftChars="0" w:firstLine="0" w:firstLineChars="0"/>
              <w:rPr>
                <w:rFonts w:hint="eastAsia" w:ascii="仿宋_GB2312" w:hAnsi="仿宋_GB2312" w:eastAsia="仿宋_GB2312" w:cs="仿宋_GB2312"/>
                <w:i w:val="0"/>
                <w:iCs w:val="0"/>
                <w:caps w:val="0"/>
                <w:color w:val="auto"/>
                <w:spacing w:val="0"/>
                <w:kern w:val="2"/>
                <w:sz w:val="28"/>
                <w:szCs w:val="28"/>
                <w:highlight w:val="none"/>
                <w:shd w:val="clear" w:color="auto" w:fill="auto"/>
                <w:vertAlign w:val="baseline"/>
                <w:lang w:val="en-US" w:eastAsia="zh-CN"/>
              </w:rPr>
            </w:pPr>
            <w:r>
              <w:rPr>
                <w:rFonts w:hint="eastAsia" w:ascii="仿宋_GB2312" w:hAnsi="仿宋_GB2312" w:eastAsia="仿宋_GB2312" w:cs="仿宋_GB2312"/>
                <w:kern w:val="0"/>
                <w:sz w:val="22"/>
                <w:szCs w:val="16"/>
                <w:lang w:eastAsia="zh-CN"/>
              </w:rPr>
              <w:t>7.</w:t>
            </w:r>
            <w:r>
              <w:rPr>
                <w:rFonts w:hint="eastAsia" w:ascii="仿宋_GB2312" w:hAnsi="仿宋_GB2312" w:eastAsia="仿宋_GB2312" w:cs="仿宋_GB2312"/>
                <w:kern w:val="0"/>
                <w:sz w:val="22"/>
                <w:szCs w:val="16"/>
                <w:lang w:val="en-US" w:eastAsia="zh-CN"/>
              </w:rPr>
              <w:t>（采购部门视自身项目实际需要的其他资格要求）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662"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报价清单</w:t>
            </w:r>
          </w:p>
        </w:tc>
        <w:tc>
          <w:tcPr>
            <w:tcW w:w="7759" w:type="dxa"/>
            <w:gridSpan w:val="3"/>
            <w:noWrap w:val="0"/>
            <w:vAlign w:val="top"/>
          </w:tcPr>
          <w:p>
            <w:pPr>
              <w:pStyle w:val="5"/>
              <w:keepNext w:val="0"/>
              <w:keepLines w:val="0"/>
              <w:widowControl/>
              <w:suppressLineNumbers w:val="0"/>
              <w:spacing w:before="0" w:beforeAutospacing="0" w:after="0" w:afterAutospacing="0" w:line="560" w:lineRule="exact"/>
              <w:ind w:right="0"/>
              <w:jc w:val="left"/>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kern w:val="0"/>
                <w:sz w:val="22"/>
                <w:szCs w:val="16"/>
                <w:lang w:val="en-US" w:eastAsia="zh-CN" w:bidi="ar-SA"/>
              </w:rPr>
              <w:t>预算报价主要以项目合同金额为依据，并结合审计人员期间跟进安排及预计工作时间，综合确定：一是以中标价1.08亿及审计计费标准计算，费用是9.4万；二是每月跟踪审核全年预计12天，按助理2人标准是1600*2*12，即3.84万，合计预算报价132400元</w:t>
            </w:r>
            <w:r>
              <w:rPr>
                <w:rFonts w:hint="eastAsia" w:ascii="仿宋_GB2312" w:hAnsi="仿宋_GB2312" w:cs="仿宋_GB2312"/>
                <w:kern w:val="0"/>
                <w:sz w:val="22"/>
                <w:szCs w:val="16"/>
                <w:lang w:val="en-US" w:eastAsia="zh-CN" w:bidi="ar-SA"/>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2"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报名文件</w:t>
            </w:r>
          </w:p>
        </w:tc>
        <w:tc>
          <w:tcPr>
            <w:tcW w:w="7759" w:type="dxa"/>
            <w:gridSpan w:val="3"/>
            <w:noWrap w:val="0"/>
            <w:vAlign w:val="top"/>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563" w:leftChars="0" w:right="0" w:rightChars="0" w:firstLineChars="0"/>
              <w:jc w:val="left"/>
              <w:textAlignment w:val="auto"/>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eastAsia="zh-CN"/>
              </w:rPr>
            </w:pPr>
            <w:r>
              <w:rPr>
                <w:rFonts w:hint="eastAsia" w:ascii="仿宋_GB2312" w:hAnsi="仿宋_GB2312" w:eastAsia="仿宋_GB2312" w:cs="仿宋_GB2312"/>
                <w:i w:val="0"/>
                <w:iCs w:val="0"/>
                <w:caps w:val="0"/>
                <w:color w:val="auto"/>
                <w:spacing w:val="0"/>
                <w:kern w:val="2"/>
                <w:sz w:val="22"/>
                <w:szCs w:val="22"/>
                <w:highlight w:val="none"/>
                <w:shd w:val="clear" w:color="auto" w:fill="auto"/>
                <w:vertAlign w:val="baseline"/>
                <w:lang w:val="en-US" w:eastAsia="zh-CN"/>
              </w:rPr>
              <w:t>资格性审查资</w:t>
            </w: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val="en-US" w:eastAsia="zh-CN"/>
              </w:rPr>
              <w:t>料（有效期内营业执照复印件、参与政府采购活动及履约承诺函、供应商基本情况表</w:t>
            </w: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eastAsia="zh-CN"/>
              </w:rPr>
              <w:t>以及其他与项目相关的资质材料</w:t>
            </w: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val="en-US" w:eastAsia="zh-CN"/>
              </w:rPr>
              <w:t>）</w:t>
            </w: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eastAsia="zh-CN"/>
              </w:rPr>
              <w:t>；</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563" w:leftChars="0" w:right="0" w:rightChars="0" w:firstLineChars="0"/>
              <w:jc w:val="left"/>
              <w:textAlignment w:val="auto"/>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eastAsia="zh-CN"/>
              </w:rPr>
            </w:pP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val="en-US" w:eastAsia="zh-CN"/>
              </w:rPr>
              <w:t>符合性审查资料（</w:t>
            </w: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eastAsia="zh-CN"/>
              </w:rPr>
              <w:t>报价资料，此项需对照报价清单，分别填报单项报价和总价</w:t>
            </w: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val="en-US" w:eastAsia="zh-CN"/>
              </w:rPr>
              <w:t>）</w:t>
            </w: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eastAsia="zh-CN"/>
              </w:rPr>
              <w:t>；</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563" w:leftChars="0" w:right="0" w:rightChars="0" w:firstLineChars="0"/>
              <w:jc w:val="left"/>
              <w:textAlignment w:val="auto"/>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eastAsia="zh-CN"/>
              </w:rPr>
            </w:pP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val="en-US" w:eastAsia="zh-CN"/>
              </w:rPr>
              <w:t>投递人身份证明资料（法人代表证明书、法人身份证</w:t>
            </w: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eastAsia="zh-CN"/>
              </w:rPr>
              <w:t>复印件</w:t>
            </w: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val="en-US" w:eastAsia="zh-CN"/>
              </w:rPr>
              <w:t>、法人代表授权书等）</w:t>
            </w: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440" w:firstLineChars="200"/>
              <w:jc w:val="left"/>
              <w:textAlignment w:val="auto"/>
              <w:rPr>
                <w:rFonts w:hint="eastAsia" w:ascii="仿宋_GB2312" w:hAnsi="仿宋_GB2312" w:eastAsia="仿宋_GB2312" w:cs="仿宋_GB2312"/>
                <w:i w:val="0"/>
                <w:iCs w:val="0"/>
                <w:caps w:val="0"/>
                <w:color w:val="auto"/>
                <w:spacing w:val="0"/>
                <w:kern w:val="2"/>
                <w:sz w:val="22"/>
                <w:szCs w:val="22"/>
                <w:highlight w:val="none"/>
                <w:shd w:val="clear" w:color="auto" w:fill="auto"/>
                <w:vertAlign w:val="baseline"/>
                <w:lang w:eastAsia="zh-CN"/>
              </w:rPr>
            </w:pP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eastAsia="zh-CN"/>
              </w:rPr>
              <w:t>4、供应商</w:t>
            </w: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val="en-US" w:eastAsia="zh-CN"/>
              </w:rPr>
              <w:t>认为与</w:t>
            </w: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eastAsia="zh-CN"/>
              </w:rPr>
              <w:t>响应本</w:t>
            </w: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val="en-US" w:eastAsia="zh-CN"/>
              </w:rPr>
              <w:t>项目相关的其他资料</w:t>
            </w: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eastAsia="zh-CN"/>
              </w:rPr>
              <w:t>，如同类项目履约资料等。</w:t>
            </w:r>
            <w:r>
              <w:rPr>
                <w:rFonts w:hint="eastAsia" w:ascii="仿宋_GB2312" w:hAnsi="仿宋_GB2312" w:eastAsia="仿宋_GB2312" w:cs="仿宋_GB2312"/>
                <w:i w:val="0"/>
                <w:iCs w:val="0"/>
                <w:caps w:val="0"/>
                <w:color w:val="000000"/>
                <w:spacing w:val="0"/>
                <w:kern w:val="2"/>
                <w:sz w:val="22"/>
                <w:szCs w:val="22"/>
                <w:highlight w:val="none"/>
                <w:shd w:val="clear" w:color="auto" w:fill="auto"/>
                <w:vertAlign w:val="baseline"/>
                <w:lang w:val="en-US" w:eastAsia="zh-CN"/>
              </w:rPr>
              <w:t>（以上资料均需加盖公司公章，密封现场递交至采</w:t>
            </w:r>
            <w:r>
              <w:rPr>
                <w:rFonts w:hint="eastAsia" w:ascii="仿宋_GB2312" w:hAnsi="仿宋_GB2312" w:eastAsia="仿宋_GB2312" w:cs="仿宋_GB2312"/>
                <w:i w:val="0"/>
                <w:iCs w:val="0"/>
                <w:caps w:val="0"/>
                <w:color w:val="auto"/>
                <w:spacing w:val="0"/>
                <w:kern w:val="2"/>
                <w:sz w:val="22"/>
                <w:szCs w:val="22"/>
                <w:highlight w:val="none"/>
                <w:shd w:val="clear" w:color="auto" w:fill="auto"/>
                <w:vertAlign w:val="baseline"/>
                <w:lang w:val="en-US" w:eastAsia="zh-CN"/>
              </w:rPr>
              <w:t>购部门，不接受快递投递文件）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662"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eastAsia="zh-CN"/>
              </w:rPr>
              <w:t>评选方法</w:t>
            </w:r>
          </w:p>
        </w:tc>
        <w:tc>
          <w:tcPr>
            <w:tcW w:w="7759" w:type="dxa"/>
            <w:gridSpan w:val="3"/>
            <w:noWrap w:val="0"/>
            <w:vAlign w:val="top"/>
          </w:tcPr>
          <w:p>
            <w:pPr>
              <w:pStyle w:val="5"/>
              <w:keepNext w:val="0"/>
              <w:keepLines w:val="0"/>
              <w:widowControl/>
              <w:suppressLineNumbers w:val="0"/>
              <w:spacing w:before="0" w:beforeAutospacing="0" w:after="0" w:afterAutospacing="0" w:line="560" w:lineRule="exact"/>
              <w:ind w:right="0"/>
              <w:jc w:val="left"/>
              <w:rPr>
                <w:rFonts w:hint="eastAsia" w:ascii="仿宋_GB2312" w:hAnsi="仿宋_GB2312" w:eastAsia="仿宋_GB2312" w:cs="仿宋_GB2312"/>
                <w:i w:val="0"/>
                <w:iCs w:val="0"/>
                <w:caps w:val="0"/>
                <w:color w:val="auto"/>
                <w:spacing w:val="0"/>
                <w:kern w:val="2"/>
                <w:sz w:val="22"/>
                <w:szCs w:val="22"/>
                <w:highlight w:val="none"/>
                <w:shd w:val="clear" w:color="auto" w:fill="auto"/>
                <w:vertAlign w:val="baseline"/>
                <w:lang w:eastAsia="zh-CN"/>
              </w:rPr>
            </w:pPr>
            <w:r>
              <w:rPr>
                <w:rFonts w:hint="eastAsia" w:ascii="仿宋_GB2312" w:hAnsi="仿宋_GB2312" w:eastAsia="仿宋_GB2312" w:cs="仿宋_GB2312"/>
                <w:i w:val="0"/>
                <w:iCs w:val="0"/>
                <w:caps w:val="0"/>
                <w:color w:val="auto"/>
                <w:spacing w:val="0"/>
                <w:kern w:val="2"/>
                <w:sz w:val="22"/>
                <w:szCs w:val="22"/>
                <w:highlight w:val="none"/>
                <w:shd w:val="clear" w:color="auto" w:fill="auto"/>
                <w:vertAlign w:val="baseline"/>
                <w:lang w:val="en-US" w:eastAsia="zh-CN"/>
              </w:rPr>
              <w:t>最低价法</w:t>
            </w:r>
            <w:r>
              <w:rPr>
                <w:rFonts w:hint="eastAsia" w:ascii="仿宋_GB2312" w:hAnsi="仿宋_GB2312" w:eastAsia="仿宋_GB2312" w:cs="仿宋_GB2312"/>
                <w:i w:val="0"/>
                <w:iCs w:val="0"/>
                <w:caps w:val="0"/>
                <w:color w:val="auto"/>
                <w:spacing w:val="0"/>
                <w:kern w:val="2"/>
                <w:sz w:val="22"/>
                <w:szCs w:val="22"/>
                <w:highlight w:val="none"/>
                <w:shd w:val="clear" w:color="auto" w:fill="auto"/>
                <w:vertAlign w:val="baseline"/>
                <w:lang w:eastAsia="zh-CN"/>
              </w:rPr>
              <w:t>。</w:t>
            </w:r>
            <w:r>
              <w:rPr>
                <w:rFonts w:hint="eastAsia" w:ascii="仿宋_GB2312" w:hAnsi="仿宋_GB2312" w:eastAsia="仿宋_GB2312" w:cs="仿宋_GB2312"/>
                <w:i w:val="0"/>
                <w:iCs w:val="0"/>
                <w:caps w:val="0"/>
                <w:color w:val="auto"/>
                <w:spacing w:val="0"/>
                <w:kern w:val="2"/>
                <w:sz w:val="22"/>
                <w:szCs w:val="22"/>
                <w:highlight w:val="none"/>
                <w:shd w:val="clear" w:color="auto" w:fill="auto"/>
                <w:vertAlign w:val="baseline"/>
                <w:lang w:val="en-US" w:eastAsia="zh-CN"/>
              </w:rPr>
              <w:t>如有相同最低价，以竞价方式从相同最低价中选出成交供应商</w:t>
            </w:r>
            <w:r>
              <w:rPr>
                <w:rFonts w:hint="eastAsia" w:ascii="仿宋_GB2312" w:hAnsi="仿宋_GB2312" w:eastAsia="仿宋_GB2312" w:cs="仿宋_GB2312"/>
                <w:i w:val="0"/>
                <w:iCs w:val="0"/>
                <w:caps w:val="0"/>
                <w:color w:val="auto"/>
                <w:spacing w:val="0"/>
                <w:kern w:val="2"/>
                <w:sz w:val="22"/>
                <w:szCs w:val="22"/>
                <w:highlight w:val="none"/>
                <w:shd w:val="clear" w:color="auto" w:fill="auto"/>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62"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报名</w:t>
            </w: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eastAsia="zh-CN"/>
              </w:rPr>
              <w:t>及公示</w:t>
            </w: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val="en-US" w:eastAsia="zh-CN"/>
              </w:rPr>
              <w:t>截止时间</w:t>
            </w:r>
          </w:p>
        </w:tc>
        <w:tc>
          <w:tcPr>
            <w:tcW w:w="7759" w:type="dxa"/>
            <w:gridSpan w:val="3"/>
            <w:noWrap w:val="0"/>
            <w:vAlign w:val="top"/>
          </w:tcPr>
          <w:p>
            <w:pPr>
              <w:pStyle w:val="5"/>
              <w:keepNext w:val="0"/>
              <w:keepLines w:val="0"/>
              <w:widowControl/>
              <w:suppressLineNumbers w:val="0"/>
              <w:spacing w:before="0" w:beforeAutospacing="0" w:after="0" w:afterAutospacing="0" w:line="560" w:lineRule="exact"/>
              <w:ind w:right="0"/>
              <w:jc w:val="left"/>
              <w:rPr>
                <w:rFonts w:hint="default" w:ascii="仿宋_GB2312" w:hAnsi="仿宋_GB2312" w:eastAsia="仿宋_GB2312" w:cs="仿宋_GB2312"/>
                <w:i w:val="0"/>
                <w:iCs w:val="0"/>
                <w:caps w:val="0"/>
                <w:color w:val="auto"/>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i w:val="0"/>
                <w:iCs w:val="0"/>
                <w:caps w:val="0"/>
                <w:color w:val="auto"/>
                <w:spacing w:val="0"/>
                <w:kern w:val="2"/>
                <w:sz w:val="22"/>
                <w:szCs w:val="22"/>
                <w:highlight w:val="none"/>
                <w:shd w:val="clear" w:color="auto" w:fill="auto"/>
                <w:vertAlign w:val="baseline"/>
                <w:lang w:val="en-US" w:eastAsia="zh-CN"/>
              </w:rPr>
              <w:t>2025年10月16日至2025年10月20日（3个工作日）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662" w:type="dxa"/>
            <w:noWrap w:val="0"/>
            <w:vAlign w:val="top"/>
          </w:tcPr>
          <w:p>
            <w:pPr>
              <w:pStyle w:val="5"/>
              <w:keepNext w:val="0"/>
              <w:keepLines w:val="0"/>
              <w:widowControl/>
              <w:suppressLineNumbers w:val="0"/>
              <w:spacing w:before="0" w:beforeAutospacing="0" w:after="0" w:afterAutospacing="0" w:line="560" w:lineRule="exact"/>
              <w:ind w:left="0" w:leftChars="0" w:right="0" w:firstLine="0" w:firstLineChars="0"/>
              <w:jc w:val="left"/>
              <w:rPr>
                <w:rFonts w:hint="eastAsia" w:ascii="仿宋_GB2312" w:hAnsi="仿宋_GB2312" w:eastAsia="仿宋_GB2312" w:cs="仿宋_GB2312"/>
                <w:i w:val="0"/>
                <w:iCs w:val="0"/>
                <w:caps w:val="0"/>
                <w:color w:val="auto"/>
                <w:spacing w:val="0"/>
                <w:kern w:val="2"/>
                <w:sz w:val="32"/>
                <w:szCs w:val="32"/>
                <w:highlight w:val="none"/>
                <w:shd w:val="clear" w:color="auto" w:fill="auto"/>
                <w:vertAlign w:val="baseline"/>
                <w:lang w:eastAsia="zh-CN"/>
              </w:rPr>
            </w:pPr>
            <w:r>
              <w:rPr>
                <w:rFonts w:hint="eastAsia" w:ascii="仿宋_GB2312" w:hAnsi="仿宋_GB2312" w:eastAsia="仿宋_GB2312" w:cs="仿宋_GB2312"/>
                <w:b/>
                <w:bCs/>
                <w:i w:val="0"/>
                <w:iCs w:val="0"/>
                <w:caps w:val="0"/>
                <w:color w:val="auto"/>
                <w:spacing w:val="0"/>
                <w:kern w:val="2"/>
                <w:sz w:val="32"/>
                <w:szCs w:val="32"/>
                <w:highlight w:val="none"/>
                <w:shd w:val="clear" w:color="auto" w:fill="auto"/>
                <w:vertAlign w:val="baseline"/>
                <w:lang w:eastAsia="zh-CN"/>
              </w:rPr>
              <w:t>询问及联系方式</w:t>
            </w:r>
          </w:p>
        </w:tc>
        <w:tc>
          <w:tcPr>
            <w:tcW w:w="7759" w:type="dxa"/>
            <w:gridSpan w:val="3"/>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eastAsia="zh-CN"/>
              </w:rPr>
              <w:t>1、</w:t>
            </w:r>
            <w:r>
              <w:rPr>
                <w:rFonts w:hint="eastAsia" w:ascii="仿宋_GB2312" w:hAnsi="仿宋_GB2312" w:eastAsia="仿宋_GB2312" w:cs="仿宋_GB2312"/>
                <w:color w:val="auto"/>
                <w:kern w:val="2"/>
                <w:sz w:val="24"/>
                <w:szCs w:val="24"/>
                <w:highlight w:val="none"/>
                <w:lang w:val="en-US" w:eastAsia="zh-CN"/>
              </w:rPr>
              <w:t>采购</w:t>
            </w:r>
            <w:r>
              <w:rPr>
                <w:rFonts w:hint="eastAsia" w:ascii="仿宋_GB2312" w:hAnsi="仿宋_GB2312" w:eastAsia="仿宋_GB2312" w:cs="仿宋_GB2312"/>
                <w:color w:val="auto"/>
                <w:kern w:val="2"/>
                <w:sz w:val="24"/>
                <w:szCs w:val="24"/>
                <w:highlight w:val="none"/>
                <w:lang w:eastAsia="zh-CN"/>
              </w:rPr>
              <w:t>单位</w:t>
            </w:r>
            <w:r>
              <w:rPr>
                <w:rFonts w:hint="eastAsia" w:ascii="仿宋_GB2312" w:hAnsi="仿宋_GB2312" w:eastAsia="仿宋_GB2312" w:cs="仿宋_GB2312"/>
                <w:color w:val="auto"/>
                <w:kern w:val="2"/>
                <w:sz w:val="24"/>
                <w:szCs w:val="24"/>
                <w:highlight w:val="none"/>
                <w:lang w:val="en-US" w:eastAsia="zh-CN"/>
              </w:rPr>
              <w:t>联系方式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eastAsia="zh-CN"/>
              </w:rPr>
              <w:t>联系人：刘旭辉         联系方式：</w:t>
            </w:r>
            <w:r>
              <w:rPr>
                <w:rFonts w:hint="eastAsia" w:ascii="仿宋_GB2312" w:hAnsi="仿宋_GB2312" w:eastAsia="仿宋_GB2312" w:cs="仿宋_GB2312"/>
                <w:color w:val="auto"/>
                <w:kern w:val="2"/>
                <w:sz w:val="24"/>
                <w:szCs w:val="24"/>
                <w:highlight w:val="none"/>
                <w:lang w:val="en-US" w:eastAsia="zh-CN"/>
              </w:rPr>
              <w:t>0755-28706804</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eastAsia="zh-CN"/>
              </w:rPr>
              <w:t>2、街道政府采购领导小组办公室</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auto"/>
                <w:spacing w:val="0"/>
                <w:kern w:val="2"/>
                <w:sz w:val="24"/>
                <w:szCs w:val="24"/>
                <w:highlight w:val="none"/>
                <w:shd w:val="clear" w:color="auto" w:fill="auto"/>
                <w:vertAlign w:val="baseline"/>
                <w:lang w:eastAsia="zh-CN"/>
              </w:rPr>
            </w:pPr>
            <w:r>
              <w:rPr>
                <w:rFonts w:hint="eastAsia" w:ascii="仿宋_GB2312" w:hAnsi="仿宋_GB2312" w:eastAsia="仿宋_GB2312" w:cs="仿宋_GB2312"/>
                <w:color w:val="auto"/>
                <w:kern w:val="2"/>
                <w:sz w:val="24"/>
                <w:szCs w:val="24"/>
                <w:highlight w:val="none"/>
                <w:lang w:eastAsia="zh-CN"/>
              </w:rPr>
              <w:t>联系方式：</w:t>
            </w:r>
            <w:r>
              <w:rPr>
                <w:rFonts w:hint="default" w:ascii="仿宋_GB2312" w:hAnsi="仿宋_GB2312" w:cs="仿宋_GB2312"/>
                <w:color w:val="auto"/>
                <w:kern w:val="2"/>
                <w:sz w:val="24"/>
                <w:szCs w:val="24"/>
                <w:highlight w:val="none"/>
                <w:lang w:val="en-US" w:eastAsia="zh-CN"/>
              </w:rPr>
              <w:t>0755-</w:t>
            </w:r>
            <w:r>
              <w:rPr>
                <w:rFonts w:hint="eastAsia" w:ascii="仿宋_GB2312" w:hAnsi="仿宋_GB2312" w:eastAsia="仿宋_GB2312" w:cs="仿宋_GB2312"/>
                <w:color w:val="auto"/>
                <w:kern w:val="2"/>
                <w:sz w:val="24"/>
                <w:szCs w:val="24"/>
                <w:highlight w:val="none"/>
                <w:lang w:eastAsia="zh-CN"/>
              </w:rPr>
              <w:t>89609693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1662" w:type="dxa"/>
            <w:noWrap w:val="0"/>
            <w:vAlign w:val="top"/>
          </w:tcPr>
          <w:p>
            <w:pPr>
              <w:pStyle w:val="5"/>
              <w:keepNext w:val="0"/>
              <w:keepLines w:val="0"/>
              <w:widowControl/>
              <w:suppressLineNumbers w:val="0"/>
              <w:spacing w:before="0" w:beforeAutospacing="0" w:after="0" w:afterAutospacing="0" w:line="560" w:lineRule="exact"/>
              <w:ind w:right="0"/>
              <w:jc w:val="left"/>
              <w:rPr>
                <w:rFonts w:hint="eastAsia" w:ascii="仿宋_GB2312" w:hAnsi="仿宋_GB2312" w:eastAsia="仿宋_GB2312" w:cs="仿宋_GB2312"/>
                <w:b/>
                <w:bCs/>
                <w:i w:val="0"/>
                <w:iCs w:val="0"/>
                <w:caps w:val="0"/>
                <w:color w:val="000000"/>
                <w:spacing w:val="0"/>
                <w:kern w:val="2"/>
                <w:sz w:val="32"/>
                <w:szCs w:val="32"/>
                <w:highlight w:val="none"/>
                <w:shd w:val="clear" w:color="auto" w:fill="auto"/>
                <w:vertAlign w:val="baseline"/>
                <w:lang w:val="en-US" w:eastAsia="zh-CN"/>
              </w:rPr>
            </w:pPr>
          </w:p>
          <w:p>
            <w:pPr>
              <w:pStyle w:val="5"/>
              <w:keepNext w:val="0"/>
              <w:keepLines w:val="0"/>
              <w:widowControl/>
              <w:suppressLineNumbers w:val="0"/>
              <w:spacing w:before="0" w:beforeAutospacing="0" w:after="0" w:afterAutospacing="0" w:line="560" w:lineRule="exact"/>
              <w:ind w:right="0"/>
              <w:jc w:val="left"/>
              <w:rPr>
                <w:rFonts w:hint="eastAsia" w:ascii="仿宋_GB2312" w:hAnsi="仿宋_GB2312" w:eastAsia="仿宋_GB2312" w:cs="仿宋_GB2312"/>
                <w:b/>
                <w:bCs/>
                <w:i w:val="0"/>
                <w:iCs w:val="0"/>
                <w:caps w:val="0"/>
                <w:color w:val="000000"/>
                <w:spacing w:val="0"/>
                <w:kern w:val="2"/>
                <w:sz w:val="32"/>
                <w:szCs w:val="32"/>
                <w:highlight w:val="none"/>
                <w:shd w:val="clear" w:color="auto" w:fill="auto"/>
                <w:vertAlign w:val="baseline"/>
                <w:lang w:val="en-US" w:eastAsia="zh-CN"/>
              </w:rPr>
            </w:pPr>
          </w:p>
          <w:p>
            <w:pPr>
              <w:pStyle w:val="5"/>
              <w:keepNext w:val="0"/>
              <w:keepLines w:val="0"/>
              <w:widowControl/>
              <w:suppressLineNumbers w:val="0"/>
              <w:spacing w:before="0" w:beforeAutospacing="0" w:after="0" w:afterAutospacing="0" w:line="560" w:lineRule="exact"/>
              <w:ind w:right="0"/>
              <w:jc w:val="left"/>
              <w:rPr>
                <w:rFonts w:hint="eastAsia" w:ascii="仿宋_GB2312" w:hAnsi="仿宋_GB2312" w:eastAsia="仿宋_GB2312" w:cs="仿宋_GB2312"/>
                <w:b/>
                <w:bCs/>
                <w:i w:val="0"/>
                <w:iCs w:val="0"/>
                <w:caps w:val="0"/>
                <w:color w:val="000000"/>
                <w:spacing w:val="0"/>
                <w:kern w:val="2"/>
                <w:sz w:val="32"/>
                <w:szCs w:val="32"/>
                <w:highlight w:val="none"/>
                <w:shd w:val="clear" w:color="auto" w:fill="auto"/>
                <w:vertAlign w:val="baseline"/>
                <w:lang w:val="en-US" w:eastAsia="zh-CN"/>
              </w:rPr>
            </w:pPr>
          </w:p>
          <w:p>
            <w:pPr>
              <w:pStyle w:val="5"/>
              <w:keepNext w:val="0"/>
              <w:keepLines w:val="0"/>
              <w:widowControl/>
              <w:suppressLineNumbers w:val="0"/>
              <w:spacing w:before="0" w:beforeAutospacing="0" w:after="0" w:afterAutospacing="0" w:line="560" w:lineRule="exact"/>
              <w:ind w:right="0"/>
              <w:jc w:val="left"/>
              <w:rPr>
                <w:rFonts w:hint="eastAsia" w:ascii="仿宋_GB2312" w:hAnsi="仿宋_GB2312" w:eastAsia="仿宋_GB2312" w:cs="仿宋_GB2312"/>
                <w:b/>
                <w:bCs/>
                <w:i w:val="0"/>
                <w:iCs w:val="0"/>
                <w:caps w:val="0"/>
                <w:color w:val="000000"/>
                <w:spacing w:val="0"/>
                <w:kern w:val="2"/>
                <w:sz w:val="32"/>
                <w:szCs w:val="32"/>
                <w:highlight w:val="none"/>
                <w:shd w:val="clear" w:color="auto" w:fill="auto"/>
                <w:vertAlign w:val="baseline"/>
                <w:lang w:val="en-US" w:eastAsia="zh-CN"/>
              </w:rPr>
            </w:pPr>
          </w:p>
          <w:p>
            <w:pPr>
              <w:pStyle w:val="5"/>
              <w:keepNext w:val="0"/>
              <w:keepLines w:val="0"/>
              <w:widowControl/>
              <w:suppressLineNumbers w:val="0"/>
              <w:spacing w:before="0" w:beforeAutospacing="0" w:after="0" w:afterAutospacing="0" w:line="560" w:lineRule="exact"/>
              <w:ind w:left="0" w:leftChars="0" w:right="0" w:firstLine="0" w:firstLineChars="0"/>
              <w:jc w:val="left"/>
              <w:rPr>
                <w:rFonts w:hint="eastAsia" w:ascii="仿宋_GB2312" w:hAnsi="仿宋_GB2312" w:eastAsia="仿宋_GB2312" w:cs="仿宋_GB2312"/>
                <w:i w:val="0"/>
                <w:iCs w:val="0"/>
                <w:caps w:val="0"/>
                <w:color w:val="000000"/>
                <w:spacing w:val="0"/>
                <w:kern w:val="2"/>
                <w:sz w:val="32"/>
                <w:szCs w:val="32"/>
                <w:highlight w:val="none"/>
                <w:shd w:val="clear" w:color="auto" w:fill="auto"/>
                <w:vertAlign w:val="baseline"/>
                <w:lang w:val="en-US" w:eastAsia="zh-CN"/>
              </w:rPr>
            </w:pPr>
            <w:r>
              <w:rPr>
                <w:rFonts w:hint="eastAsia" w:ascii="仿宋_GB2312" w:hAnsi="仿宋_GB2312" w:eastAsia="仿宋_GB2312" w:cs="仿宋_GB2312"/>
                <w:b/>
                <w:bCs/>
                <w:i w:val="0"/>
                <w:iCs w:val="0"/>
                <w:caps w:val="0"/>
                <w:color w:val="000000"/>
                <w:spacing w:val="0"/>
                <w:kern w:val="2"/>
                <w:sz w:val="32"/>
                <w:szCs w:val="32"/>
                <w:highlight w:val="none"/>
                <w:shd w:val="clear" w:color="auto" w:fill="auto"/>
                <w:vertAlign w:val="baseline"/>
                <w:lang w:val="en-US" w:eastAsia="zh-CN"/>
              </w:rPr>
              <w:t>备注</w:t>
            </w:r>
          </w:p>
        </w:tc>
        <w:tc>
          <w:tcPr>
            <w:tcW w:w="7759" w:type="dxa"/>
            <w:gridSpan w:val="3"/>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eastAsia="zh-CN"/>
              </w:rPr>
            </w:pP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eastAsia="zh-CN"/>
              </w:rPr>
              <w:t>1、</w: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t>请供应商严格按照报价清单进行报价，对报价清单规定的项目需求内容或者需求数量进行修改的，视为符合性审查不通过，不得参与本次自行采购活动。</w: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eastAsia="zh-CN"/>
              </w:rPr>
              <w:t>单项报价为0的，视为无效报价。</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pP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eastAsia="zh-CN"/>
              </w:rPr>
              <w:t>2、</w: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t>请供应商严格对照资格性审查资料准备相应材料，在资格性审查阶段出现资料缺少的，视为资格性审查不通过，不得参与本次自行采购活动。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pP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eastAsia="zh-CN"/>
              </w:rPr>
              <w:t>3、</w: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t>本项目服务费采用包干制，应包括服务成本、法定税费和企业的利润。由供应商根据采购公告等资料自行测算报价；一经采购，报价总价</w: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eastAsia="zh-CN"/>
              </w:rPr>
              <w:t>和细项单价</w: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t>作为应邀单位与采购单位签定的合同金额，合同期限内不作调整。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pP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eastAsia="zh-CN"/>
              </w:rPr>
              <w:t>4、供应商信用信息</w: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t>相关查询路径：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pP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eastAsia="zh-CN"/>
              </w:rPr>
              <w:t>（1）</w: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t>深圳市政府采购监管网（</w: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fldChar w:fldCharType="begin"/>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instrText xml:space="preserve"> HYPERLINK "http://zfcg.sz.gov.cn/cgjg/cxda/index.html" </w:instrTex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fldChar w:fldCharType="separate"/>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t>http://zfcg.sz.gov.cn/cgjg/cxda/index.html</w: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fldChar w:fldCharType="end"/>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pP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eastAsia="zh-CN"/>
              </w:rPr>
              <w:t>（2）</w: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t>国家企业信用信息公示系统（https://www.gsxt.gov.cn/index.html)</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pP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t>或</w:t>
            </w:r>
            <w:bookmarkStart w:id="1" w:name="_GoBack"/>
            <w:bookmarkEnd w:id="1"/>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t>全国社会组织信用信息公示平台（</w: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fldChar w:fldCharType="begin"/>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instrText xml:space="preserve"> HYPERLINK "https://xxgs.chinanpo.mca.gov.cn/gsxt/newList" </w:instrTex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fldChar w:fldCharType="separate"/>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t>https://xxgs.chinanpo.mca.gov.cn/gsxt/newList</w: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fldChar w:fldCharType="end"/>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pP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eastAsia="zh-CN"/>
              </w:rPr>
              <w:t>（3）</w: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t>中国政府采购网（</w: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fldChar w:fldCharType="begin"/>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instrText xml:space="preserve"> HYPERLINK "http://www.ccgp.gov.cn/search/cr/" </w:instrTex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fldChar w:fldCharType="separate"/>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t>http://www.ccgp.gov.cn/search/cr/</w: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fldChar w:fldCharType="end"/>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pPr>
            <w:r>
              <w:rPr>
                <w:rFonts w:hint="eastAsia" w:ascii="仿宋_GB2312" w:hAnsi="仿宋_GB2312" w:eastAsia="仿宋_GB2312" w:cs="仿宋_GB2312"/>
                <w:i w:val="0"/>
                <w:caps w:val="0"/>
                <w:color w:val="000000"/>
                <w:spacing w:val="0"/>
                <w:kern w:val="2"/>
                <w:sz w:val="24"/>
                <w:szCs w:val="24"/>
                <w:highlight w:val="none"/>
                <w:u w:val="none"/>
                <w:shd w:val="clear" w:color="auto" w:fill="auto"/>
                <w:lang w:eastAsia="zh-CN"/>
              </w:rPr>
              <w:t>（</w:t>
            </w: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eastAsia="zh-CN"/>
              </w:rPr>
              <w:t>4</w:t>
            </w:r>
            <w:r>
              <w:rPr>
                <w:rFonts w:hint="eastAsia" w:ascii="仿宋_GB2312" w:hAnsi="仿宋_GB2312" w:eastAsia="仿宋_GB2312" w:cs="仿宋_GB2312"/>
                <w:i w:val="0"/>
                <w:caps w:val="0"/>
                <w:color w:val="000000"/>
                <w:spacing w:val="0"/>
                <w:kern w:val="2"/>
                <w:sz w:val="24"/>
                <w:szCs w:val="24"/>
                <w:highlight w:val="none"/>
                <w:u w:val="none"/>
                <w:shd w:val="clear" w:color="auto" w:fill="auto"/>
                <w:lang w:eastAsia="zh-CN"/>
              </w:rPr>
              <w:t>）信用中国（www.creditchina.gov.cn）</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caps w:val="0"/>
                <w:color w:val="000000"/>
                <w:spacing w:val="0"/>
                <w:kern w:val="2"/>
                <w:sz w:val="24"/>
                <w:szCs w:val="24"/>
                <w:highlight w:val="none"/>
                <w:u w:val="none"/>
                <w:shd w:val="clear" w:color="auto" w:fill="auto"/>
                <w:lang w:val="en-US" w:eastAsia="zh-CN"/>
              </w:rPr>
            </w:pPr>
            <w:r>
              <w:rPr>
                <w:rFonts w:hint="eastAsia" w:ascii="仿宋_GB2312" w:hAnsi="仿宋_GB2312" w:eastAsia="仿宋_GB2312" w:cs="仿宋_GB2312"/>
                <w:i w:val="0"/>
                <w:iCs w:val="0"/>
                <w:caps w:val="0"/>
                <w:color w:val="000000"/>
                <w:spacing w:val="0"/>
                <w:kern w:val="2"/>
                <w:sz w:val="24"/>
                <w:szCs w:val="24"/>
                <w:highlight w:val="none"/>
                <w:shd w:val="clear" w:color="auto" w:fill="auto"/>
                <w:vertAlign w:val="baseline"/>
                <w:lang w:val="en-US" w:eastAsia="zh-CN"/>
              </w:rPr>
              <w:t>相关查询信息以开标当日的查询结果为准。</w:t>
            </w:r>
          </w:p>
        </w:tc>
      </w:tr>
    </w:tbl>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长城仿宋">
    <w:altName w:val="方正仿宋_GBK"/>
    <w:panose1 w:val="00000000000000000000"/>
    <w:charset w:val="00"/>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B48C6"/>
    <w:multiLevelType w:val="singleLevel"/>
    <w:tmpl w:val="B7DB48C6"/>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pPr>
        <w:ind w:left="-56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E837F"/>
    <w:rsid w:val="4BFE837F"/>
    <w:rsid w:val="57FAB8A6"/>
    <w:rsid w:val="67D7B8FF"/>
    <w:rsid w:val="73C57E91"/>
    <w:rsid w:val="DB6C3485"/>
    <w:rsid w:val="E9E95195"/>
    <w:rsid w:val="ECF7FEB1"/>
    <w:rsid w:val="EE977E56"/>
    <w:rsid w:val="F6FE2C44"/>
    <w:rsid w:val="F7DF56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Calibri" w:hAnsi="Calibri"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3">
    <w:name w:val="Body Text"/>
    <w:basedOn w:val="1"/>
    <w:next w:val="1"/>
    <w:qFormat/>
    <w:uiPriority w:val="99"/>
    <w:rPr>
      <w:rFonts w:ascii="Times New Roman" w:hAnsi="Times New Roman"/>
      <w:sz w:val="32"/>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172</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2025-09-24T22:35:00Z</dcterms:created>
  <dc:creator>WPS_1663641615</dc:creator>
  <cp:lastModifiedBy>少少</cp:lastModifiedBy>
  <cp:lastPrinted>2025-10-10T01:04:00Z</cp:lastPrinted>
  <dcterms:modified xsi:type="dcterms:W3CDTF">2025-10-15T14:13:19Z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81EA2F6F6A266621FBA8D468E04B04BC</vt:lpwstr>
  </property>
</Properties>
</file>