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37707F4E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2025-10-15T02:38:13Z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