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54D3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14:paraId="0C768B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7A562E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color w:val="auto"/>
          <w:sz w:val="44"/>
          <w:szCs w:val="44"/>
        </w:rPr>
        <w:t>罗山产业集聚中心</w:t>
      </w:r>
      <w:r>
        <w:rPr>
          <w:rFonts w:hint="eastAsia" w:ascii="方正小标宋简体" w:hAnsi="方正小标宋简体" w:eastAsia="方正小标宋简体" w:cs="方正小标宋简体"/>
          <w:b w:val="0"/>
          <w:bCs w:val="0"/>
          <w:color w:val="auto"/>
          <w:sz w:val="44"/>
          <w:szCs w:val="44"/>
          <w:lang w:eastAsia="zh-CN"/>
        </w:rPr>
        <w:t>项目</w:t>
      </w:r>
      <w:r>
        <w:rPr>
          <w:rFonts w:hint="eastAsia" w:ascii="方正小标宋简体" w:hAnsi="方正小标宋简体" w:eastAsia="方正小标宋简体" w:cs="方正小标宋简体"/>
          <w:b w:val="0"/>
          <w:bCs w:val="0"/>
          <w:color w:val="auto"/>
          <w:sz w:val="44"/>
          <w:szCs w:val="44"/>
        </w:rPr>
        <w:t>物业服务</w:t>
      </w:r>
      <w:r>
        <w:rPr>
          <w:rFonts w:hint="eastAsia" w:ascii="方正小标宋简体" w:hAnsi="方正小标宋简体" w:eastAsia="方正小标宋简体" w:cs="方正小标宋简体"/>
          <w:b w:val="0"/>
          <w:bCs w:val="0"/>
          <w:sz w:val="44"/>
          <w:szCs w:val="44"/>
          <w:lang w:val="en-US" w:eastAsia="zh-CN"/>
        </w:rPr>
        <w:t>任务书</w:t>
      </w:r>
    </w:p>
    <w:p w14:paraId="397256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color w:val="auto"/>
          <w:sz w:val="44"/>
          <w:szCs w:val="44"/>
        </w:rPr>
      </w:pPr>
    </w:p>
    <w:p w14:paraId="399B05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highlight w:val="none"/>
        </w:rPr>
        <w:t>项目概况</w:t>
      </w:r>
    </w:p>
    <w:p w14:paraId="2C56DC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罗山产业集聚中心（以下简称“本项目”）是深圳市半导体与集成电路产业集群重点园区，为重点企业上下游企业提供可租可售型高标准、定制化、高品质产业空间。罗山产业集聚中心位于龙岗区平湖街道平大路与广深铁路的交会处，</w:t>
      </w:r>
      <w:r>
        <w:rPr>
          <w:rFonts w:hint="eastAsia" w:ascii="仿宋_GB2312" w:hAnsi="仿宋_GB2312" w:eastAsia="仿宋_GB2312" w:cs="仿宋_GB2312"/>
          <w:b w:val="0"/>
          <w:bCs w:val="0"/>
          <w:color w:val="auto"/>
          <w:sz w:val="32"/>
          <w:szCs w:val="32"/>
          <w:highlight w:val="none"/>
        </w:rPr>
        <w:t>总用地面积5.85万㎡，总建筑面积3</w:t>
      </w:r>
      <w:r>
        <w:rPr>
          <w:rFonts w:hint="eastAsia" w:ascii="仿宋_GB2312" w:hAnsi="仿宋_GB2312" w:eastAsia="仿宋_GB2312" w:cs="仿宋_GB2312"/>
          <w:b w:val="0"/>
          <w:bCs w:val="0"/>
          <w:color w:val="auto"/>
          <w:sz w:val="32"/>
          <w:szCs w:val="32"/>
          <w:highlight w:val="none"/>
          <w:lang w:val="en-US" w:eastAsia="zh-CN"/>
        </w:rPr>
        <w:t>2.33</w:t>
      </w:r>
      <w:r>
        <w:rPr>
          <w:rFonts w:hint="eastAsia" w:ascii="仿宋_GB2312" w:hAnsi="仿宋_GB2312" w:eastAsia="仿宋_GB2312" w:cs="仿宋_GB2312"/>
          <w:b w:val="0"/>
          <w:bCs w:val="0"/>
          <w:color w:val="auto"/>
          <w:sz w:val="32"/>
          <w:szCs w:val="32"/>
          <w:highlight w:val="none"/>
        </w:rPr>
        <w:t>万㎡（计容面积</w:t>
      </w:r>
      <w:r>
        <w:rPr>
          <w:rFonts w:hint="eastAsia" w:ascii="仿宋_GB2312" w:hAnsi="仿宋_GB2312" w:eastAsia="仿宋_GB2312" w:cs="仿宋_GB2312"/>
          <w:b w:val="0"/>
          <w:bCs w:val="0"/>
          <w:color w:val="auto"/>
          <w:sz w:val="32"/>
          <w:szCs w:val="32"/>
          <w:highlight w:val="none"/>
          <w:lang w:val="en-US" w:eastAsia="zh-CN"/>
        </w:rPr>
        <w:t>18.76</w:t>
      </w:r>
      <w:r>
        <w:rPr>
          <w:rFonts w:hint="eastAsia" w:ascii="仿宋_GB2312" w:hAnsi="仿宋_GB2312" w:eastAsia="仿宋_GB2312" w:cs="仿宋_GB2312"/>
          <w:b w:val="0"/>
          <w:bCs w:val="0"/>
          <w:color w:val="auto"/>
          <w:sz w:val="32"/>
          <w:szCs w:val="32"/>
          <w:highlight w:val="none"/>
        </w:rPr>
        <w:t>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土地性质为M0</w:t>
      </w:r>
      <w:r>
        <w:rPr>
          <w:rFonts w:hint="eastAsia" w:ascii="仿宋_GB2312" w:hAnsi="仿宋_GB2312" w:eastAsia="仿宋_GB2312" w:cs="仿宋_GB2312"/>
          <w:b w:val="0"/>
          <w:bCs w:val="0"/>
          <w:color w:val="auto"/>
          <w:sz w:val="32"/>
          <w:szCs w:val="32"/>
          <w:highlight w:val="none"/>
        </w:rPr>
        <w:t>。</w:t>
      </w:r>
    </w:p>
    <w:p w14:paraId="6BA2CE84">
      <w:pPr>
        <w:pStyle w:val="4"/>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本项目预计2026年12月竣工交付。其中生产厂房总建筑面积为94396.87平方米，包含1栋、3栋、4栋共3栋建筑，可售面积为45991.65平方米，可租赁面积47760.51平方米。其中</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栋</w:t>
      </w:r>
      <w:r>
        <w:rPr>
          <w:rFonts w:hint="eastAsia" w:ascii="仿宋_GB2312" w:hAnsi="仿宋_GB2312" w:eastAsia="仿宋_GB2312" w:cs="仿宋_GB2312"/>
          <w:b w:val="0"/>
          <w:bCs w:val="0"/>
          <w:sz w:val="32"/>
          <w:szCs w:val="32"/>
        </w:rPr>
        <w:t>厂房</w:t>
      </w:r>
      <w:r>
        <w:rPr>
          <w:rFonts w:hint="eastAsia" w:ascii="仿宋_GB2312" w:hAnsi="仿宋_GB2312" w:eastAsia="仿宋_GB2312" w:cs="仿宋_GB2312"/>
          <w:b w:val="0"/>
          <w:bCs w:val="0"/>
          <w:sz w:val="32"/>
          <w:szCs w:val="32"/>
          <w:lang w:val="en-US" w:eastAsia="zh-CN"/>
        </w:rPr>
        <w:t>共12层</w:t>
      </w:r>
      <w:r>
        <w:rPr>
          <w:rFonts w:hint="eastAsia" w:ascii="仿宋_GB2312" w:hAnsi="仿宋_GB2312" w:eastAsia="仿宋_GB2312" w:cs="仿宋_GB2312"/>
          <w:b w:val="0"/>
          <w:bCs w:val="0"/>
          <w:color w:val="auto"/>
          <w:sz w:val="32"/>
          <w:szCs w:val="32"/>
          <w:lang w:eastAsia="zh-CN"/>
        </w:rPr>
        <w:t>建筑面积</w:t>
      </w:r>
      <w:r>
        <w:rPr>
          <w:rFonts w:hint="eastAsia" w:ascii="仿宋_GB2312" w:hAnsi="仿宋_GB2312" w:eastAsia="仿宋_GB2312" w:cs="仿宋_GB2312"/>
          <w:b w:val="0"/>
          <w:bCs w:val="0"/>
          <w:color w:val="auto"/>
          <w:sz w:val="32"/>
          <w:szCs w:val="32"/>
          <w:lang w:val="en-US" w:eastAsia="zh-CN"/>
        </w:rPr>
        <w:t>37876.33</w:t>
      </w:r>
      <w:r>
        <w:rPr>
          <w:rFonts w:hint="eastAsia" w:ascii="仿宋_GB2312" w:hAnsi="仿宋_GB2312" w:eastAsia="仿宋_GB2312" w:cs="仿宋_GB2312"/>
          <w:b w:val="0"/>
          <w:bCs w:val="0"/>
          <w:sz w:val="32"/>
          <w:szCs w:val="32"/>
        </w:rPr>
        <w:t>平方米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采用自持出租，</w:t>
      </w: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栋</w:t>
      </w:r>
      <w:r>
        <w:rPr>
          <w:rFonts w:hint="eastAsia" w:ascii="仿宋_GB2312" w:hAnsi="仿宋_GB2312" w:eastAsia="仿宋_GB2312" w:cs="仿宋_GB2312"/>
          <w:b w:val="0"/>
          <w:bCs w:val="0"/>
          <w:sz w:val="32"/>
          <w:szCs w:val="32"/>
        </w:rPr>
        <w:t>厂房</w:t>
      </w:r>
      <w:r>
        <w:rPr>
          <w:rFonts w:hint="eastAsia" w:ascii="仿宋_GB2312" w:hAnsi="仿宋_GB2312" w:eastAsia="仿宋_GB2312" w:cs="仿宋_GB2312"/>
          <w:b w:val="0"/>
          <w:bCs w:val="0"/>
          <w:sz w:val="32"/>
          <w:szCs w:val="32"/>
          <w:lang w:val="en-US" w:eastAsia="zh-CN"/>
        </w:rPr>
        <w:t>共16层</w:t>
      </w:r>
      <w:r>
        <w:rPr>
          <w:rFonts w:hint="eastAsia" w:ascii="仿宋_GB2312" w:hAnsi="仿宋_GB2312" w:eastAsia="仿宋_GB2312" w:cs="仿宋_GB2312"/>
          <w:b w:val="0"/>
          <w:bCs w:val="0"/>
          <w:color w:val="auto"/>
          <w:sz w:val="32"/>
          <w:szCs w:val="32"/>
          <w:lang w:val="en-US" w:eastAsia="zh-CN"/>
        </w:rPr>
        <w:t>48311.57</w:t>
      </w:r>
      <w:r>
        <w:rPr>
          <w:rFonts w:hint="eastAsia" w:ascii="仿宋_GB2312" w:hAnsi="仿宋_GB2312" w:eastAsia="仿宋_GB2312" w:cs="仿宋_GB2312"/>
          <w:b w:val="0"/>
          <w:bCs w:val="0"/>
          <w:sz w:val="32"/>
          <w:szCs w:val="32"/>
        </w:rPr>
        <w:t>平方米</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-12</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、13</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(01单</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)进行销售</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13F(02单元)、</w:t>
      </w:r>
      <w:r>
        <w:rPr>
          <w:rFonts w:hint="eastAsia" w:ascii="仿宋_GB2312" w:hAnsi="仿宋_GB2312" w:eastAsia="仿宋_GB2312" w:cs="仿宋_GB2312"/>
          <w:b w:val="0"/>
          <w:bCs w:val="0"/>
          <w:sz w:val="32"/>
          <w:szCs w:val="32"/>
        </w:rPr>
        <w:t>14-16F自持出租</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eastAsia="zh-CN"/>
        </w:rPr>
        <w:t>栋</w:t>
      </w:r>
      <w:r>
        <w:rPr>
          <w:rFonts w:hint="eastAsia" w:ascii="仿宋_GB2312" w:hAnsi="仿宋_GB2312" w:eastAsia="仿宋_GB2312" w:cs="仿宋_GB2312"/>
          <w:b w:val="0"/>
          <w:bCs w:val="0"/>
          <w:sz w:val="32"/>
          <w:szCs w:val="32"/>
        </w:rPr>
        <w:t>厂房</w:t>
      </w:r>
      <w:r>
        <w:rPr>
          <w:rFonts w:hint="eastAsia" w:ascii="仿宋_GB2312" w:hAnsi="仿宋_GB2312" w:eastAsia="仿宋_GB2312" w:cs="仿宋_GB2312"/>
          <w:b w:val="0"/>
          <w:bCs w:val="0"/>
          <w:sz w:val="32"/>
          <w:szCs w:val="32"/>
          <w:lang w:val="en-US" w:eastAsia="zh-CN"/>
        </w:rPr>
        <w:t>共4层</w:t>
      </w:r>
      <w:r>
        <w:rPr>
          <w:rFonts w:ascii="仿宋_GB2312" w:hAnsi="仿宋_GB2312" w:eastAsia="仿宋_GB2312" w:cs="仿宋_GB2312"/>
          <w:b w:val="0"/>
          <w:bCs w:val="0"/>
          <w:color w:val="auto"/>
          <w:sz w:val="32"/>
          <w:szCs w:val="32"/>
        </w:rPr>
        <w:t>7684.36</w:t>
      </w:r>
      <w:r>
        <w:rPr>
          <w:rFonts w:hint="eastAsia" w:ascii="仿宋_GB2312" w:hAnsi="仿宋_GB2312" w:eastAsia="仿宋_GB2312" w:cs="仿宋_GB2312"/>
          <w:b w:val="0"/>
          <w:bCs w:val="0"/>
          <w:sz w:val="32"/>
          <w:szCs w:val="32"/>
        </w:rPr>
        <w:t>平方米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整栋销售</w:t>
      </w:r>
      <w:r>
        <w:rPr>
          <w:rFonts w:hint="eastAsia" w:ascii="仿宋_GB2312" w:hAnsi="仿宋_GB2312" w:eastAsia="仿宋_GB2312" w:cs="仿宋_GB2312"/>
          <w:b w:val="0"/>
          <w:bCs w:val="0"/>
          <w:sz w:val="32"/>
          <w:szCs w:val="32"/>
          <w:lang w:eastAsia="zh-CN"/>
        </w:rPr>
        <w:t>。</w:t>
      </w:r>
    </w:p>
    <w:p w14:paraId="75C53778">
      <w:pPr>
        <w:pStyle w:val="4"/>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研发用房</w:t>
      </w:r>
      <w:r>
        <w:rPr>
          <w:rFonts w:hint="eastAsia" w:ascii="仿宋_GB2312" w:hAnsi="仿宋_GB2312" w:eastAsia="仿宋_GB2312" w:cs="仿宋_GB2312"/>
          <w:b w:val="0"/>
          <w:bCs w:val="0"/>
          <w:sz w:val="32"/>
          <w:szCs w:val="32"/>
          <w:lang w:val="en-US" w:eastAsia="zh-CN"/>
        </w:rPr>
        <w:t>为2栋，共27层，总建筑面积</w:t>
      </w:r>
      <w:r>
        <w:rPr>
          <w:rFonts w:hint="eastAsia" w:ascii="仿宋_GB2312" w:hAnsi="仿宋_GB2312" w:eastAsia="仿宋_GB2312" w:cs="仿宋_GB2312"/>
          <w:b w:val="0"/>
          <w:bCs w:val="0"/>
          <w:color w:val="auto"/>
          <w:sz w:val="32"/>
          <w:szCs w:val="32"/>
          <w:lang w:val="en-US" w:eastAsia="zh-CN"/>
        </w:rPr>
        <w:t xml:space="preserve">73285.26 </w:t>
      </w:r>
      <w:r>
        <w:rPr>
          <w:rFonts w:hint="eastAsia" w:ascii="仿宋_GB2312" w:hAnsi="仿宋_GB2312" w:eastAsia="仿宋_GB2312" w:cs="仿宋_GB2312"/>
          <w:b w:val="0"/>
          <w:bCs w:val="0"/>
          <w:sz w:val="32"/>
          <w:szCs w:val="32"/>
        </w:rPr>
        <w:t>平方米，可售面积为</w:t>
      </w:r>
      <w:r>
        <w:rPr>
          <w:rFonts w:hint="eastAsia" w:ascii="仿宋_GB2312" w:hAnsi="仿宋_GB2312" w:eastAsia="仿宋_GB2312" w:cs="仿宋_GB2312"/>
          <w:b w:val="0"/>
          <w:bCs w:val="0"/>
          <w:sz w:val="32"/>
          <w:szCs w:val="32"/>
          <w:lang w:val="en-US" w:eastAsia="zh-CN"/>
        </w:rPr>
        <w:t>36630.18</w:t>
      </w:r>
      <w:r>
        <w:rPr>
          <w:rFonts w:hint="eastAsia" w:ascii="仿宋_GB2312" w:hAnsi="仿宋_GB2312" w:eastAsia="仿宋_GB2312" w:cs="仿宋_GB2312"/>
          <w:b w:val="0"/>
          <w:bCs w:val="0"/>
          <w:sz w:val="32"/>
          <w:szCs w:val="32"/>
        </w:rPr>
        <w:t>平方米</w:t>
      </w:r>
      <w:r>
        <w:rPr>
          <w:rFonts w:hint="eastAsia" w:ascii="仿宋_GB2312" w:hAnsi="仿宋_GB2312" w:eastAsia="仿宋_GB2312" w:cs="仿宋_GB2312"/>
          <w:b w:val="0"/>
          <w:bCs w:val="0"/>
          <w:sz w:val="32"/>
          <w:szCs w:val="32"/>
          <w:lang w:eastAsia="zh-CN"/>
        </w:rPr>
        <w:t>，可租赁面积为</w:t>
      </w:r>
      <w:r>
        <w:rPr>
          <w:rFonts w:hint="eastAsia" w:ascii="仿宋_GB2312" w:hAnsi="仿宋_GB2312" w:eastAsia="仿宋_GB2312" w:cs="仿宋_GB2312"/>
          <w:b w:val="0"/>
          <w:bCs w:val="0"/>
          <w:sz w:val="32"/>
          <w:szCs w:val="32"/>
          <w:lang w:val="en-US" w:eastAsia="zh-CN"/>
        </w:rPr>
        <w:t>36420.91平方米</w:t>
      </w:r>
      <w:r>
        <w:rPr>
          <w:rFonts w:hint="eastAsia" w:ascii="仿宋_GB2312" w:hAnsi="仿宋_GB2312" w:eastAsia="仿宋_GB2312" w:cs="仿宋_GB2312"/>
          <w:b w:val="0"/>
          <w:bCs w:val="0"/>
          <w:sz w:val="32"/>
          <w:szCs w:val="32"/>
        </w:rPr>
        <w:t>。15</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(01-05单</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、07单</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)、16</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-27</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层</w:t>
      </w:r>
      <w:r>
        <w:rPr>
          <w:rFonts w:hint="eastAsia" w:ascii="仿宋_GB2312" w:hAnsi="仿宋_GB2312" w:eastAsia="仿宋_GB2312" w:cs="仿宋_GB2312"/>
          <w:b w:val="0"/>
          <w:bCs w:val="0"/>
          <w:sz w:val="32"/>
          <w:szCs w:val="32"/>
          <w:lang w:val="en-US" w:eastAsia="zh-CN"/>
        </w:rPr>
        <w:t>销售，</w:t>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-14</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15</w:t>
      </w:r>
      <w:r>
        <w:rPr>
          <w:rFonts w:hint="eastAsia" w:ascii="仿宋_GB2312" w:hAnsi="仿宋_GB2312" w:eastAsia="仿宋_GB2312" w:cs="仿宋_GB2312"/>
          <w:b w:val="0"/>
          <w:bCs w:val="0"/>
          <w:sz w:val="32"/>
          <w:szCs w:val="32"/>
          <w:lang w:val="en-US" w:eastAsia="zh-CN"/>
        </w:rPr>
        <w:t>F</w:t>
      </w:r>
      <w:r>
        <w:rPr>
          <w:rFonts w:hint="eastAsia" w:ascii="仿宋_GB2312" w:hAnsi="仿宋_GB2312" w:eastAsia="仿宋_GB2312" w:cs="仿宋_GB2312"/>
          <w:b w:val="0"/>
          <w:bCs w:val="0"/>
          <w:sz w:val="32"/>
          <w:szCs w:val="32"/>
        </w:rPr>
        <w:t>(06单</w:t>
      </w:r>
      <w:r>
        <w:rPr>
          <w:rFonts w:hint="eastAsia" w:ascii="仿宋_GB2312" w:hAnsi="仿宋_GB2312" w:eastAsia="仿宋_GB2312" w:cs="仿宋_GB2312"/>
          <w:b w:val="0"/>
          <w:bCs w:val="0"/>
          <w:sz w:val="32"/>
          <w:szCs w:val="32"/>
          <w:lang w:eastAsia="zh-CN"/>
        </w:rPr>
        <w:t>元</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自持出租。</w:t>
      </w:r>
    </w:p>
    <w:p w14:paraId="5FFD8453">
      <w:pPr>
        <w:pStyle w:val="4"/>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5栋食堂采用整体转让模式，建筑面积7832.23平方米。</w:t>
      </w:r>
    </w:p>
    <w:p w14:paraId="200F4FF0">
      <w:pPr>
        <w:pStyle w:val="4"/>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地上及地下停车场约10.11万平方米，车位数2427个（其中地上停车位12个，充电车位730个）。</w:t>
      </w:r>
      <w:r>
        <w:rPr>
          <w:rFonts w:hint="eastAsia" w:ascii="仿宋_GB2312" w:hAnsi="仿宋_GB2312" w:eastAsia="仿宋_GB2312" w:cs="仿宋_GB2312"/>
          <w:b w:val="0"/>
          <w:bCs w:val="0"/>
          <w:sz w:val="32"/>
          <w:szCs w:val="32"/>
          <w:lang w:val="en-US" w:eastAsia="zh-CN"/>
        </w:rPr>
        <w:t>具体如下：</w:t>
      </w:r>
    </w:p>
    <w:tbl>
      <w:tblPr>
        <w:tblStyle w:val="8"/>
        <w:tblpPr w:leftFromText="180" w:rightFromText="180" w:vertAnchor="text" w:horzAnchor="page" w:tblpXSpec="center" w:tblpY="104"/>
        <w:tblOverlap w:val="never"/>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635"/>
        <w:gridCol w:w="1167"/>
        <w:gridCol w:w="4694"/>
      </w:tblGrid>
      <w:tr w14:paraId="2235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620" w:type="dxa"/>
            <w:gridSpan w:val="4"/>
            <w:noWrap w:val="0"/>
            <w:vAlign w:val="center"/>
          </w:tcPr>
          <w:p w14:paraId="2DF65E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lang w:val="en-US" w:eastAsia="zh-CN"/>
              </w:rPr>
            </w:pPr>
            <w:r>
              <w:rPr>
                <w:rFonts w:hint="eastAsia" w:ascii="仿宋_GB2312" w:hAnsi="仿宋_GB2312" w:eastAsia="仿宋_GB2312" w:cs="仿宋_GB2312"/>
                <w:b w:val="0"/>
                <w:bCs w:val="0"/>
                <w:sz w:val="24"/>
                <w:szCs w:val="22"/>
                <w:lang w:val="en-US" w:eastAsia="zh-CN"/>
              </w:rPr>
              <w:t>项目具体租售情况</w:t>
            </w:r>
          </w:p>
        </w:tc>
      </w:tr>
      <w:tr w14:paraId="2E5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noWrap w:val="0"/>
            <w:vAlign w:val="center"/>
          </w:tcPr>
          <w:p w14:paraId="67DDD6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用途</w:t>
            </w:r>
          </w:p>
        </w:tc>
        <w:tc>
          <w:tcPr>
            <w:tcW w:w="1635" w:type="dxa"/>
            <w:noWrap w:val="0"/>
            <w:vAlign w:val="center"/>
          </w:tcPr>
          <w:p w14:paraId="5015F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性质</w:t>
            </w:r>
          </w:p>
        </w:tc>
        <w:tc>
          <w:tcPr>
            <w:tcW w:w="1167" w:type="dxa"/>
            <w:noWrap w:val="0"/>
            <w:vAlign w:val="center"/>
          </w:tcPr>
          <w:p w14:paraId="28C8AF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楼栋号</w:t>
            </w:r>
          </w:p>
        </w:tc>
        <w:tc>
          <w:tcPr>
            <w:tcW w:w="4694" w:type="dxa"/>
            <w:noWrap w:val="0"/>
            <w:vAlign w:val="center"/>
          </w:tcPr>
          <w:p w14:paraId="446A9D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层数</w:t>
            </w:r>
          </w:p>
        </w:tc>
      </w:tr>
      <w:tr w14:paraId="0D92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vMerge w:val="restart"/>
            <w:noWrap w:val="0"/>
            <w:vAlign w:val="center"/>
          </w:tcPr>
          <w:p w14:paraId="46B823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销售</w:t>
            </w:r>
          </w:p>
        </w:tc>
        <w:tc>
          <w:tcPr>
            <w:tcW w:w="1635" w:type="dxa"/>
            <w:noWrap w:val="0"/>
            <w:vAlign w:val="center"/>
          </w:tcPr>
          <w:p w14:paraId="274804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研发用房</w:t>
            </w:r>
          </w:p>
        </w:tc>
        <w:tc>
          <w:tcPr>
            <w:tcW w:w="1167" w:type="dxa"/>
            <w:noWrap w:val="0"/>
            <w:vAlign w:val="center"/>
          </w:tcPr>
          <w:p w14:paraId="2EEE7A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2栋</w:t>
            </w:r>
          </w:p>
        </w:tc>
        <w:tc>
          <w:tcPr>
            <w:tcW w:w="4694" w:type="dxa"/>
            <w:noWrap w:val="0"/>
            <w:vAlign w:val="center"/>
          </w:tcPr>
          <w:p w14:paraId="6797CB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15层(01</w:t>
            </w:r>
            <w:r>
              <w:rPr>
                <w:rFonts w:hint="eastAsia" w:ascii="仿宋_GB2312" w:hAnsi="仿宋_GB2312" w:eastAsia="仿宋_GB2312" w:cs="仿宋_GB2312"/>
                <w:b w:val="0"/>
                <w:bCs w:val="0"/>
                <w:szCs w:val="20"/>
                <w:lang w:eastAsia="zh-CN"/>
              </w:rPr>
              <w:t>单元</w:t>
            </w:r>
            <w:r>
              <w:rPr>
                <w:rFonts w:hint="eastAsia" w:ascii="仿宋_GB2312" w:hAnsi="仿宋_GB2312" w:eastAsia="仿宋_GB2312" w:cs="仿宋_GB2312"/>
                <w:b w:val="0"/>
                <w:bCs w:val="0"/>
                <w:szCs w:val="20"/>
              </w:rPr>
              <w:t>-05</w:t>
            </w:r>
            <w:r>
              <w:rPr>
                <w:rFonts w:hint="eastAsia" w:ascii="仿宋_GB2312" w:hAnsi="仿宋_GB2312" w:eastAsia="仿宋_GB2312" w:cs="仿宋_GB2312"/>
                <w:b w:val="0"/>
                <w:bCs w:val="0"/>
                <w:szCs w:val="20"/>
                <w:lang w:eastAsia="zh-CN"/>
              </w:rPr>
              <w:t>单元</w:t>
            </w:r>
            <w:r>
              <w:rPr>
                <w:rFonts w:hint="eastAsia" w:ascii="仿宋_GB2312" w:hAnsi="仿宋_GB2312" w:eastAsia="仿宋_GB2312" w:cs="仿宋_GB2312"/>
                <w:b w:val="0"/>
                <w:bCs w:val="0"/>
                <w:szCs w:val="20"/>
              </w:rPr>
              <w:t>、07</w:t>
            </w:r>
            <w:r>
              <w:rPr>
                <w:rFonts w:hint="eastAsia" w:ascii="仿宋_GB2312" w:hAnsi="仿宋_GB2312" w:eastAsia="仿宋_GB2312" w:cs="仿宋_GB2312"/>
                <w:b w:val="0"/>
                <w:bCs w:val="0"/>
                <w:szCs w:val="20"/>
                <w:lang w:eastAsia="zh-CN"/>
              </w:rPr>
              <w:t>单元</w:t>
            </w:r>
            <w:r>
              <w:rPr>
                <w:rFonts w:hint="eastAsia" w:ascii="仿宋_GB2312" w:hAnsi="仿宋_GB2312" w:eastAsia="仿宋_GB2312" w:cs="仿宋_GB2312"/>
                <w:b w:val="0"/>
                <w:bCs w:val="0"/>
                <w:szCs w:val="20"/>
              </w:rPr>
              <w:t>)、16层-27层</w:t>
            </w:r>
          </w:p>
        </w:tc>
      </w:tr>
      <w:tr w14:paraId="78E4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vMerge w:val="continue"/>
            <w:noWrap w:val="0"/>
            <w:vAlign w:val="center"/>
          </w:tcPr>
          <w:p w14:paraId="35CEAF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p>
        </w:tc>
        <w:tc>
          <w:tcPr>
            <w:tcW w:w="1635" w:type="dxa"/>
            <w:vMerge w:val="restart"/>
            <w:noWrap w:val="0"/>
            <w:vAlign w:val="center"/>
          </w:tcPr>
          <w:p w14:paraId="00A452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生产厂房</w:t>
            </w:r>
          </w:p>
        </w:tc>
        <w:tc>
          <w:tcPr>
            <w:tcW w:w="1167" w:type="dxa"/>
            <w:noWrap w:val="0"/>
            <w:vAlign w:val="center"/>
          </w:tcPr>
          <w:p w14:paraId="326FA4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3栋</w:t>
            </w:r>
          </w:p>
        </w:tc>
        <w:tc>
          <w:tcPr>
            <w:tcW w:w="4694" w:type="dxa"/>
            <w:noWrap w:val="0"/>
            <w:vAlign w:val="center"/>
          </w:tcPr>
          <w:p w14:paraId="7B2AA4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1层-12层、13层(01</w:t>
            </w:r>
            <w:r>
              <w:rPr>
                <w:rFonts w:hint="eastAsia" w:ascii="仿宋_GB2312" w:hAnsi="仿宋_GB2312" w:eastAsia="仿宋_GB2312" w:cs="仿宋_GB2312"/>
                <w:b w:val="0"/>
                <w:bCs w:val="0"/>
                <w:szCs w:val="20"/>
                <w:lang w:eastAsia="zh-CN"/>
              </w:rPr>
              <w:t>单元</w:t>
            </w:r>
            <w:r>
              <w:rPr>
                <w:rFonts w:hint="eastAsia" w:ascii="仿宋_GB2312" w:hAnsi="仿宋_GB2312" w:eastAsia="仿宋_GB2312" w:cs="仿宋_GB2312"/>
                <w:b w:val="0"/>
                <w:bCs w:val="0"/>
                <w:szCs w:val="20"/>
              </w:rPr>
              <w:t>)</w:t>
            </w:r>
          </w:p>
        </w:tc>
      </w:tr>
      <w:tr w14:paraId="739C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vMerge w:val="continue"/>
            <w:noWrap w:val="0"/>
            <w:vAlign w:val="center"/>
          </w:tcPr>
          <w:p w14:paraId="15DEE3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p>
        </w:tc>
        <w:tc>
          <w:tcPr>
            <w:tcW w:w="1635" w:type="dxa"/>
            <w:vMerge w:val="continue"/>
            <w:noWrap w:val="0"/>
            <w:vAlign w:val="center"/>
          </w:tcPr>
          <w:p w14:paraId="19298C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p>
        </w:tc>
        <w:tc>
          <w:tcPr>
            <w:tcW w:w="1167" w:type="dxa"/>
            <w:noWrap w:val="0"/>
            <w:vAlign w:val="center"/>
          </w:tcPr>
          <w:p w14:paraId="77C9D8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4栋</w:t>
            </w:r>
          </w:p>
        </w:tc>
        <w:tc>
          <w:tcPr>
            <w:tcW w:w="4694" w:type="dxa"/>
            <w:noWrap w:val="0"/>
            <w:vAlign w:val="center"/>
          </w:tcPr>
          <w:p w14:paraId="51120D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整栋（1层—4层）</w:t>
            </w:r>
          </w:p>
        </w:tc>
      </w:tr>
      <w:tr w14:paraId="16A7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vMerge w:val="restart"/>
            <w:noWrap w:val="0"/>
            <w:vAlign w:val="center"/>
          </w:tcPr>
          <w:p w14:paraId="3AD549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租赁</w:t>
            </w:r>
          </w:p>
        </w:tc>
        <w:tc>
          <w:tcPr>
            <w:tcW w:w="1635" w:type="dxa"/>
            <w:noWrap w:val="0"/>
            <w:vAlign w:val="center"/>
          </w:tcPr>
          <w:p w14:paraId="419914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研发用房</w:t>
            </w:r>
          </w:p>
        </w:tc>
        <w:tc>
          <w:tcPr>
            <w:tcW w:w="1167" w:type="dxa"/>
            <w:noWrap w:val="0"/>
            <w:vAlign w:val="center"/>
          </w:tcPr>
          <w:p w14:paraId="198AAE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2栋</w:t>
            </w:r>
          </w:p>
        </w:tc>
        <w:tc>
          <w:tcPr>
            <w:tcW w:w="4694" w:type="dxa"/>
            <w:noWrap w:val="0"/>
            <w:vAlign w:val="center"/>
          </w:tcPr>
          <w:p w14:paraId="5FDA67F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2层-14层，15层(06</w:t>
            </w:r>
            <w:r>
              <w:rPr>
                <w:rFonts w:hint="eastAsia" w:ascii="仿宋_GB2312" w:hAnsi="仿宋_GB2312" w:eastAsia="仿宋_GB2312" w:cs="仿宋_GB2312"/>
                <w:b w:val="0"/>
                <w:bCs w:val="0"/>
                <w:szCs w:val="20"/>
                <w:lang w:eastAsia="zh-CN"/>
              </w:rPr>
              <w:t>单元</w:t>
            </w:r>
            <w:r>
              <w:rPr>
                <w:rFonts w:hint="eastAsia" w:ascii="仿宋_GB2312" w:hAnsi="仿宋_GB2312" w:eastAsia="仿宋_GB2312" w:cs="仿宋_GB2312"/>
                <w:b w:val="0"/>
                <w:bCs w:val="0"/>
                <w:szCs w:val="20"/>
              </w:rPr>
              <w:t>)</w:t>
            </w:r>
          </w:p>
        </w:tc>
      </w:tr>
      <w:tr w14:paraId="2573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vMerge w:val="continue"/>
            <w:noWrap w:val="0"/>
            <w:vAlign w:val="center"/>
          </w:tcPr>
          <w:p w14:paraId="59721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p>
        </w:tc>
        <w:tc>
          <w:tcPr>
            <w:tcW w:w="1635" w:type="dxa"/>
            <w:vMerge w:val="restart"/>
            <w:noWrap w:val="0"/>
            <w:vAlign w:val="center"/>
          </w:tcPr>
          <w:p w14:paraId="7CEE4D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生产厂房</w:t>
            </w:r>
          </w:p>
        </w:tc>
        <w:tc>
          <w:tcPr>
            <w:tcW w:w="1167" w:type="dxa"/>
            <w:noWrap w:val="0"/>
            <w:vAlign w:val="center"/>
          </w:tcPr>
          <w:p w14:paraId="0DDDC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1栋</w:t>
            </w:r>
          </w:p>
        </w:tc>
        <w:tc>
          <w:tcPr>
            <w:tcW w:w="4694" w:type="dxa"/>
            <w:noWrap w:val="0"/>
            <w:vAlign w:val="center"/>
          </w:tcPr>
          <w:p w14:paraId="66A1C7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整栋（1层-12层）</w:t>
            </w:r>
          </w:p>
        </w:tc>
      </w:tr>
      <w:tr w14:paraId="46C1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24" w:type="dxa"/>
            <w:vMerge w:val="continue"/>
            <w:noWrap w:val="0"/>
            <w:vAlign w:val="center"/>
          </w:tcPr>
          <w:p w14:paraId="5B514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p>
        </w:tc>
        <w:tc>
          <w:tcPr>
            <w:tcW w:w="1635" w:type="dxa"/>
            <w:vMerge w:val="continue"/>
            <w:noWrap w:val="0"/>
            <w:vAlign w:val="center"/>
          </w:tcPr>
          <w:p w14:paraId="7748E5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p>
        </w:tc>
        <w:tc>
          <w:tcPr>
            <w:tcW w:w="1167" w:type="dxa"/>
            <w:noWrap w:val="0"/>
            <w:vAlign w:val="center"/>
          </w:tcPr>
          <w:p w14:paraId="0EFBCF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3栋</w:t>
            </w:r>
          </w:p>
        </w:tc>
        <w:tc>
          <w:tcPr>
            <w:tcW w:w="4694" w:type="dxa"/>
            <w:noWrap w:val="0"/>
            <w:vAlign w:val="center"/>
          </w:tcPr>
          <w:p w14:paraId="59226E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13层(02</w:t>
            </w:r>
            <w:r>
              <w:rPr>
                <w:rFonts w:hint="eastAsia" w:ascii="仿宋_GB2312" w:hAnsi="仿宋_GB2312" w:eastAsia="仿宋_GB2312" w:cs="仿宋_GB2312"/>
                <w:b w:val="0"/>
                <w:bCs w:val="0"/>
                <w:szCs w:val="20"/>
                <w:lang w:eastAsia="zh-CN"/>
              </w:rPr>
              <w:t>单元</w:t>
            </w:r>
            <w:r>
              <w:rPr>
                <w:rFonts w:hint="eastAsia" w:ascii="仿宋_GB2312" w:hAnsi="仿宋_GB2312" w:eastAsia="仿宋_GB2312" w:cs="仿宋_GB2312"/>
                <w:b w:val="0"/>
                <w:bCs w:val="0"/>
                <w:szCs w:val="20"/>
              </w:rPr>
              <w:t>)、14层-16层</w:t>
            </w:r>
          </w:p>
        </w:tc>
      </w:tr>
      <w:tr w14:paraId="49FB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24" w:type="dxa"/>
            <w:noWrap w:val="0"/>
            <w:vAlign w:val="center"/>
          </w:tcPr>
          <w:p w14:paraId="66636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lang w:val="en-US" w:eastAsia="zh-CN"/>
              </w:rPr>
            </w:pPr>
            <w:r>
              <w:rPr>
                <w:rFonts w:hint="eastAsia" w:ascii="仿宋_GB2312" w:hAnsi="仿宋_GB2312" w:eastAsia="仿宋_GB2312" w:cs="仿宋_GB2312"/>
                <w:b w:val="0"/>
                <w:bCs w:val="0"/>
                <w:szCs w:val="20"/>
                <w:lang w:val="en-US" w:eastAsia="zh-CN"/>
              </w:rPr>
              <w:t>整体转让</w:t>
            </w:r>
          </w:p>
        </w:tc>
        <w:tc>
          <w:tcPr>
            <w:tcW w:w="1635" w:type="dxa"/>
            <w:noWrap w:val="0"/>
            <w:vAlign w:val="center"/>
          </w:tcPr>
          <w:p w14:paraId="1CF38D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食堂</w:t>
            </w:r>
          </w:p>
        </w:tc>
        <w:tc>
          <w:tcPr>
            <w:tcW w:w="1167" w:type="dxa"/>
            <w:noWrap w:val="0"/>
            <w:vAlign w:val="center"/>
          </w:tcPr>
          <w:p w14:paraId="308751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Cs w:val="20"/>
              </w:rPr>
            </w:pPr>
            <w:r>
              <w:rPr>
                <w:rFonts w:hint="eastAsia" w:ascii="仿宋_GB2312" w:hAnsi="仿宋_GB2312" w:eastAsia="仿宋_GB2312" w:cs="仿宋_GB2312"/>
                <w:b w:val="0"/>
                <w:bCs w:val="0"/>
                <w:szCs w:val="20"/>
              </w:rPr>
              <w:t>5栋</w:t>
            </w:r>
          </w:p>
        </w:tc>
        <w:tc>
          <w:tcPr>
            <w:tcW w:w="4694" w:type="dxa"/>
            <w:noWrap w:val="0"/>
            <w:vAlign w:val="center"/>
          </w:tcPr>
          <w:p w14:paraId="14AEBD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Cs w:val="20"/>
                <w:lang w:eastAsia="zh-CN"/>
              </w:rPr>
            </w:pPr>
            <w:r>
              <w:rPr>
                <w:rFonts w:hint="eastAsia" w:ascii="仿宋_GB2312" w:hAnsi="仿宋_GB2312" w:eastAsia="仿宋_GB2312" w:cs="仿宋_GB2312"/>
                <w:b w:val="0"/>
                <w:bCs w:val="0"/>
                <w:szCs w:val="20"/>
                <w:lang w:eastAsia="zh-CN"/>
              </w:rPr>
              <w:t>地下一层</w:t>
            </w:r>
            <w:r>
              <w:rPr>
                <w:rFonts w:hint="eastAsia" w:ascii="仿宋_GB2312" w:hAnsi="仿宋_GB2312" w:eastAsia="仿宋_GB2312" w:cs="仿宋_GB2312"/>
                <w:b w:val="0"/>
                <w:bCs w:val="0"/>
                <w:szCs w:val="20"/>
                <w:lang w:val="en-US" w:eastAsia="zh-CN"/>
              </w:rPr>
              <w:t>-</w:t>
            </w:r>
            <w:r>
              <w:rPr>
                <w:rFonts w:hint="eastAsia" w:ascii="仿宋_GB2312" w:hAnsi="仿宋_GB2312" w:eastAsia="仿宋_GB2312" w:cs="仿宋_GB2312"/>
                <w:b w:val="0"/>
                <w:bCs w:val="0"/>
                <w:szCs w:val="20"/>
                <w:lang w:eastAsia="zh-CN"/>
              </w:rPr>
              <w:t>地上三层</w:t>
            </w:r>
          </w:p>
        </w:tc>
      </w:tr>
    </w:tbl>
    <w:p w14:paraId="33279B7C">
      <w:pPr>
        <w:pStyle w:val="4"/>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pacing w:val="0"/>
          <w:sz w:val="32"/>
          <w:szCs w:val="32"/>
          <w:highlight w:val="none"/>
        </w:rPr>
      </w:pPr>
      <w:r>
        <w:rPr>
          <w:rFonts w:hint="eastAsia" w:ascii="仿宋_GB2312" w:hAnsi="Times New Roman" w:eastAsia="仿宋_GB2312"/>
          <w:b w:val="0"/>
          <w:bCs w:val="0"/>
          <w:color w:val="000000"/>
          <w:spacing w:val="0"/>
          <w:sz w:val="32"/>
          <w:szCs w:val="32"/>
          <w:highlight w:val="none"/>
        </w:rPr>
        <w:t>项目整体预计于202</w:t>
      </w:r>
      <w:r>
        <w:rPr>
          <w:rFonts w:hint="eastAsia" w:ascii="仿宋_GB2312" w:hAnsi="Times New Roman" w:eastAsia="仿宋_GB2312"/>
          <w:b w:val="0"/>
          <w:bCs w:val="0"/>
          <w:color w:val="000000"/>
          <w:spacing w:val="0"/>
          <w:sz w:val="32"/>
          <w:szCs w:val="32"/>
          <w:highlight w:val="none"/>
          <w:lang w:val="en-US" w:eastAsia="zh-CN"/>
        </w:rPr>
        <w:t>7</w:t>
      </w:r>
      <w:r>
        <w:rPr>
          <w:rFonts w:hint="eastAsia" w:ascii="仿宋_GB2312" w:hAnsi="Times New Roman" w:eastAsia="仿宋_GB2312"/>
          <w:b w:val="0"/>
          <w:bCs w:val="0"/>
          <w:color w:val="000000"/>
          <w:spacing w:val="0"/>
          <w:sz w:val="32"/>
          <w:szCs w:val="32"/>
          <w:highlight w:val="none"/>
        </w:rPr>
        <w:t>年</w:t>
      </w:r>
      <w:r>
        <w:rPr>
          <w:rFonts w:hint="eastAsia" w:ascii="仿宋_GB2312" w:hAnsi="Times New Roman" w:eastAsia="仿宋_GB2312"/>
          <w:b w:val="0"/>
          <w:bCs w:val="0"/>
          <w:color w:val="000000"/>
          <w:spacing w:val="0"/>
          <w:sz w:val="32"/>
          <w:szCs w:val="32"/>
          <w:highlight w:val="none"/>
          <w:lang w:val="en-US" w:eastAsia="zh-CN"/>
        </w:rPr>
        <w:t>1</w:t>
      </w:r>
      <w:r>
        <w:rPr>
          <w:rFonts w:hint="eastAsia" w:ascii="仿宋_GB2312" w:hAnsi="Times New Roman" w:eastAsia="仿宋_GB2312"/>
          <w:b w:val="0"/>
          <w:bCs w:val="0"/>
          <w:color w:val="000000"/>
          <w:spacing w:val="0"/>
          <w:sz w:val="32"/>
          <w:szCs w:val="32"/>
          <w:highlight w:val="none"/>
        </w:rPr>
        <w:t>月交付</w:t>
      </w:r>
      <w:r>
        <w:rPr>
          <w:rFonts w:hint="eastAsia" w:ascii="仿宋_GB2312" w:hAnsi="Times New Roman" w:eastAsia="仿宋_GB2312"/>
          <w:b w:val="0"/>
          <w:bCs w:val="0"/>
          <w:color w:val="000000"/>
          <w:spacing w:val="0"/>
          <w:sz w:val="32"/>
          <w:szCs w:val="32"/>
          <w:highlight w:val="none"/>
          <w:lang w:val="en-US" w:eastAsia="zh-CN"/>
        </w:rPr>
        <w:t>并开园</w:t>
      </w:r>
      <w:r>
        <w:rPr>
          <w:rFonts w:hint="eastAsia" w:ascii="仿宋_GB2312" w:hAnsi="Times New Roman" w:eastAsia="仿宋_GB2312"/>
          <w:b w:val="0"/>
          <w:bCs w:val="0"/>
          <w:color w:val="000000"/>
          <w:spacing w:val="0"/>
          <w:sz w:val="32"/>
          <w:szCs w:val="32"/>
          <w:highlight w:val="none"/>
        </w:rPr>
        <w:t>。</w:t>
      </w:r>
      <w:r>
        <w:rPr>
          <w:rFonts w:hint="eastAsia" w:ascii="仿宋_GB2312" w:hAnsi="Times New Roman" w:eastAsia="仿宋_GB2312"/>
          <w:b w:val="0"/>
          <w:bCs w:val="0"/>
          <w:color w:val="000000"/>
          <w:spacing w:val="0"/>
          <w:sz w:val="32"/>
          <w:szCs w:val="32"/>
          <w:highlight w:val="none"/>
          <w:lang w:val="en-US" w:eastAsia="zh-CN"/>
        </w:rPr>
        <w:t>销售部分</w:t>
      </w:r>
      <w:r>
        <w:rPr>
          <w:rFonts w:hint="eastAsia" w:ascii="仿宋_GB2312" w:hAnsi="Times New Roman" w:eastAsia="仿宋_GB2312"/>
          <w:b w:val="0"/>
          <w:bCs w:val="0"/>
          <w:color w:val="000000"/>
          <w:spacing w:val="0"/>
          <w:sz w:val="32"/>
          <w:szCs w:val="32"/>
          <w:highlight w:val="none"/>
        </w:rPr>
        <w:t>预计于2025年第</w:t>
      </w:r>
      <w:r>
        <w:rPr>
          <w:rFonts w:hint="eastAsia" w:ascii="仿宋_GB2312" w:hAnsi="Times New Roman" w:eastAsia="仿宋_GB2312"/>
          <w:b w:val="0"/>
          <w:bCs w:val="0"/>
          <w:color w:val="000000"/>
          <w:spacing w:val="0"/>
          <w:sz w:val="32"/>
          <w:szCs w:val="32"/>
          <w:highlight w:val="none"/>
          <w:lang w:val="en-US" w:eastAsia="zh-CN"/>
        </w:rPr>
        <w:t>三</w:t>
      </w:r>
      <w:r>
        <w:rPr>
          <w:rFonts w:hint="eastAsia" w:ascii="仿宋_GB2312" w:hAnsi="Times New Roman" w:eastAsia="仿宋_GB2312"/>
          <w:b w:val="0"/>
          <w:bCs w:val="0"/>
          <w:color w:val="000000"/>
          <w:spacing w:val="0"/>
          <w:sz w:val="32"/>
          <w:szCs w:val="32"/>
          <w:highlight w:val="none"/>
        </w:rPr>
        <w:t>季度入市预售</w:t>
      </w:r>
      <w:r>
        <w:rPr>
          <w:rFonts w:hint="eastAsia" w:ascii="仿宋_GB2312" w:hAnsi="Times New Roman" w:eastAsia="仿宋_GB2312"/>
          <w:b w:val="0"/>
          <w:bCs w:val="0"/>
          <w:color w:val="000000"/>
          <w:spacing w:val="0"/>
          <w:sz w:val="32"/>
          <w:szCs w:val="32"/>
          <w:highlight w:val="none"/>
          <w:lang w:eastAsia="zh-CN"/>
        </w:rPr>
        <w:t>，</w:t>
      </w:r>
      <w:r>
        <w:rPr>
          <w:rFonts w:hint="eastAsia" w:ascii="仿宋_GB2312" w:hAnsi="Times New Roman" w:eastAsia="仿宋_GB2312"/>
          <w:b w:val="0"/>
          <w:bCs w:val="0"/>
          <w:color w:val="000000"/>
          <w:spacing w:val="0"/>
          <w:sz w:val="32"/>
          <w:szCs w:val="32"/>
          <w:highlight w:val="none"/>
        </w:rPr>
        <w:t>预计2025年去化</w:t>
      </w:r>
      <w:r>
        <w:rPr>
          <w:rFonts w:hint="eastAsia" w:ascii="仿宋_GB2312" w:hAnsi="Times New Roman" w:eastAsia="仿宋_GB2312"/>
          <w:b w:val="0"/>
          <w:bCs w:val="0"/>
          <w:color w:val="000000"/>
          <w:spacing w:val="0"/>
          <w:sz w:val="32"/>
          <w:szCs w:val="32"/>
          <w:highlight w:val="none"/>
          <w:lang w:val="en-US" w:eastAsia="zh-CN"/>
        </w:rPr>
        <w:t>2</w:t>
      </w:r>
      <w:r>
        <w:rPr>
          <w:rFonts w:hint="eastAsia" w:ascii="仿宋_GB2312" w:hAnsi="Times New Roman" w:eastAsia="仿宋_GB2312"/>
          <w:b w:val="0"/>
          <w:bCs w:val="0"/>
          <w:color w:val="000000"/>
          <w:spacing w:val="0"/>
          <w:sz w:val="32"/>
          <w:szCs w:val="32"/>
          <w:highlight w:val="none"/>
        </w:rPr>
        <w:t>0%；</w:t>
      </w:r>
      <w:r>
        <w:rPr>
          <w:rFonts w:hint="eastAsia" w:ascii="仿宋_GB2312" w:hAnsi="Times New Roman" w:eastAsia="仿宋_GB2312"/>
          <w:b w:val="0"/>
          <w:bCs w:val="0"/>
          <w:color w:val="000000"/>
          <w:spacing w:val="0"/>
          <w:sz w:val="32"/>
          <w:szCs w:val="32"/>
          <w:highlight w:val="none"/>
          <w:lang w:val="en-US" w:eastAsia="zh-CN"/>
        </w:rPr>
        <w:t>2026年整体</w:t>
      </w:r>
      <w:r>
        <w:rPr>
          <w:rFonts w:hint="eastAsia" w:ascii="仿宋_GB2312" w:hAnsi="Times New Roman" w:eastAsia="仿宋_GB2312"/>
          <w:b w:val="0"/>
          <w:bCs w:val="0"/>
          <w:color w:val="000000"/>
          <w:spacing w:val="0"/>
          <w:sz w:val="32"/>
          <w:szCs w:val="32"/>
          <w:highlight w:val="none"/>
        </w:rPr>
        <w:t>去化</w:t>
      </w:r>
      <w:r>
        <w:rPr>
          <w:rFonts w:hint="eastAsia" w:ascii="仿宋_GB2312" w:hAnsi="Times New Roman" w:eastAsia="仿宋_GB2312"/>
          <w:b w:val="0"/>
          <w:bCs w:val="0"/>
          <w:color w:val="000000"/>
          <w:spacing w:val="0"/>
          <w:sz w:val="32"/>
          <w:szCs w:val="32"/>
          <w:highlight w:val="none"/>
          <w:lang w:val="en-US" w:eastAsia="zh-CN"/>
        </w:rPr>
        <w:t>55</w:t>
      </w:r>
      <w:r>
        <w:rPr>
          <w:rFonts w:hint="eastAsia" w:ascii="仿宋_GB2312" w:hAnsi="Times New Roman" w:eastAsia="仿宋_GB2312"/>
          <w:b w:val="0"/>
          <w:bCs w:val="0"/>
          <w:color w:val="000000"/>
          <w:spacing w:val="0"/>
          <w:sz w:val="32"/>
          <w:szCs w:val="32"/>
          <w:highlight w:val="none"/>
        </w:rPr>
        <w:t>%；</w:t>
      </w:r>
      <w:r>
        <w:rPr>
          <w:rFonts w:hint="eastAsia" w:ascii="仿宋_GB2312" w:hAnsi="Times New Roman" w:eastAsia="仿宋_GB2312"/>
          <w:b w:val="0"/>
          <w:bCs w:val="0"/>
          <w:color w:val="000000"/>
          <w:spacing w:val="0"/>
          <w:sz w:val="32"/>
          <w:szCs w:val="32"/>
          <w:highlight w:val="none"/>
          <w:lang w:val="en-US" w:eastAsia="zh-CN"/>
        </w:rPr>
        <w:t>2027年整体去化1</w:t>
      </w:r>
      <w:r>
        <w:rPr>
          <w:rFonts w:hint="eastAsia" w:ascii="仿宋_GB2312" w:hAnsi="Times New Roman" w:eastAsia="仿宋_GB2312"/>
          <w:b w:val="0"/>
          <w:bCs w:val="0"/>
          <w:color w:val="000000"/>
          <w:spacing w:val="0"/>
          <w:sz w:val="32"/>
          <w:szCs w:val="32"/>
          <w:highlight w:val="none"/>
        </w:rPr>
        <w:t>0</w:t>
      </w:r>
      <w:r>
        <w:rPr>
          <w:rFonts w:hint="eastAsia" w:ascii="仿宋_GB2312" w:hAnsi="Times New Roman" w:eastAsia="仿宋_GB2312"/>
          <w:b w:val="0"/>
          <w:bCs w:val="0"/>
          <w:color w:val="000000"/>
          <w:spacing w:val="0"/>
          <w:sz w:val="32"/>
          <w:szCs w:val="32"/>
          <w:highlight w:val="none"/>
          <w:lang w:val="en-US" w:eastAsia="zh-CN"/>
        </w:rPr>
        <w:t>0</w:t>
      </w:r>
      <w:r>
        <w:rPr>
          <w:rFonts w:hint="eastAsia" w:ascii="仿宋_GB2312" w:hAnsi="Times New Roman" w:eastAsia="仿宋_GB2312"/>
          <w:b w:val="0"/>
          <w:bCs w:val="0"/>
          <w:color w:val="000000"/>
          <w:spacing w:val="0"/>
          <w:sz w:val="32"/>
          <w:szCs w:val="32"/>
          <w:highlight w:val="none"/>
        </w:rPr>
        <w:t>%。</w:t>
      </w:r>
      <w:r>
        <w:rPr>
          <w:rFonts w:hint="eastAsia" w:ascii="仿宋_GB2312" w:hAnsi="Times New Roman" w:eastAsia="仿宋_GB2312"/>
          <w:b w:val="0"/>
          <w:bCs w:val="0"/>
          <w:color w:val="000000"/>
          <w:spacing w:val="0"/>
          <w:sz w:val="32"/>
          <w:szCs w:val="32"/>
          <w:highlight w:val="none"/>
          <w:lang w:val="en-US" w:eastAsia="zh-CN"/>
        </w:rPr>
        <w:t>租赁</w:t>
      </w:r>
      <w:r>
        <w:rPr>
          <w:rFonts w:hint="eastAsia" w:ascii="仿宋_GB2312" w:hAnsi="Times New Roman" w:eastAsia="仿宋_GB2312"/>
          <w:b w:val="0"/>
          <w:bCs w:val="0"/>
          <w:color w:val="000000"/>
          <w:spacing w:val="0"/>
          <w:sz w:val="32"/>
          <w:szCs w:val="32"/>
          <w:highlight w:val="none"/>
        </w:rPr>
        <w:t>预计于202</w:t>
      </w:r>
      <w:r>
        <w:rPr>
          <w:rFonts w:hint="eastAsia" w:ascii="仿宋_GB2312" w:hAnsi="Times New Roman" w:eastAsia="仿宋_GB2312"/>
          <w:b w:val="0"/>
          <w:bCs w:val="0"/>
          <w:color w:val="000000"/>
          <w:spacing w:val="0"/>
          <w:sz w:val="32"/>
          <w:szCs w:val="32"/>
          <w:highlight w:val="none"/>
          <w:lang w:val="en-US" w:eastAsia="zh-CN"/>
        </w:rPr>
        <w:t>5</w:t>
      </w:r>
      <w:r>
        <w:rPr>
          <w:rFonts w:hint="eastAsia" w:ascii="仿宋_GB2312" w:hAnsi="Times New Roman" w:eastAsia="仿宋_GB2312"/>
          <w:b w:val="0"/>
          <w:bCs w:val="0"/>
          <w:color w:val="000000"/>
          <w:spacing w:val="0"/>
          <w:sz w:val="32"/>
          <w:szCs w:val="32"/>
          <w:highlight w:val="none"/>
        </w:rPr>
        <w:t>年</w:t>
      </w:r>
      <w:r>
        <w:rPr>
          <w:rFonts w:hint="eastAsia" w:ascii="仿宋_GB2312" w:hAnsi="Times New Roman" w:eastAsia="仿宋_GB2312"/>
          <w:b w:val="0"/>
          <w:bCs w:val="0"/>
          <w:color w:val="000000"/>
          <w:spacing w:val="0"/>
          <w:sz w:val="32"/>
          <w:szCs w:val="32"/>
          <w:highlight w:val="none"/>
          <w:lang w:val="en-US" w:eastAsia="zh-CN"/>
        </w:rPr>
        <w:t>第四季度启动</w:t>
      </w:r>
      <w:r>
        <w:rPr>
          <w:rFonts w:hint="eastAsia" w:ascii="仿宋_GB2312" w:hAnsi="Times New Roman" w:eastAsia="仿宋_GB2312"/>
          <w:b w:val="0"/>
          <w:bCs w:val="0"/>
          <w:color w:val="000000"/>
          <w:spacing w:val="0"/>
          <w:sz w:val="32"/>
          <w:szCs w:val="32"/>
          <w:highlight w:val="none"/>
        </w:rPr>
        <w:t>，预计2025年去化10%</w:t>
      </w:r>
      <w:r>
        <w:rPr>
          <w:rFonts w:hint="eastAsia" w:ascii="仿宋_GB2312" w:hAnsi="Times New Roman" w:eastAsia="仿宋_GB2312"/>
          <w:b w:val="0"/>
          <w:bCs w:val="0"/>
          <w:color w:val="000000"/>
          <w:spacing w:val="0"/>
          <w:sz w:val="32"/>
          <w:szCs w:val="32"/>
          <w:highlight w:val="none"/>
          <w:lang w:eastAsia="zh-CN"/>
        </w:rPr>
        <w:t>、</w:t>
      </w:r>
      <w:r>
        <w:rPr>
          <w:rFonts w:hint="eastAsia" w:ascii="仿宋_GB2312" w:hAnsi="Times New Roman" w:eastAsia="仿宋_GB2312"/>
          <w:b w:val="0"/>
          <w:bCs w:val="0"/>
          <w:color w:val="000000"/>
          <w:spacing w:val="0"/>
          <w:sz w:val="32"/>
          <w:szCs w:val="32"/>
          <w:highlight w:val="none"/>
          <w:lang w:val="en-US" w:eastAsia="zh-CN"/>
        </w:rPr>
        <w:t>2026年整体</w:t>
      </w:r>
      <w:r>
        <w:rPr>
          <w:rFonts w:hint="eastAsia" w:ascii="仿宋_GB2312" w:hAnsi="Times New Roman" w:eastAsia="仿宋_GB2312"/>
          <w:b w:val="0"/>
          <w:bCs w:val="0"/>
          <w:color w:val="000000"/>
          <w:spacing w:val="0"/>
          <w:sz w:val="32"/>
          <w:szCs w:val="32"/>
          <w:highlight w:val="none"/>
        </w:rPr>
        <w:t>去化</w:t>
      </w:r>
      <w:r>
        <w:rPr>
          <w:rFonts w:hint="eastAsia" w:ascii="仿宋_GB2312" w:hAnsi="Times New Roman" w:eastAsia="仿宋_GB2312"/>
          <w:b w:val="0"/>
          <w:bCs w:val="0"/>
          <w:color w:val="000000"/>
          <w:spacing w:val="0"/>
          <w:sz w:val="32"/>
          <w:szCs w:val="32"/>
          <w:highlight w:val="none"/>
          <w:lang w:val="en-US" w:eastAsia="zh-CN"/>
        </w:rPr>
        <w:t>50</w:t>
      </w:r>
      <w:r>
        <w:rPr>
          <w:rFonts w:hint="eastAsia" w:ascii="仿宋_GB2312" w:hAnsi="Times New Roman" w:eastAsia="仿宋_GB2312"/>
          <w:b w:val="0"/>
          <w:bCs w:val="0"/>
          <w:color w:val="000000"/>
          <w:spacing w:val="0"/>
          <w:sz w:val="32"/>
          <w:szCs w:val="32"/>
          <w:highlight w:val="none"/>
        </w:rPr>
        <w:t>%；</w:t>
      </w:r>
      <w:r>
        <w:rPr>
          <w:rFonts w:hint="eastAsia" w:ascii="仿宋_GB2312" w:hAnsi="Times New Roman" w:eastAsia="仿宋_GB2312"/>
          <w:b w:val="0"/>
          <w:bCs w:val="0"/>
          <w:color w:val="000000"/>
          <w:spacing w:val="0"/>
          <w:sz w:val="32"/>
          <w:szCs w:val="32"/>
          <w:highlight w:val="none"/>
          <w:lang w:val="en-US" w:eastAsia="zh-CN"/>
        </w:rPr>
        <w:t>2027年整体去化95</w:t>
      </w:r>
      <w:r>
        <w:rPr>
          <w:rFonts w:hint="eastAsia" w:ascii="仿宋_GB2312" w:hAnsi="Times New Roman" w:eastAsia="仿宋_GB2312"/>
          <w:b w:val="0"/>
          <w:bCs w:val="0"/>
          <w:color w:val="000000"/>
          <w:spacing w:val="0"/>
          <w:sz w:val="32"/>
          <w:szCs w:val="32"/>
          <w:highlight w:val="none"/>
        </w:rPr>
        <w:t>%。</w:t>
      </w:r>
    </w:p>
    <w:p w14:paraId="0B731721">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2" w:leftChars="0" w:firstLine="642" w:firstLineChars="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服务</w:t>
      </w:r>
      <w:r>
        <w:rPr>
          <w:rFonts w:hint="eastAsia" w:ascii="黑体" w:hAnsi="黑体" w:eastAsia="黑体" w:cs="黑体"/>
          <w:b w:val="0"/>
          <w:bCs w:val="0"/>
          <w:color w:val="auto"/>
          <w:sz w:val="32"/>
          <w:szCs w:val="32"/>
          <w:lang w:val="en-US" w:eastAsia="zh-CN"/>
        </w:rPr>
        <w:t>要求</w:t>
      </w:r>
    </w:p>
    <w:p w14:paraId="2762376B">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Chars="0" w:firstLine="420" w:firstLineChars="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服务范围：</w:t>
      </w:r>
    </w:p>
    <w:p w14:paraId="52DB03BD">
      <w:pPr>
        <w:pStyle w:val="5"/>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本次招标的物业管理区</w:t>
      </w:r>
      <w:r>
        <w:rPr>
          <w:rFonts w:hint="eastAsia" w:ascii="仿宋_GB2312" w:hAnsi="Times New Roman" w:eastAsia="仿宋_GB2312"/>
          <w:b w:val="0"/>
          <w:bCs w:val="0"/>
          <w:color w:val="000000"/>
          <w:spacing w:val="0"/>
          <w:sz w:val="32"/>
          <w:szCs w:val="32"/>
          <w:lang w:val="en-US" w:eastAsia="zh-CN"/>
        </w:rPr>
        <w:t>域涵盖项目整体，</w:t>
      </w:r>
      <w:r>
        <w:rPr>
          <w:rFonts w:hint="eastAsia" w:ascii="仿宋_GB2312" w:hAnsi="Times New Roman" w:eastAsia="仿宋_GB2312"/>
          <w:b w:val="0"/>
          <w:bCs w:val="0"/>
          <w:color w:val="000000"/>
          <w:spacing w:val="0"/>
          <w:sz w:val="32"/>
          <w:szCs w:val="32"/>
        </w:rPr>
        <w:t>包括</w:t>
      </w:r>
      <w:r>
        <w:rPr>
          <w:rFonts w:hint="eastAsia" w:ascii="仿宋_GB2312" w:hAnsi="Times New Roman" w:eastAsia="仿宋_GB2312"/>
          <w:b w:val="0"/>
          <w:bCs w:val="0"/>
          <w:color w:val="000000"/>
          <w:spacing w:val="0"/>
          <w:sz w:val="32"/>
          <w:szCs w:val="32"/>
          <w:lang w:val="en-US" w:eastAsia="zh-CN"/>
        </w:rPr>
        <w:t>但不限于全部</w:t>
      </w:r>
      <w:r>
        <w:rPr>
          <w:rFonts w:hint="eastAsia" w:ascii="仿宋_GB2312" w:hAnsi="Times New Roman" w:eastAsia="仿宋_GB2312"/>
          <w:b w:val="0"/>
          <w:bCs w:val="0"/>
          <w:color w:val="000000"/>
          <w:spacing w:val="0"/>
          <w:sz w:val="32"/>
          <w:szCs w:val="32"/>
        </w:rPr>
        <w:t>办公部分、</w:t>
      </w:r>
      <w:r>
        <w:rPr>
          <w:rFonts w:hint="eastAsia" w:ascii="仿宋_GB2312" w:hAnsi="Times New Roman" w:eastAsia="仿宋_GB2312"/>
          <w:b w:val="0"/>
          <w:bCs w:val="0"/>
          <w:color w:val="000000"/>
          <w:spacing w:val="0"/>
          <w:sz w:val="32"/>
          <w:szCs w:val="32"/>
          <w:lang w:val="en-US" w:eastAsia="zh-CN"/>
        </w:rPr>
        <w:t>生产厂房</w:t>
      </w:r>
      <w:r>
        <w:rPr>
          <w:rFonts w:hint="eastAsia" w:ascii="仿宋_GB2312" w:hAnsi="Times New Roman" w:eastAsia="仿宋_GB2312"/>
          <w:b w:val="0"/>
          <w:bCs w:val="0"/>
          <w:color w:val="000000"/>
          <w:spacing w:val="0"/>
          <w:sz w:val="32"/>
          <w:szCs w:val="32"/>
        </w:rPr>
        <w:t>部分、</w:t>
      </w:r>
      <w:r>
        <w:rPr>
          <w:rFonts w:hint="eastAsia" w:ascii="仿宋_GB2312" w:hAnsi="Times New Roman" w:eastAsia="仿宋_GB2312"/>
          <w:b w:val="0"/>
          <w:bCs w:val="0"/>
          <w:color w:val="000000"/>
          <w:spacing w:val="0"/>
          <w:sz w:val="32"/>
          <w:szCs w:val="32"/>
          <w:lang w:val="en-US" w:eastAsia="zh-CN"/>
        </w:rPr>
        <w:t>配套食堂</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rPr>
        <w:t>停车场</w:t>
      </w:r>
      <w:r>
        <w:rPr>
          <w:rFonts w:hint="eastAsia" w:ascii="仿宋_GB2312" w:hAnsi="Times New Roman" w:eastAsia="仿宋_GB2312"/>
          <w:b w:val="0"/>
          <w:bCs w:val="0"/>
          <w:color w:val="000000"/>
          <w:spacing w:val="0"/>
          <w:sz w:val="32"/>
          <w:szCs w:val="32"/>
          <w:lang w:val="en-US" w:eastAsia="zh-CN"/>
        </w:rPr>
        <w:t>及其他公共区域</w:t>
      </w:r>
      <w:r>
        <w:rPr>
          <w:rFonts w:hint="eastAsia" w:ascii="仿宋_GB2312" w:hAnsi="Times New Roman" w:eastAsia="仿宋_GB2312"/>
          <w:b w:val="0"/>
          <w:bCs w:val="0"/>
          <w:color w:val="000000"/>
          <w:spacing w:val="0"/>
          <w:sz w:val="32"/>
          <w:szCs w:val="32"/>
        </w:rPr>
        <w:t>。</w:t>
      </w:r>
    </w:p>
    <w:p w14:paraId="66BA2E41">
      <w:pPr>
        <w:pStyle w:val="5"/>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物业管理区域范围内的综合管理：包括但不限于房屋建筑本体共用部位及本体共用设施设备等的维修、养护和管理；本物业管理区域内除房屋建筑本体之外的共用设施设备（含电梯、消防系统、供配电系统、道路、室外上下水管道、化粪池等）的维修、</w:t>
      </w:r>
    </w:p>
    <w:p w14:paraId="436B3121">
      <w:pPr>
        <w:pStyle w:val="5"/>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lang w:val="en-US" w:eastAsia="zh-CN"/>
        </w:rPr>
      </w:pPr>
      <w:r>
        <w:rPr>
          <w:rFonts w:hint="eastAsia" w:ascii="仿宋_GB2312" w:hAnsi="Times New Roman" w:eastAsia="仿宋_GB2312"/>
          <w:b w:val="0"/>
          <w:bCs w:val="0"/>
          <w:color w:val="000000"/>
          <w:spacing w:val="0"/>
          <w:sz w:val="32"/>
          <w:szCs w:val="32"/>
        </w:rPr>
        <w:t>养护和管理；公共环境的清洁卫生</w:t>
      </w:r>
      <w:r>
        <w:rPr>
          <w:rFonts w:hint="eastAsia" w:ascii="仿宋_GB2312" w:hAnsi="Times New Roman" w:eastAsia="仿宋_GB2312"/>
          <w:b w:val="0"/>
          <w:bCs w:val="0"/>
          <w:color w:val="000000"/>
          <w:spacing w:val="0"/>
          <w:sz w:val="32"/>
          <w:szCs w:val="32"/>
          <w:lang w:eastAsia="zh-CN"/>
        </w:rPr>
        <w:t>、客耗材更换；</w:t>
      </w:r>
      <w:r>
        <w:rPr>
          <w:rFonts w:hint="eastAsia" w:ascii="仿宋_GB2312" w:hAnsi="Times New Roman" w:eastAsia="仿宋_GB2312"/>
          <w:b w:val="0"/>
          <w:bCs w:val="0"/>
          <w:color w:val="000000"/>
          <w:spacing w:val="0"/>
          <w:sz w:val="32"/>
          <w:szCs w:val="32"/>
        </w:rPr>
        <w:t>绿化养护、垃圾的收集和清运等；配合和协助当地公安机关进行公共区域的安全防范和巡视工作等</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auto"/>
          <w:spacing w:val="0"/>
          <w:sz w:val="32"/>
          <w:szCs w:val="32"/>
          <w:lang w:val="en-US" w:eastAsia="zh-CN"/>
        </w:rPr>
        <w:t>技术指标表详见附件2。</w:t>
      </w:r>
    </w:p>
    <w:p w14:paraId="007E9C57">
      <w:pPr>
        <w:pStyle w:val="5"/>
        <w:keepNext w:val="0"/>
        <w:keepLines w:val="0"/>
        <w:pageBreakBefore w:val="0"/>
        <w:widowControl w:val="0"/>
        <w:numPr>
          <w:ilvl w:val="0"/>
          <w:numId w:val="3"/>
        </w:numPr>
        <w:kinsoku/>
        <w:wordWrap/>
        <w:overflowPunct/>
        <w:topLinePunct w:val="0"/>
        <w:autoSpaceDE/>
        <w:autoSpaceDN/>
        <w:bidi w:val="0"/>
        <w:spacing w:line="560" w:lineRule="exact"/>
        <w:ind w:firstLine="42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服务周期：</w:t>
      </w:r>
    </w:p>
    <w:p w14:paraId="0AAF4EA1">
      <w:pPr>
        <w:pStyle w:val="4"/>
        <w:keepNext w:val="0"/>
        <w:keepLines w:val="0"/>
        <w:pageBreakBefore w:val="0"/>
        <w:widowControl w:val="0"/>
        <w:kinsoku/>
        <w:wordWrap/>
        <w:overflowPunct/>
        <w:topLinePunct w:val="0"/>
        <w:autoSpaceDE/>
        <w:autoSpaceDN/>
        <w:bidi w:val="0"/>
        <w:spacing w:line="560" w:lineRule="exact"/>
        <w:ind w:firstLine="632"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仿宋_GB2312" w:eastAsia="仿宋_GB2312" w:cs="仿宋_GB2312"/>
          <w:b w:val="0"/>
          <w:bCs w:val="0"/>
          <w:color w:val="auto"/>
          <w:sz w:val="32"/>
          <w:szCs w:val="32"/>
          <w:highlight w:val="none"/>
          <w:lang w:val="en-US" w:eastAsia="zh-CN"/>
        </w:rPr>
        <w:t>物业服务周期主要分为物业前介及筹备期和</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auto"/>
          <w:lang w:val="en-US" w:eastAsia="zh-CN"/>
        </w:rPr>
        <w:t>物业管理日常服务</w:t>
      </w:r>
      <w:r>
        <w:rPr>
          <w:rFonts w:hint="eastAsia" w:ascii="仿宋_GB2312" w:hAnsi="仿宋_GB2312" w:eastAsia="仿宋_GB2312" w:cs="仿宋_GB2312"/>
          <w:b w:val="0"/>
          <w:bCs w:val="0"/>
          <w:color w:val="auto"/>
          <w:sz w:val="32"/>
          <w:szCs w:val="32"/>
          <w:highlight w:val="none"/>
          <w:lang w:val="en-US" w:eastAsia="zh-CN"/>
        </w:rPr>
        <w:t>期两个阶段。其中物业前介及筹备期，服务周期1.5年（暂定，自收到中标通知书并开工函之日起至项目入伙通知书载明的入伙之日）；</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auto"/>
          <w:lang w:val="en-US" w:eastAsia="zh-CN"/>
        </w:rPr>
        <w:t>物业管理日常服务</w:t>
      </w:r>
      <w:r>
        <w:rPr>
          <w:rFonts w:hint="eastAsia" w:ascii="仿宋_GB2312" w:hAnsi="仿宋_GB2312" w:eastAsia="仿宋_GB2312" w:cs="仿宋_GB2312"/>
          <w:b w:val="0"/>
          <w:bCs w:val="0"/>
          <w:color w:val="auto"/>
          <w:sz w:val="32"/>
          <w:szCs w:val="32"/>
          <w:highlight w:val="none"/>
          <w:lang w:val="en-US" w:eastAsia="zh-CN"/>
        </w:rPr>
        <w:t>期2年（</w:t>
      </w:r>
      <w:r>
        <w:rPr>
          <w:rFonts w:hint="eastAsia" w:ascii="仿宋_GB2312" w:hAnsi="Times New Roman" w:eastAsia="仿宋_GB2312"/>
          <w:b w:val="0"/>
          <w:bCs w:val="0"/>
          <w:color w:val="000000"/>
          <w:spacing w:val="0"/>
          <w:sz w:val="32"/>
          <w:szCs w:val="32"/>
        </w:rPr>
        <w:t>服务期限自入伙通知书载明的入伙之日起计两年，暂定2027年</w:t>
      </w:r>
      <w:r>
        <w:rPr>
          <w:rFonts w:hint="eastAsia" w:ascii="仿宋_GB2312" w:hAnsi="Times New Roman" w:eastAsia="仿宋_GB2312"/>
          <w:b w:val="0"/>
          <w:bCs w:val="0"/>
          <w:color w:val="000000"/>
          <w:spacing w:val="0"/>
          <w:sz w:val="32"/>
          <w:szCs w:val="32"/>
          <w:lang w:val="en-US" w:eastAsia="zh-CN"/>
        </w:rPr>
        <w:t>1</w:t>
      </w:r>
      <w:r>
        <w:rPr>
          <w:rFonts w:hint="eastAsia" w:ascii="仿宋_GB2312" w:hAnsi="Times New Roman" w:eastAsia="仿宋_GB2312"/>
          <w:b w:val="0"/>
          <w:bCs w:val="0"/>
          <w:color w:val="000000"/>
          <w:spacing w:val="0"/>
          <w:sz w:val="32"/>
          <w:szCs w:val="32"/>
        </w:rPr>
        <w:t>月1日-202</w:t>
      </w:r>
      <w:r>
        <w:rPr>
          <w:rFonts w:hint="eastAsia" w:ascii="仿宋_GB2312" w:hAnsi="Times New Roman" w:eastAsia="仿宋_GB2312"/>
          <w:b w:val="0"/>
          <w:bCs w:val="0"/>
          <w:color w:val="000000"/>
          <w:spacing w:val="0"/>
          <w:sz w:val="32"/>
          <w:szCs w:val="32"/>
          <w:lang w:val="en-US" w:eastAsia="zh-CN"/>
        </w:rPr>
        <w:t>8</w:t>
      </w:r>
      <w:r>
        <w:rPr>
          <w:rFonts w:hint="eastAsia" w:ascii="仿宋_GB2312" w:hAnsi="Times New Roman" w:eastAsia="仿宋_GB2312"/>
          <w:b w:val="0"/>
          <w:bCs w:val="0"/>
          <w:color w:val="000000"/>
          <w:spacing w:val="0"/>
          <w:sz w:val="32"/>
          <w:szCs w:val="32"/>
        </w:rPr>
        <w:t>年</w:t>
      </w:r>
      <w:r>
        <w:rPr>
          <w:rFonts w:hint="eastAsia" w:ascii="仿宋_GB2312" w:hAnsi="Times New Roman" w:eastAsia="仿宋_GB2312"/>
          <w:b w:val="0"/>
          <w:bCs w:val="0"/>
          <w:color w:val="000000"/>
          <w:spacing w:val="0"/>
          <w:sz w:val="32"/>
          <w:szCs w:val="32"/>
          <w:lang w:val="en-US" w:eastAsia="zh-CN"/>
        </w:rPr>
        <w:t>12</w:t>
      </w:r>
      <w:r>
        <w:rPr>
          <w:rFonts w:hint="eastAsia" w:ascii="仿宋_GB2312" w:hAnsi="Times New Roman" w:eastAsia="仿宋_GB2312"/>
          <w:b w:val="0"/>
          <w:bCs w:val="0"/>
          <w:color w:val="000000"/>
          <w:spacing w:val="0"/>
          <w:sz w:val="32"/>
          <w:szCs w:val="32"/>
        </w:rPr>
        <w:t>月30日。如本项目提前或推迟入伙，则</w:t>
      </w:r>
      <w:r>
        <w:rPr>
          <w:rFonts w:hint="eastAsia" w:ascii="仿宋_GB2312" w:hAnsi="仿宋_GB2312" w:eastAsia="仿宋_GB2312" w:cs="仿宋_GB2312"/>
          <w:b w:val="0"/>
          <w:bCs w:val="0"/>
          <w:color w:val="auto"/>
          <w:sz w:val="32"/>
          <w:szCs w:val="32"/>
          <w:highlight w:val="none"/>
          <w:lang w:val="en-US" w:eastAsia="zh-CN"/>
        </w:rPr>
        <w:t>物业前介及筹备期结束日期及</w:t>
      </w:r>
      <w:r>
        <w:rPr>
          <w:rFonts w:hint="eastAsia" w:ascii="仿宋_GB2312" w:hAnsi="仿宋_GB2312" w:eastAsia="仿宋_GB2312" w:cs="仿宋_GB2312"/>
          <w:b w:val="0"/>
          <w:bCs w:val="0"/>
          <w:i w:val="0"/>
          <w:iCs w:val="0"/>
          <w:caps w:val="0"/>
          <w:color w:val="auto"/>
          <w:spacing w:val="0"/>
          <w:sz w:val="32"/>
          <w:szCs w:val="32"/>
          <w:highlight w:val="none"/>
          <w:u w:val="none"/>
          <w:shd w:val="clear" w:color="auto" w:fill="auto"/>
          <w:lang w:val="en-US" w:eastAsia="zh-CN"/>
        </w:rPr>
        <w:t>物业管理日常服务</w:t>
      </w:r>
      <w:r>
        <w:rPr>
          <w:rFonts w:hint="eastAsia" w:ascii="仿宋_GB2312" w:hAnsi="仿宋_GB2312" w:eastAsia="仿宋_GB2312" w:cs="仿宋_GB2312"/>
          <w:b w:val="0"/>
          <w:bCs w:val="0"/>
          <w:color w:val="auto"/>
          <w:sz w:val="32"/>
          <w:szCs w:val="32"/>
          <w:highlight w:val="none"/>
          <w:lang w:val="en-US" w:eastAsia="zh-CN"/>
        </w:rPr>
        <w:t>期</w:t>
      </w:r>
      <w:r>
        <w:rPr>
          <w:rFonts w:hint="eastAsia" w:ascii="仿宋_GB2312" w:hAnsi="Times New Roman" w:eastAsia="仿宋_GB2312"/>
          <w:b w:val="0"/>
          <w:bCs w:val="0"/>
          <w:color w:val="000000"/>
          <w:spacing w:val="0"/>
          <w:sz w:val="32"/>
          <w:szCs w:val="32"/>
        </w:rPr>
        <w:t>开始日期以</w:t>
      </w:r>
      <w:r>
        <w:rPr>
          <w:rFonts w:hint="eastAsia" w:ascii="仿宋_GB2312" w:hAnsi="Times New Roman" w:eastAsia="仿宋_GB2312"/>
          <w:b w:val="0"/>
          <w:bCs w:val="0"/>
          <w:color w:val="000000"/>
          <w:spacing w:val="0"/>
          <w:sz w:val="32"/>
          <w:szCs w:val="32"/>
          <w:lang w:val="en-US" w:eastAsia="zh-CN"/>
        </w:rPr>
        <w:t>最终</w:t>
      </w:r>
      <w:r>
        <w:rPr>
          <w:rFonts w:hint="eastAsia" w:ascii="仿宋_GB2312" w:hAnsi="Times New Roman" w:eastAsia="仿宋_GB2312"/>
          <w:b w:val="0"/>
          <w:bCs w:val="0"/>
          <w:color w:val="000000"/>
          <w:spacing w:val="0"/>
          <w:sz w:val="32"/>
          <w:szCs w:val="32"/>
        </w:rPr>
        <w:t>入伙通知书载明的入伙之日为准。</w:t>
      </w:r>
    </w:p>
    <w:p w14:paraId="1E91A58A">
      <w:pPr>
        <w:pStyle w:val="5"/>
        <w:keepNext w:val="0"/>
        <w:keepLines w:val="0"/>
        <w:pageBreakBefore w:val="0"/>
        <w:widowControl w:val="0"/>
        <w:numPr>
          <w:ilvl w:val="0"/>
          <w:numId w:val="3"/>
        </w:numPr>
        <w:kinsoku/>
        <w:wordWrap/>
        <w:overflowPunct/>
        <w:topLinePunct w:val="0"/>
        <w:autoSpaceDE/>
        <w:autoSpaceDN/>
        <w:bidi w:val="0"/>
        <w:spacing w:line="560" w:lineRule="exact"/>
        <w:ind w:firstLine="420" w:firstLineChars="0"/>
        <w:jc w:val="both"/>
        <w:textAlignment w:val="auto"/>
        <w:rPr>
          <w:rFonts w:hint="eastAsia" w:ascii="仿宋_GB2312" w:hAnsi="Times New Roman" w:eastAsia="仿宋_GB2312"/>
          <w:b w:val="0"/>
          <w:bCs w:val="0"/>
          <w:color w:val="000000"/>
          <w:spacing w:val="0"/>
          <w:sz w:val="32"/>
          <w:szCs w:val="32"/>
        </w:rPr>
      </w:pPr>
      <w:r>
        <w:rPr>
          <w:rFonts w:hint="eastAsia" w:ascii="楷体_GB2312" w:hAnsi="楷体_GB2312" w:eastAsia="楷体_GB2312" w:cs="楷体_GB2312"/>
          <w:b w:val="0"/>
          <w:bCs w:val="0"/>
          <w:color w:val="auto"/>
          <w:sz w:val="32"/>
          <w:szCs w:val="32"/>
          <w:highlight w:val="none"/>
          <w:lang w:val="en-US" w:eastAsia="zh-CN"/>
        </w:rPr>
        <w:t>服务内容</w:t>
      </w:r>
      <w:r>
        <w:rPr>
          <w:rFonts w:hint="eastAsia" w:ascii="仿宋_GB2312" w:hAnsi="仿宋_GB2312" w:eastAsia="仿宋_GB2312" w:cs="仿宋_GB2312"/>
          <w:b w:val="0"/>
          <w:bCs w:val="0"/>
          <w:color w:val="auto"/>
          <w:sz w:val="32"/>
          <w:szCs w:val="32"/>
          <w:highlight w:val="none"/>
          <w:lang w:val="en-US" w:eastAsia="zh-CN"/>
        </w:rPr>
        <w:br w:type="textWrapping"/>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Times New Roman" w:eastAsia="仿宋_GB2312"/>
          <w:b w:val="0"/>
          <w:bCs w:val="0"/>
          <w:color w:val="000000"/>
          <w:spacing w:val="0"/>
          <w:sz w:val="32"/>
          <w:szCs w:val="32"/>
        </w:rPr>
        <w:t>本</w:t>
      </w:r>
      <w:r>
        <w:rPr>
          <w:rFonts w:hint="eastAsia" w:ascii="仿宋_GB2312" w:hAnsi="Times New Roman" w:eastAsia="仿宋_GB2312"/>
          <w:b w:val="0"/>
          <w:bCs w:val="0"/>
          <w:color w:val="000000"/>
          <w:spacing w:val="0"/>
          <w:sz w:val="32"/>
          <w:szCs w:val="32"/>
          <w:lang w:val="en-US" w:eastAsia="zh-CN"/>
        </w:rPr>
        <w:t>项目</w:t>
      </w:r>
      <w:r>
        <w:rPr>
          <w:rFonts w:hint="eastAsia" w:ascii="仿宋_GB2312" w:hAnsi="Times New Roman" w:eastAsia="仿宋_GB2312"/>
          <w:b w:val="0"/>
          <w:bCs w:val="0"/>
          <w:color w:val="000000"/>
          <w:spacing w:val="0"/>
          <w:sz w:val="32"/>
          <w:szCs w:val="32"/>
        </w:rPr>
        <w:t>物业管理区域倡导绿色、智慧物业管理。投标人应尽可能采用新技术、新方法提高物业管理质量和服务水平，营造安全、舒适、文明、和谐、美好的工作和生</w:t>
      </w:r>
      <w:r>
        <w:rPr>
          <w:rFonts w:hint="eastAsia" w:ascii="仿宋_GB2312" w:hAnsi="Times New Roman" w:eastAsia="仿宋_GB2312"/>
          <w:b w:val="0"/>
          <w:bCs w:val="0"/>
          <w:color w:val="000000"/>
          <w:spacing w:val="0"/>
          <w:sz w:val="32"/>
          <w:szCs w:val="32"/>
          <w:lang w:val="en-US" w:eastAsia="zh-CN"/>
        </w:rPr>
        <w:t>产</w:t>
      </w:r>
      <w:r>
        <w:rPr>
          <w:rFonts w:hint="eastAsia" w:ascii="仿宋_GB2312" w:hAnsi="Times New Roman" w:eastAsia="仿宋_GB2312"/>
          <w:b w:val="0"/>
          <w:bCs w:val="0"/>
          <w:color w:val="000000"/>
          <w:spacing w:val="0"/>
          <w:sz w:val="32"/>
          <w:szCs w:val="32"/>
        </w:rPr>
        <w:t>环境。</w:t>
      </w:r>
      <w:r>
        <w:rPr>
          <w:rFonts w:hint="eastAsia" w:ascii="仿宋_GB2312" w:hAnsi="Times New Roman" w:eastAsia="仿宋_GB2312"/>
          <w:b w:val="0"/>
          <w:bCs w:val="0"/>
          <w:color w:val="000000"/>
          <w:spacing w:val="0"/>
          <w:sz w:val="32"/>
          <w:szCs w:val="32"/>
          <w:lang w:val="en-US" w:eastAsia="zh-CN"/>
        </w:rPr>
        <w:t>中标人</w:t>
      </w:r>
      <w:r>
        <w:rPr>
          <w:rFonts w:hint="eastAsia" w:ascii="仿宋_GB2312" w:hAnsi="Times New Roman" w:eastAsia="仿宋_GB2312"/>
          <w:b w:val="0"/>
          <w:bCs w:val="0"/>
          <w:color w:val="000000"/>
          <w:spacing w:val="0"/>
          <w:sz w:val="32"/>
          <w:szCs w:val="32"/>
        </w:rPr>
        <w:t>在本</w:t>
      </w:r>
      <w:r>
        <w:rPr>
          <w:rFonts w:hint="eastAsia" w:ascii="仿宋_GB2312" w:hAnsi="Times New Roman" w:eastAsia="仿宋_GB2312"/>
          <w:b w:val="0"/>
          <w:bCs w:val="0"/>
          <w:color w:val="000000"/>
          <w:spacing w:val="0"/>
          <w:sz w:val="32"/>
          <w:szCs w:val="32"/>
          <w:lang w:val="en-US" w:eastAsia="zh-CN"/>
        </w:rPr>
        <w:t>项目</w:t>
      </w:r>
      <w:r>
        <w:rPr>
          <w:rFonts w:hint="eastAsia" w:ascii="仿宋_GB2312" w:hAnsi="Times New Roman" w:eastAsia="仿宋_GB2312"/>
          <w:b w:val="0"/>
          <w:bCs w:val="0"/>
          <w:color w:val="000000"/>
          <w:spacing w:val="0"/>
          <w:sz w:val="32"/>
          <w:szCs w:val="32"/>
        </w:rPr>
        <w:t>物业管理区域内提供的物业服务（含</w:t>
      </w:r>
      <w:r>
        <w:rPr>
          <w:rFonts w:hint="eastAsia" w:ascii="仿宋_GB2312" w:hAnsi="Times New Roman" w:eastAsia="仿宋_GB2312"/>
          <w:b w:val="0"/>
          <w:bCs w:val="0"/>
          <w:color w:val="000000"/>
          <w:spacing w:val="0"/>
          <w:sz w:val="32"/>
          <w:szCs w:val="32"/>
          <w:lang w:val="en-US" w:eastAsia="zh-CN"/>
        </w:rPr>
        <w:t>前介及筹备、</w:t>
      </w:r>
      <w:r>
        <w:rPr>
          <w:rFonts w:hint="eastAsia" w:ascii="仿宋_GB2312" w:hAnsi="Times New Roman" w:eastAsia="仿宋_GB2312"/>
          <w:b w:val="0"/>
          <w:bCs w:val="0"/>
          <w:color w:val="000000"/>
          <w:spacing w:val="0"/>
          <w:sz w:val="32"/>
          <w:szCs w:val="32"/>
        </w:rPr>
        <w:t>物业管理日常服务及其它服务事项），包括但不限于以下内容：</w:t>
      </w:r>
    </w:p>
    <w:p w14:paraId="42E89944">
      <w:pPr>
        <w:pStyle w:val="4"/>
        <w:keepNext w:val="0"/>
        <w:keepLines w:val="0"/>
        <w:pageBreakBefore w:val="0"/>
        <w:widowControl w:val="0"/>
        <w:numPr>
          <w:ilvl w:val="0"/>
          <w:numId w:val="4"/>
        </w:numPr>
        <w:kinsoku/>
        <w:wordWrap/>
        <w:overflowPunct/>
        <w:topLinePunct w:val="0"/>
        <w:autoSpaceDE/>
        <w:autoSpaceDN/>
        <w:bidi w:val="0"/>
        <w:spacing w:line="560" w:lineRule="exact"/>
        <w:ind w:left="0" w:firstLine="640" w:firstLineChars="200"/>
        <w:jc w:val="both"/>
        <w:textAlignment w:val="auto"/>
        <w:rPr>
          <w:rFonts w:hint="eastAsia" w:ascii="楷体_GB2312" w:hAnsi="楷体_GB2312" w:eastAsia="楷体_GB2312" w:cs="楷体_GB2312"/>
          <w:b w:val="0"/>
          <w:bCs w:val="0"/>
          <w:color w:val="000000"/>
          <w:spacing w:val="0"/>
          <w:sz w:val="32"/>
          <w:szCs w:val="32"/>
        </w:rPr>
      </w:pPr>
      <w:r>
        <w:rPr>
          <w:rFonts w:hint="eastAsia" w:ascii="楷体_GB2312" w:hAnsi="楷体_GB2312" w:eastAsia="楷体_GB2312" w:cs="楷体_GB2312"/>
          <w:b w:val="0"/>
          <w:bCs w:val="0"/>
          <w:color w:val="000000"/>
          <w:spacing w:val="0"/>
          <w:sz w:val="32"/>
          <w:szCs w:val="32"/>
        </w:rPr>
        <w:t>前介</w:t>
      </w:r>
      <w:r>
        <w:rPr>
          <w:rFonts w:hint="eastAsia" w:ascii="楷体_GB2312" w:hAnsi="楷体_GB2312" w:eastAsia="楷体_GB2312" w:cs="楷体_GB2312"/>
          <w:b w:val="0"/>
          <w:bCs w:val="0"/>
          <w:color w:val="000000"/>
          <w:spacing w:val="0"/>
          <w:sz w:val="32"/>
          <w:szCs w:val="32"/>
          <w:lang w:val="en-US" w:eastAsia="zh-CN"/>
        </w:rPr>
        <w:t>及筹备期</w:t>
      </w:r>
    </w:p>
    <w:p w14:paraId="24B963E9">
      <w:pPr>
        <w:pStyle w:val="4"/>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自本合同签订之日起，</w:t>
      </w:r>
      <w:r>
        <w:rPr>
          <w:rFonts w:hint="eastAsia" w:ascii="仿宋_GB2312" w:hAnsi="Times New Roman" w:eastAsia="仿宋_GB2312"/>
          <w:b w:val="0"/>
          <w:bCs w:val="0"/>
          <w:color w:val="000000"/>
          <w:spacing w:val="0"/>
          <w:sz w:val="32"/>
          <w:szCs w:val="32"/>
          <w:lang w:val="en-US" w:eastAsia="zh-CN"/>
        </w:rPr>
        <w:t>需</w:t>
      </w:r>
      <w:r>
        <w:rPr>
          <w:rFonts w:hint="eastAsia" w:ascii="仿宋_GB2312" w:hAnsi="Times New Roman" w:eastAsia="仿宋_GB2312"/>
          <w:b w:val="0"/>
          <w:bCs w:val="0"/>
          <w:color w:val="000000"/>
          <w:spacing w:val="0"/>
          <w:sz w:val="32"/>
          <w:szCs w:val="32"/>
        </w:rPr>
        <w:t>安排专人与</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对接</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lang w:val="en-US" w:eastAsia="zh-CN"/>
        </w:rPr>
        <w:t>并根据罗山公司要求安排2人以上提供驻场服务</w:t>
      </w:r>
      <w:r>
        <w:rPr>
          <w:rFonts w:hint="eastAsia" w:ascii="仿宋_GB2312" w:hAnsi="Times New Roman" w:eastAsia="仿宋_GB2312"/>
          <w:b w:val="0"/>
          <w:bCs w:val="0"/>
          <w:color w:val="000000"/>
          <w:spacing w:val="0"/>
          <w:sz w:val="32"/>
          <w:szCs w:val="32"/>
          <w:lang w:eastAsia="zh-CN"/>
        </w:rPr>
        <w:t>）</w:t>
      </w:r>
      <w:r>
        <w:rPr>
          <w:rFonts w:hint="eastAsia" w:ascii="仿宋_GB2312" w:hAnsi="Times New Roman" w:eastAsia="仿宋_GB2312"/>
          <w:b w:val="0"/>
          <w:bCs w:val="0"/>
          <w:color w:val="000000"/>
          <w:spacing w:val="0"/>
          <w:sz w:val="32"/>
          <w:szCs w:val="32"/>
        </w:rPr>
        <w:t>，负责项目建设至竣工交付期间的前介</w:t>
      </w:r>
      <w:r>
        <w:rPr>
          <w:rFonts w:hint="eastAsia" w:ascii="仿宋_GB2312" w:hAnsi="Times New Roman" w:eastAsia="仿宋_GB2312"/>
          <w:b w:val="0"/>
          <w:bCs w:val="0"/>
          <w:color w:val="000000"/>
          <w:spacing w:val="0"/>
          <w:sz w:val="32"/>
          <w:szCs w:val="32"/>
          <w:lang w:val="en-US" w:eastAsia="zh-CN"/>
        </w:rPr>
        <w:t>及筹备</w:t>
      </w:r>
      <w:r>
        <w:rPr>
          <w:rFonts w:hint="eastAsia" w:ascii="仿宋_GB2312" w:hAnsi="Times New Roman" w:eastAsia="仿宋_GB2312"/>
          <w:b w:val="0"/>
          <w:bCs w:val="0"/>
          <w:color w:val="000000"/>
          <w:spacing w:val="0"/>
          <w:sz w:val="32"/>
          <w:szCs w:val="32"/>
        </w:rPr>
        <w:t>服务，服务内容主要包括以下几个方面：</w:t>
      </w:r>
    </w:p>
    <w:p w14:paraId="7115010C">
      <w:pPr>
        <w:pStyle w:val="4"/>
        <w:keepNext w:val="0"/>
        <w:keepLines w:val="0"/>
        <w:pageBreakBefore w:val="0"/>
        <w:widowControl w:val="0"/>
        <w:numPr>
          <w:ilvl w:val="0"/>
          <w:numId w:val="5"/>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根据</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通知要求，不定期参加施工</w:t>
      </w:r>
      <w:r>
        <w:rPr>
          <w:rFonts w:hint="eastAsia" w:ascii="仿宋_GB2312" w:hAnsi="Times New Roman" w:eastAsia="仿宋_GB2312"/>
          <w:b w:val="0"/>
          <w:bCs w:val="0"/>
          <w:color w:val="000000"/>
          <w:spacing w:val="0"/>
          <w:sz w:val="32"/>
          <w:szCs w:val="32"/>
          <w:lang w:eastAsia="zh-CN"/>
        </w:rPr>
        <w:t>单位</w:t>
      </w:r>
      <w:r>
        <w:rPr>
          <w:rFonts w:hint="eastAsia" w:ascii="仿宋_GB2312" w:hAnsi="Times New Roman" w:eastAsia="仿宋_GB2312"/>
          <w:b w:val="0"/>
          <w:bCs w:val="0"/>
          <w:color w:val="000000"/>
          <w:spacing w:val="0"/>
          <w:sz w:val="32"/>
          <w:szCs w:val="32"/>
        </w:rPr>
        <w:t>或</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组织的相关工程会议，从管理和使用者的角度，对施工过程中出现的问题提出专业意见。</w:t>
      </w:r>
    </w:p>
    <w:p w14:paraId="1FE2EA48">
      <w:pPr>
        <w:pStyle w:val="4"/>
        <w:keepNext w:val="0"/>
        <w:keepLines w:val="0"/>
        <w:pageBreakBefore w:val="0"/>
        <w:widowControl w:val="0"/>
        <w:numPr>
          <w:ilvl w:val="0"/>
          <w:numId w:val="5"/>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从使用、维修、管理、安全、环保及保洁等角度，为项目建筑材料的定样定版向</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提供专业建议。</w:t>
      </w:r>
    </w:p>
    <w:p w14:paraId="31556AAD">
      <w:pPr>
        <w:pStyle w:val="4"/>
        <w:keepNext w:val="0"/>
        <w:keepLines w:val="0"/>
        <w:pageBreakBefore w:val="0"/>
        <w:widowControl w:val="0"/>
        <w:numPr>
          <w:ilvl w:val="0"/>
          <w:numId w:val="5"/>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根据</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需要，从管理和使用者的角度，对项目各专业的施工图与施工工艺进一步提出优化建议，包但不限于设备选型与安装，设备用房布局与建设，建筑设备能耗建议,停车场布局细化，弱电智能化系统施工、园林景观与夜景照明的选材与施工，标识设计与安装、公区装饰装修选材与施工等。</w:t>
      </w:r>
    </w:p>
    <w:p w14:paraId="74124ADF">
      <w:pPr>
        <w:pStyle w:val="4"/>
        <w:keepNext w:val="0"/>
        <w:keepLines w:val="0"/>
        <w:pageBreakBefore w:val="0"/>
        <w:widowControl w:val="0"/>
        <w:numPr>
          <w:ilvl w:val="0"/>
          <w:numId w:val="5"/>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配合参加施工</w:t>
      </w:r>
      <w:r>
        <w:rPr>
          <w:rFonts w:hint="eastAsia" w:ascii="仿宋_GB2312" w:hAnsi="Times New Roman" w:eastAsia="仿宋_GB2312"/>
          <w:b w:val="0"/>
          <w:bCs w:val="0"/>
          <w:color w:val="000000"/>
          <w:spacing w:val="0"/>
          <w:sz w:val="32"/>
          <w:szCs w:val="32"/>
          <w:lang w:eastAsia="zh-CN"/>
        </w:rPr>
        <w:t>单位</w:t>
      </w:r>
      <w:r>
        <w:rPr>
          <w:rFonts w:hint="eastAsia" w:ascii="仿宋_GB2312" w:hAnsi="Times New Roman" w:eastAsia="仿宋_GB2312"/>
          <w:b w:val="0"/>
          <w:bCs w:val="0"/>
          <w:color w:val="000000"/>
          <w:spacing w:val="0"/>
          <w:sz w:val="32"/>
          <w:szCs w:val="32"/>
        </w:rPr>
        <w:t>或</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组织的设备设施试运行及调试工作，收集数据，提交相关《**设备安装调试报告》。</w:t>
      </w:r>
    </w:p>
    <w:p w14:paraId="0EEC8E4B">
      <w:pPr>
        <w:pStyle w:val="2"/>
        <w:keepNext w:val="0"/>
        <w:keepLines w:val="0"/>
        <w:pageBreakBefore w:val="0"/>
        <w:widowControl w:val="0"/>
        <w:numPr>
          <w:ilvl w:val="0"/>
          <w:numId w:val="5"/>
        </w:numPr>
        <w:tabs>
          <w:tab w:val="left" w:pos="215"/>
        </w:tabs>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z w:val="32"/>
        </w:rPr>
      </w:pPr>
      <w:r>
        <w:rPr>
          <w:rFonts w:hint="eastAsia" w:ascii="仿宋_GB2312" w:hAnsi="Times New Roman" w:eastAsia="仿宋_GB2312"/>
          <w:b w:val="0"/>
          <w:bCs w:val="0"/>
          <w:color w:val="000000"/>
          <w:sz w:val="32"/>
        </w:rPr>
        <w:t>参加项目的建设工程竣工验收，配合建设</w:t>
      </w:r>
      <w:r>
        <w:rPr>
          <w:rFonts w:hint="eastAsia" w:ascii="仿宋_GB2312" w:hAnsi="Times New Roman" w:eastAsia="仿宋_GB2312"/>
          <w:b w:val="0"/>
          <w:bCs w:val="0"/>
          <w:color w:val="000000"/>
          <w:sz w:val="32"/>
          <w:lang w:eastAsia="zh-CN"/>
        </w:rPr>
        <w:t>单位</w:t>
      </w:r>
      <w:r>
        <w:rPr>
          <w:rFonts w:hint="eastAsia" w:ascii="仿宋_GB2312" w:hAnsi="Times New Roman" w:eastAsia="仿宋_GB2312"/>
          <w:b w:val="0"/>
          <w:bCs w:val="0"/>
          <w:color w:val="000000"/>
          <w:sz w:val="32"/>
        </w:rPr>
        <w:t>完成物业承接查验相关工作。</w:t>
      </w:r>
    </w:p>
    <w:p w14:paraId="7B79022B">
      <w:pPr>
        <w:pStyle w:val="2"/>
        <w:keepNext w:val="0"/>
        <w:keepLines w:val="0"/>
        <w:pageBreakBefore w:val="0"/>
        <w:widowControl w:val="0"/>
        <w:numPr>
          <w:ilvl w:val="0"/>
          <w:numId w:val="5"/>
        </w:numPr>
        <w:tabs>
          <w:tab w:val="left" w:pos="215"/>
        </w:tabs>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z w:val="32"/>
        </w:rPr>
      </w:pPr>
      <w:r>
        <w:rPr>
          <w:rFonts w:hint="eastAsia" w:ascii="仿宋_GB2312" w:hAnsi="Times New Roman" w:eastAsia="仿宋_GB2312"/>
          <w:b w:val="0"/>
          <w:bCs w:val="0"/>
          <w:color w:val="000000"/>
          <w:sz w:val="32"/>
        </w:rPr>
        <w:t>项目移交前的开荒清洁、绿化维护等工作。</w:t>
      </w:r>
    </w:p>
    <w:p w14:paraId="020C228E">
      <w:pPr>
        <w:pStyle w:val="2"/>
        <w:keepNext w:val="0"/>
        <w:keepLines w:val="0"/>
        <w:pageBreakBefore w:val="0"/>
        <w:widowControl w:val="0"/>
        <w:numPr>
          <w:ilvl w:val="0"/>
          <w:numId w:val="5"/>
        </w:numPr>
        <w:tabs>
          <w:tab w:val="left" w:pos="215"/>
        </w:tabs>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z w:val="32"/>
        </w:rPr>
      </w:pPr>
      <w:r>
        <w:rPr>
          <w:rFonts w:hint="eastAsia" w:ascii="仿宋_GB2312" w:hAnsi="Times New Roman" w:eastAsia="仿宋_GB2312"/>
          <w:b w:val="0"/>
          <w:bCs w:val="0"/>
          <w:color w:val="000000"/>
          <w:sz w:val="32"/>
        </w:rPr>
        <w:t>督促本项目总承包</w:t>
      </w:r>
      <w:r>
        <w:rPr>
          <w:rFonts w:hint="eastAsia" w:ascii="仿宋_GB2312" w:hAnsi="Times New Roman" w:eastAsia="仿宋_GB2312"/>
          <w:b w:val="0"/>
          <w:bCs w:val="0"/>
          <w:color w:val="000000"/>
          <w:sz w:val="32"/>
          <w:lang w:eastAsia="zh-CN"/>
        </w:rPr>
        <w:t>单位</w:t>
      </w:r>
      <w:r>
        <w:rPr>
          <w:rFonts w:hint="eastAsia" w:ascii="仿宋_GB2312" w:hAnsi="Times New Roman" w:eastAsia="仿宋_GB2312"/>
          <w:b w:val="0"/>
          <w:bCs w:val="0"/>
          <w:color w:val="000000"/>
          <w:sz w:val="32"/>
        </w:rPr>
        <w:t>移交相关档案资料：规划及建设管理资料、产权资料、建筑工程（含土建结构、钢结构及幕墙工程）竣工资料、共用设备及共用设施竣工资料等，建立项目管理台账。</w:t>
      </w:r>
    </w:p>
    <w:p w14:paraId="2385E5C5">
      <w:pPr>
        <w:pStyle w:val="2"/>
        <w:keepNext w:val="0"/>
        <w:keepLines w:val="0"/>
        <w:pageBreakBefore w:val="0"/>
        <w:widowControl w:val="0"/>
        <w:numPr>
          <w:ilvl w:val="0"/>
          <w:numId w:val="5"/>
        </w:numPr>
        <w:tabs>
          <w:tab w:val="left" w:pos="215"/>
        </w:tabs>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z w:val="32"/>
        </w:rPr>
      </w:pPr>
      <w:r>
        <w:rPr>
          <w:rFonts w:hint="eastAsia" w:ascii="仿宋_GB2312" w:hAnsi="Times New Roman" w:eastAsia="仿宋_GB2312"/>
          <w:b w:val="0"/>
          <w:bCs w:val="0"/>
          <w:color w:val="000000"/>
          <w:sz w:val="32"/>
        </w:rPr>
        <w:t>提出入伙建议，并协助开展入伙仪式、开业仪式等工作。</w:t>
      </w:r>
    </w:p>
    <w:p w14:paraId="778E040D">
      <w:pPr>
        <w:pStyle w:val="4"/>
        <w:keepNext w:val="0"/>
        <w:keepLines w:val="0"/>
        <w:pageBreakBefore w:val="0"/>
        <w:widowControl w:val="0"/>
        <w:numPr>
          <w:ilvl w:val="0"/>
          <w:numId w:val="4"/>
        </w:numPr>
        <w:kinsoku/>
        <w:wordWrap/>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物业管理日常服务</w:t>
      </w:r>
      <w:r>
        <w:rPr>
          <w:rFonts w:hint="eastAsia" w:ascii="仿宋_GB2312" w:hAnsi="仿宋_GB2312" w:eastAsia="仿宋_GB2312" w:cs="仿宋_GB2312"/>
          <w:b w:val="0"/>
          <w:bCs w:val="0"/>
          <w:color w:val="000000"/>
          <w:spacing w:val="0"/>
          <w:sz w:val="32"/>
          <w:szCs w:val="32"/>
          <w:lang w:val="en-US" w:eastAsia="zh-CN"/>
        </w:rPr>
        <w:t>期</w:t>
      </w:r>
    </w:p>
    <w:p w14:paraId="31932376">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物业管理区域范围内的综合管理；</w:t>
      </w:r>
    </w:p>
    <w:p w14:paraId="0BB36F11">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房屋建筑本体共用部位、共用设备、共用设施及配套服务设施的定期巡查、维修、养护和管理；</w:t>
      </w:r>
    </w:p>
    <w:p w14:paraId="6D1E5785">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安全防范及公共秩序的维护和管理；</w:t>
      </w:r>
    </w:p>
    <w:p w14:paraId="2DFE78AC">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交通秩序与车辆停放管理；</w:t>
      </w:r>
    </w:p>
    <w:p w14:paraId="2AE9E98F">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公共环境卫生管理；</w:t>
      </w:r>
    </w:p>
    <w:p w14:paraId="7181D312">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公共绿化管理；</w:t>
      </w:r>
    </w:p>
    <w:p w14:paraId="37A98B1B">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装饰装修管理服务；</w:t>
      </w:r>
    </w:p>
    <w:p w14:paraId="27B2CFC3">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电梯管理；</w:t>
      </w:r>
    </w:p>
    <w:p w14:paraId="2F5ED72F">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消防管理；</w:t>
      </w:r>
    </w:p>
    <w:p w14:paraId="593730DC">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社区文化娱乐活动；</w:t>
      </w:r>
    </w:p>
    <w:p w14:paraId="79987CE5">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物业服务档案管理；</w:t>
      </w:r>
    </w:p>
    <w:p w14:paraId="6B204A54">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设施设备保修期内相关服务；</w:t>
      </w:r>
    </w:p>
    <w:p w14:paraId="744B4DD0">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报修及投诉处理；</w:t>
      </w:r>
    </w:p>
    <w:p w14:paraId="0B8027CB">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按照规定全面落实安全生产责任；</w:t>
      </w:r>
    </w:p>
    <w:p w14:paraId="66EAEDFE">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配合</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将供水、排水、供电、供气、通讯等专营设施移交给相关专营</w:t>
      </w:r>
      <w:r>
        <w:rPr>
          <w:rFonts w:hint="eastAsia" w:ascii="仿宋_GB2312" w:hAnsi="Times New Roman" w:eastAsia="仿宋_GB2312"/>
          <w:b w:val="0"/>
          <w:bCs w:val="0"/>
          <w:color w:val="000000"/>
          <w:spacing w:val="0"/>
          <w:sz w:val="32"/>
          <w:szCs w:val="32"/>
          <w:lang w:eastAsia="zh-CN"/>
        </w:rPr>
        <w:t>单位</w:t>
      </w:r>
      <w:r>
        <w:rPr>
          <w:rFonts w:hint="eastAsia" w:ascii="仿宋_GB2312" w:hAnsi="Times New Roman" w:eastAsia="仿宋_GB2312"/>
          <w:b w:val="0"/>
          <w:bCs w:val="0"/>
          <w:color w:val="000000"/>
          <w:spacing w:val="0"/>
          <w:sz w:val="32"/>
          <w:szCs w:val="32"/>
        </w:rPr>
        <w:t>；</w:t>
      </w:r>
    </w:p>
    <w:p w14:paraId="4E856273">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配合供水、排水、供电、供气、通讯等相关专营</w:t>
      </w:r>
      <w:r>
        <w:rPr>
          <w:rFonts w:hint="eastAsia" w:ascii="仿宋_GB2312" w:hAnsi="Times New Roman" w:eastAsia="仿宋_GB2312"/>
          <w:b w:val="0"/>
          <w:bCs w:val="0"/>
          <w:color w:val="000000"/>
          <w:spacing w:val="0"/>
          <w:sz w:val="32"/>
          <w:szCs w:val="32"/>
          <w:lang w:eastAsia="zh-CN"/>
        </w:rPr>
        <w:t>单位</w:t>
      </w:r>
      <w:r>
        <w:rPr>
          <w:rFonts w:hint="eastAsia" w:ascii="仿宋_GB2312" w:hAnsi="Times New Roman" w:eastAsia="仿宋_GB2312"/>
          <w:b w:val="0"/>
          <w:bCs w:val="0"/>
          <w:color w:val="000000"/>
          <w:spacing w:val="0"/>
          <w:sz w:val="32"/>
          <w:szCs w:val="32"/>
        </w:rPr>
        <w:t>进行管理养护、改造相关设施设备或设置管线；</w:t>
      </w:r>
    </w:p>
    <w:p w14:paraId="0FC3A67E">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配合住建、城管、消防、公安、环保、水务等相关政府部门做好房屋安全、文明养宠、垃圾分类、消防、治安、公共卫生等事务；</w:t>
      </w:r>
    </w:p>
    <w:p w14:paraId="19E252EB">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法律、法规和政策规定由物业服务企业提供的其它物业服务事项；</w:t>
      </w:r>
    </w:p>
    <w:p w14:paraId="23FD5FE3">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积极配合</w:t>
      </w:r>
      <w:r>
        <w:rPr>
          <w:rFonts w:hint="eastAsia" w:ascii="仿宋_GB2312" w:hAnsi="Times New Roman" w:eastAsia="仿宋_GB2312"/>
          <w:b w:val="0"/>
          <w:bCs w:val="0"/>
          <w:color w:val="000000"/>
          <w:spacing w:val="0"/>
          <w:sz w:val="32"/>
          <w:szCs w:val="32"/>
          <w:lang w:eastAsia="zh-CN"/>
        </w:rPr>
        <w:t>罗山公司</w:t>
      </w:r>
      <w:r>
        <w:rPr>
          <w:rFonts w:hint="eastAsia" w:ascii="仿宋_GB2312" w:hAnsi="Times New Roman" w:eastAsia="仿宋_GB2312"/>
          <w:b w:val="0"/>
          <w:bCs w:val="0"/>
          <w:color w:val="000000"/>
          <w:spacing w:val="0"/>
          <w:sz w:val="32"/>
          <w:szCs w:val="32"/>
        </w:rPr>
        <w:t>开展项目各类参观、考察、接待等工作。</w:t>
      </w:r>
    </w:p>
    <w:p w14:paraId="7749D1D8">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协助做好项目配售工作。</w:t>
      </w:r>
    </w:p>
    <w:p w14:paraId="449C3186">
      <w:pPr>
        <w:pStyle w:val="4"/>
        <w:keepNext w:val="0"/>
        <w:keepLines w:val="0"/>
        <w:pageBreakBefore w:val="0"/>
        <w:widowControl w:val="0"/>
        <w:numPr>
          <w:ilvl w:val="0"/>
          <w:numId w:val="6"/>
        </w:numPr>
        <w:kinsoku/>
        <w:wordWrap/>
        <w:overflowPunct/>
        <w:topLinePunct w:val="0"/>
        <w:autoSpaceDE/>
        <w:autoSpaceDN/>
        <w:bidi w:val="0"/>
        <w:spacing w:line="560" w:lineRule="exact"/>
        <w:ind w:left="0" w:firstLine="640" w:firstLineChars="200"/>
        <w:jc w:val="both"/>
        <w:textAlignment w:val="auto"/>
        <w:rPr>
          <w:rFonts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各项费用的催收催缴工作。</w:t>
      </w:r>
    </w:p>
    <w:p w14:paraId="2FBAAA33">
      <w:pPr>
        <w:pStyle w:val="4"/>
        <w:keepNext w:val="0"/>
        <w:keepLines w:val="0"/>
        <w:pageBreakBefore w:val="0"/>
        <w:widowControl w:val="0"/>
        <w:numPr>
          <w:ilvl w:val="0"/>
          <w:numId w:val="4"/>
        </w:numPr>
        <w:kinsoku/>
        <w:wordWrap/>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b w:val="0"/>
          <w:bCs w:val="0"/>
          <w:color w:val="000000"/>
          <w:spacing w:val="0"/>
          <w:sz w:val="32"/>
          <w:szCs w:val="32"/>
        </w:rPr>
      </w:pPr>
      <w:r>
        <w:rPr>
          <w:rFonts w:hint="eastAsia" w:ascii="仿宋_GB2312" w:hAnsi="仿宋_GB2312" w:eastAsia="仿宋_GB2312" w:cs="仿宋_GB2312"/>
          <w:b w:val="0"/>
          <w:bCs w:val="0"/>
          <w:color w:val="000000"/>
          <w:spacing w:val="0"/>
          <w:sz w:val="32"/>
          <w:szCs w:val="32"/>
        </w:rPr>
        <w:t>其它服务事项</w:t>
      </w:r>
    </w:p>
    <w:p w14:paraId="420C399B">
      <w:pPr>
        <w:pStyle w:val="4"/>
        <w:keepNext w:val="0"/>
        <w:keepLines w:val="0"/>
        <w:pageBreakBefore w:val="0"/>
        <w:widowControl w:val="0"/>
        <w:numPr>
          <w:ilvl w:val="0"/>
          <w:numId w:val="7"/>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Times New Roman" w:eastAsia="仿宋_GB2312"/>
          <w:b w:val="0"/>
          <w:bCs w:val="0"/>
          <w:spacing w:val="0"/>
          <w:sz w:val="32"/>
          <w:szCs w:val="24"/>
        </w:rPr>
      </w:pPr>
      <w:r>
        <w:rPr>
          <w:rFonts w:hint="eastAsia" w:ascii="仿宋_GB2312" w:hAnsi="Times New Roman" w:eastAsia="仿宋_GB2312"/>
          <w:b w:val="0"/>
          <w:bCs w:val="0"/>
          <w:spacing w:val="0"/>
          <w:sz w:val="32"/>
          <w:szCs w:val="24"/>
          <w:lang w:eastAsia="zh-CN"/>
        </w:rPr>
        <w:t>中标方</w:t>
      </w:r>
      <w:r>
        <w:rPr>
          <w:rFonts w:hint="eastAsia" w:ascii="仿宋_GB2312" w:hAnsi="Times New Roman" w:eastAsia="仿宋_GB2312"/>
          <w:b w:val="0"/>
          <w:bCs w:val="0"/>
          <w:spacing w:val="0"/>
          <w:sz w:val="32"/>
          <w:szCs w:val="24"/>
        </w:rPr>
        <w:t>应结合项目定位、规划布局、建筑风格、硬件设施配置和</w:t>
      </w:r>
      <w:r>
        <w:rPr>
          <w:rFonts w:hint="eastAsia" w:ascii="仿宋_GB2312" w:hAnsi="Times New Roman" w:eastAsia="仿宋_GB2312"/>
          <w:b w:val="0"/>
          <w:bCs w:val="0"/>
          <w:spacing w:val="0"/>
          <w:sz w:val="32"/>
          <w:szCs w:val="24"/>
          <w:lang w:val="en-US" w:eastAsia="zh-CN"/>
        </w:rPr>
        <w:t>罗山公司</w:t>
      </w:r>
      <w:r>
        <w:rPr>
          <w:rFonts w:hint="eastAsia" w:ascii="仿宋_GB2312" w:hAnsi="Times New Roman" w:eastAsia="仿宋_GB2312"/>
          <w:b w:val="0"/>
          <w:bCs w:val="0"/>
          <w:spacing w:val="0"/>
          <w:sz w:val="32"/>
          <w:szCs w:val="24"/>
        </w:rPr>
        <w:t>背景与企业文化，在项目物管资金预算水平内，提出全面及高标准的物业管理服务整体设想、服务目标及具体措施，并针对以下方面分别制定具体方案</w:t>
      </w:r>
      <w:r>
        <w:rPr>
          <w:rFonts w:hint="default" w:ascii="仿宋_GB2312" w:hAnsi="Times New Roman" w:eastAsia="仿宋_GB2312"/>
          <w:b w:val="0"/>
          <w:bCs w:val="0"/>
          <w:spacing w:val="0"/>
          <w:sz w:val="32"/>
          <w:szCs w:val="24"/>
        </w:rPr>
        <w:t>并组织实施</w:t>
      </w:r>
      <w:r>
        <w:rPr>
          <w:rFonts w:hint="eastAsia" w:ascii="仿宋_GB2312" w:hAnsi="Times New Roman" w:eastAsia="仿宋_GB2312"/>
          <w:b w:val="0"/>
          <w:bCs w:val="0"/>
          <w:spacing w:val="0"/>
          <w:sz w:val="32"/>
          <w:szCs w:val="24"/>
        </w:rPr>
        <w:t>：项目承接查验服务方案，物资配备计划及方案，组织架构和人员配备方案、培训与管理，房屋及公建配套设施等物业维修、养护方案，机电设备等共用设备管理方案，公共秩序维护管理，环境卫生与绿化管理，社区文化和便民服务，管理规章制度和档案管理，应急预案及突发事件处理方案以及其他管理方案，包括但不限于验收移交后至入住前成品保护及空置房管理方案、二次装修管理方案、场地空间管理方案、能源管理（包括空调）方案、停车场（含充电桩）管理方案、服务创新及智慧化管理应用方案等。</w:t>
      </w:r>
    </w:p>
    <w:p w14:paraId="66C4B206">
      <w:pPr>
        <w:keepNext w:val="0"/>
        <w:keepLines w:val="0"/>
        <w:pageBreakBefore w:val="0"/>
        <w:widowControl w:val="0"/>
        <w:numPr>
          <w:ilvl w:val="0"/>
          <w:numId w:val="7"/>
        </w:numPr>
        <w:kinsoku/>
        <w:wordWrap/>
        <w:overflowPunct/>
        <w:topLinePunct w:val="0"/>
        <w:autoSpaceDE/>
        <w:autoSpaceDN/>
        <w:bidi w:val="0"/>
        <w:spacing w:line="560" w:lineRule="exact"/>
        <w:ind w:left="0" w:leftChars="0" w:firstLine="640" w:firstLineChars="200"/>
        <w:jc w:val="both"/>
        <w:textAlignment w:val="auto"/>
        <w:rPr>
          <w:rFonts w:hint="eastAsia" w:ascii="仿宋_GB2312" w:hAnsi="Times New Roman" w:eastAsia="仿宋_GB2312" w:cstheme="minorBidi"/>
          <w:b w:val="0"/>
          <w:bCs w:val="0"/>
          <w:spacing w:val="0"/>
          <w:kern w:val="2"/>
          <w:sz w:val="32"/>
          <w:szCs w:val="24"/>
          <w:lang w:val="en-US" w:eastAsia="zh-CN" w:bidi="ar-SA"/>
        </w:rPr>
      </w:pPr>
      <w:r>
        <w:rPr>
          <w:rFonts w:hint="eastAsia" w:ascii="仿宋_GB2312" w:hAnsi="Times New Roman" w:eastAsia="仿宋_GB2312" w:cstheme="minorBidi"/>
          <w:b w:val="0"/>
          <w:bCs w:val="0"/>
          <w:spacing w:val="0"/>
          <w:kern w:val="2"/>
          <w:sz w:val="32"/>
          <w:szCs w:val="24"/>
          <w:lang w:val="en-US" w:eastAsia="zh-CN" w:bidi="ar-SA"/>
        </w:rPr>
        <w:t>针对罗山公司</w:t>
      </w:r>
      <w:r>
        <w:rPr>
          <w:rFonts w:hint="default" w:ascii="仿宋_GB2312" w:hAnsi="Times New Roman" w:eastAsia="仿宋_GB2312" w:cstheme="minorBidi"/>
          <w:b w:val="0"/>
          <w:bCs w:val="0"/>
          <w:spacing w:val="0"/>
          <w:kern w:val="2"/>
          <w:sz w:val="32"/>
          <w:szCs w:val="24"/>
          <w:lang w:val="en-US" w:eastAsia="zh-CN" w:bidi="ar-SA"/>
        </w:rPr>
        <w:t>开发上线</w:t>
      </w:r>
      <w:r>
        <w:rPr>
          <w:rFonts w:hint="eastAsia" w:ascii="仿宋_GB2312" w:hAnsi="Times New Roman" w:eastAsia="仿宋_GB2312" w:cstheme="minorBidi"/>
          <w:b w:val="0"/>
          <w:bCs w:val="0"/>
          <w:spacing w:val="0"/>
          <w:kern w:val="2"/>
          <w:sz w:val="32"/>
          <w:szCs w:val="24"/>
          <w:lang w:val="en-US" w:eastAsia="zh-CN" w:bidi="ar-SA"/>
        </w:rPr>
        <w:t>的</w:t>
      </w:r>
      <w:r>
        <w:rPr>
          <w:rFonts w:hint="default" w:ascii="仿宋_GB2312" w:hAnsi="Times New Roman" w:eastAsia="仿宋_GB2312" w:cstheme="minorBidi"/>
          <w:b w:val="0"/>
          <w:bCs w:val="0"/>
          <w:spacing w:val="0"/>
          <w:kern w:val="2"/>
          <w:sz w:val="32"/>
          <w:szCs w:val="24"/>
          <w:lang w:val="en-US" w:eastAsia="zh-CN" w:bidi="ar-SA"/>
        </w:rPr>
        <w:t>智慧园区管理系统，</w:t>
      </w:r>
      <w:r>
        <w:rPr>
          <w:rFonts w:hint="eastAsia" w:ascii="仿宋_GB2312" w:hAnsi="Times New Roman" w:eastAsia="仿宋_GB2312" w:cstheme="minorBidi"/>
          <w:b w:val="0"/>
          <w:bCs w:val="0"/>
          <w:spacing w:val="0"/>
          <w:kern w:val="2"/>
          <w:sz w:val="32"/>
          <w:szCs w:val="24"/>
          <w:lang w:val="en-US" w:eastAsia="zh-CN" w:bidi="ar-SA"/>
        </w:rPr>
        <w:t>中标方</w:t>
      </w:r>
      <w:r>
        <w:rPr>
          <w:rFonts w:hint="default" w:ascii="仿宋_GB2312" w:hAnsi="Times New Roman" w:eastAsia="仿宋_GB2312" w:cstheme="minorBidi"/>
          <w:b w:val="0"/>
          <w:bCs w:val="0"/>
          <w:spacing w:val="0"/>
          <w:kern w:val="2"/>
          <w:sz w:val="32"/>
          <w:szCs w:val="24"/>
          <w:lang w:val="en-US" w:eastAsia="zh-CN" w:bidi="ar-SA"/>
        </w:rPr>
        <w:t>应按照</w:t>
      </w:r>
      <w:r>
        <w:rPr>
          <w:rFonts w:hint="eastAsia" w:ascii="仿宋_GB2312" w:hAnsi="Times New Roman" w:eastAsia="仿宋_GB2312" w:cstheme="minorBidi"/>
          <w:b w:val="0"/>
          <w:bCs w:val="0"/>
          <w:spacing w:val="0"/>
          <w:kern w:val="2"/>
          <w:sz w:val="32"/>
          <w:szCs w:val="24"/>
          <w:lang w:val="en-US" w:eastAsia="zh-CN" w:bidi="ar-SA"/>
        </w:rPr>
        <w:t>罗山公司</w:t>
      </w:r>
      <w:r>
        <w:rPr>
          <w:rFonts w:hint="default" w:ascii="仿宋_GB2312" w:hAnsi="Times New Roman" w:eastAsia="仿宋_GB2312" w:cstheme="minorBidi"/>
          <w:b w:val="0"/>
          <w:bCs w:val="0"/>
          <w:spacing w:val="0"/>
          <w:kern w:val="2"/>
          <w:sz w:val="32"/>
          <w:szCs w:val="24"/>
          <w:lang w:val="en-US" w:eastAsia="zh-CN" w:bidi="ar-SA"/>
        </w:rPr>
        <w:t>要求无条件配合推广使用，包括但不限于日常数据的录入、核对与维护，系统的全面应用等。</w:t>
      </w:r>
    </w:p>
    <w:p w14:paraId="0107AA51">
      <w:pPr>
        <w:pStyle w:val="5"/>
        <w:keepNext w:val="0"/>
        <w:keepLines w:val="0"/>
        <w:pageBreakBefore w:val="0"/>
        <w:widowControl w:val="0"/>
        <w:numPr>
          <w:ilvl w:val="0"/>
          <w:numId w:val="3"/>
        </w:numPr>
        <w:kinsoku/>
        <w:wordWrap/>
        <w:overflowPunct/>
        <w:topLinePunct w:val="0"/>
        <w:autoSpaceDE/>
        <w:autoSpaceDN/>
        <w:bidi w:val="0"/>
        <w:spacing w:line="560" w:lineRule="exact"/>
        <w:ind w:firstLine="420" w:firstLineChars="0"/>
        <w:jc w:val="both"/>
        <w:textAlignment w:val="auto"/>
        <w:rPr>
          <w:rFonts w:hint="eastAsia" w:ascii="仿宋_GB2312" w:hAnsi="Times New Roman" w:eastAsia="仿宋_GB2312" w:cstheme="minorBidi"/>
          <w:b w:val="0"/>
          <w:bCs w:val="0"/>
          <w:spacing w:val="0"/>
          <w:kern w:val="2"/>
          <w:sz w:val="32"/>
          <w:szCs w:val="24"/>
          <w:lang w:val="en-US" w:eastAsia="zh-CN" w:bidi="ar-SA"/>
        </w:rPr>
      </w:pPr>
      <w:r>
        <w:rPr>
          <w:rFonts w:hint="eastAsia" w:ascii="仿宋_GB2312" w:hAnsi="Times New Roman" w:eastAsia="仿宋_GB2312" w:cstheme="minorBidi"/>
          <w:b w:val="0"/>
          <w:bCs w:val="0"/>
          <w:spacing w:val="0"/>
          <w:kern w:val="2"/>
          <w:sz w:val="32"/>
          <w:szCs w:val="24"/>
          <w:lang w:val="en-US" w:eastAsia="zh-CN" w:bidi="ar-SA"/>
        </w:rPr>
        <w:t>物业服务标准及要求</w:t>
      </w:r>
    </w:p>
    <w:p w14:paraId="64BD85A1">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eastAsia="楷体_GB2312"/>
          <w:b w:val="0"/>
          <w:bCs w:val="0"/>
          <w:sz w:val="32"/>
          <w:lang w:val="en-US" w:eastAsia="zh-CN"/>
        </w:rPr>
      </w:pPr>
      <w:r>
        <w:rPr>
          <w:rFonts w:hint="eastAsia" w:ascii="楷体_GB2312" w:eastAsia="楷体_GB2312"/>
          <w:b w:val="0"/>
          <w:bCs w:val="0"/>
          <w:sz w:val="32"/>
          <w:lang w:val="en-US" w:eastAsia="zh-CN"/>
        </w:rPr>
        <w:t>房屋管理</w:t>
      </w:r>
    </w:p>
    <w:p w14:paraId="1646C7A2">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项目的栋号、楼层、房号、公共配套设施、场地标志明显，大堂内布置合理并设立引路方向平面图，入驻大厦各</w:t>
      </w:r>
      <w:r>
        <w:rPr>
          <w:rFonts w:hint="eastAsia" w:ascii="仿宋_GB2312" w:eastAsia="仿宋_GB2312"/>
          <w:b w:val="0"/>
          <w:bCs w:val="0"/>
          <w:sz w:val="32"/>
          <w:lang w:eastAsia="zh-CN"/>
        </w:rPr>
        <w:t>单位</w:t>
      </w:r>
      <w:r>
        <w:rPr>
          <w:rFonts w:hint="eastAsia" w:ascii="仿宋_GB2312" w:eastAsia="仿宋_GB2312"/>
          <w:b w:val="0"/>
          <w:bCs w:val="0"/>
          <w:sz w:val="32"/>
        </w:rPr>
        <w:t>名录标识在大堂内显著位置。</w:t>
      </w:r>
    </w:p>
    <w:p w14:paraId="7360C959">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对违反规划私搭乱建和擅自改变房屋用途的行为及时劝阻，并报告业主和有关主管部门。</w:t>
      </w:r>
    </w:p>
    <w:p w14:paraId="50CF02D0">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项目外观整洁；外墙玻璃幕墙清洁明亮；外墙涂料无污渍；无纸张乱贴、乱涂、乱画和乱悬挂现象。</w:t>
      </w:r>
    </w:p>
    <w:p w14:paraId="2452F627">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室内外招牌、广告牌（如有）等按规定设置，保持整洁统一美观，无安全隐患，有破损及时修复。</w:t>
      </w:r>
    </w:p>
    <w:p w14:paraId="5BD643C6">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加装空调位置协调统一（如有），做好防震动、防噪音措施。</w:t>
      </w:r>
    </w:p>
    <w:p w14:paraId="204D907E">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根据实际使用年限，定期检查共用部位的使用状况，及时编制维修计划和资金使用计划，并组织维修。</w:t>
      </w:r>
    </w:p>
    <w:p w14:paraId="3554E410">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每日巡查楼梯通道以及其他共用部位的门窗、玻璃等，做好巡查记录，并及时维修养护。</w:t>
      </w:r>
    </w:p>
    <w:p w14:paraId="78B0A8CB">
      <w:pPr>
        <w:keepNext w:val="0"/>
        <w:keepLines w:val="0"/>
        <w:pageBreakBefore w:val="0"/>
        <w:widowControl w:val="0"/>
        <w:numPr>
          <w:ilvl w:val="0"/>
          <w:numId w:val="9"/>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按照装饰装修管理有关规定和用户公约（用户临时公约）要求，建立完善的装饰装修管理制度。装修前，依规定审核用户（使用人）的装修方案，告知装修人有关装饰装修的禁止行为和注意事项。每日巡查装修施工现场，发现有影响房屋外观、危及房屋结构安全及拆改共用管线损害公共利益现象的应及时劝阻，并报告业主和有关主管部门。</w:t>
      </w:r>
    </w:p>
    <w:p w14:paraId="3F9BB800">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eastAsia="楷体_GB2312"/>
          <w:b w:val="0"/>
          <w:bCs w:val="0"/>
          <w:sz w:val="32"/>
        </w:rPr>
      </w:pPr>
      <w:r>
        <w:rPr>
          <w:rFonts w:hint="eastAsia" w:ascii="楷体_GB2312" w:eastAsia="楷体_GB2312"/>
          <w:b w:val="0"/>
          <w:bCs w:val="0"/>
          <w:sz w:val="32"/>
        </w:rPr>
        <w:t>设备、设施管理</w:t>
      </w:r>
    </w:p>
    <w:p w14:paraId="13CB41B8">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综合要求</w:t>
      </w:r>
    </w:p>
    <w:p w14:paraId="003F1CEF">
      <w:pPr>
        <w:keepNext w:val="0"/>
        <w:keepLines w:val="0"/>
        <w:pageBreakBefore w:val="0"/>
        <w:widowControl w:val="0"/>
        <w:numPr>
          <w:ilvl w:val="0"/>
          <w:numId w:val="1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对共用设备进行日常管理和维修养护（依法应由专业部门负责的除外）。</w:t>
      </w:r>
    </w:p>
    <w:p w14:paraId="1A93E33F">
      <w:pPr>
        <w:keepNext w:val="0"/>
        <w:keepLines w:val="0"/>
        <w:pageBreakBefore w:val="0"/>
        <w:widowControl w:val="0"/>
        <w:numPr>
          <w:ilvl w:val="0"/>
          <w:numId w:val="1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建立共用设备档案（设备</w:t>
      </w:r>
      <w:r>
        <w:rPr>
          <w:rFonts w:hint="eastAsia" w:ascii="仿宋_GB2312" w:eastAsia="仿宋_GB2312"/>
          <w:b w:val="0"/>
          <w:bCs w:val="0"/>
          <w:sz w:val="32"/>
          <w:lang w:val="en-US" w:eastAsia="zh-CN"/>
        </w:rPr>
        <w:t>台账</w:t>
      </w:r>
      <w:r>
        <w:rPr>
          <w:rFonts w:hint="eastAsia" w:ascii="仿宋_GB2312" w:eastAsia="仿宋_GB2312"/>
          <w:b w:val="0"/>
          <w:bCs w:val="0"/>
          <w:sz w:val="32"/>
        </w:rPr>
        <w:t>），制订设备安全运行、岗位责任制、定期巡回检查、维护保养、运行记录管理、维修档案等管理制度，并严格执行，记录保存齐全。</w:t>
      </w:r>
    </w:p>
    <w:p w14:paraId="0BCD98B5">
      <w:pPr>
        <w:keepNext w:val="0"/>
        <w:keepLines w:val="0"/>
        <w:pageBreakBefore w:val="0"/>
        <w:widowControl w:val="0"/>
        <w:numPr>
          <w:ilvl w:val="0"/>
          <w:numId w:val="1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设备及机房环境整洁、通风，无杂物，无跑、冒、滴、漏、灰尘，无鼠、虫害发生，机房环境符合设备工作。</w:t>
      </w:r>
    </w:p>
    <w:p w14:paraId="6D86DFDB">
      <w:pPr>
        <w:keepNext w:val="0"/>
        <w:keepLines w:val="0"/>
        <w:pageBreakBefore w:val="0"/>
        <w:widowControl w:val="0"/>
        <w:numPr>
          <w:ilvl w:val="0"/>
          <w:numId w:val="1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设备标志齐全、规范，责任人明确；专业技术人员持证上岗，操作维护人员严格执行设备操作规程及保养规范；设备良好，运行正常，无重大管理责任事故。</w:t>
      </w:r>
    </w:p>
    <w:p w14:paraId="2818EFA9">
      <w:pPr>
        <w:keepNext w:val="0"/>
        <w:keepLines w:val="0"/>
        <w:pageBreakBefore w:val="0"/>
        <w:widowControl w:val="0"/>
        <w:numPr>
          <w:ilvl w:val="0"/>
          <w:numId w:val="1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对共用设备、设施制定巡查、维修、保养计划，并</w:t>
      </w:r>
      <w:bookmarkStart w:id="1" w:name="_GoBack"/>
      <w:bookmarkEnd w:id="1"/>
      <w:r>
        <w:rPr>
          <w:rFonts w:hint="eastAsia" w:ascii="仿宋_GB2312" w:eastAsia="仿宋_GB2312"/>
          <w:b w:val="0"/>
          <w:bCs w:val="0"/>
          <w:sz w:val="32"/>
        </w:rPr>
        <w:t>按计划实施，检修记录和保养记录齐全；及时编制维修、更新改造计划和资金使用计划，并组织维修或者更新改造。</w:t>
      </w:r>
    </w:p>
    <w:p w14:paraId="5F915460">
      <w:pPr>
        <w:keepNext w:val="0"/>
        <w:keepLines w:val="0"/>
        <w:pageBreakBefore w:val="0"/>
        <w:widowControl w:val="0"/>
        <w:numPr>
          <w:ilvl w:val="0"/>
          <w:numId w:val="1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容易危及人身安全的设施设备有明显警示标志和防范措施；对可能发生的各种突发设备故障有应急方案。</w:t>
      </w:r>
    </w:p>
    <w:p w14:paraId="79A12D55">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供电系统</w:t>
      </w:r>
    </w:p>
    <w:p w14:paraId="00777106">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建立和完善有关规章制度，包括电气设备运行操作规程、安全操作规程、事故处理规程、巡视检查制度、维护制度、安全及交接班制度；值班人员具备变配电运行知识和技能，具备上岗资格，持有上岗证书。</w:t>
      </w:r>
    </w:p>
    <w:p w14:paraId="435F84A6">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每日检查1次变压器电压、电流互感器、断路器、隔离开关、熔断器、补偿电容、避雷器、配电箱、导线等供配电系统的运行状况，并定时抄表做好记录，出现异常及时处理。</w:t>
      </w:r>
    </w:p>
    <w:p w14:paraId="462E6DB5">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每年必须由专业人员对高低压变配电系统进行一次全面检修工作，确保供电系统工作正常，无安全隐患。</w:t>
      </w:r>
    </w:p>
    <w:p w14:paraId="2725DF43">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保证正常供电，限电、停电有明确的审批权限并按规定时间通知用户。</w:t>
      </w:r>
    </w:p>
    <w:p w14:paraId="48498276">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每年检测防雷接地电阻1次；每年检测1次配电房主要电器设备的绝缘强度；每年检测1次配电房内消防器材，保持消防器材完好；妥善保管高压操作工具，并每年送供电部门检测1次。</w:t>
      </w:r>
    </w:p>
    <w:p w14:paraId="756C78BD">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 xml:space="preserve">做好配电房“五防”措施，潮湿天气时，采用安全有效措施，保持配电房内主要电器设备干燥；确保配电房内无蛙、鼠、蚁等虫害，如发现马上采取措施杜绝。 </w:t>
      </w:r>
    </w:p>
    <w:p w14:paraId="7A259311">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每日填写运行记录，建档备查。</w:t>
      </w:r>
    </w:p>
    <w:p w14:paraId="15557EA3">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项目现有电气线路设计、功能、控制方式不得更改，加强企业日常安全用电管理及装修监管，存在违规用电或更改线路的情况，视情况要求企业立即整改或离场时恢复原貌。</w:t>
      </w:r>
    </w:p>
    <w:p w14:paraId="4D0A093B">
      <w:pPr>
        <w:keepNext w:val="0"/>
        <w:keepLines w:val="0"/>
        <w:pageBreakBefore w:val="0"/>
        <w:widowControl w:val="0"/>
        <w:numPr>
          <w:ilvl w:val="0"/>
          <w:numId w:val="1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有公共用电的用电分析，有节电措施并严格实施，制订临时用电管理措施与停电应急处理措施并严格执行。</w:t>
      </w:r>
    </w:p>
    <w:p w14:paraId="6CE0167F">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弱电系统</w:t>
      </w:r>
    </w:p>
    <w:p w14:paraId="64CB2B5D">
      <w:pPr>
        <w:keepNext w:val="0"/>
        <w:keepLines w:val="0"/>
        <w:pageBreakBefore w:val="0"/>
        <w:widowControl w:val="0"/>
        <w:numPr>
          <w:ilvl w:val="0"/>
          <w:numId w:val="13"/>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按工作标准规定时间排除故障，保证弱电系统正常工作。</w:t>
      </w:r>
    </w:p>
    <w:p w14:paraId="6961C2A6">
      <w:pPr>
        <w:keepNext w:val="0"/>
        <w:keepLines w:val="0"/>
        <w:pageBreakBefore w:val="0"/>
        <w:widowControl w:val="0"/>
        <w:numPr>
          <w:ilvl w:val="0"/>
          <w:numId w:val="13"/>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停车场系统、监控系统等智能化设施设备运行正常，定期巡查、有记录并按规定期限保存。</w:t>
      </w:r>
    </w:p>
    <w:p w14:paraId="20B40AF3">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消防系统</w:t>
      </w:r>
    </w:p>
    <w:p w14:paraId="02D059E0">
      <w:pPr>
        <w:keepNext w:val="0"/>
        <w:keepLines w:val="0"/>
        <w:pageBreakBefore w:val="0"/>
        <w:widowControl w:val="0"/>
        <w:numPr>
          <w:ilvl w:val="0"/>
          <w:numId w:val="14"/>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消防控制中心24小时值班，建立日常安全检查、巡视制度，发现问题及时处理或上报相关部门。</w:t>
      </w:r>
    </w:p>
    <w:p w14:paraId="0B816C2F">
      <w:pPr>
        <w:keepNext w:val="0"/>
        <w:keepLines w:val="0"/>
        <w:pageBreakBefore w:val="0"/>
        <w:widowControl w:val="0"/>
        <w:numPr>
          <w:ilvl w:val="0"/>
          <w:numId w:val="14"/>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消防管理人员掌握消防设施设备的使用方法及流程。</w:t>
      </w:r>
    </w:p>
    <w:p w14:paraId="5078F0DD">
      <w:pPr>
        <w:keepNext w:val="0"/>
        <w:keepLines w:val="0"/>
        <w:pageBreakBefore w:val="0"/>
        <w:widowControl w:val="0"/>
        <w:numPr>
          <w:ilvl w:val="0"/>
          <w:numId w:val="14"/>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组织开展</w:t>
      </w:r>
      <w:r>
        <w:rPr>
          <w:rFonts w:hint="eastAsia" w:ascii="仿宋_GB2312" w:eastAsia="仿宋_GB2312"/>
          <w:b w:val="0"/>
          <w:bCs w:val="0"/>
          <w:sz w:val="32"/>
          <w:lang w:eastAsia="zh-CN"/>
        </w:rPr>
        <w:t>消防法</w:t>
      </w:r>
      <w:r>
        <w:rPr>
          <w:rFonts w:hint="eastAsia" w:ascii="仿宋_GB2312" w:eastAsia="仿宋_GB2312"/>
          <w:b w:val="0"/>
          <w:bCs w:val="0"/>
          <w:sz w:val="32"/>
        </w:rPr>
        <w:t>规及消防知识的宣传教育，明确各区域防火责任人。</w:t>
      </w:r>
    </w:p>
    <w:p w14:paraId="1BDCB832">
      <w:pPr>
        <w:keepNext w:val="0"/>
        <w:keepLines w:val="0"/>
        <w:pageBreakBefore w:val="0"/>
        <w:widowControl w:val="0"/>
        <w:numPr>
          <w:ilvl w:val="0"/>
          <w:numId w:val="14"/>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制定突发火灾的应急方案，设立消防疏散示意图，照明设施、引路标志完好，紧急疏散通道畅通。</w:t>
      </w:r>
    </w:p>
    <w:p w14:paraId="69CCDA7D">
      <w:pPr>
        <w:keepNext w:val="0"/>
        <w:keepLines w:val="0"/>
        <w:pageBreakBefore w:val="0"/>
        <w:widowControl w:val="0"/>
        <w:numPr>
          <w:ilvl w:val="0"/>
          <w:numId w:val="14"/>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需聘请符合资质的消防维保</w:t>
      </w:r>
      <w:r>
        <w:rPr>
          <w:rFonts w:hint="eastAsia" w:ascii="仿宋_GB2312" w:eastAsia="仿宋_GB2312"/>
          <w:b w:val="0"/>
          <w:bCs w:val="0"/>
          <w:sz w:val="32"/>
          <w:lang w:eastAsia="zh-CN"/>
        </w:rPr>
        <w:t>单位</w:t>
      </w:r>
      <w:r>
        <w:rPr>
          <w:rFonts w:hint="eastAsia" w:ascii="仿宋_GB2312" w:eastAsia="仿宋_GB2312"/>
          <w:b w:val="0"/>
          <w:bCs w:val="0"/>
          <w:sz w:val="32"/>
        </w:rPr>
        <w:t>对消防系统进行维护保养。</w:t>
      </w:r>
    </w:p>
    <w:p w14:paraId="583F764B">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电梯系统</w:t>
      </w:r>
    </w:p>
    <w:p w14:paraId="3FE690FA">
      <w:pPr>
        <w:keepNext w:val="0"/>
        <w:keepLines w:val="0"/>
        <w:pageBreakBefore w:val="0"/>
        <w:widowControl w:val="0"/>
        <w:numPr>
          <w:ilvl w:val="0"/>
          <w:numId w:val="15"/>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有严密的电梯安全运行和维保规章制度，并且能够保障落实到位。梯准用证、年检合格证、维修保养合同、保险完备。维修保养、巡检记录统一归档、资料保存完整。电梯技术相关文件、资料保存完整。</w:t>
      </w:r>
    </w:p>
    <w:p w14:paraId="28FF988A">
      <w:pPr>
        <w:keepNext w:val="0"/>
        <w:keepLines w:val="0"/>
        <w:pageBreakBefore w:val="0"/>
        <w:widowControl w:val="0"/>
        <w:numPr>
          <w:ilvl w:val="0"/>
          <w:numId w:val="15"/>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电梯按规定或约定时间运行，安全设施齐全，通风、照明及附属设施完好，轿厢、井道、机房保持清洁。</w:t>
      </w:r>
    </w:p>
    <w:p w14:paraId="219F9691">
      <w:pPr>
        <w:keepNext w:val="0"/>
        <w:keepLines w:val="0"/>
        <w:pageBreakBefore w:val="0"/>
        <w:widowControl w:val="0"/>
        <w:numPr>
          <w:ilvl w:val="0"/>
          <w:numId w:val="15"/>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电梯由专业维保公司维修保养，维修、保养人员持证上岗。</w:t>
      </w:r>
    </w:p>
    <w:p w14:paraId="327DB002">
      <w:pPr>
        <w:keepNext w:val="0"/>
        <w:keepLines w:val="0"/>
        <w:pageBreakBefore w:val="0"/>
        <w:widowControl w:val="0"/>
        <w:numPr>
          <w:ilvl w:val="0"/>
          <w:numId w:val="15"/>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有完善的电梯故障、困人应急预案。如发生困梯等电梯故障后，维修人员必须在5分钟内到达现场，每年每部电梯故障的次数不超过1次，滑梯、冲顶等严重的电梯事故发生率为0，无电梯安全责任事故。</w:t>
      </w:r>
    </w:p>
    <w:p w14:paraId="0B1B8DDC">
      <w:pPr>
        <w:keepNext w:val="0"/>
        <w:keepLines w:val="0"/>
        <w:pageBreakBefore w:val="0"/>
        <w:widowControl w:val="0"/>
        <w:numPr>
          <w:ilvl w:val="0"/>
          <w:numId w:val="15"/>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除维修、保养情况之外，载人电梯24小时正常运行。</w:t>
      </w:r>
    </w:p>
    <w:p w14:paraId="4C73456D">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给排水系统</w:t>
      </w:r>
    </w:p>
    <w:p w14:paraId="0FBAE26D">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建立用水、供水管理制度，积极协助用户安排合理的用水和节水计划。</w:t>
      </w:r>
    </w:p>
    <w:p w14:paraId="358B769F">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设备、阀门、管道工作无常，无跑、冒、滴、漏。</w:t>
      </w:r>
    </w:p>
    <w:p w14:paraId="36787FFF">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按规定每年不低于两次，由专业公司对二次供水蓄水池设施设备进行清洁、消毒；由深圳市水质检测中心出具二次供水卫生合格证、操作人员健康证、水质化验单齐全；水池、水箱清洁卫生，无二次污染。</w:t>
      </w:r>
    </w:p>
    <w:p w14:paraId="17AEA676">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水泵、水池、水箱有严格的管理措施，水池、水箱周围无污染隐患。</w:t>
      </w:r>
    </w:p>
    <w:p w14:paraId="4D4285A0">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限水、停水按规定时间通知住用户。</w:t>
      </w:r>
    </w:p>
    <w:p w14:paraId="5BE4FE6E">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排水系统通畅，汛期道路无积水，地下室、车库、设备房无积水、浸泡发生。</w:t>
      </w:r>
    </w:p>
    <w:p w14:paraId="340954D2">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遇有事故，维修人员在规定时间内进行抢修，无大面积跑水、泛水、长时间停水现象。</w:t>
      </w:r>
    </w:p>
    <w:p w14:paraId="0346C628">
      <w:pPr>
        <w:keepNext w:val="0"/>
        <w:keepLines w:val="0"/>
        <w:pageBreakBefore w:val="0"/>
        <w:widowControl w:val="0"/>
        <w:numPr>
          <w:ilvl w:val="0"/>
          <w:numId w:val="16"/>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制定事故应急处理方案。</w:t>
      </w:r>
    </w:p>
    <w:p w14:paraId="43C85AD4">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空调设备</w:t>
      </w:r>
    </w:p>
    <w:p w14:paraId="4CBCFCDB">
      <w:pPr>
        <w:keepNext w:val="0"/>
        <w:keepLines w:val="0"/>
        <w:pageBreakBefore w:val="0"/>
        <w:widowControl w:val="0"/>
        <w:numPr>
          <w:ilvl w:val="0"/>
          <w:numId w:val="17"/>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对设备进行维护，保证设备正常使用，制订空调发生故障应急处理方案。</w:t>
      </w:r>
    </w:p>
    <w:p w14:paraId="0C33B717">
      <w:pPr>
        <w:keepNext w:val="0"/>
        <w:keepLines w:val="0"/>
        <w:pageBreakBefore w:val="0"/>
        <w:widowControl w:val="0"/>
        <w:numPr>
          <w:ilvl w:val="0"/>
          <w:numId w:val="17"/>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每年不少于一次清洗空调滤网，清洁出风口，检查排水管是否畅通。</w:t>
      </w:r>
    </w:p>
    <w:p w14:paraId="3AC9A438">
      <w:pPr>
        <w:keepNext w:val="0"/>
        <w:keepLines w:val="0"/>
        <w:pageBreakBefore w:val="0"/>
        <w:widowControl w:val="0"/>
        <w:numPr>
          <w:ilvl w:val="0"/>
          <w:numId w:val="17"/>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每季度检测机组运行情况，检查供电线路是否正常。</w:t>
      </w:r>
    </w:p>
    <w:p w14:paraId="7A0342A9">
      <w:pPr>
        <w:keepNext w:val="0"/>
        <w:keepLines w:val="0"/>
        <w:pageBreakBefore w:val="0"/>
        <w:widowControl w:val="0"/>
        <w:numPr>
          <w:ilvl w:val="0"/>
          <w:numId w:val="17"/>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每次维保填写设备状况及维修清洗记录表。</w:t>
      </w:r>
    </w:p>
    <w:p w14:paraId="36BB6BA3">
      <w:pPr>
        <w:keepNext w:val="0"/>
        <w:keepLines w:val="0"/>
        <w:pageBreakBefore w:val="0"/>
        <w:widowControl w:val="0"/>
        <w:numPr>
          <w:ilvl w:val="0"/>
          <w:numId w:val="10"/>
        </w:numPr>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共用设施管理</w:t>
      </w:r>
    </w:p>
    <w:p w14:paraId="47FD1C20">
      <w:pPr>
        <w:keepNext w:val="0"/>
        <w:keepLines w:val="0"/>
        <w:pageBreakBefore w:val="0"/>
        <w:widowControl w:val="0"/>
        <w:numPr>
          <w:ilvl w:val="0"/>
          <w:numId w:val="18"/>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对共用配套服务设施进行日常管理和维修养护，确保共用设施完好，运行正常、无随意改变用途。</w:t>
      </w:r>
    </w:p>
    <w:p w14:paraId="1BB8CF53">
      <w:pPr>
        <w:keepNext w:val="0"/>
        <w:keepLines w:val="0"/>
        <w:pageBreakBefore w:val="0"/>
        <w:widowControl w:val="0"/>
        <w:numPr>
          <w:ilvl w:val="0"/>
          <w:numId w:val="18"/>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道路、楼道、大堂等公共照明及其配套设备完好，路灯、楼道灯完好率不低于95％，消防通道整洁、畅通。</w:t>
      </w:r>
    </w:p>
    <w:p w14:paraId="49CDC589">
      <w:pPr>
        <w:keepNext w:val="0"/>
        <w:keepLines w:val="0"/>
        <w:pageBreakBefore w:val="0"/>
        <w:widowControl w:val="0"/>
        <w:numPr>
          <w:ilvl w:val="0"/>
          <w:numId w:val="18"/>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公共区域道路平整，道路及停车场交通标志齐全、规范。</w:t>
      </w:r>
    </w:p>
    <w:p w14:paraId="1BE95EB4">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安保管理</w:t>
      </w:r>
    </w:p>
    <w:p w14:paraId="2C92F550">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园区主出入口24小时站岗值勤。</w:t>
      </w:r>
    </w:p>
    <w:p w14:paraId="581F283E">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专业保安队伍，实行24小时值班及巡逻制度；保安人员熟悉园区环境，文明值勤，训练有素，言语规范，认真负责。</w:t>
      </w:r>
    </w:p>
    <w:p w14:paraId="197FFBD5">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对重点区域、重点部位每2小时至少巡查1次；配有安全监控设施的，实施24小时监控。</w:t>
      </w:r>
    </w:p>
    <w:p w14:paraId="32AA3815">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结合项目特点和周围环境，制订安全防范措施，健全安全管理制度。</w:t>
      </w:r>
    </w:p>
    <w:p w14:paraId="38B5101D">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对进出园区的装修等劳务人员实行临时出入证管理。</w:t>
      </w:r>
    </w:p>
    <w:p w14:paraId="473C2E2F">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对火灾、治安、公共卫生等突发事件有应急预案，突发事件接报后5分钟内赶到现场，按流程及时通知或协调相关部门处理。</w:t>
      </w:r>
    </w:p>
    <w:p w14:paraId="6506FB3C">
      <w:pPr>
        <w:keepNext w:val="0"/>
        <w:keepLines w:val="0"/>
        <w:pageBreakBefore w:val="0"/>
        <w:widowControl w:val="0"/>
        <w:numPr>
          <w:ilvl w:val="0"/>
          <w:numId w:val="19"/>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配合</w:t>
      </w:r>
      <w:r>
        <w:rPr>
          <w:rFonts w:hint="eastAsia" w:ascii="仿宋_GB2312" w:eastAsia="仿宋_GB2312"/>
          <w:b w:val="0"/>
          <w:bCs w:val="0"/>
          <w:sz w:val="32"/>
          <w:lang w:eastAsia="zh-CN"/>
        </w:rPr>
        <w:t>罗山公司</w:t>
      </w:r>
      <w:r>
        <w:rPr>
          <w:rFonts w:hint="eastAsia" w:ascii="仿宋_GB2312" w:eastAsia="仿宋_GB2312"/>
          <w:b w:val="0"/>
          <w:bCs w:val="0"/>
          <w:sz w:val="32"/>
        </w:rPr>
        <w:t>及</w:t>
      </w:r>
      <w:r>
        <w:rPr>
          <w:rFonts w:hint="eastAsia" w:ascii="仿宋_GB2312" w:eastAsia="仿宋_GB2312"/>
          <w:b w:val="0"/>
          <w:bCs w:val="0"/>
          <w:sz w:val="32"/>
          <w:lang w:eastAsia="zh-CN"/>
        </w:rPr>
        <w:t>罗山公司</w:t>
      </w:r>
      <w:r>
        <w:rPr>
          <w:rFonts w:hint="eastAsia" w:ascii="仿宋_GB2312" w:eastAsia="仿宋_GB2312"/>
          <w:b w:val="0"/>
          <w:bCs w:val="0"/>
          <w:sz w:val="32"/>
        </w:rPr>
        <w:t>上级</w:t>
      </w:r>
      <w:r>
        <w:rPr>
          <w:rFonts w:hint="eastAsia" w:ascii="仿宋_GB2312" w:eastAsia="仿宋_GB2312"/>
          <w:b w:val="0"/>
          <w:bCs w:val="0"/>
          <w:sz w:val="32"/>
          <w:lang w:eastAsia="zh-CN"/>
        </w:rPr>
        <w:t>单位</w:t>
      </w:r>
      <w:r>
        <w:rPr>
          <w:rFonts w:hint="eastAsia" w:ascii="仿宋_GB2312" w:eastAsia="仿宋_GB2312"/>
          <w:b w:val="0"/>
          <w:bCs w:val="0"/>
          <w:sz w:val="32"/>
        </w:rPr>
        <w:t>等组织的第三方物业服务监管及质量、安全检查，按照监管及检查要求提升服务质量，确保在</w:t>
      </w:r>
      <w:r>
        <w:rPr>
          <w:rFonts w:hint="eastAsia" w:ascii="仿宋_GB2312" w:eastAsia="仿宋_GB2312"/>
          <w:b w:val="0"/>
          <w:bCs w:val="0"/>
          <w:sz w:val="32"/>
          <w:lang w:eastAsia="zh-CN"/>
        </w:rPr>
        <w:t>罗山公司</w:t>
      </w:r>
      <w:r>
        <w:rPr>
          <w:rFonts w:hint="eastAsia" w:ascii="仿宋_GB2312" w:eastAsia="仿宋_GB2312"/>
          <w:b w:val="0"/>
          <w:bCs w:val="0"/>
          <w:sz w:val="32"/>
        </w:rPr>
        <w:t>上级</w:t>
      </w:r>
      <w:r>
        <w:rPr>
          <w:rFonts w:hint="eastAsia" w:ascii="仿宋_GB2312" w:eastAsia="仿宋_GB2312"/>
          <w:b w:val="0"/>
          <w:bCs w:val="0"/>
          <w:sz w:val="32"/>
          <w:lang w:eastAsia="zh-CN"/>
        </w:rPr>
        <w:t>单位</w:t>
      </w:r>
      <w:r>
        <w:rPr>
          <w:rFonts w:hint="eastAsia" w:ascii="仿宋_GB2312" w:eastAsia="仿宋_GB2312"/>
          <w:b w:val="0"/>
          <w:bCs w:val="0"/>
          <w:sz w:val="32"/>
        </w:rPr>
        <w:t>组织的质量、安全检查中取得佳绩。</w:t>
      </w:r>
    </w:p>
    <w:p w14:paraId="423C5E52">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车辆管理</w:t>
      </w:r>
    </w:p>
    <w:p w14:paraId="2A8749C2">
      <w:pPr>
        <w:keepNext w:val="0"/>
        <w:keepLines w:val="0"/>
        <w:pageBreakBefore w:val="0"/>
        <w:widowControl w:val="0"/>
        <w:numPr>
          <w:ilvl w:val="0"/>
          <w:numId w:val="20"/>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对车辆实施管理，有专人引导车辆有序通行、停放，排列整齐，无堵塞交通现象，不影响行人通行。</w:t>
      </w:r>
    </w:p>
    <w:p w14:paraId="7F386BD0">
      <w:pPr>
        <w:keepNext w:val="0"/>
        <w:keepLines w:val="0"/>
        <w:pageBreakBefore w:val="0"/>
        <w:widowControl w:val="0"/>
        <w:numPr>
          <w:ilvl w:val="0"/>
          <w:numId w:val="20"/>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停车场道路指引清晰、完善。</w:t>
      </w:r>
    </w:p>
    <w:p w14:paraId="17AA045F">
      <w:pPr>
        <w:keepNext w:val="0"/>
        <w:keepLines w:val="0"/>
        <w:pageBreakBefore w:val="0"/>
        <w:widowControl w:val="0"/>
        <w:numPr>
          <w:ilvl w:val="0"/>
          <w:numId w:val="20"/>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对停车场的充电桩做好日常安全及运维管理。</w:t>
      </w:r>
    </w:p>
    <w:p w14:paraId="601CC8EE">
      <w:pPr>
        <w:keepNext w:val="0"/>
        <w:keepLines w:val="0"/>
        <w:pageBreakBefore w:val="0"/>
        <w:widowControl w:val="0"/>
        <w:numPr>
          <w:ilvl w:val="0"/>
          <w:numId w:val="20"/>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对停车场实施管理，操作设备人员须经过培训，须对停车位（或停车库）定期检修，并有检修记录表。</w:t>
      </w:r>
    </w:p>
    <w:p w14:paraId="7B2E00B4">
      <w:pPr>
        <w:keepNext w:val="0"/>
        <w:keepLines w:val="0"/>
        <w:pageBreakBefore w:val="0"/>
        <w:widowControl w:val="0"/>
        <w:numPr>
          <w:ilvl w:val="0"/>
          <w:numId w:val="20"/>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停车场出入口道闸完好，有定期检修，出现故障时有应急预案。</w:t>
      </w:r>
    </w:p>
    <w:p w14:paraId="1D12E38E">
      <w:pPr>
        <w:keepNext w:val="0"/>
        <w:keepLines w:val="0"/>
        <w:pageBreakBefore w:val="0"/>
        <w:widowControl w:val="0"/>
        <w:numPr>
          <w:ilvl w:val="0"/>
          <w:numId w:val="20"/>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停车场收费严格按照有关行政部门核发颁布的标准收费。</w:t>
      </w:r>
    </w:p>
    <w:p w14:paraId="10C1404A">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环境卫生管理</w:t>
      </w:r>
    </w:p>
    <w:p w14:paraId="63DAB409">
      <w:pPr>
        <w:keepNext w:val="0"/>
        <w:keepLines w:val="0"/>
        <w:pageBreakBefore w:val="0"/>
        <w:widowControl w:val="0"/>
        <w:numPr>
          <w:ilvl w:val="0"/>
          <w:numId w:val="2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整体环境及环卫设施保持清洁，无垃圾堆积现象，做到垃圾日产日清，公共走道、地下室、天台等所有公共场所保持清洁，无随意堆放杂物和占用。</w:t>
      </w:r>
    </w:p>
    <w:p w14:paraId="199D4A35">
      <w:pPr>
        <w:keepNext w:val="0"/>
        <w:keepLines w:val="0"/>
        <w:pageBreakBefore w:val="0"/>
        <w:widowControl w:val="0"/>
        <w:numPr>
          <w:ilvl w:val="0"/>
          <w:numId w:val="2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每年不低于1次对外墙进行清洁。</w:t>
      </w:r>
    </w:p>
    <w:p w14:paraId="2701F40E">
      <w:pPr>
        <w:keepNext w:val="0"/>
        <w:keepLines w:val="0"/>
        <w:pageBreakBefore w:val="0"/>
        <w:widowControl w:val="0"/>
        <w:numPr>
          <w:ilvl w:val="0"/>
          <w:numId w:val="2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每月进行不少于1次除“四害”消杀，消杀效果达到深圳市相关标准。</w:t>
      </w:r>
    </w:p>
    <w:p w14:paraId="0AB42F85">
      <w:pPr>
        <w:keepNext w:val="0"/>
        <w:keepLines w:val="0"/>
        <w:pageBreakBefore w:val="0"/>
        <w:widowControl w:val="0"/>
        <w:numPr>
          <w:ilvl w:val="0"/>
          <w:numId w:val="2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每月不少于1次对共用部位地面石材、装饰等进行养护处理，石材平均照度不低于80。</w:t>
      </w:r>
    </w:p>
    <w:p w14:paraId="15F7A8B4">
      <w:pPr>
        <w:keepNext w:val="0"/>
        <w:keepLines w:val="0"/>
        <w:pageBreakBefore w:val="0"/>
        <w:widowControl w:val="0"/>
        <w:numPr>
          <w:ilvl w:val="0"/>
          <w:numId w:val="21"/>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写字楼大堂和洗手间配有香熏服务，洗手间提供纸巾、洗手液、消毒设备等日常耗材。</w:t>
      </w:r>
    </w:p>
    <w:p w14:paraId="13DBA55F">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绿化养护管理</w:t>
      </w:r>
    </w:p>
    <w:p w14:paraId="0CE01C84">
      <w:pPr>
        <w:keepNext w:val="0"/>
        <w:keepLines w:val="0"/>
        <w:pageBreakBefore w:val="0"/>
        <w:widowControl w:val="0"/>
        <w:numPr>
          <w:ilvl w:val="0"/>
          <w:numId w:val="2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建立年度有效绿化维护保养计划。</w:t>
      </w:r>
    </w:p>
    <w:p w14:paraId="4330A723">
      <w:pPr>
        <w:keepNext w:val="0"/>
        <w:keepLines w:val="0"/>
        <w:pageBreakBefore w:val="0"/>
        <w:widowControl w:val="0"/>
        <w:numPr>
          <w:ilvl w:val="0"/>
          <w:numId w:val="2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外围绿化花草树木长势良好，修剪整齐美观，无病虫害，无折损现象，无斑秃，植物未被张贴小广告，草地、花卉花盆中无烟头、纸屑等垃圾。</w:t>
      </w:r>
    </w:p>
    <w:p w14:paraId="34E103B3">
      <w:pPr>
        <w:keepNext w:val="0"/>
        <w:keepLines w:val="0"/>
        <w:pageBreakBefore w:val="0"/>
        <w:widowControl w:val="0"/>
        <w:numPr>
          <w:ilvl w:val="0"/>
          <w:numId w:val="2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本物业室内绿化整体布置应根据物业特点切合季节时令，营造高端、美观、舒适氛围。</w:t>
      </w:r>
    </w:p>
    <w:p w14:paraId="39B90047">
      <w:pPr>
        <w:keepNext w:val="0"/>
        <w:keepLines w:val="0"/>
        <w:pageBreakBefore w:val="0"/>
        <w:widowControl w:val="0"/>
        <w:numPr>
          <w:ilvl w:val="0"/>
          <w:numId w:val="2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大堂、各楼层电梯厅等公共区域绿化保持干净整洁、无枯叶、黄叶，常绿植物花盆、树叶不能有灰尘。</w:t>
      </w:r>
    </w:p>
    <w:p w14:paraId="0BDCDB57">
      <w:pPr>
        <w:keepNext w:val="0"/>
        <w:keepLines w:val="0"/>
        <w:pageBreakBefore w:val="0"/>
        <w:widowControl w:val="0"/>
        <w:numPr>
          <w:ilvl w:val="0"/>
          <w:numId w:val="22"/>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所有绿化租摆均应使用新鲜花卉和绿叶植物。</w:t>
      </w:r>
    </w:p>
    <w:p w14:paraId="50F5CA9D">
      <w:pPr>
        <w:keepNext w:val="0"/>
        <w:keepLines w:val="0"/>
        <w:pageBreakBefore w:val="0"/>
        <w:widowControl w:val="0"/>
        <w:numPr>
          <w:ilvl w:val="0"/>
          <w:numId w:val="8"/>
        </w:numPr>
        <w:kinsoku/>
        <w:wordWrap/>
        <w:overflowPunct/>
        <w:topLinePunct w:val="0"/>
        <w:autoSpaceDE/>
        <w:autoSpaceDN/>
        <w:bidi w:val="0"/>
        <w:spacing w:line="560" w:lineRule="exact"/>
        <w:ind w:firstLine="643"/>
        <w:jc w:val="both"/>
        <w:textAlignment w:val="auto"/>
        <w:rPr>
          <w:rFonts w:hint="eastAsia" w:ascii="楷体_GB2312" w:hAnsi="Calibri" w:eastAsia="楷体_GB2312" w:cs="Times New Roman"/>
          <w:b w:val="0"/>
          <w:bCs w:val="0"/>
          <w:i w:val="0"/>
          <w:iCs w:val="0"/>
          <w:caps w:val="0"/>
          <w:spacing w:val="0"/>
          <w:sz w:val="32"/>
          <w:szCs w:val="24"/>
          <w:highlight w:val="none"/>
          <w:shd w:val="clear" w:color="auto" w:fill="auto"/>
          <w:lang w:val="en-US" w:eastAsia="zh-CN"/>
        </w:rPr>
      </w:pPr>
      <w:r>
        <w:rPr>
          <w:rFonts w:hint="eastAsia" w:ascii="楷体_GB2312" w:hAnsi="Calibri" w:eastAsia="楷体_GB2312" w:cs="Times New Roman"/>
          <w:b w:val="0"/>
          <w:bCs w:val="0"/>
          <w:i w:val="0"/>
          <w:iCs w:val="0"/>
          <w:caps w:val="0"/>
          <w:spacing w:val="0"/>
          <w:sz w:val="32"/>
          <w:szCs w:val="24"/>
          <w:highlight w:val="none"/>
          <w:shd w:val="clear" w:color="auto" w:fill="auto"/>
          <w:lang w:val="en-US" w:eastAsia="zh-CN"/>
        </w:rPr>
        <w:t>专项服务与企业支持​</w:t>
      </w:r>
    </w:p>
    <w:p w14:paraId="4C391897">
      <w:pPr>
        <w:pStyle w:val="5"/>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企业入驻与装修管理</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为新入驻企业提供一站式服务，协助办理入驻登记、物业服务协议签订、水电气接驳等手续，明确企业在园区内的权利与义务。规范企业装修管理流程，审核装修方案（重点核查是否符合消防规范、是否影响建筑结构安全），派专人监督装修施工过程，禁止违规作业（如破坏承重墙、擅自更改管线），确保装修工程安全合规。​</w:t>
      </w:r>
    </w:p>
    <w:p w14:paraId="2BE5FBC3">
      <w:pPr>
        <w:pStyle w:val="5"/>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能源与资源管理</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按月向企业送达园区水、电、气等能源缴费通知单，协调能源供应部门处理缴费、报修等事宜，保障企业生产经营的能源供应稳定。建立能耗监测</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制度</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，分析园区整体及各企业的能耗数据，为企业提供节能建议，推动园区绿色低碳运营。​</w:t>
      </w:r>
    </w:p>
    <w:p w14:paraId="52851BA2">
      <w:pPr>
        <w:keepNext w:val="0"/>
        <w:keepLines w:val="0"/>
        <w:pageBreakBefore w:val="0"/>
        <w:widowControl w:val="0"/>
        <w:numPr>
          <w:ilvl w:val="0"/>
          <w:numId w:val="8"/>
        </w:numPr>
        <w:kinsoku/>
        <w:wordWrap/>
        <w:overflowPunct/>
        <w:topLinePunct w:val="0"/>
        <w:autoSpaceDE/>
        <w:autoSpaceDN/>
        <w:bidi w:val="0"/>
        <w:spacing w:line="560" w:lineRule="exact"/>
        <w:ind w:firstLine="643"/>
        <w:jc w:val="both"/>
        <w:textAlignment w:val="auto"/>
        <w:rPr>
          <w:rFonts w:hint="eastAsia" w:ascii="楷体_GB2312" w:hAnsi="Calibri" w:eastAsia="楷体_GB2312" w:cs="Times New Roman"/>
          <w:b w:val="0"/>
          <w:bCs w:val="0"/>
          <w:i w:val="0"/>
          <w:iCs w:val="0"/>
          <w:caps w:val="0"/>
          <w:spacing w:val="0"/>
          <w:sz w:val="32"/>
          <w:szCs w:val="24"/>
          <w:highlight w:val="none"/>
          <w:shd w:val="clear" w:color="auto" w:fill="auto"/>
          <w:lang w:val="en-US" w:eastAsia="zh-CN"/>
        </w:rPr>
      </w:pPr>
      <w:r>
        <w:rPr>
          <w:rFonts w:hint="eastAsia" w:ascii="楷体_GB2312" w:hAnsi="Calibri" w:eastAsia="楷体_GB2312" w:cs="Times New Roman"/>
          <w:b w:val="0"/>
          <w:bCs w:val="0"/>
          <w:i w:val="0"/>
          <w:iCs w:val="0"/>
          <w:caps w:val="0"/>
          <w:spacing w:val="0"/>
          <w:sz w:val="32"/>
          <w:szCs w:val="24"/>
          <w:highlight w:val="none"/>
          <w:shd w:val="clear" w:color="auto" w:fill="auto"/>
          <w:lang w:val="en-US" w:eastAsia="zh-CN"/>
        </w:rPr>
        <w:t>园区运营与沟通协调​</w:t>
      </w:r>
    </w:p>
    <w:p w14:paraId="7DE44645">
      <w:pPr>
        <w:pStyle w:val="5"/>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园区环境与合规管理</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定期排查园区环境隐患，如工业废水排放是否达标、危险化学品存储是否符合规范等，配合环保部门开展检查工作</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（一般委托第三方）</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，督促企业落实环保要求。协助企业办理与园区管理相关的合规手续（如安全生产备案、消防验收材料补充），提供必要的证明文件与信息支持。​</w:t>
      </w:r>
    </w:p>
    <w:p w14:paraId="2AB4944E">
      <w:pPr>
        <w:pStyle w:val="5"/>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企业沟通与需求响应</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建立企业沟通机制，通过定期走访（每月至少1次）、召开企业座谈会（每季度1次）</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、问卷调查</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等方式，收集企业对物业服务的意见与需求，及时反馈并整改。设立24小时服务热线与线上报修平台，企业提出的维修、咨询等需求需在30分钟内响应，一般问题24小时内解决，复杂问题48小时内给出解决方案。</w:t>
      </w:r>
    </w:p>
    <w:p w14:paraId="4E3DF13C">
      <w:pPr>
        <w:pStyle w:val="5"/>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费用收取与公示</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按照前期物业服务合同约定的标准收取物业服务费、能源公摊费等费用，提供多种缴费渠道（线上支付、现场缴费等），方便企业缴费。每季度公示物业服务费用收支情况，接受企业监督，确保收费透明</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p>
    <w:p w14:paraId="4A485278">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客户服务</w:t>
      </w:r>
    </w:p>
    <w:p w14:paraId="395FE2A8">
      <w:pPr>
        <w:keepNext w:val="0"/>
        <w:keepLines w:val="0"/>
        <w:pageBreakBefore w:val="0"/>
        <w:widowControl w:val="0"/>
        <w:numPr>
          <w:ilvl w:val="0"/>
          <w:numId w:val="23"/>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客服人员言行举止规范，训练有素。</w:t>
      </w:r>
    </w:p>
    <w:p w14:paraId="7F4BA183">
      <w:pPr>
        <w:keepNext w:val="0"/>
        <w:keepLines w:val="0"/>
        <w:pageBreakBefore w:val="0"/>
        <w:widowControl w:val="0"/>
        <w:numPr>
          <w:ilvl w:val="0"/>
          <w:numId w:val="23"/>
        </w:numPr>
        <w:kinsoku/>
        <w:wordWrap/>
        <w:overflowPunct/>
        <w:topLinePunct w:val="0"/>
        <w:autoSpaceDE/>
        <w:autoSpaceDN/>
        <w:bidi w:val="0"/>
        <w:spacing w:line="560" w:lineRule="exact"/>
        <w:ind w:left="1055" w:hanging="425" w:firstLineChars="0"/>
        <w:jc w:val="both"/>
        <w:textAlignment w:val="auto"/>
        <w:rPr>
          <w:rFonts w:hint="eastAsia" w:ascii="仿宋_GB2312" w:eastAsia="仿宋_GB2312"/>
          <w:b w:val="0"/>
          <w:bCs w:val="0"/>
          <w:sz w:val="32"/>
        </w:rPr>
      </w:pPr>
      <w:r>
        <w:rPr>
          <w:rFonts w:hint="eastAsia" w:ascii="仿宋_GB2312" w:eastAsia="仿宋_GB2312"/>
          <w:b w:val="0"/>
          <w:bCs w:val="0"/>
          <w:sz w:val="32"/>
        </w:rPr>
        <w:t>提供园区内客户需求受理、访客接待、诉求处理、首层大堂接待、重大接待礼宾服务等。</w:t>
      </w:r>
    </w:p>
    <w:p w14:paraId="643A24E3">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园区文化及宣传</w:t>
      </w:r>
    </w:p>
    <w:p w14:paraId="45F7E27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Calibri" w:eastAsia="楷体_GB2312" w:cs="Times New Roman"/>
          <w:b w:val="0"/>
          <w:bCs w:val="0"/>
          <w:i w:val="0"/>
          <w:iCs w:val="0"/>
          <w:caps w:val="0"/>
          <w:spacing w:val="0"/>
          <w:sz w:val="32"/>
          <w:szCs w:val="24"/>
          <w:shd w:val="clear" w:color="auto" w:fill="auto"/>
          <w:lang w:val="en-US" w:eastAsia="zh-CN"/>
        </w:rPr>
      </w:pPr>
      <w:r>
        <w:rPr>
          <w:rFonts w:hint="eastAsia" w:ascii="仿宋_GB2312" w:eastAsia="仿宋_GB2312"/>
          <w:b w:val="0"/>
          <w:bCs w:val="0"/>
          <w:sz w:val="32"/>
        </w:rPr>
        <w:t>提供园区节日布置、日常宣传（如消防宣传、安全宣传等）、园区专业活动及文体活动配合等。</w:t>
      </w:r>
      <w:r>
        <w:rPr>
          <w:rFonts w:hint="eastAsia" w:ascii="楷体_GB2312" w:hAnsi="Calibri" w:eastAsia="楷体_GB2312" w:cs="Times New Roman"/>
          <w:b w:val="0"/>
          <w:bCs w:val="0"/>
          <w:i w:val="0"/>
          <w:iCs w:val="0"/>
          <w:caps w:val="0"/>
          <w:spacing w:val="0"/>
          <w:sz w:val="32"/>
          <w:szCs w:val="24"/>
          <w:shd w:val="clear" w:color="auto" w:fill="auto"/>
          <w:lang w:val="en-US" w:eastAsia="zh-CN"/>
        </w:rPr>
        <w:t>应急管理​</w:t>
      </w:r>
    </w:p>
    <w:p w14:paraId="42BA38D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应急预案执行与演练</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完善园区应急预案，针对火灾、停电、设备故障、自然灾害等突发事件，明确应急处置流程与责任分工，储备应急物资（如灭火器、应急照明、防汛器材）。每</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季度</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组织至少1次应急演练（如消防演练、停电应急演练），提升物业服务团队与企业的应急响应能力。​​</w:t>
      </w:r>
    </w:p>
    <w:p w14:paraId="6E44FD8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Calibri" w:eastAsia="楷体_GB2312" w:cs="Times New Roman"/>
          <w:b w:val="0"/>
          <w:bCs w:val="0"/>
          <w:i w:val="0"/>
          <w:iCs w:val="0"/>
          <w:caps w:val="0"/>
          <w:spacing w:val="0"/>
          <w:sz w:val="32"/>
          <w:szCs w:val="24"/>
          <w:shd w:val="clear" w:color="auto" w:fill="auto"/>
          <w:lang w:val="en-US" w:eastAsia="zh-CN"/>
        </w:rPr>
      </w:pPr>
      <w:r>
        <w:rPr>
          <w:rFonts w:hint="eastAsia" w:ascii="楷体_GB2312" w:hAnsi="Calibri" w:eastAsia="楷体_GB2312" w:cs="Times New Roman"/>
          <w:b w:val="0"/>
          <w:bCs w:val="0"/>
          <w:i w:val="0"/>
          <w:iCs w:val="0"/>
          <w:caps w:val="0"/>
          <w:spacing w:val="0"/>
          <w:sz w:val="32"/>
          <w:szCs w:val="24"/>
          <w:shd w:val="clear" w:color="auto" w:fill="auto"/>
          <w:lang w:val="en-US" w:eastAsia="zh-CN"/>
        </w:rPr>
        <w:t>业委会筹备支持​</w:t>
      </w:r>
    </w:p>
    <w:p w14:paraId="27B1C4EA">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_GB2312" w:eastAsia="仿宋_GB2312"/>
          <w:b w:val="0"/>
          <w:bCs w:val="0"/>
          <w:sz w:val="32"/>
        </w:rPr>
      </w:pP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在前期物业服务后期，积极配合街道办、居委会等</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单位</w:t>
      </w:r>
      <w:r>
        <w:rPr>
          <w:rFonts w:hint="default" w:ascii="仿宋_GB2312" w:hAnsi="仿宋_GB2312" w:eastAsia="仿宋_GB2312" w:cs="仿宋_GB2312"/>
          <w:b w:val="0"/>
          <w:bCs w:val="0"/>
          <w:i w:val="0"/>
          <w:iCs w:val="0"/>
          <w:caps w:val="0"/>
          <w:color w:val="auto"/>
          <w:spacing w:val="0"/>
          <w:sz w:val="32"/>
          <w:szCs w:val="32"/>
          <w:highlight w:val="none"/>
          <w:shd w:val="clear" w:color="auto" w:fill="auto"/>
          <w:lang w:val="en-US" w:eastAsia="zh-CN"/>
        </w:rPr>
        <w:t>，协助开展业主委员会筹备工作，包括提供业主名册、协助组织业主大会、公示相关资料等，确保业委会成立过程合法合规，平稳过渡到后期物业管理阶段。</w:t>
      </w:r>
    </w:p>
    <w:p w14:paraId="1961BCFA">
      <w:pPr>
        <w:keepNext w:val="0"/>
        <w:keepLines w:val="0"/>
        <w:pageBreakBefore w:val="0"/>
        <w:widowControl w:val="0"/>
        <w:numPr>
          <w:ilvl w:val="0"/>
          <w:numId w:val="8"/>
        </w:numPr>
        <w:kinsoku/>
        <w:wordWrap/>
        <w:overflowPunct/>
        <w:topLinePunct w:val="0"/>
        <w:autoSpaceDE/>
        <w:autoSpaceDN/>
        <w:bidi w:val="0"/>
        <w:spacing w:line="560" w:lineRule="exact"/>
        <w:ind w:firstLine="640" w:firstLineChars="200"/>
        <w:jc w:val="both"/>
        <w:textAlignment w:val="auto"/>
        <w:rPr>
          <w:rFonts w:hint="eastAsia" w:ascii="楷体_GB2312" w:hAnsi="Calibri" w:eastAsia="楷体_GB2312" w:cs="Times New Roman"/>
          <w:b w:val="0"/>
          <w:bCs w:val="0"/>
          <w:sz w:val="32"/>
        </w:rPr>
      </w:pPr>
      <w:r>
        <w:rPr>
          <w:rFonts w:hint="eastAsia" w:ascii="楷体_GB2312" w:hAnsi="Calibri" w:eastAsia="楷体_GB2312" w:cs="Times New Roman"/>
          <w:b w:val="0"/>
          <w:bCs w:val="0"/>
          <w:sz w:val="32"/>
        </w:rPr>
        <w:t>档案资料建立与管理</w:t>
      </w:r>
    </w:p>
    <w:p w14:paraId="06A74A1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档案资料包括物业资料、工程资料、设备档案、设备运行维护保养资料、客户资料、管理服务资料的收集、编目、归档和管理。</w:t>
      </w:r>
      <w:r>
        <w:rPr>
          <w:rFonts w:hint="eastAsia" w:ascii="仿宋_GB2312" w:eastAsia="仿宋_GB2312"/>
          <w:b w:val="0"/>
          <w:bCs w:val="0"/>
          <w:sz w:val="32"/>
          <w:lang w:val="en-US" w:eastAsia="zh-CN"/>
        </w:rPr>
        <w:t>中标方</w:t>
      </w:r>
      <w:r>
        <w:rPr>
          <w:rFonts w:hint="eastAsia" w:ascii="仿宋_GB2312" w:eastAsia="仿宋_GB2312"/>
          <w:b w:val="0"/>
          <w:bCs w:val="0"/>
          <w:sz w:val="32"/>
        </w:rPr>
        <w:t>要建立资料收集、分类整理、归档管理制度，确保各项档案资料完整。</w:t>
      </w:r>
    </w:p>
    <w:p w14:paraId="2BB00A0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rPr>
        <w:t>（</w:t>
      </w:r>
      <w:r>
        <w:rPr>
          <w:rFonts w:hint="eastAsia" w:ascii="楷体_GB2312" w:hAnsi="楷体_GB2312" w:eastAsia="楷体_GB2312" w:cs="楷体_GB2312"/>
          <w:b w:val="0"/>
          <w:bCs w:val="0"/>
          <w:sz w:val="32"/>
          <w:lang w:eastAsia="zh-CN"/>
        </w:rPr>
        <w:t>五</w:t>
      </w:r>
      <w:r>
        <w:rPr>
          <w:rFonts w:hint="eastAsia" w:ascii="楷体_GB2312" w:hAnsi="楷体_GB2312" w:eastAsia="楷体_GB2312" w:cs="楷体_GB2312"/>
          <w:b w:val="0"/>
          <w:bCs w:val="0"/>
          <w:sz w:val="32"/>
        </w:rPr>
        <w:t>）管理期限内需达到的目标</w:t>
      </w:r>
    </w:p>
    <w:p w14:paraId="09FA29F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rPr>
      </w:pPr>
      <w:r>
        <w:rPr>
          <w:rFonts w:hint="eastAsia" w:ascii="仿宋_GB2312" w:eastAsia="仿宋_GB2312"/>
          <w:b w:val="0"/>
          <w:bCs w:val="0"/>
          <w:sz w:val="32"/>
        </w:rPr>
        <w:t>物业管理的各项标准见下表：</w:t>
      </w:r>
    </w:p>
    <w:tbl>
      <w:tblPr>
        <w:tblStyle w:val="7"/>
        <w:tblW w:w="823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939"/>
        <w:gridCol w:w="3402"/>
      </w:tblGrid>
      <w:tr w14:paraId="5D6E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67E0E58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序号</w:t>
            </w:r>
          </w:p>
        </w:tc>
        <w:tc>
          <w:tcPr>
            <w:tcW w:w="3939" w:type="dxa"/>
            <w:tcBorders>
              <w:top w:val="single" w:color="auto" w:sz="4" w:space="0"/>
              <w:left w:val="nil"/>
              <w:bottom w:val="single" w:color="auto" w:sz="4" w:space="0"/>
              <w:right w:val="single" w:color="auto" w:sz="4" w:space="0"/>
            </w:tcBorders>
            <w:noWrap w:val="0"/>
            <w:vAlign w:val="center"/>
          </w:tcPr>
          <w:p w14:paraId="6A1EDE68">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指标名称</w:t>
            </w:r>
          </w:p>
        </w:tc>
        <w:tc>
          <w:tcPr>
            <w:tcW w:w="3402" w:type="dxa"/>
            <w:tcBorders>
              <w:top w:val="single" w:color="auto" w:sz="4" w:space="0"/>
              <w:left w:val="nil"/>
              <w:bottom w:val="single" w:color="auto" w:sz="4" w:space="0"/>
              <w:right w:val="single" w:color="auto" w:sz="4" w:space="0"/>
            </w:tcBorders>
            <w:noWrap w:val="0"/>
            <w:vAlign w:val="center"/>
          </w:tcPr>
          <w:p w14:paraId="266B7DD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指标标准</w:t>
            </w:r>
          </w:p>
        </w:tc>
      </w:tr>
      <w:tr w14:paraId="43FC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2DDC8F41">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08C3422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安全生产责任事故发生数</w:t>
            </w:r>
          </w:p>
        </w:tc>
        <w:tc>
          <w:tcPr>
            <w:tcW w:w="3402" w:type="dxa"/>
            <w:tcBorders>
              <w:top w:val="single" w:color="auto" w:sz="4" w:space="0"/>
              <w:left w:val="nil"/>
              <w:bottom w:val="single" w:color="auto" w:sz="4" w:space="0"/>
              <w:right w:val="single" w:color="auto" w:sz="4" w:space="0"/>
            </w:tcBorders>
            <w:noWrap w:val="0"/>
            <w:vAlign w:val="center"/>
          </w:tcPr>
          <w:p w14:paraId="66905CA2">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0</w:t>
            </w:r>
          </w:p>
        </w:tc>
      </w:tr>
      <w:tr w14:paraId="12E4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01AB8736">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1BAE4B67">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重大消防治安责任事故发生数</w:t>
            </w:r>
          </w:p>
        </w:tc>
        <w:tc>
          <w:tcPr>
            <w:tcW w:w="3402" w:type="dxa"/>
            <w:tcBorders>
              <w:top w:val="single" w:color="auto" w:sz="4" w:space="0"/>
              <w:left w:val="nil"/>
              <w:bottom w:val="single" w:color="auto" w:sz="4" w:space="0"/>
              <w:right w:val="single" w:color="auto" w:sz="4" w:space="0"/>
            </w:tcBorders>
            <w:noWrap w:val="0"/>
            <w:vAlign w:val="center"/>
          </w:tcPr>
          <w:p w14:paraId="1B82E68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0</w:t>
            </w:r>
          </w:p>
        </w:tc>
      </w:tr>
      <w:tr w14:paraId="70E7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4CCA3C4E">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70A3707E">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火灾事故发生率</w:t>
            </w:r>
          </w:p>
        </w:tc>
        <w:tc>
          <w:tcPr>
            <w:tcW w:w="3402" w:type="dxa"/>
            <w:tcBorders>
              <w:top w:val="single" w:color="auto" w:sz="4" w:space="0"/>
              <w:left w:val="nil"/>
              <w:bottom w:val="single" w:color="auto" w:sz="4" w:space="0"/>
              <w:right w:val="single" w:color="auto" w:sz="4" w:space="0"/>
            </w:tcBorders>
            <w:noWrap w:val="0"/>
            <w:vAlign w:val="center"/>
          </w:tcPr>
          <w:p w14:paraId="4DAA5494">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0</w:t>
            </w:r>
          </w:p>
        </w:tc>
      </w:tr>
      <w:tr w14:paraId="7DFA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4DD73F57">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3F9FD34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重大疫情及公共卫生防控责任事故发生数</w:t>
            </w:r>
          </w:p>
        </w:tc>
        <w:tc>
          <w:tcPr>
            <w:tcW w:w="3402" w:type="dxa"/>
            <w:tcBorders>
              <w:top w:val="single" w:color="auto" w:sz="4" w:space="0"/>
              <w:left w:val="nil"/>
              <w:bottom w:val="single" w:color="auto" w:sz="4" w:space="0"/>
              <w:right w:val="single" w:color="auto" w:sz="4" w:space="0"/>
            </w:tcBorders>
            <w:noWrap w:val="0"/>
            <w:vAlign w:val="center"/>
          </w:tcPr>
          <w:p w14:paraId="7A3D31D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0</w:t>
            </w:r>
          </w:p>
        </w:tc>
      </w:tr>
      <w:tr w14:paraId="5646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04344AF8">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2DB0D1B3">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eastAsia="仿宋_GB2312" w:cs="仿宋_GB2312"/>
                <w:b w:val="0"/>
                <w:bCs w:val="0"/>
                <w:color w:val="00000A"/>
                <w:sz w:val="28"/>
                <w:szCs w:val="28"/>
                <w:lang w:val="en-US" w:eastAsia="zh-CN" w:bidi="ar"/>
              </w:rPr>
            </w:pPr>
            <w:r>
              <w:rPr>
                <w:rFonts w:hint="eastAsia" w:ascii="仿宋_GB2312" w:eastAsia="仿宋_GB2312" w:cs="仿宋_GB2312"/>
                <w:b w:val="0"/>
                <w:bCs w:val="0"/>
                <w:color w:val="00000A"/>
                <w:sz w:val="28"/>
                <w:szCs w:val="28"/>
                <w:lang w:val="en-US" w:eastAsia="zh-CN" w:bidi="ar"/>
              </w:rPr>
              <w:t>客户满意度</w:t>
            </w:r>
          </w:p>
        </w:tc>
        <w:tc>
          <w:tcPr>
            <w:tcW w:w="3402" w:type="dxa"/>
            <w:tcBorders>
              <w:top w:val="single" w:color="auto" w:sz="4" w:space="0"/>
              <w:left w:val="nil"/>
              <w:bottom w:val="single" w:color="auto" w:sz="4" w:space="0"/>
              <w:right w:val="single" w:color="auto" w:sz="4" w:space="0"/>
            </w:tcBorders>
            <w:noWrap w:val="0"/>
            <w:vAlign w:val="center"/>
          </w:tcPr>
          <w:p w14:paraId="7FBB4E2B">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eastAsia="仿宋_GB2312" w:cs="仿宋_GB2312"/>
                <w:b w:val="0"/>
                <w:bCs w:val="0"/>
                <w:color w:val="00000A"/>
                <w:sz w:val="28"/>
                <w:szCs w:val="28"/>
                <w:lang w:val="en-US" w:eastAsia="zh-CN" w:bidi="ar"/>
              </w:rPr>
            </w:pPr>
            <w:r>
              <w:rPr>
                <w:rFonts w:hint="eastAsia" w:ascii="仿宋_GB2312" w:eastAsia="仿宋_GB2312" w:cs="仿宋_GB2312"/>
                <w:b w:val="0"/>
                <w:bCs w:val="0"/>
                <w:color w:val="00000A"/>
                <w:sz w:val="28"/>
                <w:szCs w:val="28"/>
                <w:lang w:val="en-US" w:eastAsia="zh-CN" w:bidi="ar"/>
              </w:rPr>
              <w:t>98%</w:t>
            </w:r>
          </w:p>
        </w:tc>
      </w:tr>
      <w:tr w14:paraId="7049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1DB5A210">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26058249">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color w:val="00000A"/>
                <w:sz w:val="28"/>
                <w:szCs w:val="28"/>
              </w:rPr>
            </w:pPr>
            <w:r>
              <w:rPr>
                <w:rFonts w:hint="eastAsia" w:ascii="仿宋_GB2312" w:eastAsia="仿宋_GB2312" w:cs="仿宋_GB2312"/>
                <w:b w:val="0"/>
                <w:bCs w:val="0"/>
                <w:color w:val="00000A"/>
                <w:sz w:val="28"/>
                <w:szCs w:val="28"/>
                <w:lang w:bidi="ar"/>
              </w:rPr>
              <w:t>房屋及配套设施完好率</w:t>
            </w:r>
          </w:p>
        </w:tc>
        <w:tc>
          <w:tcPr>
            <w:tcW w:w="3402" w:type="dxa"/>
            <w:tcBorders>
              <w:top w:val="single" w:color="auto" w:sz="4" w:space="0"/>
              <w:left w:val="nil"/>
              <w:bottom w:val="single" w:color="auto" w:sz="4" w:space="0"/>
              <w:right w:val="single" w:color="auto" w:sz="4" w:space="0"/>
            </w:tcBorders>
            <w:noWrap w:val="0"/>
            <w:vAlign w:val="center"/>
          </w:tcPr>
          <w:p w14:paraId="7A35D86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color w:val="00000A"/>
                <w:sz w:val="28"/>
                <w:szCs w:val="28"/>
              </w:rPr>
            </w:pPr>
            <w:r>
              <w:rPr>
                <w:rFonts w:hint="eastAsia" w:ascii="仿宋_GB2312" w:eastAsia="仿宋_GB2312" w:cs="仿宋_GB2312"/>
                <w:b w:val="0"/>
                <w:bCs w:val="0"/>
                <w:color w:val="00000A"/>
                <w:sz w:val="28"/>
                <w:szCs w:val="28"/>
                <w:lang w:bidi="ar"/>
              </w:rPr>
              <w:t>98%</w:t>
            </w:r>
          </w:p>
        </w:tc>
      </w:tr>
      <w:tr w14:paraId="6806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08EB2669">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33F67B47">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消防设施设备完好率</w:t>
            </w:r>
          </w:p>
        </w:tc>
        <w:tc>
          <w:tcPr>
            <w:tcW w:w="3402" w:type="dxa"/>
            <w:tcBorders>
              <w:top w:val="single" w:color="auto" w:sz="4" w:space="0"/>
              <w:left w:val="nil"/>
              <w:bottom w:val="single" w:color="auto" w:sz="4" w:space="0"/>
              <w:right w:val="single" w:color="auto" w:sz="4" w:space="0"/>
            </w:tcBorders>
            <w:noWrap w:val="0"/>
            <w:vAlign w:val="center"/>
          </w:tcPr>
          <w:p w14:paraId="77E7F8D0">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98%</w:t>
            </w:r>
          </w:p>
        </w:tc>
      </w:tr>
      <w:tr w14:paraId="7AA0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71474409">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20B32212">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设备计划保养率</w:t>
            </w:r>
          </w:p>
        </w:tc>
        <w:tc>
          <w:tcPr>
            <w:tcW w:w="3402" w:type="dxa"/>
            <w:tcBorders>
              <w:top w:val="single" w:color="auto" w:sz="4" w:space="0"/>
              <w:left w:val="nil"/>
              <w:bottom w:val="single" w:color="auto" w:sz="4" w:space="0"/>
              <w:right w:val="single" w:color="auto" w:sz="4" w:space="0"/>
            </w:tcBorders>
            <w:noWrap w:val="0"/>
            <w:vAlign w:val="center"/>
          </w:tcPr>
          <w:p w14:paraId="44CF0FC1">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100%</w:t>
            </w:r>
          </w:p>
        </w:tc>
      </w:tr>
      <w:tr w14:paraId="13B1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1902DD54">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6499C636">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零修、急修及时率</w:t>
            </w:r>
          </w:p>
        </w:tc>
        <w:tc>
          <w:tcPr>
            <w:tcW w:w="3402" w:type="dxa"/>
            <w:tcBorders>
              <w:top w:val="single" w:color="auto" w:sz="4" w:space="0"/>
              <w:left w:val="nil"/>
              <w:bottom w:val="single" w:color="auto" w:sz="4" w:space="0"/>
              <w:right w:val="single" w:color="auto" w:sz="4" w:space="0"/>
            </w:tcBorders>
            <w:noWrap w:val="0"/>
            <w:vAlign w:val="center"/>
          </w:tcPr>
          <w:p w14:paraId="5CA1892F">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98%</w:t>
            </w:r>
          </w:p>
        </w:tc>
      </w:tr>
      <w:tr w14:paraId="396B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781CEF3F">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52771101">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维修工程质量合格率</w:t>
            </w:r>
          </w:p>
        </w:tc>
        <w:tc>
          <w:tcPr>
            <w:tcW w:w="3402" w:type="dxa"/>
            <w:tcBorders>
              <w:top w:val="single" w:color="auto" w:sz="4" w:space="0"/>
              <w:left w:val="nil"/>
              <w:bottom w:val="single" w:color="auto" w:sz="4" w:space="0"/>
              <w:right w:val="single" w:color="auto" w:sz="4" w:space="0"/>
            </w:tcBorders>
            <w:noWrap w:val="0"/>
            <w:vAlign w:val="center"/>
          </w:tcPr>
          <w:p w14:paraId="53AE527F">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100%</w:t>
            </w:r>
          </w:p>
        </w:tc>
      </w:tr>
      <w:tr w14:paraId="1448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20206976">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634879E9">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管理人员专业培训合格率</w:t>
            </w:r>
          </w:p>
        </w:tc>
        <w:tc>
          <w:tcPr>
            <w:tcW w:w="3402" w:type="dxa"/>
            <w:tcBorders>
              <w:top w:val="single" w:color="auto" w:sz="4" w:space="0"/>
              <w:left w:val="nil"/>
              <w:bottom w:val="single" w:color="auto" w:sz="4" w:space="0"/>
              <w:right w:val="single" w:color="auto" w:sz="4" w:space="0"/>
            </w:tcBorders>
            <w:noWrap w:val="0"/>
            <w:vAlign w:val="center"/>
          </w:tcPr>
          <w:p w14:paraId="4C65CD4D">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100%</w:t>
            </w:r>
          </w:p>
        </w:tc>
      </w:tr>
      <w:tr w14:paraId="6053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3155D6EC">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7A940E9E">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绿化完好率</w:t>
            </w:r>
          </w:p>
        </w:tc>
        <w:tc>
          <w:tcPr>
            <w:tcW w:w="3402" w:type="dxa"/>
            <w:tcBorders>
              <w:top w:val="single" w:color="auto" w:sz="4" w:space="0"/>
              <w:left w:val="nil"/>
              <w:bottom w:val="single" w:color="auto" w:sz="4" w:space="0"/>
              <w:right w:val="single" w:color="auto" w:sz="4" w:space="0"/>
            </w:tcBorders>
            <w:noWrap w:val="0"/>
            <w:vAlign w:val="center"/>
          </w:tcPr>
          <w:p w14:paraId="340E075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95%</w:t>
            </w:r>
          </w:p>
        </w:tc>
      </w:tr>
      <w:tr w14:paraId="54E6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67BDBF8B">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4618BDBC">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清洁保洁率</w:t>
            </w:r>
          </w:p>
        </w:tc>
        <w:tc>
          <w:tcPr>
            <w:tcW w:w="3402" w:type="dxa"/>
            <w:tcBorders>
              <w:top w:val="single" w:color="auto" w:sz="4" w:space="0"/>
              <w:left w:val="nil"/>
              <w:bottom w:val="single" w:color="auto" w:sz="4" w:space="0"/>
              <w:right w:val="single" w:color="auto" w:sz="4" w:space="0"/>
            </w:tcBorders>
            <w:noWrap w:val="0"/>
            <w:vAlign w:val="center"/>
          </w:tcPr>
          <w:p w14:paraId="7CB8BB3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95%</w:t>
            </w:r>
          </w:p>
        </w:tc>
      </w:tr>
      <w:tr w14:paraId="38C4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5AEDA055">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5A52CF9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水、电、空调正常供应率(市政、工程质量原因除外）</w:t>
            </w:r>
          </w:p>
        </w:tc>
        <w:tc>
          <w:tcPr>
            <w:tcW w:w="3402" w:type="dxa"/>
            <w:tcBorders>
              <w:top w:val="single" w:color="auto" w:sz="4" w:space="0"/>
              <w:left w:val="nil"/>
              <w:bottom w:val="single" w:color="auto" w:sz="4" w:space="0"/>
              <w:right w:val="single" w:color="auto" w:sz="4" w:space="0"/>
            </w:tcBorders>
            <w:noWrap w:val="0"/>
            <w:vAlign w:val="center"/>
          </w:tcPr>
          <w:p w14:paraId="1089C4A2">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99%</w:t>
            </w:r>
          </w:p>
        </w:tc>
      </w:tr>
      <w:tr w14:paraId="51D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0DEA1849">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7F9B1DA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园区投诉处理率</w:t>
            </w:r>
          </w:p>
        </w:tc>
        <w:tc>
          <w:tcPr>
            <w:tcW w:w="3402" w:type="dxa"/>
            <w:tcBorders>
              <w:top w:val="single" w:color="auto" w:sz="4" w:space="0"/>
              <w:left w:val="nil"/>
              <w:bottom w:val="single" w:color="auto" w:sz="4" w:space="0"/>
              <w:right w:val="single" w:color="auto" w:sz="4" w:space="0"/>
            </w:tcBorders>
            <w:noWrap w:val="0"/>
            <w:vAlign w:val="center"/>
          </w:tcPr>
          <w:p w14:paraId="2FD2ADDB">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100%</w:t>
            </w:r>
          </w:p>
        </w:tc>
      </w:tr>
      <w:tr w14:paraId="2718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1B6F86BF">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6102B5A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投诉回访率</w:t>
            </w:r>
          </w:p>
        </w:tc>
        <w:tc>
          <w:tcPr>
            <w:tcW w:w="3402" w:type="dxa"/>
            <w:tcBorders>
              <w:top w:val="single" w:color="auto" w:sz="4" w:space="0"/>
              <w:left w:val="nil"/>
              <w:bottom w:val="single" w:color="auto" w:sz="4" w:space="0"/>
              <w:right w:val="single" w:color="auto" w:sz="4" w:space="0"/>
            </w:tcBorders>
            <w:noWrap w:val="0"/>
            <w:vAlign w:val="center"/>
          </w:tcPr>
          <w:p w14:paraId="51179A4A">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100%</w:t>
            </w:r>
          </w:p>
        </w:tc>
      </w:tr>
      <w:tr w14:paraId="4F21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898" w:type="dxa"/>
            <w:tcBorders>
              <w:top w:val="single" w:color="auto" w:sz="4" w:space="0"/>
              <w:left w:val="single" w:color="auto" w:sz="4" w:space="0"/>
              <w:bottom w:val="single" w:color="auto" w:sz="4" w:space="0"/>
              <w:right w:val="single" w:color="auto" w:sz="4" w:space="0"/>
            </w:tcBorders>
            <w:noWrap w:val="0"/>
            <w:vAlign w:val="center"/>
          </w:tcPr>
          <w:p w14:paraId="22E0E883">
            <w:pPr>
              <w:keepNext w:val="0"/>
              <w:keepLines w:val="0"/>
              <w:pageBreakBefore w:val="0"/>
              <w:widowControl w:val="0"/>
              <w:numPr>
                <w:ilvl w:val="0"/>
                <w:numId w:val="24"/>
              </w:numPr>
              <w:kinsoku/>
              <w:wordWrap/>
              <w:overflowPunct/>
              <w:topLinePunct w:val="0"/>
              <w:autoSpaceDE/>
              <w:autoSpaceDN/>
              <w:bidi w:val="0"/>
              <w:spacing w:line="560" w:lineRule="exact"/>
              <w:ind w:left="0" w:leftChars="0" w:firstLine="0" w:firstLineChars="0"/>
              <w:jc w:val="center"/>
              <w:textAlignment w:val="auto"/>
              <w:rPr>
                <w:rFonts w:hint="eastAsia" w:ascii="仿宋_GB2312" w:eastAsia="仿宋_GB2312" w:cs="仿宋_GB2312"/>
                <w:b w:val="0"/>
                <w:bCs w:val="0"/>
                <w:sz w:val="28"/>
                <w:szCs w:val="28"/>
              </w:rPr>
            </w:pPr>
          </w:p>
        </w:tc>
        <w:tc>
          <w:tcPr>
            <w:tcW w:w="3939" w:type="dxa"/>
            <w:tcBorders>
              <w:top w:val="single" w:color="auto" w:sz="4" w:space="0"/>
              <w:left w:val="nil"/>
              <w:bottom w:val="single" w:color="auto" w:sz="4" w:space="0"/>
              <w:right w:val="single" w:color="auto" w:sz="4" w:space="0"/>
            </w:tcBorders>
            <w:noWrap w:val="0"/>
            <w:vAlign w:val="center"/>
          </w:tcPr>
          <w:p w14:paraId="5EFD45E3">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档案完整率</w:t>
            </w:r>
          </w:p>
        </w:tc>
        <w:tc>
          <w:tcPr>
            <w:tcW w:w="3402" w:type="dxa"/>
            <w:tcBorders>
              <w:top w:val="single" w:color="auto" w:sz="4" w:space="0"/>
              <w:left w:val="nil"/>
              <w:bottom w:val="single" w:color="auto" w:sz="4" w:space="0"/>
              <w:right w:val="single" w:color="auto" w:sz="4" w:space="0"/>
            </w:tcBorders>
            <w:noWrap w:val="0"/>
            <w:vAlign w:val="center"/>
          </w:tcPr>
          <w:p w14:paraId="3B30C13F">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eastAsia="仿宋_GB2312" w:cs="仿宋_GB2312"/>
                <w:b w:val="0"/>
                <w:bCs w:val="0"/>
                <w:sz w:val="28"/>
                <w:szCs w:val="28"/>
              </w:rPr>
            </w:pPr>
            <w:r>
              <w:rPr>
                <w:rFonts w:hint="eastAsia" w:ascii="仿宋_GB2312" w:eastAsia="仿宋_GB2312" w:cs="仿宋_GB2312"/>
                <w:b w:val="0"/>
                <w:bCs w:val="0"/>
                <w:color w:val="00000A"/>
                <w:sz w:val="28"/>
                <w:szCs w:val="28"/>
                <w:lang w:bidi="ar"/>
              </w:rPr>
              <w:t>100%</w:t>
            </w:r>
          </w:p>
        </w:tc>
      </w:tr>
    </w:tbl>
    <w:p w14:paraId="48E9544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rPr>
        <w:t>（</w:t>
      </w:r>
      <w:r>
        <w:rPr>
          <w:rFonts w:hint="eastAsia" w:ascii="楷体_GB2312" w:hAnsi="楷体_GB2312" w:eastAsia="楷体_GB2312" w:cs="楷体_GB2312"/>
          <w:b w:val="0"/>
          <w:bCs w:val="0"/>
          <w:sz w:val="32"/>
          <w:lang w:eastAsia="zh-CN"/>
        </w:rPr>
        <w:t>六</w:t>
      </w:r>
      <w:r>
        <w:rPr>
          <w:rFonts w:hint="eastAsia" w:ascii="楷体_GB2312" w:hAnsi="楷体_GB2312" w:eastAsia="楷体_GB2312" w:cs="楷体_GB2312"/>
          <w:b w:val="0"/>
          <w:bCs w:val="0"/>
          <w:sz w:val="32"/>
        </w:rPr>
        <w:t>）人员配置要求</w:t>
      </w:r>
      <w:bookmarkStart w:id="0" w:name="_Toc65163243"/>
    </w:p>
    <w:p w14:paraId="306B05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b w:val="0"/>
          <w:bCs w:val="0"/>
          <w:sz w:val="32"/>
        </w:rPr>
      </w:pPr>
      <w:r>
        <w:rPr>
          <w:rFonts w:hint="eastAsia" w:ascii="仿宋_GB2312" w:eastAsia="仿宋_GB2312"/>
          <w:b w:val="0"/>
          <w:bCs w:val="0"/>
          <w:sz w:val="32"/>
        </w:rPr>
        <w:t>项目实行</w:t>
      </w:r>
      <w:r>
        <w:rPr>
          <w:rFonts w:hint="eastAsia" w:ascii="仿宋_GB2312" w:hAnsi="仿宋_GB2312" w:eastAsia="仿宋_GB2312" w:cs="仿宋_GB2312"/>
          <w:b w:val="0"/>
          <w:bCs w:val="0"/>
          <w:color w:val="000000"/>
          <w:sz w:val="32"/>
          <w:szCs w:val="32"/>
        </w:rPr>
        <w:t>以项目经理为</w:t>
      </w:r>
      <w:r>
        <w:rPr>
          <w:rFonts w:hint="eastAsia" w:ascii="仿宋_GB2312" w:hAnsi="仿宋_GB2312" w:eastAsia="仿宋_GB2312" w:cs="仿宋_GB2312"/>
          <w:b w:val="0"/>
          <w:bCs w:val="0"/>
          <w:color w:val="000000"/>
          <w:sz w:val="32"/>
          <w:szCs w:val="32"/>
          <w:lang w:val="en-US" w:eastAsia="zh-CN"/>
        </w:rPr>
        <w:t>主干</w:t>
      </w:r>
      <w:r>
        <w:rPr>
          <w:rFonts w:hint="eastAsia" w:ascii="仿宋_GB2312" w:hAnsi="仿宋_GB2312" w:eastAsia="仿宋_GB2312" w:cs="仿宋_GB2312"/>
          <w:b w:val="0"/>
          <w:bCs w:val="0"/>
          <w:color w:val="000000"/>
          <w:sz w:val="32"/>
          <w:szCs w:val="32"/>
        </w:rPr>
        <w:t>、全面协调客服、安保、工程、环境各服务条线的组织架构，</w:t>
      </w:r>
      <w:r>
        <w:rPr>
          <w:rFonts w:hint="eastAsia" w:ascii="仿宋_GB2312" w:eastAsia="仿宋_GB2312"/>
          <w:b w:val="0"/>
          <w:bCs w:val="0"/>
          <w:sz w:val="32"/>
          <w:lang w:eastAsia="zh-CN"/>
        </w:rPr>
        <w:t>中标方</w:t>
      </w:r>
      <w:r>
        <w:rPr>
          <w:rFonts w:hint="eastAsia" w:ascii="仿宋_GB2312" w:eastAsia="仿宋_GB2312"/>
          <w:b w:val="0"/>
          <w:bCs w:val="0"/>
          <w:sz w:val="32"/>
        </w:rPr>
        <w:t>指定管理经验丰富的相关人员为本项目负责人，负责本物业管理区域的整体运营和管理。同时结合项目特点及项目总费用合理设置岗位和人数，配备素质高、能力强、服务好、形象佳的物业服务团队，经招标人确认后，遵照执行。</w:t>
      </w:r>
      <w:bookmarkEnd w:id="0"/>
      <w:r>
        <w:rPr>
          <w:rFonts w:hint="eastAsia" w:ascii="仿宋_GB2312" w:eastAsia="仿宋_GB2312"/>
          <w:b w:val="0"/>
          <w:bCs w:val="0"/>
          <w:sz w:val="32"/>
        </w:rPr>
        <w:t>主要岗位人员要求如下：</w:t>
      </w:r>
    </w:p>
    <w:tbl>
      <w:tblPr>
        <w:tblStyle w:val="7"/>
        <w:tblW w:w="8277" w:type="dxa"/>
        <w:jc w:val="center"/>
        <w:tblLayout w:type="fixed"/>
        <w:tblCellMar>
          <w:top w:w="0" w:type="dxa"/>
          <w:left w:w="0" w:type="dxa"/>
          <w:bottom w:w="0" w:type="dxa"/>
          <w:right w:w="0" w:type="dxa"/>
        </w:tblCellMar>
      </w:tblPr>
      <w:tblGrid>
        <w:gridCol w:w="397"/>
        <w:gridCol w:w="1077"/>
        <w:gridCol w:w="6803"/>
      </w:tblGrid>
      <w:tr w14:paraId="053BAB6E">
        <w:tblPrEx>
          <w:tblCellMar>
            <w:top w:w="0" w:type="dxa"/>
            <w:left w:w="0" w:type="dxa"/>
            <w:bottom w:w="0" w:type="dxa"/>
            <w:right w:w="0" w:type="dxa"/>
          </w:tblCellMar>
        </w:tblPrEx>
        <w:trPr>
          <w:trHeight w:val="48" w:hRule="atLeast"/>
          <w:jc w:val="center"/>
        </w:trPr>
        <w:tc>
          <w:tcPr>
            <w:tcW w:w="397" w:type="dxa"/>
            <w:tcBorders>
              <w:top w:val="single" w:color="000000" w:sz="8"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1376A8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序号</w:t>
            </w:r>
          </w:p>
        </w:tc>
        <w:tc>
          <w:tcPr>
            <w:tcW w:w="1077" w:type="dxa"/>
            <w:tcBorders>
              <w:top w:val="single" w:color="000000" w:sz="8" w:space="0"/>
              <w:left w:val="nil"/>
              <w:bottom w:val="single" w:color="auto" w:sz="4" w:space="0"/>
              <w:right w:val="single" w:color="000000" w:sz="8" w:space="0"/>
            </w:tcBorders>
            <w:noWrap w:val="0"/>
            <w:tcMar>
              <w:top w:w="12" w:type="dxa"/>
              <w:left w:w="12" w:type="dxa"/>
              <w:bottom w:w="0" w:type="dxa"/>
              <w:right w:w="12" w:type="dxa"/>
            </w:tcMar>
            <w:vAlign w:val="center"/>
          </w:tcPr>
          <w:p w14:paraId="0E43F6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岗位</w:t>
            </w:r>
          </w:p>
          <w:p w14:paraId="7A4C38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类别</w:t>
            </w:r>
          </w:p>
        </w:tc>
        <w:tc>
          <w:tcPr>
            <w:tcW w:w="6803" w:type="dxa"/>
            <w:tcBorders>
              <w:top w:val="single" w:color="000000" w:sz="8" w:space="0"/>
              <w:left w:val="nil"/>
              <w:bottom w:val="single" w:color="auto" w:sz="4" w:space="0"/>
              <w:right w:val="single" w:color="000000" w:sz="8" w:space="0"/>
            </w:tcBorders>
            <w:noWrap w:val="0"/>
            <w:tcMar>
              <w:top w:w="12" w:type="dxa"/>
              <w:left w:w="12" w:type="dxa"/>
              <w:bottom w:w="0" w:type="dxa"/>
              <w:right w:w="12" w:type="dxa"/>
            </w:tcMar>
            <w:vAlign w:val="center"/>
          </w:tcPr>
          <w:p w14:paraId="5BA174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人员素质要求</w:t>
            </w:r>
          </w:p>
        </w:tc>
      </w:tr>
      <w:tr w14:paraId="22CF458F">
        <w:tblPrEx>
          <w:tblCellMar>
            <w:top w:w="0" w:type="dxa"/>
            <w:left w:w="0" w:type="dxa"/>
            <w:bottom w:w="0" w:type="dxa"/>
            <w:right w:w="0" w:type="dxa"/>
          </w:tblCellMar>
        </w:tblPrEx>
        <w:trPr>
          <w:trHeight w:val="90" w:hRule="atLeast"/>
          <w:jc w:val="center"/>
        </w:trPr>
        <w:tc>
          <w:tcPr>
            <w:tcW w:w="397"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14AC00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w:t>
            </w:r>
          </w:p>
        </w:tc>
        <w:tc>
          <w:tcPr>
            <w:tcW w:w="1077" w:type="dxa"/>
            <w:tcBorders>
              <w:top w:val="single" w:color="auto" w:sz="4" w:space="0"/>
              <w:left w:val="nil"/>
              <w:bottom w:val="single" w:color="auto" w:sz="4" w:space="0"/>
              <w:right w:val="single" w:color="000000" w:sz="8" w:space="0"/>
            </w:tcBorders>
            <w:noWrap w:val="0"/>
            <w:tcMar>
              <w:top w:w="12" w:type="dxa"/>
              <w:left w:w="12" w:type="dxa"/>
              <w:bottom w:w="0" w:type="dxa"/>
              <w:right w:w="12" w:type="dxa"/>
            </w:tcMar>
            <w:vAlign w:val="center"/>
          </w:tcPr>
          <w:p w14:paraId="116791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项目总经理</w:t>
            </w:r>
          </w:p>
        </w:tc>
        <w:tc>
          <w:tcPr>
            <w:tcW w:w="6803"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19DE28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1.本项目总经理，要求具有本科或以上学历，年龄要求45周岁以下，全国物业管理企业经理证书；</w:t>
            </w:r>
          </w:p>
          <w:p w14:paraId="4656BFB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2.具备同类物业（总建面不小于30万平方米）管理从业经验5年以上且担任该项目的物业总经理；</w:t>
            </w:r>
          </w:p>
          <w:p w14:paraId="57AE80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3.具备物业项目全面管理能力和成本控制流程制定能力，有清晰的物业项目管理思路和卓越服务理念；</w:t>
            </w:r>
          </w:p>
          <w:p w14:paraId="396738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4.具备优秀的决策能力、执行能力、组织能力、协调能力、创新能力和抗压能力，能有效融入业主管理思路及理念，持续为业主提供有价值、可行的管理策略。亲和力强具有良好服务意识和团队合作意识；</w:t>
            </w:r>
          </w:p>
          <w:p w14:paraId="3609B7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5.具备工程管理和安全管理等经验；</w:t>
            </w:r>
          </w:p>
          <w:p w14:paraId="5F084D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6.熟悉物业管理有关要求。</w:t>
            </w:r>
          </w:p>
        </w:tc>
      </w:tr>
      <w:tr w14:paraId="0463A391">
        <w:tblPrEx>
          <w:tblCellMar>
            <w:top w:w="0" w:type="dxa"/>
            <w:left w:w="0" w:type="dxa"/>
            <w:bottom w:w="0" w:type="dxa"/>
            <w:right w:w="0" w:type="dxa"/>
          </w:tblCellMar>
        </w:tblPrEx>
        <w:trPr>
          <w:trHeight w:val="90" w:hRule="atLeast"/>
          <w:jc w:val="center"/>
        </w:trPr>
        <w:tc>
          <w:tcPr>
            <w:tcW w:w="397"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201FBAF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w:t>
            </w:r>
          </w:p>
        </w:tc>
        <w:tc>
          <w:tcPr>
            <w:tcW w:w="1077" w:type="dxa"/>
            <w:tcBorders>
              <w:top w:val="single" w:color="auto" w:sz="4" w:space="0"/>
              <w:left w:val="nil"/>
              <w:bottom w:val="single" w:color="auto" w:sz="4" w:space="0"/>
              <w:right w:val="single" w:color="000000" w:sz="8" w:space="0"/>
            </w:tcBorders>
            <w:noWrap w:val="0"/>
            <w:tcMar>
              <w:top w:w="12" w:type="dxa"/>
              <w:left w:w="12" w:type="dxa"/>
              <w:bottom w:w="0" w:type="dxa"/>
              <w:right w:w="12" w:type="dxa"/>
            </w:tcMar>
            <w:vAlign w:val="center"/>
          </w:tcPr>
          <w:p w14:paraId="76595E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工程部经理</w:t>
            </w:r>
          </w:p>
        </w:tc>
        <w:tc>
          <w:tcPr>
            <w:tcW w:w="6803"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457040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1.大专及以上学历，工程管理相关专业，年龄要求50周岁以下，具有中级工程师及以上技术职称；</w:t>
            </w:r>
          </w:p>
          <w:p w14:paraId="689EC98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2.具备同类园区物业（总建面不小于30万平方米）工程管理从业经验5年以上；</w:t>
            </w:r>
          </w:p>
          <w:p w14:paraId="08103F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3.对园区建筑结构和装修以及暖通、空调、电力和弱电等方面专业知识有较全面了解；</w:t>
            </w:r>
          </w:p>
          <w:p w14:paraId="56B655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4.具备</w:t>
            </w:r>
            <w:r>
              <w:rPr>
                <w:rFonts w:hint="eastAsia" w:ascii="仿宋_GB2312" w:hAnsi="仿宋" w:eastAsia="仿宋_GB2312" w:cs="Arial"/>
                <w:b w:val="0"/>
                <w:bCs w:val="0"/>
                <w:sz w:val="28"/>
                <w:szCs w:val="28"/>
                <w:lang w:val="en-US" w:eastAsia="zh-CN"/>
              </w:rPr>
              <w:t>写字楼（研发办公）、生产厂房及食堂</w:t>
            </w:r>
            <w:r>
              <w:rPr>
                <w:rFonts w:hint="eastAsia" w:ascii="仿宋_GB2312" w:hAnsi="仿宋" w:eastAsia="仿宋_GB2312" w:cs="Arial"/>
                <w:b w:val="0"/>
                <w:bCs w:val="0"/>
                <w:sz w:val="28"/>
                <w:szCs w:val="28"/>
              </w:rPr>
              <w:t>接管验收、档案管理、工程改造、装修施工、工单管理、流程优化等专业经验；</w:t>
            </w:r>
          </w:p>
          <w:p w14:paraId="7203FF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5.对</w:t>
            </w:r>
            <w:r>
              <w:rPr>
                <w:rFonts w:hint="eastAsia" w:ascii="仿宋_GB2312" w:hAnsi="仿宋" w:eastAsia="仿宋_GB2312" w:cs="Arial"/>
                <w:b w:val="0"/>
                <w:bCs w:val="0"/>
                <w:sz w:val="28"/>
                <w:szCs w:val="28"/>
                <w:lang w:val="en-US" w:eastAsia="zh-CN"/>
              </w:rPr>
              <w:t>写字楼（研发用房）、生产厂房及食堂</w:t>
            </w:r>
            <w:r>
              <w:rPr>
                <w:rFonts w:hint="eastAsia" w:ascii="仿宋_GB2312" w:hAnsi="仿宋" w:eastAsia="仿宋_GB2312" w:cs="Arial"/>
                <w:b w:val="0"/>
                <w:bCs w:val="0"/>
                <w:sz w:val="28"/>
                <w:szCs w:val="28"/>
              </w:rPr>
              <w:t>全生命周期管理有较强执行、控制、指导能力，良好的口头、书面表达能力。</w:t>
            </w:r>
          </w:p>
        </w:tc>
      </w:tr>
      <w:tr w14:paraId="72693B17">
        <w:tblPrEx>
          <w:tblCellMar>
            <w:top w:w="0" w:type="dxa"/>
            <w:left w:w="0" w:type="dxa"/>
            <w:bottom w:w="0" w:type="dxa"/>
            <w:right w:w="0" w:type="dxa"/>
          </w:tblCellMar>
        </w:tblPrEx>
        <w:trPr>
          <w:trHeight w:val="1608" w:hRule="atLeast"/>
          <w:jc w:val="center"/>
        </w:trPr>
        <w:tc>
          <w:tcPr>
            <w:tcW w:w="397"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6DFBD2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w:t>
            </w:r>
          </w:p>
        </w:tc>
        <w:tc>
          <w:tcPr>
            <w:tcW w:w="1077" w:type="dxa"/>
            <w:tcBorders>
              <w:top w:val="single" w:color="auto" w:sz="4" w:space="0"/>
              <w:left w:val="nil"/>
              <w:bottom w:val="single" w:color="auto" w:sz="4" w:space="0"/>
              <w:right w:val="single" w:color="000000" w:sz="8" w:space="0"/>
            </w:tcBorders>
            <w:noWrap w:val="0"/>
            <w:tcMar>
              <w:top w:w="12" w:type="dxa"/>
              <w:left w:w="12" w:type="dxa"/>
              <w:bottom w:w="0" w:type="dxa"/>
              <w:right w:w="12" w:type="dxa"/>
            </w:tcMar>
            <w:vAlign w:val="center"/>
          </w:tcPr>
          <w:p w14:paraId="720C98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安全经理</w:t>
            </w:r>
          </w:p>
        </w:tc>
        <w:tc>
          <w:tcPr>
            <w:tcW w:w="6803"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2E786EF1">
            <w:pPr>
              <w:keepNext w:val="0"/>
              <w:keepLines w:val="0"/>
              <w:pageBreakBefore w:val="0"/>
              <w:widowControl w:val="0"/>
              <w:tabs>
                <w:tab w:val="left" w:pos="312"/>
              </w:tabs>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1.大专及以上学历，年龄要求45周岁以下；</w:t>
            </w:r>
          </w:p>
          <w:p w14:paraId="6403DA1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2.具备同类园区物业（总建面不小于30万平方米）安全管理从业经验5年以上；</w:t>
            </w:r>
          </w:p>
          <w:p w14:paraId="0506BF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3.熟悉安全消防相关法律法规，具备一定的组织管理能力和风险管理知识，结合业主要求积极配合落实各项工作。</w:t>
            </w:r>
          </w:p>
        </w:tc>
      </w:tr>
      <w:tr w14:paraId="2BBB0AA5">
        <w:tblPrEx>
          <w:tblCellMar>
            <w:top w:w="0" w:type="dxa"/>
            <w:left w:w="0" w:type="dxa"/>
            <w:bottom w:w="0" w:type="dxa"/>
            <w:right w:w="0" w:type="dxa"/>
          </w:tblCellMar>
        </w:tblPrEx>
        <w:trPr>
          <w:trHeight w:val="90"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0D74AD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527F3BC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客服经理</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301129B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1.大专及以上学历，年龄要求40周岁以下；</w:t>
            </w:r>
          </w:p>
          <w:p w14:paraId="6F4360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 w:eastAsia="仿宋_GB2312" w:cs="Arial"/>
                <w:b w:val="0"/>
                <w:bCs w:val="0"/>
                <w:sz w:val="28"/>
                <w:szCs w:val="28"/>
                <w:lang w:val="en-US" w:eastAsia="zh-CN"/>
              </w:rPr>
            </w:pPr>
            <w:r>
              <w:rPr>
                <w:rFonts w:hint="eastAsia" w:ascii="仿宋_GB2312" w:hAnsi="仿宋" w:eastAsia="仿宋_GB2312" w:cs="Arial"/>
                <w:b w:val="0"/>
                <w:bCs w:val="0"/>
                <w:sz w:val="28"/>
                <w:szCs w:val="28"/>
              </w:rPr>
              <w:t>2.具备物业管理服务从业经验5年以上，具有写字楼</w:t>
            </w:r>
            <w:r>
              <w:rPr>
                <w:rFonts w:hint="eastAsia" w:ascii="仿宋_GB2312" w:hAnsi="仿宋" w:eastAsia="仿宋_GB2312" w:cs="Arial"/>
                <w:b w:val="0"/>
                <w:bCs w:val="0"/>
                <w:sz w:val="28"/>
                <w:szCs w:val="28"/>
                <w:lang w:eastAsia="zh-CN"/>
              </w:rPr>
              <w:t>（</w:t>
            </w:r>
            <w:r>
              <w:rPr>
                <w:rFonts w:hint="eastAsia" w:ascii="仿宋_GB2312" w:hAnsi="仿宋" w:eastAsia="仿宋_GB2312" w:cs="Arial"/>
                <w:b w:val="0"/>
                <w:bCs w:val="0"/>
                <w:sz w:val="28"/>
                <w:szCs w:val="28"/>
                <w:lang w:val="en-US" w:eastAsia="zh-CN"/>
              </w:rPr>
              <w:t>研发办公</w:t>
            </w:r>
            <w:r>
              <w:rPr>
                <w:rFonts w:hint="eastAsia" w:ascii="仿宋_GB2312" w:hAnsi="仿宋" w:eastAsia="仿宋_GB2312" w:cs="Arial"/>
                <w:b w:val="0"/>
                <w:bCs w:val="0"/>
                <w:sz w:val="28"/>
                <w:szCs w:val="28"/>
                <w:lang w:eastAsia="zh-CN"/>
              </w:rPr>
              <w:t>）、</w:t>
            </w:r>
            <w:r>
              <w:rPr>
                <w:rFonts w:hint="eastAsia" w:ascii="仿宋_GB2312" w:hAnsi="仿宋" w:eastAsia="仿宋_GB2312" w:cs="Arial"/>
                <w:b w:val="0"/>
                <w:bCs w:val="0"/>
                <w:sz w:val="28"/>
                <w:szCs w:val="28"/>
                <w:lang w:val="en-US" w:eastAsia="zh-CN"/>
              </w:rPr>
              <w:t>生产厂房及集中食堂（餐饮）</w:t>
            </w:r>
            <w:r>
              <w:rPr>
                <w:rFonts w:hint="eastAsia" w:ascii="仿宋_GB2312" w:hAnsi="仿宋" w:eastAsia="仿宋_GB2312" w:cs="Arial"/>
                <w:b w:val="0"/>
                <w:bCs w:val="0"/>
                <w:sz w:val="28"/>
                <w:szCs w:val="28"/>
              </w:rPr>
              <w:t>客服管理从业经验、</w:t>
            </w:r>
            <w:r>
              <w:rPr>
                <w:rFonts w:hint="eastAsia" w:ascii="仿宋_GB2312" w:hAnsi="仿宋" w:eastAsia="仿宋_GB2312" w:cs="Arial"/>
                <w:b w:val="0"/>
                <w:bCs w:val="0"/>
                <w:sz w:val="28"/>
                <w:szCs w:val="28"/>
                <w:lang w:val="en-US" w:eastAsia="zh-CN"/>
              </w:rPr>
              <w:t>半导体产业园</w:t>
            </w:r>
            <w:r>
              <w:rPr>
                <w:rFonts w:hint="eastAsia" w:ascii="仿宋_GB2312" w:hAnsi="仿宋" w:eastAsia="仿宋_GB2312" w:cs="Arial"/>
                <w:b w:val="0"/>
                <w:bCs w:val="0"/>
                <w:sz w:val="28"/>
                <w:szCs w:val="28"/>
              </w:rPr>
              <w:t>项目客服管理经验或四星级及以上酒店品质或客服管理经验</w:t>
            </w:r>
            <w:r>
              <w:rPr>
                <w:rFonts w:hint="eastAsia" w:ascii="仿宋_GB2312" w:hAnsi="仿宋" w:eastAsia="仿宋_GB2312" w:cs="Arial"/>
                <w:b w:val="0"/>
                <w:bCs w:val="0"/>
                <w:sz w:val="28"/>
                <w:szCs w:val="28"/>
                <w:lang w:eastAsia="zh-CN"/>
              </w:rPr>
              <w:t>、</w:t>
            </w:r>
            <w:r>
              <w:rPr>
                <w:rFonts w:hint="eastAsia" w:ascii="仿宋_GB2312" w:hAnsi="仿宋" w:eastAsia="仿宋_GB2312" w:cs="Arial"/>
                <w:b w:val="0"/>
                <w:bCs w:val="0"/>
                <w:sz w:val="28"/>
                <w:szCs w:val="28"/>
                <w:lang w:val="en-US" w:eastAsia="zh-CN"/>
              </w:rPr>
              <w:t>食堂或餐饮品质或客服管理经验。</w:t>
            </w:r>
          </w:p>
          <w:p w14:paraId="51189C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3.语言表达能力强，具有良好的问题分析、风险识别及解决能力。具有良好的服务意识和交流沟通能力。</w:t>
            </w:r>
          </w:p>
        </w:tc>
      </w:tr>
      <w:tr w14:paraId="22B34479">
        <w:tblPrEx>
          <w:tblCellMar>
            <w:top w:w="0" w:type="dxa"/>
            <w:left w:w="0" w:type="dxa"/>
            <w:bottom w:w="0" w:type="dxa"/>
            <w:right w:w="0" w:type="dxa"/>
          </w:tblCellMar>
        </w:tblPrEx>
        <w:trPr>
          <w:trHeight w:val="90"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6BCC2B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5</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35CB67B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客服主管</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4B1475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1.大专及以上学历，年龄要求40周岁以下，身高165cm以上，形象气质佳，仪容端庄整洁。</w:t>
            </w:r>
          </w:p>
          <w:p w14:paraId="6DF24E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2.具备客户服务工作经验5年以上；其中</w:t>
            </w:r>
            <w:r>
              <w:rPr>
                <w:rFonts w:hint="eastAsia" w:ascii="仿宋_GB2312" w:hAnsi="仿宋" w:eastAsia="仿宋_GB2312" w:cs="Arial"/>
                <w:b w:val="0"/>
                <w:bCs w:val="0"/>
                <w:sz w:val="28"/>
                <w:szCs w:val="28"/>
                <w:lang w:val="en-US" w:eastAsia="zh-CN"/>
              </w:rPr>
              <w:t>研发用房</w:t>
            </w:r>
            <w:r>
              <w:rPr>
                <w:rFonts w:hint="eastAsia" w:ascii="仿宋_GB2312" w:hAnsi="仿宋" w:eastAsia="仿宋_GB2312" w:cs="Arial"/>
                <w:b w:val="0"/>
                <w:bCs w:val="0"/>
                <w:sz w:val="28"/>
                <w:szCs w:val="28"/>
              </w:rPr>
              <w:t>客服主管要求具有</w:t>
            </w:r>
            <w:r>
              <w:rPr>
                <w:rFonts w:hint="eastAsia" w:ascii="仿宋_GB2312" w:hAnsi="仿宋" w:eastAsia="仿宋_GB2312" w:cs="Arial"/>
                <w:b w:val="0"/>
                <w:bCs w:val="0"/>
                <w:sz w:val="28"/>
                <w:szCs w:val="28"/>
                <w:lang w:val="en-US" w:eastAsia="zh-CN"/>
              </w:rPr>
              <w:t>甲级</w:t>
            </w:r>
            <w:r>
              <w:rPr>
                <w:rFonts w:hint="eastAsia" w:ascii="仿宋_GB2312" w:hAnsi="仿宋" w:eastAsia="仿宋_GB2312" w:cs="Arial"/>
                <w:b w:val="0"/>
                <w:bCs w:val="0"/>
                <w:sz w:val="28"/>
                <w:szCs w:val="28"/>
              </w:rPr>
              <w:t>写字楼客服管理从业经验；</w:t>
            </w:r>
            <w:r>
              <w:rPr>
                <w:rFonts w:hint="eastAsia" w:ascii="仿宋_GB2312" w:hAnsi="仿宋" w:eastAsia="仿宋_GB2312" w:cs="Arial"/>
                <w:b w:val="0"/>
                <w:bCs w:val="0"/>
                <w:sz w:val="28"/>
                <w:szCs w:val="28"/>
                <w:lang w:val="en-US" w:eastAsia="zh-CN"/>
              </w:rPr>
              <w:t>生产厂房</w:t>
            </w:r>
            <w:r>
              <w:rPr>
                <w:rFonts w:hint="eastAsia" w:ascii="仿宋_GB2312" w:hAnsi="仿宋" w:eastAsia="仿宋_GB2312" w:cs="Arial"/>
                <w:b w:val="0"/>
                <w:bCs w:val="0"/>
                <w:sz w:val="28"/>
                <w:szCs w:val="28"/>
              </w:rPr>
              <w:t>客服主管要求具有</w:t>
            </w:r>
            <w:r>
              <w:rPr>
                <w:rFonts w:hint="eastAsia" w:ascii="仿宋_GB2312" w:hAnsi="仿宋" w:eastAsia="仿宋_GB2312" w:cs="Arial"/>
                <w:b w:val="0"/>
                <w:bCs w:val="0"/>
                <w:sz w:val="28"/>
                <w:szCs w:val="28"/>
                <w:lang w:val="en-US" w:eastAsia="zh-CN"/>
              </w:rPr>
              <w:t>半导体产业园区</w:t>
            </w:r>
            <w:r>
              <w:rPr>
                <w:rFonts w:hint="eastAsia" w:ascii="仿宋_GB2312" w:hAnsi="仿宋" w:eastAsia="仿宋_GB2312" w:cs="Arial"/>
                <w:b w:val="0"/>
                <w:bCs w:val="0"/>
                <w:sz w:val="28"/>
                <w:szCs w:val="28"/>
              </w:rPr>
              <w:t>项目客服管理经验，</w:t>
            </w:r>
            <w:r>
              <w:rPr>
                <w:rFonts w:hint="eastAsia" w:ascii="仿宋_GB2312" w:hAnsi="仿宋" w:eastAsia="仿宋_GB2312" w:cs="Arial"/>
                <w:b w:val="0"/>
                <w:bCs w:val="0"/>
                <w:sz w:val="28"/>
                <w:szCs w:val="28"/>
                <w:lang w:val="en-US" w:eastAsia="zh-CN"/>
              </w:rPr>
              <w:t>食堂或餐饮品质或客服管理经验。</w:t>
            </w:r>
            <w:r>
              <w:rPr>
                <w:rFonts w:hint="eastAsia" w:ascii="仿宋_GB2312" w:hAnsi="仿宋" w:eastAsia="仿宋_GB2312" w:cs="Arial"/>
                <w:b w:val="0"/>
                <w:bCs w:val="0"/>
                <w:sz w:val="28"/>
                <w:szCs w:val="28"/>
              </w:rPr>
              <w:t>善于处理客诉问题。</w:t>
            </w:r>
          </w:p>
          <w:p w14:paraId="3AD421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3.具备较强的服务意识，能够主动为客户提供优质服务。</w:t>
            </w:r>
          </w:p>
        </w:tc>
      </w:tr>
      <w:tr w14:paraId="073497A1">
        <w:tblPrEx>
          <w:tblCellMar>
            <w:top w:w="0" w:type="dxa"/>
            <w:left w:w="0" w:type="dxa"/>
            <w:bottom w:w="0" w:type="dxa"/>
            <w:right w:w="0" w:type="dxa"/>
          </w:tblCellMar>
        </w:tblPrEx>
        <w:trPr>
          <w:trHeight w:val="1417"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1BF13F4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6</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102B5AA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电气工程师（电气主管）</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505E90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1.大专及以上学历，强电类相关专业，年龄要求50周岁以下，具有助理工程师及以上技术职称；</w:t>
            </w:r>
          </w:p>
          <w:p w14:paraId="001BB2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2.具备相关专业工作经验5年以上；</w:t>
            </w:r>
          </w:p>
          <w:p w14:paraId="64615D6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3.具备工程管理经验及与供电部门的沟通协调经验；</w:t>
            </w:r>
          </w:p>
          <w:p w14:paraId="7D2CAA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4.良好的口头、书面表达能力。</w:t>
            </w:r>
          </w:p>
        </w:tc>
      </w:tr>
      <w:tr w14:paraId="7750BF3B">
        <w:tblPrEx>
          <w:tblCellMar>
            <w:top w:w="0" w:type="dxa"/>
            <w:left w:w="0" w:type="dxa"/>
            <w:bottom w:w="0" w:type="dxa"/>
            <w:right w:w="0" w:type="dxa"/>
          </w:tblCellMar>
        </w:tblPrEx>
        <w:trPr>
          <w:trHeight w:val="1110"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1A1D734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7</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3DE341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弱电工程师（弱电主管）</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14CA83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1.大专及以上学历，电气、自动化或机电工程类相关专业，年龄要求45周岁以下；具有助理工程师及以上技术职称；</w:t>
            </w:r>
          </w:p>
          <w:p w14:paraId="2F75B3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2.5年以上相关专业工作经验；</w:t>
            </w:r>
          </w:p>
          <w:p w14:paraId="1E94BD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3.具有大型智能大楼</w:t>
            </w:r>
            <w:r>
              <w:rPr>
                <w:rFonts w:hint="eastAsia" w:ascii="仿宋_GB2312" w:hAnsi="仿宋" w:eastAsia="仿宋_GB2312" w:cs="Arial"/>
                <w:b w:val="0"/>
                <w:bCs w:val="0"/>
                <w:sz w:val="28"/>
                <w:szCs w:val="28"/>
                <w:lang w:eastAsia="zh-CN"/>
              </w:rPr>
              <w:t>、</w:t>
            </w:r>
            <w:r>
              <w:rPr>
                <w:rFonts w:hint="eastAsia" w:ascii="仿宋_GB2312" w:hAnsi="仿宋" w:eastAsia="仿宋_GB2312" w:cs="Arial"/>
                <w:b w:val="0"/>
                <w:bCs w:val="0"/>
                <w:sz w:val="28"/>
                <w:szCs w:val="28"/>
                <w:lang w:val="en-US" w:eastAsia="zh-CN"/>
              </w:rPr>
              <w:t>大型智慧园区</w:t>
            </w:r>
            <w:r>
              <w:rPr>
                <w:rFonts w:hint="eastAsia" w:ascii="仿宋_GB2312" w:hAnsi="仿宋" w:eastAsia="仿宋_GB2312" w:cs="Arial"/>
                <w:b w:val="0"/>
                <w:bCs w:val="0"/>
                <w:sz w:val="28"/>
                <w:szCs w:val="28"/>
              </w:rPr>
              <w:t>弱电项目经验，包括综合布线，及网络、电话、电视、监控、楼控、安防等子系统的设备安装或维护经验；</w:t>
            </w:r>
          </w:p>
          <w:p w14:paraId="3428CE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4.良好的口头、书面表达能力。</w:t>
            </w:r>
          </w:p>
        </w:tc>
      </w:tr>
      <w:tr w14:paraId="6128D7AA">
        <w:tblPrEx>
          <w:tblCellMar>
            <w:top w:w="0" w:type="dxa"/>
            <w:left w:w="0" w:type="dxa"/>
            <w:bottom w:w="0" w:type="dxa"/>
            <w:right w:w="0" w:type="dxa"/>
          </w:tblCellMar>
        </w:tblPrEx>
        <w:trPr>
          <w:trHeight w:val="971"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0EE7D0E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8</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59A40B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暖通工程师（运行主管）</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19F0BA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1.大专及以上学历，制冷或相关专业毕业，45周岁以下，具有助理工程师及以上技术职称；</w:t>
            </w:r>
          </w:p>
          <w:p w14:paraId="2EC9C0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2.5年以上相关专业工作经验；</w:t>
            </w:r>
          </w:p>
          <w:p w14:paraId="134C42E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3.业务熟练，具备独立完成工作的能力。</w:t>
            </w:r>
          </w:p>
        </w:tc>
      </w:tr>
      <w:tr w14:paraId="4260B429">
        <w:tblPrEx>
          <w:tblCellMar>
            <w:top w:w="0" w:type="dxa"/>
            <w:left w:w="0" w:type="dxa"/>
            <w:bottom w:w="0" w:type="dxa"/>
            <w:right w:w="0" w:type="dxa"/>
          </w:tblCellMar>
        </w:tblPrEx>
        <w:trPr>
          <w:trHeight w:val="971"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45A490E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9</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3DE262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消防主管</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19E283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1.大专以上学历或消防退伍军人，持有消防设施操作员（中级）证书；</w:t>
            </w:r>
          </w:p>
          <w:p w14:paraId="208395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2.具备消防主管相关工作经验3年以上；</w:t>
            </w:r>
          </w:p>
          <w:p w14:paraId="21F9BB1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3.熟悉物业管理相关法律法规，具备较强应急事件处置能力，了解消防系统运行原理；</w:t>
            </w:r>
          </w:p>
          <w:p w14:paraId="0001F28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4.熟悉国家消防法律法规及地方消防法规，具有消防隐蔽工程及竣工验收能力，具有消防宣传培训能力；</w:t>
            </w:r>
          </w:p>
          <w:p w14:paraId="0ADBDD9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5.亲和力强，积极主动，具有强烈的责任心和事业心，团队协作能力；消防退伍军人优先。</w:t>
            </w:r>
          </w:p>
        </w:tc>
      </w:tr>
      <w:tr w14:paraId="568B3905">
        <w:tblPrEx>
          <w:tblCellMar>
            <w:top w:w="0" w:type="dxa"/>
            <w:left w:w="0" w:type="dxa"/>
            <w:bottom w:w="0" w:type="dxa"/>
            <w:right w:w="0" w:type="dxa"/>
          </w:tblCellMar>
        </w:tblPrEx>
        <w:trPr>
          <w:trHeight w:val="624"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743221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10</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4C271C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安全主管</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7DE1070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1.高中及以上学历，40周岁以下，1.70米以上；</w:t>
            </w:r>
          </w:p>
          <w:p w14:paraId="4225C3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2.安全相关工作经验3年以上；</w:t>
            </w:r>
          </w:p>
          <w:p w14:paraId="3CD82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3.岗位技能突出，执行力强，诚实正直，有一定的领导和沟通能力；</w:t>
            </w:r>
          </w:p>
          <w:p w14:paraId="695CAC5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4.对一般突发事件或安全事件可以进行基础处理与管控；</w:t>
            </w:r>
          </w:p>
          <w:p w14:paraId="6942FB0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5.持有效保安员证上岗。</w:t>
            </w:r>
          </w:p>
        </w:tc>
      </w:tr>
      <w:tr w14:paraId="0CC766DF">
        <w:tblPrEx>
          <w:tblCellMar>
            <w:top w:w="0" w:type="dxa"/>
            <w:left w:w="0" w:type="dxa"/>
            <w:bottom w:w="0" w:type="dxa"/>
            <w:right w:w="0" w:type="dxa"/>
          </w:tblCellMar>
        </w:tblPrEx>
        <w:trPr>
          <w:trHeight w:val="90"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4C8981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11</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7AD513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保安员</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1C991C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1.写字楼</w:t>
            </w:r>
            <w:r>
              <w:rPr>
                <w:rFonts w:hint="eastAsia" w:ascii="仿宋_GB2312" w:hAnsi="仿宋" w:eastAsia="仿宋_GB2312" w:cs="Arial"/>
                <w:b w:val="0"/>
                <w:bCs w:val="0"/>
                <w:sz w:val="28"/>
                <w:szCs w:val="28"/>
                <w:lang w:val="en-US" w:eastAsia="zh-CN"/>
              </w:rPr>
              <w:t>及食堂</w:t>
            </w:r>
            <w:r>
              <w:rPr>
                <w:rFonts w:hint="eastAsia" w:ascii="仿宋_GB2312" w:hAnsi="仿宋" w:eastAsia="仿宋_GB2312" w:cs="Arial"/>
                <w:b w:val="0"/>
                <w:bCs w:val="0"/>
                <w:sz w:val="28"/>
                <w:szCs w:val="28"/>
              </w:rPr>
              <w:t>部分要求35周岁以下，1.75米以上，五官端正，形象良好；</w:t>
            </w:r>
            <w:r>
              <w:rPr>
                <w:rFonts w:hint="eastAsia" w:ascii="仿宋_GB2312" w:hAnsi="仿宋" w:eastAsia="仿宋_GB2312" w:cs="Arial"/>
                <w:b w:val="0"/>
                <w:bCs w:val="0"/>
                <w:sz w:val="28"/>
                <w:szCs w:val="28"/>
                <w:lang w:val="en-US" w:eastAsia="zh-CN"/>
              </w:rPr>
              <w:t>生产厂房</w:t>
            </w:r>
            <w:r>
              <w:rPr>
                <w:rFonts w:hint="eastAsia" w:ascii="仿宋_GB2312" w:hAnsi="仿宋" w:eastAsia="仿宋_GB2312" w:cs="Arial"/>
                <w:b w:val="0"/>
                <w:bCs w:val="0"/>
                <w:sz w:val="28"/>
                <w:szCs w:val="28"/>
              </w:rPr>
              <w:t>部分要求45周岁以下，1.70米以上；</w:t>
            </w:r>
          </w:p>
          <w:p w14:paraId="7B2788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2.具备保安员证；</w:t>
            </w:r>
          </w:p>
          <w:p w14:paraId="3F5EF4D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3.具有较强的服务意识，负有责任心，普通话准确。</w:t>
            </w:r>
          </w:p>
        </w:tc>
      </w:tr>
      <w:tr w14:paraId="6519515E">
        <w:tblPrEx>
          <w:tblCellMar>
            <w:top w:w="0" w:type="dxa"/>
            <w:left w:w="0" w:type="dxa"/>
            <w:bottom w:w="0" w:type="dxa"/>
            <w:right w:w="0" w:type="dxa"/>
          </w:tblCellMar>
        </w:tblPrEx>
        <w:trPr>
          <w:trHeight w:val="964" w:hRule="atLeast"/>
          <w:jc w:val="center"/>
        </w:trPr>
        <w:tc>
          <w:tcPr>
            <w:tcW w:w="397" w:type="dxa"/>
            <w:tcBorders>
              <w:top w:val="single" w:color="auto" w:sz="4" w:space="0"/>
              <w:left w:val="single" w:color="000000" w:sz="8" w:space="0"/>
              <w:bottom w:val="single" w:color="auto" w:sz="4" w:space="0"/>
              <w:right w:val="single" w:color="000000" w:sz="8" w:space="0"/>
            </w:tcBorders>
            <w:noWrap w:val="0"/>
            <w:tcMar>
              <w:top w:w="12" w:type="dxa"/>
              <w:left w:w="12" w:type="dxa"/>
              <w:bottom w:w="0" w:type="dxa"/>
              <w:right w:w="12" w:type="dxa"/>
            </w:tcMar>
            <w:vAlign w:val="center"/>
          </w:tcPr>
          <w:p w14:paraId="180E4A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12</w:t>
            </w:r>
          </w:p>
        </w:tc>
        <w:tc>
          <w:tcPr>
            <w:tcW w:w="1077" w:type="dxa"/>
            <w:tcBorders>
              <w:top w:val="single" w:color="auto" w:sz="4" w:space="0"/>
              <w:left w:val="nil"/>
              <w:bottom w:val="single" w:color="auto" w:sz="4" w:space="0"/>
              <w:right w:val="single" w:color="auto" w:sz="4" w:space="0"/>
            </w:tcBorders>
            <w:noWrap w:val="0"/>
            <w:tcMar>
              <w:top w:w="12" w:type="dxa"/>
              <w:left w:w="12" w:type="dxa"/>
              <w:bottom w:w="0" w:type="dxa"/>
              <w:right w:w="12" w:type="dxa"/>
            </w:tcMar>
            <w:vAlign w:val="center"/>
          </w:tcPr>
          <w:p w14:paraId="345D94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写字楼大堂、前台接待</w:t>
            </w:r>
          </w:p>
        </w:tc>
        <w:tc>
          <w:tcPr>
            <w:tcW w:w="6803" w:type="dxa"/>
            <w:tcBorders>
              <w:top w:val="single" w:color="auto" w:sz="4" w:space="0"/>
              <w:left w:val="single" w:color="auto" w:sz="4" w:space="0"/>
              <w:bottom w:val="single" w:color="auto" w:sz="4" w:space="0"/>
              <w:right w:val="single" w:color="000000" w:sz="8" w:space="0"/>
            </w:tcBorders>
            <w:noWrap w:val="0"/>
            <w:tcMar>
              <w:top w:w="12" w:type="dxa"/>
              <w:left w:w="12" w:type="dxa"/>
              <w:bottom w:w="0" w:type="dxa"/>
              <w:right w:w="12" w:type="dxa"/>
            </w:tcMar>
            <w:vAlign w:val="center"/>
          </w:tcPr>
          <w:p w14:paraId="62BC82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1.要求男1.72米以上、女1.68米以上，28周岁以下，形象气质较好；</w:t>
            </w:r>
          </w:p>
          <w:p w14:paraId="1391C7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 w:eastAsia="仿宋_GB2312" w:cs="Arial"/>
                <w:b w:val="0"/>
                <w:bCs w:val="0"/>
                <w:sz w:val="28"/>
                <w:szCs w:val="28"/>
              </w:rPr>
            </w:pPr>
            <w:r>
              <w:rPr>
                <w:rFonts w:hint="eastAsia" w:ascii="仿宋_GB2312" w:hAnsi="仿宋" w:eastAsia="仿宋_GB2312" w:cs="Arial"/>
                <w:b w:val="0"/>
                <w:bCs w:val="0"/>
                <w:sz w:val="28"/>
                <w:szCs w:val="28"/>
              </w:rPr>
              <w:t>2.普通话标准、流利、语言表达能力和亲和力强。</w:t>
            </w:r>
          </w:p>
        </w:tc>
      </w:tr>
    </w:tbl>
    <w:p w14:paraId="1EBB11E1">
      <w:pPr>
        <w:keepNext w:val="0"/>
        <w:keepLines w:val="0"/>
        <w:pageBreakBefore w:val="0"/>
        <w:widowControl w:val="0"/>
        <w:numPr>
          <w:ilvl w:val="0"/>
          <w:numId w:val="25"/>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rPr>
        <w:t>其他要求</w:t>
      </w:r>
    </w:p>
    <w:p w14:paraId="77019F1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具有丰富的商业、写字楼</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研发办公</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产业园区、</w:t>
      </w:r>
      <w:r>
        <w:rPr>
          <w:rFonts w:hint="eastAsia" w:ascii="仿宋_GB2312" w:hAnsi="仿宋_GB2312" w:eastAsia="仿宋_GB2312" w:cs="仿宋_GB2312"/>
          <w:b w:val="0"/>
          <w:bCs w:val="0"/>
          <w:color w:val="000000"/>
          <w:sz w:val="32"/>
          <w:szCs w:val="32"/>
        </w:rPr>
        <w:t>住宅综合体（面积不小于20万平方米）管理经验，项目管理水平和市场占有率在行业内处于领先地位。</w:t>
      </w:r>
    </w:p>
    <w:p w14:paraId="750BB77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2" w:firstLine="642" w:firstLineChars="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物业服务支出</w:t>
      </w:r>
    </w:p>
    <w:p w14:paraId="0E5204AE">
      <w:pPr>
        <w:pStyle w:val="4"/>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依据《物业服务定价成本监审办法（试行）》（发改价格[2007]2285号）和《深圳市物业管理服务收费管理规定》（深价联字[2006]18号），物业服务支出（成本）包括以下部分：</w:t>
      </w:r>
    </w:p>
    <w:p w14:paraId="5BC5D038">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(1)人工费用；</w:t>
      </w:r>
    </w:p>
    <w:p w14:paraId="663C4D61">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(2)行政管理费用；</w:t>
      </w:r>
    </w:p>
    <w:p w14:paraId="36A7468C">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(3)物业共用部位、共用设施设备的日常运行、维护费用（含物业共用部位水、电费）；</w:t>
      </w:r>
    </w:p>
    <w:p w14:paraId="77F8707C">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(4)环境清洁卫生费用；</w:t>
      </w:r>
    </w:p>
    <w:p w14:paraId="4781743E">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(5)绿化养护费用；</w:t>
      </w:r>
    </w:p>
    <w:p w14:paraId="06564ACC">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(6)公共秩序维护费用；</w:t>
      </w:r>
    </w:p>
    <w:p w14:paraId="33B00035">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(7)管理设备分摊及固定资产折旧费；</w:t>
      </w:r>
    </w:p>
    <w:p w14:paraId="456E8E8E">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(8)物业共用部位、共用设施设备及公众责任保险费用；</w:t>
      </w:r>
    </w:p>
    <w:p w14:paraId="1F5FAF2C">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(9)必要的社区文化、体育活动费用；</w:t>
      </w:r>
    </w:p>
    <w:p w14:paraId="6F80D8F5">
      <w:pPr>
        <w:pStyle w:val="4"/>
        <w:keepNext w:val="0"/>
        <w:keepLines w:val="0"/>
        <w:pageBreakBefore w:val="0"/>
        <w:widowControl w:val="0"/>
        <w:kinsoku/>
        <w:wordWrap/>
        <w:overflowPunct/>
        <w:topLinePunct w:val="0"/>
        <w:autoSpaceDE/>
        <w:autoSpaceDN/>
        <w:bidi w:val="0"/>
        <w:adjustRightInd/>
        <w:snapToGrid w:val="0"/>
        <w:spacing w:line="560" w:lineRule="exact"/>
        <w:ind w:left="0" w:right="0"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（10）经业主同意的其他费用。</w:t>
      </w:r>
    </w:p>
    <w:p w14:paraId="76DC672F">
      <w:pPr>
        <w:pStyle w:val="4"/>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Times New Roman" w:eastAsia="仿宋_GB2312"/>
          <w:b w:val="0"/>
          <w:bCs w:val="0"/>
          <w:color w:val="000000"/>
          <w:spacing w:val="0"/>
          <w:sz w:val="32"/>
          <w:szCs w:val="32"/>
        </w:rPr>
      </w:pPr>
      <w:r>
        <w:rPr>
          <w:rFonts w:hint="eastAsia" w:ascii="仿宋_GB2312" w:hAnsi="Times New Roman" w:eastAsia="仿宋_GB2312"/>
          <w:b w:val="0"/>
          <w:bCs w:val="0"/>
          <w:color w:val="000000"/>
          <w:spacing w:val="0"/>
          <w:sz w:val="32"/>
          <w:szCs w:val="32"/>
        </w:rPr>
        <w:t>按照深圳市物业专项维修资金管理的相关规定，属于物业专项维修资金使用范围的物业共用部位、共用设施设备的维修、更新和改造，其费用应当通过物业专项维修资金予以列支，不计入物业服务支出（成本）。</w:t>
      </w:r>
    </w:p>
    <w:p w14:paraId="7A5D9ECF">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4615F2-E8B9-4D0C-911E-09CDBB57305D}"/>
  </w:font>
  <w:font w:name="黑体">
    <w:panose1 w:val="02010609060101010101"/>
    <w:charset w:val="86"/>
    <w:family w:val="auto"/>
    <w:pitch w:val="default"/>
    <w:sig w:usb0="800002BF" w:usb1="38CF7CFA" w:usb2="00000016" w:usb3="00000000" w:csb0="00040001" w:csb1="00000000"/>
    <w:embedRegular r:id="rId2" w:fontKey="{16ADA42F-EEDF-47EF-9BBE-AFBA9336C4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62E0A26-7B1B-4089-8876-65EADCBABFB2}"/>
  </w:font>
  <w:font w:name="方正小标宋简体">
    <w:panose1 w:val="02000000000000000000"/>
    <w:charset w:val="86"/>
    <w:family w:val="auto"/>
    <w:pitch w:val="default"/>
    <w:sig w:usb0="00000001" w:usb1="08000000" w:usb2="00000000" w:usb3="00000000" w:csb0="00040000" w:csb1="00000000"/>
    <w:embedRegular r:id="rId4" w:fontKey="{907F6E13-E332-4DDD-9DC2-6FA2402E5F69}"/>
  </w:font>
  <w:font w:name="仿宋_GB2312">
    <w:altName w:val="仿宋"/>
    <w:panose1 w:val="02010609030101010101"/>
    <w:charset w:val="86"/>
    <w:family w:val="auto"/>
    <w:pitch w:val="default"/>
    <w:sig w:usb0="00000000" w:usb1="00000000" w:usb2="00000000" w:usb3="00000000" w:csb0="00040000" w:csb1="00000000"/>
    <w:embedRegular r:id="rId5" w:fontKey="{0F7C2818-1F33-4DCE-9D6D-5760BC2C817B}"/>
  </w:font>
  <w:font w:name="楷体_GB2312">
    <w:altName w:val="楷体"/>
    <w:panose1 w:val="02010609030101010101"/>
    <w:charset w:val="86"/>
    <w:family w:val="auto"/>
    <w:pitch w:val="default"/>
    <w:sig w:usb0="00000000" w:usb1="00000000" w:usb2="00000000" w:usb3="00000000" w:csb0="00040000" w:csb1="00000000"/>
    <w:embedRegular r:id="rId6" w:fontKey="{439CC357-D5B1-4F68-91A7-436675668939}"/>
  </w:font>
  <w:font w:name="仿宋">
    <w:panose1 w:val="02010609060101010101"/>
    <w:charset w:val="86"/>
    <w:family w:val="modern"/>
    <w:pitch w:val="default"/>
    <w:sig w:usb0="800002BF" w:usb1="38CF7CFA" w:usb2="00000016" w:usb3="00000000" w:csb0="00040001" w:csb1="00000000"/>
    <w:embedRegular r:id="rId7" w:fontKey="{654B63DE-08AF-4297-976D-E1153E413F96}"/>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35BB4"/>
    <w:multiLevelType w:val="singleLevel"/>
    <w:tmpl w:val="A2935BB4"/>
    <w:lvl w:ilvl="0" w:tentative="0">
      <w:start w:val="1"/>
      <w:numFmt w:val="decimal"/>
      <w:suff w:val="nothing"/>
      <w:lvlText w:val="%1．"/>
      <w:lvlJc w:val="left"/>
      <w:pPr>
        <w:ind w:left="0" w:firstLine="400"/>
      </w:pPr>
      <w:rPr>
        <w:rFonts w:hint="default"/>
      </w:rPr>
    </w:lvl>
  </w:abstractNum>
  <w:abstractNum w:abstractNumId="1">
    <w:nsid w:val="A52D2E72"/>
    <w:multiLevelType w:val="singleLevel"/>
    <w:tmpl w:val="A52D2E72"/>
    <w:lvl w:ilvl="0" w:tentative="0">
      <w:start w:val="1"/>
      <w:numFmt w:val="lowerLetter"/>
      <w:lvlText w:val="%1."/>
      <w:lvlJc w:val="left"/>
      <w:pPr>
        <w:ind w:left="1055" w:hanging="425"/>
      </w:pPr>
      <w:rPr>
        <w:rFonts w:hint="default"/>
      </w:rPr>
    </w:lvl>
  </w:abstractNum>
  <w:abstractNum w:abstractNumId="2">
    <w:nsid w:val="A97A8E2F"/>
    <w:multiLevelType w:val="singleLevel"/>
    <w:tmpl w:val="A97A8E2F"/>
    <w:lvl w:ilvl="0" w:tentative="0">
      <w:start w:val="1"/>
      <w:numFmt w:val="decimalEnclosedCircleChinese"/>
      <w:suff w:val="nothing"/>
      <w:lvlText w:val="%1　"/>
      <w:lvlJc w:val="left"/>
      <w:pPr>
        <w:ind w:left="0" w:firstLine="400"/>
      </w:pPr>
      <w:rPr>
        <w:rFonts w:hint="eastAsia"/>
      </w:rPr>
    </w:lvl>
  </w:abstractNum>
  <w:abstractNum w:abstractNumId="3">
    <w:nsid w:val="BDF69486"/>
    <w:multiLevelType w:val="singleLevel"/>
    <w:tmpl w:val="BDF69486"/>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4">
    <w:nsid w:val="C19ED3FB"/>
    <w:multiLevelType w:val="multilevel"/>
    <w:tmpl w:val="C19ED3FB"/>
    <w:lvl w:ilvl="0" w:tentative="0">
      <w:start w:val="1"/>
      <w:numFmt w:val="chineseCounting"/>
      <w:lvlText w:val="第%1条  "/>
      <w:lvlJc w:val="left"/>
      <w:pPr>
        <w:tabs>
          <w:tab w:val="left" w:pos="215"/>
        </w:tabs>
        <w:ind w:left="425"/>
      </w:pPr>
      <w:rPr>
        <w:rFonts w:hint="eastAsia" w:ascii="宋体" w:hAnsi="宋体" w:eastAsia="宋体" w:cs="宋体"/>
        <w:sz w:val="28"/>
        <w:szCs w:val="22"/>
      </w:rPr>
    </w:lvl>
    <w:lvl w:ilvl="1" w:tentative="0">
      <w:start w:val="1"/>
      <w:numFmt w:val="chineseCounting"/>
      <w:pStyle w:val="2"/>
      <w:lvlText w:val="%2、"/>
      <w:lvlJc w:val="left"/>
      <w:pPr>
        <w:tabs>
          <w:tab w:val="left" w:pos="562"/>
        </w:tabs>
        <w:ind w:left="562" w:hanging="420"/>
      </w:pPr>
      <w:rPr>
        <w:rFonts w:hint="eastAsia" w:ascii="宋体" w:hAnsi="宋体" w:eastAsia="宋体" w:cs="宋体"/>
        <w:b/>
        <w:sz w:val="22"/>
        <w:szCs w:val="22"/>
        <w:lang w:val="en-US"/>
      </w:rPr>
    </w:lvl>
    <w:lvl w:ilvl="2" w:tentative="0">
      <w:start w:val="1"/>
      <w:numFmt w:val="lowerRoman"/>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left"/>
      <w:pPr>
        <w:tabs>
          <w:tab w:val="left" w:pos="3780"/>
        </w:tabs>
        <w:ind w:left="3780" w:hanging="420"/>
      </w:pPr>
      <w:rPr>
        <w:rFonts w:hint="eastAsia"/>
      </w:rPr>
    </w:lvl>
  </w:abstractNum>
  <w:abstractNum w:abstractNumId="5">
    <w:nsid w:val="C976CCA9"/>
    <w:multiLevelType w:val="singleLevel"/>
    <w:tmpl w:val="C976CCA9"/>
    <w:lvl w:ilvl="0" w:tentative="0">
      <w:start w:val="1"/>
      <w:numFmt w:val="lowerLetter"/>
      <w:lvlText w:val="%1."/>
      <w:lvlJc w:val="left"/>
      <w:pPr>
        <w:ind w:left="1055" w:hanging="425"/>
      </w:pPr>
      <w:rPr>
        <w:rFonts w:hint="default"/>
      </w:rPr>
    </w:lvl>
  </w:abstractNum>
  <w:abstractNum w:abstractNumId="6">
    <w:nsid w:val="C995B1E4"/>
    <w:multiLevelType w:val="multilevel"/>
    <w:tmpl w:val="C995B1E4"/>
    <w:lvl w:ilvl="0" w:tentative="0">
      <w:start w:val="1"/>
      <w:numFmt w:val="decimal"/>
      <w:lvlText w:val="%1"/>
      <w:lvlJc w:val="left"/>
      <w:pPr>
        <w:ind w:left="0" w:hanging="440"/>
      </w:pPr>
      <w:rPr>
        <w:rFonts w:hint="eastAsia" w:ascii="宋体" w:hAnsi="宋体" w:eastAsia="宋体" w:cs="宋体"/>
      </w:rPr>
    </w:lvl>
    <w:lvl w:ilvl="1" w:tentative="0">
      <w:start w:val="1"/>
      <w:numFmt w:val="lowerLetter"/>
      <w:lvlText w:val="%2)"/>
      <w:lvlJc w:val="left"/>
      <w:pPr>
        <w:ind w:left="440" w:hanging="440"/>
      </w:pPr>
      <w:rPr>
        <w:rFonts w:hint="default" w:ascii="Times New Roman" w:hAnsi="Times New Roman" w:cs="Times New Roman"/>
      </w:rPr>
    </w:lvl>
    <w:lvl w:ilvl="2" w:tentative="0">
      <w:start w:val="1"/>
      <w:numFmt w:val="lowerRoman"/>
      <w:lvlText w:val="%3."/>
      <w:lvlJc w:val="right"/>
      <w:pPr>
        <w:ind w:left="880" w:hanging="440"/>
      </w:pPr>
      <w:rPr>
        <w:rFonts w:hint="default" w:ascii="Times New Roman" w:hAnsi="Times New Roman" w:cs="Times New Roman"/>
      </w:rPr>
    </w:lvl>
    <w:lvl w:ilvl="3" w:tentative="0">
      <w:start w:val="1"/>
      <w:numFmt w:val="decimal"/>
      <w:lvlText w:val="%4."/>
      <w:lvlJc w:val="left"/>
      <w:pPr>
        <w:ind w:left="1320" w:hanging="440"/>
      </w:pPr>
      <w:rPr>
        <w:rFonts w:hint="default" w:ascii="Times New Roman" w:hAnsi="Times New Roman" w:cs="Times New Roman"/>
      </w:rPr>
    </w:lvl>
    <w:lvl w:ilvl="4" w:tentative="0">
      <w:start w:val="1"/>
      <w:numFmt w:val="lowerLetter"/>
      <w:lvlText w:val="%5)"/>
      <w:lvlJc w:val="left"/>
      <w:pPr>
        <w:ind w:left="1760" w:hanging="440"/>
      </w:pPr>
      <w:rPr>
        <w:rFonts w:hint="default" w:ascii="Times New Roman" w:hAnsi="Times New Roman" w:cs="Times New Roman"/>
      </w:rPr>
    </w:lvl>
    <w:lvl w:ilvl="5" w:tentative="0">
      <w:start w:val="1"/>
      <w:numFmt w:val="lowerRoman"/>
      <w:lvlText w:val="%6."/>
      <w:lvlJc w:val="right"/>
      <w:pPr>
        <w:ind w:left="2200" w:hanging="440"/>
      </w:pPr>
      <w:rPr>
        <w:rFonts w:hint="default" w:ascii="Times New Roman" w:hAnsi="Times New Roman" w:cs="Times New Roman"/>
      </w:rPr>
    </w:lvl>
    <w:lvl w:ilvl="6" w:tentative="0">
      <w:start w:val="1"/>
      <w:numFmt w:val="decimal"/>
      <w:lvlText w:val="%7."/>
      <w:lvlJc w:val="left"/>
      <w:pPr>
        <w:ind w:left="2640" w:hanging="440"/>
      </w:pPr>
      <w:rPr>
        <w:rFonts w:hint="default" w:ascii="Times New Roman" w:hAnsi="Times New Roman" w:cs="Times New Roman"/>
      </w:rPr>
    </w:lvl>
    <w:lvl w:ilvl="7" w:tentative="0">
      <w:start w:val="1"/>
      <w:numFmt w:val="lowerLetter"/>
      <w:lvlText w:val="%8)"/>
      <w:lvlJc w:val="left"/>
      <w:pPr>
        <w:ind w:left="3080" w:hanging="440"/>
      </w:pPr>
      <w:rPr>
        <w:rFonts w:hint="default" w:ascii="Times New Roman" w:hAnsi="Times New Roman" w:cs="Times New Roman"/>
      </w:rPr>
    </w:lvl>
    <w:lvl w:ilvl="8" w:tentative="0">
      <w:start w:val="1"/>
      <w:numFmt w:val="lowerRoman"/>
      <w:lvlText w:val="%9."/>
      <w:lvlJc w:val="right"/>
      <w:pPr>
        <w:ind w:left="3520" w:hanging="440"/>
      </w:pPr>
      <w:rPr>
        <w:rFonts w:hint="default" w:ascii="Times New Roman" w:hAnsi="Times New Roman" w:cs="Times New Roman"/>
      </w:rPr>
    </w:lvl>
  </w:abstractNum>
  <w:abstractNum w:abstractNumId="7">
    <w:nsid w:val="CFA467C0"/>
    <w:multiLevelType w:val="singleLevel"/>
    <w:tmpl w:val="CFA467C0"/>
    <w:lvl w:ilvl="0" w:tentative="0">
      <w:start w:val="1"/>
      <w:numFmt w:val="lowerLetter"/>
      <w:lvlText w:val="%1."/>
      <w:lvlJc w:val="left"/>
      <w:pPr>
        <w:ind w:left="1055" w:hanging="425"/>
      </w:pPr>
      <w:rPr>
        <w:rFonts w:hint="default"/>
      </w:rPr>
    </w:lvl>
  </w:abstractNum>
  <w:abstractNum w:abstractNumId="8">
    <w:nsid w:val="E593C795"/>
    <w:multiLevelType w:val="singleLevel"/>
    <w:tmpl w:val="E593C795"/>
    <w:lvl w:ilvl="0" w:tentative="0">
      <w:start w:val="1"/>
      <w:numFmt w:val="lowerLetter"/>
      <w:lvlText w:val="%1."/>
      <w:lvlJc w:val="left"/>
      <w:pPr>
        <w:ind w:left="1055" w:hanging="425"/>
      </w:pPr>
      <w:rPr>
        <w:rFonts w:hint="default"/>
      </w:rPr>
    </w:lvl>
  </w:abstractNum>
  <w:abstractNum w:abstractNumId="9">
    <w:nsid w:val="E5E65B48"/>
    <w:multiLevelType w:val="singleLevel"/>
    <w:tmpl w:val="E5E65B48"/>
    <w:lvl w:ilvl="0" w:tentative="0">
      <w:start w:val="1"/>
      <w:numFmt w:val="decimalEnclosedCircleChinese"/>
      <w:suff w:val="nothing"/>
      <w:lvlText w:val="%1　"/>
      <w:lvlJc w:val="left"/>
      <w:pPr>
        <w:ind w:left="0" w:firstLine="400"/>
      </w:pPr>
      <w:rPr>
        <w:rFonts w:hint="eastAsia"/>
      </w:rPr>
    </w:lvl>
  </w:abstractNum>
  <w:abstractNum w:abstractNumId="10">
    <w:nsid w:val="E71B3489"/>
    <w:multiLevelType w:val="singleLevel"/>
    <w:tmpl w:val="E71B3489"/>
    <w:lvl w:ilvl="0" w:tentative="0">
      <w:start w:val="1"/>
      <w:numFmt w:val="lowerLetter"/>
      <w:lvlText w:val="%1."/>
      <w:lvlJc w:val="left"/>
      <w:pPr>
        <w:ind w:left="1055" w:hanging="425"/>
      </w:pPr>
      <w:rPr>
        <w:rFonts w:hint="default"/>
      </w:rPr>
    </w:lvl>
  </w:abstractNum>
  <w:abstractNum w:abstractNumId="11">
    <w:nsid w:val="EF8215F7"/>
    <w:multiLevelType w:val="singleLevel"/>
    <w:tmpl w:val="EF8215F7"/>
    <w:lvl w:ilvl="0" w:tentative="0">
      <w:start w:val="1"/>
      <w:numFmt w:val="lowerLetter"/>
      <w:lvlText w:val="%1."/>
      <w:lvlJc w:val="left"/>
      <w:pPr>
        <w:ind w:left="1055" w:hanging="425"/>
      </w:pPr>
      <w:rPr>
        <w:rFonts w:hint="default"/>
      </w:rPr>
    </w:lvl>
  </w:abstractNum>
  <w:abstractNum w:abstractNumId="12">
    <w:nsid w:val="F6651235"/>
    <w:multiLevelType w:val="singleLevel"/>
    <w:tmpl w:val="F6651235"/>
    <w:lvl w:ilvl="0" w:tentative="0">
      <w:start w:val="1"/>
      <w:numFmt w:val="lowerLetter"/>
      <w:lvlText w:val="%1."/>
      <w:lvlJc w:val="left"/>
      <w:pPr>
        <w:ind w:left="1055" w:hanging="425"/>
      </w:pPr>
      <w:rPr>
        <w:rFonts w:hint="default"/>
      </w:rPr>
    </w:lvl>
  </w:abstractNum>
  <w:abstractNum w:abstractNumId="13">
    <w:nsid w:val="F67A92D7"/>
    <w:multiLevelType w:val="singleLevel"/>
    <w:tmpl w:val="F67A92D7"/>
    <w:lvl w:ilvl="0" w:tentative="0">
      <w:start w:val="1"/>
      <w:numFmt w:val="lowerLetter"/>
      <w:lvlText w:val="%1."/>
      <w:lvlJc w:val="left"/>
      <w:pPr>
        <w:ind w:left="1055" w:hanging="425"/>
      </w:pPr>
      <w:rPr>
        <w:rFonts w:hint="default"/>
      </w:rPr>
    </w:lvl>
  </w:abstractNum>
  <w:abstractNum w:abstractNumId="14">
    <w:nsid w:val="FA23D201"/>
    <w:multiLevelType w:val="singleLevel"/>
    <w:tmpl w:val="FA23D201"/>
    <w:lvl w:ilvl="0" w:tentative="0">
      <w:start w:val="1"/>
      <w:numFmt w:val="lowerLetter"/>
      <w:lvlText w:val="%1."/>
      <w:lvlJc w:val="left"/>
      <w:pPr>
        <w:ind w:left="1055" w:hanging="425"/>
      </w:pPr>
      <w:rPr>
        <w:rFonts w:hint="default"/>
      </w:rPr>
    </w:lvl>
  </w:abstractNum>
  <w:abstractNum w:abstractNumId="15">
    <w:nsid w:val="11EA1DF0"/>
    <w:multiLevelType w:val="singleLevel"/>
    <w:tmpl w:val="11EA1DF0"/>
    <w:lvl w:ilvl="0" w:tentative="0">
      <w:start w:val="1"/>
      <w:numFmt w:val="lowerLetter"/>
      <w:lvlText w:val="%1."/>
      <w:lvlJc w:val="left"/>
      <w:pPr>
        <w:ind w:left="1055" w:hanging="425"/>
      </w:pPr>
      <w:rPr>
        <w:rFonts w:hint="default"/>
      </w:rPr>
    </w:lvl>
  </w:abstractNum>
  <w:abstractNum w:abstractNumId="16">
    <w:nsid w:val="2361D6D7"/>
    <w:multiLevelType w:val="singleLevel"/>
    <w:tmpl w:val="2361D6D7"/>
    <w:lvl w:ilvl="0" w:tentative="0">
      <w:start w:val="1"/>
      <w:numFmt w:val="lowerLetter"/>
      <w:lvlText w:val="%1."/>
      <w:lvlJc w:val="left"/>
      <w:pPr>
        <w:ind w:left="1055" w:hanging="425"/>
      </w:pPr>
      <w:rPr>
        <w:rFonts w:hint="default"/>
      </w:rPr>
    </w:lvl>
  </w:abstractNum>
  <w:abstractNum w:abstractNumId="17">
    <w:nsid w:val="2BA397DB"/>
    <w:multiLevelType w:val="singleLevel"/>
    <w:tmpl w:val="2BA397DB"/>
    <w:lvl w:ilvl="0" w:tentative="0">
      <w:start w:val="12"/>
      <w:numFmt w:val="chineseCounting"/>
      <w:suff w:val="nothing"/>
      <w:lvlText w:val="（%1）"/>
      <w:lvlJc w:val="left"/>
      <w:rPr>
        <w:rFonts w:hint="eastAsia"/>
      </w:rPr>
    </w:lvl>
  </w:abstractNum>
  <w:abstractNum w:abstractNumId="18">
    <w:nsid w:val="31359705"/>
    <w:multiLevelType w:val="singleLevel"/>
    <w:tmpl w:val="31359705"/>
    <w:lvl w:ilvl="0" w:tentative="0">
      <w:start w:val="1"/>
      <w:numFmt w:val="lowerLetter"/>
      <w:lvlText w:val="%1."/>
      <w:lvlJc w:val="left"/>
      <w:pPr>
        <w:ind w:left="1055" w:hanging="425"/>
      </w:pPr>
      <w:rPr>
        <w:rFonts w:hint="default"/>
      </w:rPr>
    </w:lvl>
  </w:abstractNum>
  <w:abstractNum w:abstractNumId="19">
    <w:nsid w:val="32A7BE80"/>
    <w:multiLevelType w:val="singleLevel"/>
    <w:tmpl w:val="32A7BE80"/>
    <w:lvl w:ilvl="0" w:tentative="0">
      <w:start w:val="1"/>
      <w:numFmt w:val="lowerLetter"/>
      <w:lvlText w:val="%1."/>
      <w:lvlJc w:val="left"/>
      <w:pPr>
        <w:ind w:left="1055" w:hanging="425"/>
      </w:pPr>
      <w:rPr>
        <w:rFonts w:hint="default"/>
      </w:rPr>
    </w:lvl>
  </w:abstractNum>
  <w:abstractNum w:abstractNumId="20">
    <w:nsid w:val="44E219A1"/>
    <w:multiLevelType w:val="singleLevel"/>
    <w:tmpl w:val="44E219A1"/>
    <w:lvl w:ilvl="0" w:tentative="0">
      <w:start w:val="1"/>
      <w:numFmt w:val="decimalEnclosedCircleChinese"/>
      <w:suff w:val="nothing"/>
      <w:lvlText w:val="%1　"/>
      <w:lvlJc w:val="left"/>
      <w:pPr>
        <w:ind w:left="0" w:firstLine="400"/>
      </w:pPr>
      <w:rPr>
        <w:rFonts w:hint="eastAsia"/>
      </w:rPr>
    </w:lvl>
  </w:abstractNum>
  <w:abstractNum w:abstractNumId="21">
    <w:nsid w:val="46F834BF"/>
    <w:multiLevelType w:val="singleLevel"/>
    <w:tmpl w:val="46F834BF"/>
    <w:lvl w:ilvl="0" w:tentative="0">
      <w:start w:val="1"/>
      <w:numFmt w:val="decimalEnclosedCircleChinese"/>
      <w:suff w:val="nothing"/>
      <w:lvlText w:val="%1　"/>
      <w:lvlJc w:val="left"/>
      <w:pPr>
        <w:ind w:left="0" w:firstLine="400"/>
      </w:pPr>
      <w:rPr>
        <w:rFonts w:hint="eastAsia"/>
      </w:rPr>
    </w:lvl>
  </w:abstractNum>
  <w:abstractNum w:abstractNumId="22">
    <w:nsid w:val="6672797B"/>
    <w:multiLevelType w:val="singleLevel"/>
    <w:tmpl w:val="6672797B"/>
    <w:lvl w:ilvl="0" w:tentative="0">
      <w:start w:val="1"/>
      <w:numFmt w:val="decimal"/>
      <w:suff w:val="nothing"/>
      <w:lvlText w:val="%1．"/>
      <w:lvlJc w:val="left"/>
      <w:pPr>
        <w:ind w:left="0" w:firstLine="400"/>
      </w:pPr>
      <w:rPr>
        <w:rFonts w:hint="default"/>
      </w:rPr>
    </w:lvl>
  </w:abstractNum>
  <w:abstractNum w:abstractNumId="23">
    <w:nsid w:val="76012965"/>
    <w:multiLevelType w:val="singleLevel"/>
    <w:tmpl w:val="76012965"/>
    <w:lvl w:ilvl="0" w:tentative="0">
      <w:start w:val="1"/>
      <w:numFmt w:val="decimalEnclosedCircleChinese"/>
      <w:suff w:val="nothing"/>
      <w:lvlText w:val="%1　"/>
      <w:lvlJc w:val="left"/>
      <w:pPr>
        <w:ind w:left="0" w:firstLine="400"/>
      </w:pPr>
      <w:rPr>
        <w:rFonts w:hint="eastAsia"/>
      </w:rPr>
    </w:lvl>
  </w:abstractNum>
  <w:abstractNum w:abstractNumId="24">
    <w:nsid w:val="7DBE04A6"/>
    <w:multiLevelType w:val="singleLevel"/>
    <w:tmpl w:val="7DBE04A6"/>
    <w:lvl w:ilvl="0" w:tentative="0">
      <w:start w:val="2"/>
      <w:numFmt w:val="chineseCounting"/>
      <w:suff w:val="nothing"/>
      <w:lvlText w:val="%1、"/>
      <w:lvlJc w:val="left"/>
      <w:pPr>
        <w:ind w:left="-12"/>
      </w:pPr>
      <w:rPr>
        <w:rFonts w:hint="eastAsia" w:ascii="黑体" w:hAnsi="黑体" w:eastAsia="黑体" w:cs="黑体"/>
        <w:sz w:val="32"/>
        <w:szCs w:val="32"/>
      </w:rPr>
    </w:lvl>
  </w:abstractNum>
  <w:num w:numId="1">
    <w:abstractNumId w:val="4"/>
  </w:num>
  <w:num w:numId="2">
    <w:abstractNumId w:val="24"/>
  </w:num>
  <w:num w:numId="3">
    <w:abstractNumId w:val="3"/>
  </w:num>
  <w:num w:numId="4">
    <w:abstractNumId w:val="0"/>
  </w:num>
  <w:num w:numId="5">
    <w:abstractNumId w:val="23"/>
  </w:num>
  <w:num w:numId="6">
    <w:abstractNumId w:val="2"/>
  </w:num>
  <w:num w:numId="7">
    <w:abstractNumId w:val="20"/>
  </w:num>
  <w:num w:numId="8">
    <w:abstractNumId w:val="22"/>
  </w:num>
  <w:num w:numId="9">
    <w:abstractNumId w:val="21"/>
  </w:num>
  <w:num w:numId="10">
    <w:abstractNumId w:val="9"/>
  </w:num>
  <w:num w:numId="11">
    <w:abstractNumId w:val="8"/>
  </w:num>
  <w:num w:numId="12">
    <w:abstractNumId w:val="15"/>
  </w:num>
  <w:num w:numId="13">
    <w:abstractNumId w:val="14"/>
  </w:num>
  <w:num w:numId="14">
    <w:abstractNumId w:val="19"/>
  </w:num>
  <w:num w:numId="15">
    <w:abstractNumId w:val="10"/>
  </w:num>
  <w:num w:numId="16">
    <w:abstractNumId w:val="1"/>
  </w:num>
  <w:num w:numId="17">
    <w:abstractNumId w:val="16"/>
  </w:num>
  <w:num w:numId="18">
    <w:abstractNumId w:val="5"/>
  </w:num>
  <w:num w:numId="19">
    <w:abstractNumId w:val="13"/>
  </w:num>
  <w:num w:numId="20">
    <w:abstractNumId w:val="12"/>
  </w:num>
  <w:num w:numId="21">
    <w:abstractNumId w:val="11"/>
  </w:num>
  <w:num w:numId="22">
    <w:abstractNumId w:val="18"/>
  </w:num>
  <w:num w:numId="23">
    <w:abstractNumId w:val="7"/>
  </w:num>
  <w:num w:numId="24">
    <w:abstractNumId w:val="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276B7"/>
    <w:rsid w:val="00637320"/>
    <w:rsid w:val="16BEFA54"/>
    <w:rsid w:val="1BCF9433"/>
    <w:rsid w:val="2E057DE6"/>
    <w:rsid w:val="3BBF1CC0"/>
    <w:rsid w:val="3DFFEEA6"/>
    <w:rsid w:val="3F3E5494"/>
    <w:rsid w:val="45F676B9"/>
    <w:rsid w:val="4DB276B7"/>
    <w:rsid w:val="537F1861"/>
    <w:rsid w:val="588E380B"/>
    <w:rsid w:val="5C6D6981"/>
    <w:rsid w:val="5F3F787C"/>
    <w:rsid w:val="5FF7763B"/>
    <w:rsid w:val="685C6B0C"/>
    <w:rsid w:val="6929131F"/>
    <w:rsid w:val="6AFEACC3"/>
    <w:rsid w:val="6F7F701C"/>
    <w:rsid w:val="6FEE683E"/>
    <w:rsid w:val="716107F1"/>
    <w:rsid w:val="756EFEA2"/>
    <w:rsid w:val="76756BE7"/>
    <w:rsid w:val="77EEAEDF"/>
    <w:rsid w:val="77EEE641"/>
    <w:rsid w:val="79F5E69C"/>
    <w:rsid w:val="7AED159A"/>
    <w:rsid w:val="7DF843EC"/>
    <w:rsid w:val="7DFFD6CC"/>
    <w:rsid w:val="7EF9C99D"/>
    <w:rsid w:val="7FAD4A5E"/>
    <w:rsid w:val="7FBF6FD2"/>
    <w:rsid w:val="7FEF966C"/>
    <w:rsid w:val="7FFBF6A4"/>
    <w:rsid w:val="97B77971"/>
    <w:rsid w:val="AF1750EF"/>
    <w:rsid w:val="AFFFEE34"/>
    <w:rsid w:val="BB7F82C2"/>
    <w:rsid w:val="BDEB1B75"/>
    <w:rsid w:val="BF23542B"/>
    <w:rsid w:val="BFEBC891"/>
    <w:rsid w:val="CFEFA8D7"/>
    <w:rsid w:val="D7FF2FD3"/>
    <w:rsid w:val="DABF7505"/>
    <w:rsid w:val="DFBA8E26"/>
    <w:rsid w:val="DFF521CD"/>
    <w:rsid w:val="E397F29E"/>
    <w:rsid w:val="E7FAA645"/>
    <w:rsid w:val="EBEFCB4C"/>
    <w:rsid w:val="EF7D31DA"/>
    <w:rsid w:val="EF9BED4B"/>
    <w:rsid w:val="EFA75979"/>
    <w:rsid w:val="F1DFE05D"/>
    <w:rsid w:val="F7EEB947"/>
    <w:rsid w:val="F7FD01BE"/>
    <w:rsid w:val="F7FE8414"/>
    <w:rsid w:val="FA37FBEC"/>
    <w:rsid w:val="FB27725B"/>
    <w:rsid w:val="FB532AE9"/>
    <w:rsid w:val="FC7B82A5"/>
    <w:rsid w:val="FEE38329"/>
    <w:rsid w:val="FEFF2E59"/>
    <w:rsid w:val="FFFEF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numPr>
        <w:ilvl w:val="1"/>
        <w:numId w:val="1"/>
      </w:numPr>
      <w:tabs>
        <w:tab w:val="left" w:pos="0"/>
        <w:tab w:val="left" w:pos="420"/>
        <w:tab w:val="left" w:pos="840"/>
      </w:tabs>
      <w:outlineLvl w:val="1"/>
    </w:pPr>
    <w:rPr>
      <w:rFonts w:ascii="Arial" w:hAnsi="Arial"/>
      <w:b/>
      <w:bCs/>
      <w:kern w:val="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Block Text"/>
    <w:basedOn w:val="1"/>
    <w:qFormat/>
    <w:uiPriority w:val="0"/>
    <w:pPr>
      <w:widowControl w:val="0"/>
      <w:snapToGrid w:val="0"/>
      <w:ind w:left="-15" w:right="103" w:firstLine="447" w:firstLineChars="0"/>
    </w:pPr>
    <w:rPr>
      <w:rFonts w:ascii="宋体" w:hAnsi="宋体"/>
      <w:spacing w:val="-2"/>
      <w:sz w:val="24"/>
      <w:szCs w:val="20"/>
    </w:rPr>
  </w:style>
  <w:style w:type="paragraph" w:styleId="5">
    <w:name w:val="Plain Text"/>
    <w:basedOn w:val="1"/>
    <w:next w:val="3"/>
    <w:unhideWhenUsed/>
    <w:qFormat/>
    <w:uiPriority w:val="99"/>
    <w:rPr>
      <w:rFonts w:ascii="宋体" w:cs="Courier New"/>
      <w:szCs w:val="21"/>
    </w:rPr>
  </w:style>
  <w:style w:type="paragraph" w:styleId="6">
    <w:name w:val="Normal (Web)"/>
    <w:basedOn w:val="1"/>
    <w:qFormat/>
    <w:uiPriority w:val="0"/>
    <w:rPr>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9419</Words>
  <Characters>9805</Characters>
  <Lines>0</Lines>
  <Paragraphs>0</Paragraphs>
  <TotalTime>88</TotalTime>
  <ScaleCrop>false</ScaleCrop>
  <LinksUpToDate>false</LinksUpToDate>
  <CharactersWithSpaces>9810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2025-08-18T18:46:00Z</dcterms:created>
  <dc:creator>石磊</dc:creator>
  <cp:lastModifiedBy>JUMENG</cp:lastModifiedBy>
  <dcterms:modified xsi:type="dcterms:W3CDTF">2025-10-14T12:25:23Z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79075C7589AA44509CCC8E8B23700FB2</vt:lpwstr>
  </property>
  <property fmtid="{D5CDD505-2E9C-101B-9397-08002B2CF9AE}" pid="4" name="KSOTemplateDocerSaveRecord">
    <vt:lpwstr>eyJoZGlkIjoiZDM3MjhiZTBjNmUwOTkyZmNjMmM1N2NkNjI4N2Q1MmEiLCJ1c2VySWQiOiIzNDgzNjI3NzMifQ==</vt:lpwstr>
  </property>
</Properties>
</file>