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447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lang w:eastAsia="zh-CN"/>
        </w:rPr>
      </w:pPr>
      <w:bookmarkStart w:id="0" w:name="_GoBack"/>
      <w:bookmarkEnd w:id="0"/>
      <w:r>
        <w:rPr>
          <w:rFonts w:hint="eastAsia" w:ascii="方正小标宋简体" w:hAnsi="方正小标宋简体" w:eastAsia="方正小标宋简体" w:cs="方正小标宋简体"/>
          <w:b/>
          <w:sz w:val="44"/>
          <w:szCs w:val="44"/>
          <w:lang w:eastAsia="zh-CN"/>
        </w:rPr>
        <w:t>龙岗区沙荷西路(一期）市政工程（南湾段)</w:t>
      </w:r>
    </w:p>
    <w:p w14:paraId="792278A1">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古树名木调查服务预算清单</w:t>
      </w:r>
    </w:p>
    <w:p w14:paraId="7852AF96">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lang w:val="en-US" w:eastAsia="zh-CN"/>
        </w:rPr>
      </w:pPr>
    </w:p>
    <w:p w14:paraId="17D9D0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u w:val="single"/>
          <w:lang w:eastAsia="zh-CN"/>
        </w:rPr>
      </w:pPr>
      <w:r>
        <w:rPr>
          <w:rFonts w:hint="eastAsia" w:ascii="仿宋_GB2312" w:hAnsi="仿宋_GB2312" w:eastAsia="仿宋_GB2312" w:cs="仿宋_GB2312"/>
          <w:bCs/>
          <w:sz w:val="32"/>
          <w:szCs w:val="32"/>
          <w:u w:val="single"/>
          <w:lang w:eastAsia="zh-CN"/>
        </w:rPr>
        <w:t>龙岗区沙荷西路(一期）市政工程（南湾段)</w:t>
      </w:r>
      <w:r>
        <w:rPr>
          <w:rFonts w:hint="eastAsia" w:ascii="仿宋_GB2312" w:hAnsi="仿宋_GB2312" w:eastAsia="仿宋_GB2312" w:cs="仿宋_GB2312"/>
          <w:bCs/>
          <w:sz w:val="32"/>
          <w:szCs w:val="32"/>
          <w:lang w:eastAsia="zh-CN"/>
        </w:rPr>
        <w:t>红线面积约8.8425公顷，用地红线范围内有分布树木。根据</w:t>
      </w:r>
      <w:r>
        <w:rPr>
          <w:rFonts w:hint="eastAsia" w:ascii="仿宋_GB2312" w:hAnsi="仿宋_GB2312" w:eastAsia="仿宋_GB2312" w:cs="仿宋_GB2312"/>
          <w:sz w:val="32"/>
          <w:szCs w:val="32"/>
          <w:lang w:val="en-US" w:eastAsia="zh-CN"/>
        </w:rPr>
        <w:t>《深圳市规划和自然资源局关于在土地整备过程中落实历史文化资源和古树名木保护有关事项的通知》（深规划资源〔2022〕47 号）</w:t>
      </w:r>
      <w:r>
        <w:rPr>
          <w:rFonts w:hint="eastAsia" w:ascii="仿宋_GB2312" w:hAnsi="仿宋_GB2312" w:eastAsia="仿宋_GB2312" w:cs="仿宋_GB2312"/>
          <w:bCs/>
          <w:sz w:val="32"/>
          <w:szCs w:val="32"/>
          <w:lang w:eastAsia="zh-CN"/>
        </w:rPr>
        <w:t>及主管部门要求，需对红线范围的树木进行清查工作。</w:t>
      </w:r>
    </w:p>
    <w:p w14:paraId="4C89AF9F">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依据中国林业工程建设协会文件《关于印发〈林业和草原工程建设项目服务计费指导意见〉的通知》（林建协〔2024〕54号），</w:t>
      </w:r>
      <w:r>
        <w:rPr>
          <w:rFonts w:hint="eastAsia" w:ascii="仿宋_GB2312" w:hAnsi="仿宋_GB2312" w:eastAsia="仿宋_GB2312" w:cs="仿宋_GB2312"/>
          <w:sz w:val="32"/>
          <w:szCs w:val="32"/>
          <w:lang w:val="en-US" w:eastAsia="zh-CN"/>
        </w:rPr>
        <w:t>该项目古树名木调查服务价格如下</w:t>
      </w:r>
      <w:r>
        <w:rPr>
          <w:rFonts w:hint="eastAsia" w:ascii="仿宋_GB2312" w:hAnsi="仿宋_GB2312" w:eastAsia="仿宋_GB2312" w:cs="仿宋_GB2312"/>
          <w:sz w:val="32"/>
          <w:szCs w:val="32"/>
          <w:lang w:eastAsia="zh-CN"/>
        </w:rPr>
        <w:t>：</w:t>
      </w:r>
    </w:p>
    <w:p w14:paraId="7A1E322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val="0"/>
          <w:sz w:val="32"/>
          <w:szCs w:val="32"/>
          <w:lang w:eastAsia="zh-CN" w:bidi="ar-SA"/>
        </w:rPr>
      </w:pPr>
      <w:r>
        <w:rPr>
          <w:rFonts w:hint="eastAsia" w:ascii="仿宋_GB2312" w:hAnsi="仿宋_GB2312" w:eastAsia="仿宋_GB2312" w:cs="仿宋_GB2312"/>
          <w:b/>
          <w:bCs w:val="0"/>
          <w:sz w:val="32"/>
          <w:szCs w:val="32"/>
          <w:lang w:eastAsia="zh-CN" w:bidi="ar-SA"/>
        </w:rPr>
        <w:t>一、</w:t>
      </w:r>
      <w:r>
        <w:rPr>
          <w:rFonts w:hint="eastAsia" w:ascii="仿宋_GB2312" w:hAnsi="仿宋_GB2312" w:eastAsia="仿宋_GB2312" w:cs="仿宋_GB2312"/>
          <w:b/>
          <w:bCs w:val="0"/>
          <w:sz w:val="32"/>
          <w:szCs w:val="32"/>
          <w:lang w:val="en-US" w:eastAsia="zh-CN" w:bidi="ar-SA"/>
        </w:rPr>
        <w:t>预算</w:t>
      </w:r>
      <w:r>
        <w:rPr>
          <w:rFonts w:hint="eastAsia" w:ascii="仿宋_GB2312" w:hAnsi="仿宋_GB2312" w:eastAsia="仿宋_GB2312" w:cs="仿宋_GB2312"/>
          <w:b/>
          <w:bCs w:val="0"/>
          <w:sz w:val="32"/>
          <w:szCs w:val="32"/>
          <w:lang w:eastAsia="zh-CN" w:bidi="ar-SA"/>
        </w:rPr>
        <w:t>汇总表</w:t>
      </w:r>
    </w:p>
    <w:tbl>
      <w:tblPr>
        <w:tblStyle w:val="5"/>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5482"/>
        <w:gridCol w:w="2214"/>
      </w:tblGrid>
      <w:tr w14:paraId="0CF1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23" w:type="dxa"/>
            <w:vAlign w:val="center"/>
          </w:tcPr>
          <w:p w14:paraId="31A18EA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序号</w:t>
            </w:r>
          </w:p>
        </w:tc>
        <w:tc>
          <w:tcPr>
            <w:tcW w:w="5482" w:type="dxa"/>
            <w:vAlign w:val="center"/>
          </w:tcPr>
          <w:p w14:paraId="18304BC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工作内容</w:t>
            </w:r>
          </w:p>
        </w:tc>
        <w:tc>
          <w:tcPr>
            <w:tcW w:w="2214" w:type="dxa"/>
            <w:vAlign w:val="center"/>
          </w:tcPr>
          <w:p w14:paraId="18FA372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预算</w:t>
            </w:r>
            <w:r>
              <w:rPr>
                <w:rFonts w:hint="eastAsia" w:ascii="仿宋_GB2312" w:hAnsi="仿宋_GB2312" w:eastAsia="仿宋_GB2312" w:cs="仿宋_GB2312"/>
                <w:b/>
                <w:sz w:val="32"/>
                <w:szCs w:val="32"/>
                <w:lang w:eastAsia="zh-CN"/>
              </w:rPr>
              <w:t>金额</w:t>
            </w:r>
          </w:p>
        </w:tc>
      </w:tr>
      <w:tr w14:paraId="738B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123" w:type="dxa"/>
            <w:vAlign w:val="center"/>
          </w:tcPr>
          <w:p w14:paraId="3577299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1</w:t>
            </w:r>
          </w:p>
        </w:tc>
        <w:tc>
          <w:tcPr>
            <w:tcW w:w="5482" w:type="dxa"/>
            <w:vAlign w:val="center"/>
          </w:tcPr>
          <w:p w14:paraId="2DD25374">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树木现状外业调查（定点、测量、挂牌等）</w:t>
            </w:r>
          </w:p>
        </w:tc>
        <w:tc>
          <w:tcPr>
            <w:tcW w:w="2214" w:type="dxa"/>
            <w:vAlign w:val="center"/>
          </w:tcPr>
          <w:p w14:paraId="2B7557B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18.3835万元（含税）</w:t>
            </w:r>
          </w:p>
        </w:tc>
      </w:tr>
      <w:tr w14:paraId="5CF8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605" w:type="dxa"/>
            <w:gridSpan w:val="2"/>
            <w:vAlign w:val="center"/>
          </w:tcPr>
          <w:p w14:paraId="464516B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合计</w:t>
            </w:r>
          </w:p>
        </w:tc>
        <w:tc>
          <w:tcPr>
            <w:tcW w:w="2214" w:type="dxa"/>
            <w:vAlign w:val="center"/>
          </w:tcPr>
          <w:p w14:paraId="2DC8752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18.3835万元</w:t>
            </w:r>
          </w:p>
        </w:tc>
      </w:tr>
    </w:tbl>
    <w:p w14:paraId="3115AE3E">
      <w:pPr>
        <w:keepNext w:val="0"/>
        <w:keepLines w:val="0"/>
        <w:pageBreakBefore w:val="0"/>
        <w:widowControl w:val="0"/>
        <w:kinsoku/>
        <w:wordWrap/>
        <w:overflowPunct/>
        <w:topLinePunct w:val="0"/>
        <w:autoSpaceDE/>
        <w:autoSpaceDN/>
        <w:bidi w:val="0"/>
        <w:adjustRightInd/>
        <w:snapToGrid/>
        <w:spacing w:line="560" w:lineRule="exact"/>
        <w:contextualSpacing/>
        <w:textAlignment w:val="auto"/>
        <w:outlineLvl w:val="0"/>
        <w:rPr>
          <w:rFonts w:hint="eastAsia" w:ascii="仿宋_GB2312" w:hAnsi="仿宋_GB2312" w:eastAsia="仿宋_GB2312" w:cs="仿宋_GB2312"/>
          <w:b/>
          <w:sz w:val="32"/>
          <w:szCs w:val="32"/>
          <w:lang w:eastAsia="zh-CN"/>
        </w:rPr>
      </w:pPr>
    </w:p>
    <w:p w14:paraId="227D78DD">
      <w:pPr>
        <w:keepNext w:val="0"/>
        <w:keepLines w:val="0"/>
        <w:pageBreakBefore w:val="0"/>
        <w:widowControl w:val="0"/>
        <w:kinsoku/>
        <w:wordWrap/>
        <w:overflowPunct/>
        <w:topLinePunct w:val="0"/>
        <w:autoSpaceDE/>
        <w:autoSpaceDN/>
        <w:bidi w:val="0"/>
        <w:adjustRightInd/>
        <w:snapToGrid/>
        <w:spacing w:line="560" w:lineRule="exact"/>
        <w:contextualSpacing/>
        <w:textAlignment w:val="auto"/>
        <w:outlineLvl w:val="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lang w:val="en-US" w:eastAsia="zh-CN"/>
        </w:rPr>
        <w:t>取费说明</w:t>
      </w:r>
      <w:r>
        <w:rPr>
          <w:rFonts w:hint="eastAsia" w:ascii="仿宋_GB2312" w:hAnsi="仿宋_GB2312" w:eastAsia="仿宋_GB2312" w:cs="仿宋_GB2312"/>
          <w:b/>
          <w:sz w:val="32"/>
          <w:szCs w:val="32"/>
          <w:lang w:eastAsia="zh-CN"/>
        </w:rPr>
        <w:t>：</w:t>
      </w:r>
    </w:p>
    <w:p w14:paraId="5EB5690C">
      <w:pPr>
        <w:keepNext w:val="0"/>
        <w:keepLines w:val="0"/>
        <w:pageBreakBefore w:val="0"/>
        <w:widowControl w:val="0"/>
        <w:kinsoku/>
        <w:wordWrap/>
        <w:overflowPunct/>
        <w:topLinePunct w:val="0"/>
        <w:autoSpaceDE/>
        <w:autoSpaceDN/>
        <w:bidi w:val="0"/>
        <w:adjustRightInd/>
        <w:snapToGrid/>
        <w:spacing w:line="560" w:lineRule="exact"/>
        <w:ind w:firstLine="964" w:firstLineChars="300"/>
        <w:contextualSpacing/>
        <w:textAlignment w:val="auto"/>
        <w:outlineLvl w:val="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1.收费依据</w:t>
      </w:r>
    </w:p>
    <w:p w14:paraId="6681647C">
      <w:pPr>
        <w:pStyle w:val="2"/>
        <w:keepNext w:val="0"/>
        <w:keepLines w:val="0"/>
        <w:pageBreakBefore w:val="0"/>
        <w:widowControl w:val="0"/>
        <w:kinsoku/>
        <w:wordWrap/>
        <w:overflowPunct/>
        <w:topLinePunct w:val="0"/>
        <w:autoSpaceDE/>
        <w:autoSpaceDN/>
        <w:bidi w:val="0"/>
        <w:adjustRightInd/>
        <w:snapToGrid/>
        <w:spacing w:line="560" w:lineRule="exact"/>
        <w:ind w:left="210" w:firstLine="640" w:firstLineChars="200"/>
        <w:textAlignment w:val="auto"/>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sz w:val="32"/>
          <w:szCs w:val="32"/>
          <w:lang w:eastAsia="zh-CN"/>
        </w:rPr>
        <w:t>依据中国林业工程建设协会《关于印发〈林业和草原工程建设项目服务计费指导意见〉的通知（林建协[2024]54号）第三章第三十条 资产损失调查</w:t>
      </w:r>
      <w:r>
        <w:rPr>
          <w:rFonts w:hint="eastAsia" w:ascii="仿宋_GB2312" w:hAnsi="仿宋_GB2312" w:eastAsia="仿宋_GB2312" w:cs="仿宋_GB2312"/>
          <w:bCs w:val="0"/>
          <w:sz w:val="32"/>
          <w:szCs w:val="32"/>
          <w:lang w:eastAsia="zh-CN"/>
        </w:rPr>
        <w:t>。</w:t>
      </w:r>
    </w:p>
    <w:p w14:paraId="397344B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sz w:val="32"/>
          <w:szCs w:val="32"/>
          <w:lang w:eastAsia="zh-CN" w:bidi="ar-SA"/>
        </w:rPr>
        <w:drawing>
          <wp:anchor distT="0" distB="0" distL="114300" distR="114300" simplePos="0" relativeHeight="251659264" behindDoc="0" locked="0" layoutInCell="1" allowOverlap="1">
            <wp:simplePos x="0" y="0"/>
            <wp:positionH relativeFrom="column">
              <wp:posOffset>565785</wp:posOffset>
            </wp:positionH>
            <wp:positionV relativeFrom="paragraph">
              <wp:posOffset>126365</wp:posOffset>
            </wp:positionV>
            <wp:extent cx="3679825" cy="4220845"/>
            <wp:effectExtent l="0" t="0" r="15875" b="825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3679825" cy="4220845"/>
                    </a:xfrm>
                    <a:prstGeom prst="rect">
                      <a:avLst/>
                    </a:prstGeom>
                    <a:noFill/>
                    <a:ln>
                      <a:noFill/>
                    </a:ln>
                  </pic:spPr>
                </pic:pic>
              </a:graphicData>
            </a:graphic>
          </wp:anchor>
        </w:drawing>
      </w:r>
    </w:p>
    <w:p w14:paraId="6778E26A">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lang w:eastAsia="zh-CN"/>
        </w:rPr>
      </w:pPr>
    </w:p>
    <w:p w14:paraId="5DDF5214">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lang w:eastAsia="zh-CN"/>
        </w:rPr>
      </w:pPr>
    </w:p>
    <w:p w14:paraId="4425D7B7">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lang w:eastAsia="zh-CN"/>
        </w:rPr>
      </w:pPr>
    </w:p>
    <w:p w14:paraId="3E512DE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val="0"/>
          <w:sz w:val="32"/>
          <w:szCs w:val="32"/>
          <w:lang w:eastAsia="zh-CN"/>
        </w:rPr>
      </w:pPr>
    </w:p>
    <w:p w14:paraId="60FE5AF0">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lang w:eastAsia="zh-CN"/>
        </w:rPr>
      </w:pPr>
    </w:p>
    <w:p w14:paraId="5D0016D2">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lang w:eastAsia="zh-CN"/>
        </w:rPr>
      </w:pPr>
    </w:p>
    <w:p w14:paraId="02B7B833">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lang w:eastAsia="zh-CN"/>
        </w:rPr>
      </w:pPr>
    </w:p>
    <w:p w14:paraId="4C921AF3">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lang w:eastAsia="zh-CN"/>
        </w:rPr>
      </w:pPr>
    </w:p>
    <w:p w14:paraId="31D303B3">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lang w:eastAsia="zh-CN"/>
        </w:rPr>
      </w:pPr>
    </w:p>
    <w:p w14:paraId="2B2BB38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val="0"/>
          <w:sz w:val="32"/>
          <w:szCs w:val="32"/>
          <w:lang w:eastAsia="zh-CN"/>
        </w:rPr>
      </w:pPr>
    </w:p>
    <w:p w14:paraId="548151B2">
      <w:pPr>
        <w:pStyle w:val="2"/>
        <w:keepNext w:val="0"/>
        <w:keepLines w:val="0"/>
        <w:pageBreakBefore w:val="0"/>
        <w:widowControl w:val="0"/>
        <w:kinsoku/>
        <w:wordWrap/>
        <w:overflowPunct/>
        <w:topLinePunct w:val="0"/>
        <w:autoSpaceDE/>
        <w:autoSpaceDN/>
        <w:bidi w:val="0"/>
        <w:adjustRightInd/>
        <w:snapToGrid/>
        <w:spacing w:line="560" w:lineRule="exact"/>
        <w:ind w:left="210" w:firstLine="643" w:firstLineChars="200"/>
        <w:textAlignment w:val="auto"/>
        <w:rPr>
          <w:rFonts w:hint="eastAsia" w:ascii="仿宋_GB2312" w:hAnsi="仿宋_GB2312" w:eastAsia="仿宋_GB2312" w:cs="仿宋_GB2312"/>
          <w:b/>
          <w:bCs w:val="0"/>
          <w:sz w:val="32"/>
          <w:szCs w:val="32"/>
          <w:lang w:eastAsia="zh-CN"/>
        </w:rPr>
      </w:pPr>
    </w:p>
    <w:p w14:paraId="12478CC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val="0"/>
          <w:sz w:val="32"/>
          <w:szCs w:val="32"/>
          <w:lang w:eastAsia="zh-CN"/>
        </w:rPr>
      </w:pPr>
    </w:p>
    <w:p w14:paraId="3FDAB103">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883" w:firstLineChars="275"/>
        <w:textAlignment w:val="auto"/>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eastAsia="zh-CN"/>
        </w:rPr>
        <w:t>2.计算公式</w:t>
      </w:r>
      <w:r>
        <w:rPr>
          <w:rFonts w:hint="eastAsia" w:ascii="仿宋_GB2312" w:hAnsi="仿宋_GB2312" w:eastAsia="仿宋_GB2312" w:cs="仿宋_GB2312"/>
          <w:b/>
          <w:bCs w:val="0"/>
          <w:sz w:val="32"/>
          <w:szCs w:val="32"/>
          <w:lang w:val="en-US" w:eastAsia="zh-CN"/>
        </w:rPr>
        <w:t xml:space="preserve"> </w:t>
      </w:r>
    </w:p>
    <w:p w14:paraId="07839C44">
      <w:pPr>
        <w:pStyle w:val="2"/>
        <w:keepNext w:val="0"/>
        <w:keepLines w:val="0"/>
        <w:pageBreakBefore w:val="0"/>
        <w:widowControl w:val="0"/>
        <w:kinsoku/>
        <w:wordWrap/>
        <w:overflowPunct/>
        <w:topLinePunct w:val="0"/>
        <w:autoSpaceDE/>
        <w:autoSpaceDN/>
        <w:bidi w:val="0"/>
        <w:adjustRightInd/>
        <w:snapToGrid/>
        <w:spacing w:line="560" w:lineRule="exact"/>
        <w:ind w:left="21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计费额=基价×调查面积×通用系数（T)。</w:t>
      </w:r>
    </w:p>
    <w:p w14:paraId="058CC572">
      <w:pPr>
        <w:pStyle w:val="2"/>
        <w:keepNext w:val="0"/>
        <w:keepLines w:val="0"/>
        <w:pageBreakBefore w:val="0"/>
        <w:widowControl w:val="0"/>
        <w:kinsoku/>
        <w:wordWrap/>
        <w:overflowPunct/>
        <w:topLinePunct w:val="0"/>
        <w:autoSpaceDE/>
        <w:autoSpaceDN/>
        <w:bidi w:val="0"/>
        <w:adjustRightInd/>
        <w:snapToGrid/>
        <w:spacing w:line="560" w:lineRule="exact"/>
        <w:ind w:left="210"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3.基价确定</w:t>
      </w:r>
    </w:p>
    <w:p w14:paraId="4D92FF3A">
      <w:pPr>
        <w:pStyle w:val="2"/>
        <w:keepNext w:val="0"/>
        <w:keepLines w:val="0"/>
        <w:pageBreakBefore w:val="0"/>
        <w:widowControl w:val="0"/>
        <w:kinsoku/>
        <w:wordWrap/>
        <w:overflowPunct/>
        <w:topLinePunct w:val="0"/>
        <w:autoSpaceDE/>
        <w:autoSpaceDN/>
        <w:bidi w:val="0"/>
        <w:adjustRightInd/>
        <w:snapToGrid/>
        <w:spacing w:line="560" w:lineRule="exact"/>
        <w:ind w:left="21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本项工作为资产损失调查，收费基价为1.5万元/公顷。</w:t>
      </w:r>
    </w:p>
    <w:p w14:paraId="64F46F73">
      <w:pPr>
        <w:pStyle w:val="2"/>
        <w:keepNext w:val="0"/>
        <w:keepLines w:val="0"/>
        <w:pageBreakBefore w:val="0"/>
        <w:widowControl w:val="0"/>
        <w:kinsoku/>
        <w:wordWrap/>
        <w:overflowPunct/>
        <w:topLinePunct w:val="0"/>
        <w:autoSpaceDE/>
        <w:autoSpaceDN/>
        <w:bidi w:val="0"/>
        <w:adjustRightInd/>
        <w:snapToGrid/>
        <w:spacing w:line="560" w:lineRule="exact"/>
        <w:ind w:left="210"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4.调查面积</w:t>
      </w:r>
    </w:p>
    <w:p w14:paraId="75D0848F">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sz w:val="32"/>
          <w:szCs w:val="32"/>
          <w:lang w:eastAsia="zh-CN"/>
        </w:rPr>
        <w:t>本项目涉及面积约为8.8425公顷，即调查面积为8.8425公顷。</w:t>
      </w:r>
    </w:p>
    <w:p w14:paraId="6AD368C6">
      <w:pPr>
        <w:pStyle w:val="2"/>
        <w:keepNext w:val="0"/>
        <w:keepLines w:val="0"/>
        <w:pageBreakBefore w:val="0"/>
        <w:widowControl w:val="0"/>
        <w:kinsoku/>
        <w:wordWrap/>
        <w:overflowPunct/>
        <w:topLinePunct w:val="0"/>
        <w:autoSpaceDE/>
        <w:autoSpaceDN/>
        <w:bidi w:val="0"/>
        <w:adjustRightInd/>
        <w:snapToGrid/>
        <w:spacing w:line="560" w:lineRule="exact"/>
        <w:ind w:left="210"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5.通用调整系数</w:t>
      </w:r>
    </w:p>
    <w:p w14:paraId="15FBAF1F">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①工程级别为县级，本项调整系数T1为1；</w:t>
      </w:r>
    </w:p>
    <w:p w14:paraId="28B2448E">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fldChar w:fldCharType="begin"/>
      </w:r>
      <w:r>
        <w:rPr>
          <w:rFonts w:hint="eastAsia" w:ascii="仿宋_GB2312" w:hAnsi="仿宋_GB2312" w:eastAsia="仿宋_GB2312" w:cs="仿宋_GB2312"/>
          <w:bCs/>
          <w:sz w:val="32"/>
          <w:szCs w:val="32"/>
          <w:lang w:eastAsia="zh-CN"/>
        </w:rPr>
        <w:instrText xml:space="preserve">= 2 \* GB3</w:instrText>
      </w:r>
      <w:r>
        <w:rPr>
          <w:rFonts w:hint="eastAsia" w:ascii="仿宋_GB2312" w:hAnsi="仿宋_GB2312" w:eastAsia="仿宋_GB2312" w:cs="仿宋_GB2312"/>
          <w:bCs/>
          <w:sz w:val="32"/>
          <w:szCs w:val="32"/>
          <w:lang w:eastAsia="zh-CN"/>
        </w:rPr>
        <w:fldChar w:fldCharType="separate"/>
      </w:r>
      <w:r>
        <w:rPr>
          <w:rFonts w:hint="eastAsia" w:ascii="仿宋_GB2312" w:hAnsi="仿宋_GB2312" w:eastAsia="仿宋_GB2312" w:cs="仿宋_GB2312"/>
          <w:bCs/>
          <w:sz w:val="32"/>
          <w:szCs w:val="32"/>
          <w:lang w:eastAsia="zh-CN"/>
        </w:rPr>
        <w:t>②</w:t>
      </w:r>
      <w:r>
        <w:rPr>
          <w:rFonts w:hint="eastAsia" w:ascii="仿宋_GB2312" w:hAnsi="仿宋_GB2312" w:eastAsia="仿宋_GB2312" w:cs="仿宋_GB2312"/>
          <w:bCs/>
          <w:sz w:val="32"/>
          <w:szCs w:val="32"/>
          <w:lang w:eastAsia="zh-CN"/>
        </w:rPr>
        <w:fldChar w:fldCharType="end"/>
      </w:r>
      <w:r>
        <w:rPr>
          <w:rFonts w:hint="eastAsia" w:ascii="仿宋_GB2312" w:hAnsi="仿宋_GB2312" w:eastAsia="仿宋_GB2312" w:cs="仿宋_GB2312"/>
          <w:bCs/>
          <w:sz w:val="32"/>
          <w:szCs w:val="32"/>
          <w:lang w:eastAsia="zh-CN"/>
        </w:rPr>
        <w:t>项目地域为一级，本项调整系数T2为1.4；</w:t>
      </w:r>
    </w:p>
    <w:p w14:paraId="38E0E96B">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③作业区域为三类区域，本项调整系数T3为0.9；</w:t>
      </w:r>
    </w:p>
    <w:p w14:paraId="225EFE4E">
      <w:pPr>
        <w:pStyle w:val="2"/>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④资质资信为</w:t>
      </w:r>
      <w:r>
        <w:rPr>
          <w:rFonts w:hint="eastAsia" w:ascii="仿宋_GB2312" w:hAnsi="仿宋_GB2312" w:eastAsia="仿宋_GB2312" w:cs="仿宋_GB2312"/>
          <w:sz w:val="32"/>
          <w:szCs w:val="32"/>
          <w:lang w:val="en-US" w:eastAsia="zh-CN" w:bidi="ar-SA"/>
        </w:rPr>
        <w:t>乙</w:t>
      </w:r>
      <w:r>
        <w:rPr>
          <w:rFonts w:hint="eastAsia" w:ascii="仿宋_GB2312" w:hAnsi="仿宋_GB2312" w:eastAsia="仿宋_GB2312" w:cs="仿宋_GB2312"/>
          <w:sz w:val="32"/>
          <w:szCs w:val="32"/>
          <w:lang w:eastAsia="zh-CN" w:bidi="ar-SA"/>
        </w:rPr>
        <w:t>级（</w:t>
      </w:r>
      <w:r>
        <w:rPr>
          <w:rFonts w:hint="eastAsia" w:ascii="仿宋_GB2312" w:hAnsi="仿宋_GB2312" w:eastAsia="仿宋_GB2312" w:cs="仿宋_GB2312"/>
          <w:sz w:val="32"/>
          <w:szCs w:val="32"/>
          <w:lang w:val="en-US" w:eastAsia="zh-CN" w:bidi="ar-SA"/>
        </w:rPr>
        <w:t>取中位数</w:t>
      </w:r>
      <w:r>
        <w:rPr>
          <w:rFonts w:hint="eastAsia" w:ascii="仿宋_GB2312" w:hAnsi="仿宋_GB2312" w:eastAsia="仿宋_GB2312" w:cs="仿宋_GB2312"/>
          <w:sz w:val="32"/>
          <w:szCs w:val="32"/>
          <w:lang w:eastAsia="zh-CN" w:bidi="ar-SA"/>
        </w:rPr>
        <w:t>），本项调整系数T4为1.1；</w:t>
      </w:r>
    </w:p>
    <w:p w14:paraId="728B9B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Cs/>
          <w:sz w:val="32"/>
          <w:szCs w:val="32"/>
          <w:lang w:eastAsia="zh-CN"/>
        </w:rPr>
        <w:t>综上，通用调整系数T=T1×T2×T3×T4=1×1.4×0.9×1.1=1.386</w:t>
      </w:r>
      <w:r>
        <w:rPr>
          <w:rFonts w:hint="eastAsia" w:ascii="仿宋_GB2312" w:hAnsi="仿宋_GB2312" w:eastAsia="仿宋_GB2312" w:cs="仿宋_GB2312"/>
          <w:sz w:val="32"/>
          <w:szCs w:val="32"/>
          <w:lang w:eastAsia="zh-CN"/>
        </w:rPr>
        <w:t>；</w:t>
      </w:r>
    </w:p>
    <w:p w14:paraId="54C98F99">
      <w:pPr>
        <w:pStyle w:val="2"/>
        <w:keepNext w:val="0"/>
        <w:keepLines w:val="0"/>
        <w:pageBreakBefore w:val="0"/>
        <w:widowControl w:val="0"/>
        <w:kinsoku/>
        <w:wordWrap/>
        <w:overflowPunct/>
        <w:topLinePunct w:val="0"/>
        <w:autoSpaceDE/>
        <w:autoSpaceDN/>
        <w:bidi w:val="0"/>
        <w:adjustRightInd/>
        <w:snapToGrid/>
        <w:spacing w:line="560" w:lineRule="exact"/>
        <w:ind w:left="210"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6.计算结果</w:t>
      </w:r>
    </w:p>
    <w:p w14:paraId="54834A39">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计费额=1.5万元/公顷（基价）×8.8425公顷（调查面积）×1.386（通用系数）=18.3835万元</w:t>
      </w:r>
    </w:p>
    <w:p w14:paraId="1A9FCA1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56DFE3F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2A864">
    <w:pPr>
      <w:pStyle w:val="4"/>
      <w:jc w:val="center"/>
    </w:pPr>
    <w:r>
      <w:fldChar w:fldCharType="begin"/>
    </w:r>
    <w:r>
      <w:instrText xml:space="preserve">PAGE   \* MERGEFORMAT</w:instrText>
    </w:r>
    <w:r>
      <w:fldChar w:fldCharType="separate"/>
    </w:r>
    <w:r>
      <w:rPr>
        <w:lang w:val="zh-CN" w:eastAsia="zh-CN"/>
      </w:rPr>
      <w:t>3</w:t>
    </w:r>
    <w:r>
      <w:fldChar w:fldCharType="end"/>
    </w:r>
  </w:p>
  <w:p w14:paraId="4FADE47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36"/>
    <w:rsid w:val="005C5736"/>
    <w:rsid w:val="009B591F"/>
    <w:rsid w:val="00F07C0E"/>
    <w:rsid w:val="38AB57E9"/>
    <w:rsid w:val="4EB60A03"/>
    <w:rsid w:val="5F9612D5"/>
    <w:rsid w:val="63D9059B"/>
    <w:rsid w:val="64E53E8F"/>
    <w:rsid w:val="75761641"/>
    <w:rsid w:val="7A626E45"/>
    <w:rsid w:val="D19FD66C"/>
    <w:rsid w:val="EBDFEF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qFormat/>
    <w:uiPriority w:val="0"/>
    <w:rPr>
      <w:rFonts w:ascii="Calibri" w:hAnsi="宋体" w:eastAsia="仿宋" w:cs="宋体"/>
      <w:bCs/>
    </w:rPr>
  </w:style>
  <w:style w:type="paragraph" w:styleId="3">
    <w:name w:val="Plain Text"/>
    <w:basedOn w:val="1"/>
    <w:unhideWhenUsed/>
    <w:qFormat/>
    <w:uiPriority w:val="99"/>
    <w:rPr>
      <w:rFonts w:ascii="宋体" w:hAnsi="Courier New" w:eastAsia="宋体" w:cs="Courier New"/>
    </w:rPr>
  </w:style>
  <w:style w:type="paragraph" w:styleId="4">
    <w:name w:val="footer"/>
    <w:basedOn w:val="1"/>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585</Words>
  <Characters>685</Characters>
  <Lines>7</Lines>
  <Paragraphs>2</Paragraphs>
  <TotalTime>197</TotalTime>
  <ScaleCrop>false</ScaleCrop>
  <LinksUpToDate>false</LinksUpToDate>
  <CharactersWithSpaces>688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2025-08-29T22:42:00Z</dcterms:created>
  <dc:creator>SILIN</dc:creator>
  <cp:lastModifiedBy>柱子</cp:lastModifiedBy>
  <cp:lastPrinted>2025-08-29T22:49:00Z</cp:lastPrinted>
  <dcterms:modified xsi:type="dcterms:W3CDTF">2025-10-13T02:26:25Z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eyJoZGlkIjoiNGQ0MDE2OTc4MWI3MjM4ZTM4ZjI3NTNmM2VhZWJjNWQiLCJ1c2VySWQiOiIyNTgxMDg2ODAifQ==</vt:lpwstr>
  </property>
  <property fmtid="{D5CDD505-2E9C-101B-9397-08002B2CF9AE}" pid="4" name="ICV">
    <vt:lpwstr>00119238B63347C4A4E0DB4C4CFB1407_13</vt:lpwstr>
  </property>
</Properties>
</file>