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布沙路与健民路交叉口交通安全整治工程（施工）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深圳市新峰建设工程有限公司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43.0691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90天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深圳市新峰建设工程有限公司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布沙路与健民路交叉口交通安全整治工程（施工）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CND&#10;n1faAAAACQEAAA8AAAAAAAAAAQAgAAAAOAAAAGRycy9kb3ducmV2LnhtbFBLAQIUABQAAAAIAIdO&#10;4kDeHhI8RAIAAHIEAAAOAAAAAAAAAAEAIAAAAD8BAABkcnMvZTJvRG9jLnhtbF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布沙路与健民路交叉口交通安全整治工程（施工）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05505780"/>
    <w:rsid w:val="1961697A"/>
    <w:rsid w:val="1A6D7258"/>
    <w:rsid w:val="20FA3EB1"/>
    <w:rsid w:val="21C575E7"/>
    <w:rsid w:val="24024ACF"/>
    <w:rsid w:val="24202CD3"/>
    <w:rsid w:val="2CB74F17"/>
    <w:rsid w:val="2E313E9D"/>
    <w:rsid w:val="2EA15F75"/>
    <w:rsid w:val="31783BFD"/>
    <w:rsid w:val="36F80369"/>
    <w:rsid w:val="3CB71655"/>
    <w:rsid w:val="437B27C0"/>
    <w:rsid w:val="449C6A74"/>
    <w:rsid w:val="4B94197A"/>
    <w:rsid w:val="525811CD"/>
    <w:rsid w:val="570F155E"/>
    <w:rsid w:val="5A812A13"/>
    <w:rsid w:val="62943403"/>
    <w:rsid w:val="6CFB0EF6"/>
    <w:rsid w:val="70190A38"/>
    <w:rsid w:val="70DE426E"/>
    <w:rsid w:val="71AF40B3"/>
    <w:rsid w:val="733A2E22"/>
    <w:rsid w:val="733D699B"/>
    <w:rsid w:val="75C613B8"/>
    <w:rsid w:val="7AC71B3B"/>
    <w:rsid w:val="7AD97F24"/>
    <w:rsid w:val="7C1B3526"/>
    <w:rsid w:val="7F97B860"/>
    <w:rsid w:val="7F9CFA43"/>
    <w:rsid w:val="7FD6126C"/>
    <w:rsid w:val="7FF4144D"/>
    <w:rsid w:val="EFEF30EA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1</TotalTime>
  <ScaleCrop>false</ScaleCrop>
  <LinksUpToDate>false</LinksUpToDate>
  <CharactersWithSpaces>169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城市建设办公室</cp:lastModifiedBy>
  <cp:lastPrinted>2025-07-03T09:46:00Z</cp:lastPrinted>
  <dcterms:modified xsi:type="dcterms:W3CDTF">2025-10-13T10:32:28Z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50A5CE2145B046639832165C76728BA3_13</vt:lpwstr>
  </property>
  <property fmtid="{D5CDD505-2E9C-101B-9397-08002B2CF9AE}" pid="4" name="KSOTemplateDocerSaveRecord">
    <vt:lpwstr>eyJoZGlkIjoiN2U2N2M4ZGNmM2EyOTFhNzJlMjkxZjU5MDA2NzVkNzEiLCJ1c2VySWQiOiIzMTcxOTE4NjUifQ==</vt:lpwstr>
  </property>
</Properties>
</file>