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附件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二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：综合评分表</w:t>
      </w:r>
    </w:p>
    <w:p>
      <w:pPr>
        <w:jc w:val="center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专项法律服务</w:t>
      </w:r>
      <w:r>
        <w:rPr>
          <w:rFonts w:hint="eastAsia" w:ascii="仿宋_GB2312" w:eastAsia="仿宋_GB2312"/>
          <w:b/>
          <w:bCs/>
          <w:sz w:val="30"/>
          <w:szCs w:val="30"/>
        </w:rPr>
        <w:t>综合评分表</w:t>
      </w:r>
    </w:p>
    <w:tbl>
      <w:tblPr>
        <w:tblStyle w:val="3"/>
        <w:tblpPr w:leftFromText="180" w:rightFromText="180" w:vertAnchor="text" w:horzAnchor="margin" w:tblpXSpec="center" w:tblpY="37"/>
        <w:tblOverlap w:val="never"/>
        <w:tblW w:w="9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930"/>
        <w:gridCol w:w="4700"/>
        <w:gridCol w:w="1725"/>
        <w:gridCol w:w="870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</w:trPr>
        <w:tc>
          <w:tcPr>
            <w:tcW w:w="439" w:type="dxa"/>
            <w:shd w:val="clear" w:color="auto" w:fill="DEEAF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930" w:type="dxa"/>
            <w:shd w:val="clear" w:color="auto" w:fill="DEEAF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评审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项目</w:t>
            </w:r>
          </w:p>
        </w:tc>
        <w:tc>
          <w:tcPr>
            <w:tcW w:w="4700" w:type="dxa"/>
            <w:shd w:val="clear" w:color="auto" w:fill="DEEAF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评审标准</w:t>
            </w:r>
          </w:p>
        </w:tc>
        <w:tc>
          <w:tcPr>
            <w:tcW w:w="1725" w:type="dxa"/>
            <w:shd w:val="clear" w:color="auto" w:fill="DEEAF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证明材料</w:t>
            </w:r>
          </w:p>
        </w:tc>
        <w:tc>
          <w:tcPr>
            <w:tcW w:w="870" w:type="dxa"/>
            <w:shd w:val="clear" w:color="auto" w:fill="DEEAF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分值</w:t>
            </w:r>
          </w:p>
        </w:tc>
        <w:tc>
          <w:tcPr>
            <w:tcW w:w="968" w:type="dxa"/>
            <w:shd w:val="clear" w:color="auto" w:fill="DEEAF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报价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得分</w:t>
            </w:r>
          </w:p>
        </w:tc>
        <w:tc>
          <w:tcPr>
            <w:tcW w:w="470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采用低价优先法计算，投标总价最低的投标报价为评标基准价，其价格分为满分。</w:t>
            </w:r>
          </w:p>
          <w:p>
            <w:pPr>
              <w:spacing w:line="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其他投标人的价格分统一按照下列公式计算：投标报价得分=(评标基准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价／投标总价)×1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</w:p>
          <w:p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评标过程中，不去掉报价中的最高报价和最低报价。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 w:ascii="宋体" w:hAnsi="宋体" w:cs="宋体"/>
                <w:szCs w:val="21"/>
              </w:rPr>
              <w:t>提供响应报价，并加盖公章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10分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同类业绩情况</w:t>
            </w:r>
          </w:p>
        </w:tc>
        <w:tc>
          <w:tcPr>
            <w:tcW w:w="4700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年起至本项目投标截止之日，如具有深圳土地整备利益统筹项目或深圳城市更新项目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法律服务工作经验</w:t>
            </w:r>
            <w:r>
              <w:rPr>
                <w:rFonts w:hint="eastAsia" w:ascii="宋体" w:hAnsi="宋体" w:cs="宋体"/>
                <w:szCs w:val="21"/>
              </w:rPr>
              <w:t>的</w:t>
            </w:r>
            <w:r>
              <w:rPr>
                <w:rFonts w:ascii="宋体" w:hAnsi="宋体" w:cs="宋体"/>
                <w:szCs w:val="21"/>
              </w:rPr>
              <w:t>，每1个加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szCs w:val="21"/>
              </w:rPr>
              <w:t>分，最多加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25</w:t>
            </w:r>
            <w:r>
              <w:rPr>
                <w:rFonts w:ascii="宋体" w:hAnsi="宋体" w:cs="宋体"/>
                <w:szCs w:val="21"/>
              </w:rPr>
              <w:t>分</w:t>
            </w:r>
            <w:r>
              <w:rPr>
                <w:rFonts w:hint="eastAsia" w:ascii="宋体" w:hAnsi="宋体" w:cs="宋体"/>
                <w:szCs w:val="21"/>
              </w:rPr>
              <w:t>。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</w:pPr>
            <w:r>
              <w:rPr>
                <w:rFonts w:hint="eastAsia"/>
              </w:rPr>
              <w:t>提供相应合同文件、成果文件，并加盖公章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1" w:hRule="atLeast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设立</w:t>
            </w:r>
            <w:r>
              <w:rPr>
                <w:rFonts w:hint="eastAsia"/>
                <w:bCs/>
                <w:szCs w:val="21"/>
              </w:rPr>
              <w:t>年限</w:t>
            </w:r>
            <w:r>
              <w:rPr>
                <w:rFonts w:hint="eastAsia"/>
                <w:bCs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szCs w:val="21"/>
              </w:rPr>
              <w:t>获奖情况</w:t>
            </w:r>
          </w:p>
        </w:tc>
        <w:tc>
          <w:tcPr>
            <w:tcW w:w="4700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至投标截止之日，投标人设立年限≥5年，得5分；3年≤设立年限＜5年，得3分； 其余得1分。</w:t>
            </w:r>
          </w:p>
          <w:p>
            <w:pPr>
              <w:spacing w:line="0" w:lineRule="atLeast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总所或分所</w:t>
            </w:r>
            <w:r>
              <w:rPr>
                <w:rFonts w:hint="eastAsia" w:ascii="宋体" w:hAnsi="宋体" w:cs="宋体"/>
                <w:szCs w:val="21"/>
              </w:rPr>
              <w:t>获得全国优秀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律师事务所</w:t>
            </w:r>
            <w:r>
              <w:rPr>
                <w:rFonts w:hint="eastAsia" w:ascii="宋体" w:hAnsi="宋体" w:cs="宋体"/>
                <w:szCs w:val="21"/>
              </w:rPr>
              <w:t>奖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的，得5分；总所或分所获得省级</w:t>
            </w:r>
            <w:r>
              <w:rPr>
                <w:rFonts w:hint="eastAsia" w:ascii="宋体" w:hAnsi="宋体" w:cs="宋体"/>
                <w:szCs w:val="21"/>
              </w:rPr>
              <w:t>优秀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律师事务所</w:t>
            </w:r>
            <w:r>
              <w:rPr>
                <w:rFonts w:hint="eastAsia" w:ascii="宋体" w:hAnsi="宋体" w:cs="宋体"/>
                <w:szCs w:val="21"/>
              </w:rPr>
              <w:t>奖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的，得</w:t>
            </w:r>
            <w:r>
              <w:rPr>
                <w:rFonts w:hint="default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分；其余情况不得分。以上奖项不重复计算得分。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提供奖项照片或获奖（荣誉）证书扫描件</w:t>
            </w:r>
            <w:r>
              <w:rPr>
                <w:rFonts w:hint="eastAsia"/>
                <w:highlight w:val="none"/>
              </w:rPr>
              <w:t>并</w:t>
            </w:r>
            <w:r>
              <w:rPr>
                <w:rFonts w:hint="eastAsia"/>
                <w:highlight w:val="none"/>
                <w:lang w:val="en-US" w:eastAsia="zh-CN"/>
              </w:rPr>
              <w:t>提供</w:t>
            </w:r>
            <w:r>
              <w:rPr>
                <w:rFonts w:ascii="none" w:hAnsi="none" w:eastAsia="none" w:cs="none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</w:rPr>
              <w:t>官方</w:t>
            </w:r>
            <w:r>
              <w:rPr>
                <w:rFonts w:hint="eastAsia" w:ascii="none" w:hAnsi="none" w:cs="none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或行业</w:t>
            </w:r>
            <w:r>
              <w:rPr>
                <w:rFonts w:hint="eastAsia" w:ascii="none" w:hAnsi="none" w:eastAsia="宋体" w:cs="none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协会</w:t>
            </w:r>
            <w:r>
              <w:rPr>
                <w:rFonts w:hint="eastAsia" w:ascii="none" w:hAnsi="none" w:cs="none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的通报或查验信息网页</w:t>
            </w:r>
            <w:r>
              <w:rPr>
                <w:rFonts w:hint="eastAsia" w:ascii="none" w:hAnsi="none" w:eastAsia="宋体" w:cs="none"/>
                <w:i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，</w:t>
            </w:r>
            <w:r>
              <w:rPr>
                <w:rFonts w:hint="eastAsia"/>
              </w:rPr>
              <w:t>加盖公章。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10分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拟委任</w:t>
            </w:r>
            <w:r>
              <w:rPr>
                <w:rFonts w:hint="eastAsia"/>
                <w:lang w:val="en-US" w:eastAsia="zh-CN"/>
              </w:rPr>
              <w:t>团队</w:t>
            </w:r>
            <w:r>
              <w:rPr>
                <w:rFonts w:hint="eastAsia"/>
              </w:rPr>
              <w:t>资格和能力</w:t>
            </w:r>
          </w:p>
        </w:tc>
        <w:tc>
          <w:tcPr>
            <w:tcW w:w="4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至投标</w:t>
            </w:r>
            <w:r>
              <w:rPr>
                <w:rFonts w:hint="eastAsia" w:ascii="宋体" w:hAnsi="宋体" w:cs="宋体"/>
                <w:szCs w:val="21"/>
              </w:rPr>
              <w:t>截止</w:t>
            </w: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之日，</w:t>
            </w:r>
            <w:r>
              <w:rPr>
                <w:rFonts w:hint="eastAsia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执业年限≥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年，得</w:t>
            </w: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5分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；</w:t>
            </w: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年≤执业年限＜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年，得</w:t>
            </w:r>
            <w:r>
              <w:rPr>
                <w:rFonts w:hint="default" w:asciiTheme="minorEastAsia" w:hAnsiTheme="minorEastAsia" w:cstheme="minor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； 其余</w:t>
            </w: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得</w:t>
            </w:r>
            <w:r>
              <w:rPr>
                <w:rFonts w:hint="default" w:asciiTheme="minorEastAsia" w:hAnsiTheme="minorEastAsia" w:cstheme="minorEastAsia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eastAsia="宋体" w:asciiTheme="minorEastAsia" w:hAnsi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Cs/>
                <w:szCs w:val="21"/>
                <w:lang w:val="en-US" w:eastAsia="zh-CN"/>
              </w:rPr>
              <w:t>至投标截止之日，团队成员执业年限≥5年，每1名加</w:t>
            </w: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eastAsia="宋体" w:asciiTheme="minorEastAsia" w:hAnsiTheme="minorEastAsia" w:cstheme="minorEastAsia"/>
                <w:bCs/>
                <w:szCs w:val="21"/>
                <w:lang w:val="en-US" w:eastAsia="zh-CN"/>
              </w:rPr>
              <w:t>分，最多加</w:t>
            </w:r>
            <w:r>
              <w:rPr>
                <w:rFonts w:hint="eastAsia" w:asciiTheme="minorEastAsia" w:hAnsiTheme="minorEastAsia" w:cstheme="minorEastAsia"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eastAsia="宋体" w:asciiTheme="minorEastAsia" w:hAnsiTheme="minorEastAsia" w:cstheme="minorEastAsia"/>
                <w:bCs/>
                <w:szCs w:val="21"/>
                <w:lang w:val="en-US" w:eastAsia="zh-CN"/>
              </w:rPr>
              <w:t>分。</w:t>
            </w:r>
          </w:p>
          <w:p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年起至本项目投标截止之日，</w:t>
            </w:r>
            <w:r>
              <w:rPr>
                <w:rFonts w:hint="eastAsia"/>
              </w:rPr>
              <w:t>如项目负责人主持过</w:t>
            </w:r>
            <w:r>
              <w:rPr>
                <w:rFonts w:hint="eastAsia" w:ascii="宋体" w:hAnsi="宋体" w:cs="宋体"/>
                <w:szCs w:val="21"/>
              </w:rPr>
              <w:t>深圳土地整备利益统筹项目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szCs w:val="21"/>
              </w:rPr>
              <w:t>深圳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城市更新</w:t>
            </w:r>
            <w:r>
              <w:rPr>
                <w:rFonts w:hint="eastAsia" w:ascii="宋体" w:hAnsi="宋体" w:cs="宋体"/>
                <w:szCs w:val="21"/>
              </w:rPr>
              <w:t>项目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val="en-US" w:eastAsia="zh-CN"/>
              </w:rPr>
              <w:t>法律服务</w:t>
            </w:r>
            <w:r>
              <w:rPr>
                <w:rFonts w:hint="eastAsia"/>
              </w:rPr>
              <w:t>工作，每</w:t>
            </w:r>
            <w:r>
              <w:t>1个加</w:t>
            </w:r>
            <w:r>
              <w:rPr>
                <w:rFonts w:hint="eastAsia"/>
                <w:lang w:val="en-US" w:eastAsia="zh-CN"/>
              </w:rPr>
              <w:t>2</w:t>
            </w:r>
            <w:r>
              <w:t>分，最多加</w:t>
            </w:r>
            <w:r>
              <w:rPr>
                <w:rFonts w:hint="eastAsia"/>
                <w:lang w:val="en-US" w:eastAsia="zh-CN"/>
              </w:rPr>
              <w:t>10</w:t>
            </w:r>
            <w:r>
              <w:t>分</w:t>
            </w:r>
            <w:r>
              <w:rPr>
                <w:rFonts w:hint="eastAsia"/>
              </w:rPr>
              <w:t>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提供姓名、任职情况、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执业年限、</w:t>
            </w:r>
            <w:r>
              <w:rPr>
                <w:rFonts w:hint="eastAsia" w:ascii="宋体" w:hAnsi="宋体" w:cs="宋体"/>
                <w:szCs w:val="21"/>
              </w:rPr>
              <w:t>相关项目经验证明材料并加盖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公</w:t>
            </w:r>
            <w:r>
              <w:rPr>
                <w:rFonts w:hint="eastAsia" w:ascii="宋体" w:hAnsi="宋体" w:cs="宋体"/>
                <w:szCs w:val="21"/>
              </w:rPr>
              <w:t>章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本项目的服务方案</w:t>
            </w:r>
          </w:p>
        </w:tc>
        <w:tc>
          <w:tcPr>
            <w:tcW w:w="4700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对</w:t>
            </w:r>
            <w:r>
              <w:rPr>
                <w:rFonts w:hint="eastAsia"/>
                <w:szCs w:val="21"/>
              </w:rPr>
              <w:t>服务方案的完整性、合理性、可执行性和工作时间安排合理、服务保障是否到位、服务流程是否合理，服务人员</w:t>
            </w:r>
            <w:r>
              <w:rPr>
                <w:rFonts w:hint="eastAsia"/>
                <w:szCs w:val="21"/>
                <w:lang w:val="en-US" w:eastAsia="zh-CN"/>
              </w:rPr>
              <w:t>配置等</w:t>
            </w:r>
            <w:r>
              <w:rPr>
                <w:rFonts w:hint="eastAsia"/>
                <w:szCs w:val="21"/>
              </w:rPr>
              <w:t>进行综合评议</w:t>
            </w:r>
            <w:r>
              <w:rPr>
                <w:rFonts w:hint="eastAsia" w:ascii="宋体" w:hAnsi="宋体" w:cs="宋体"/>
                <w:szCs w:val="21"/>
              </w:rPr>
              <w:t>：</w:t>
            </w:r>
          </w:p>
          <w:p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评优得2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～30分，良得17～2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分，中得9～16分，差得0～8分。</w:t>
            </w:r>
          </w:p>
          <w:p>
            <w:p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打分参考：综合评审服务方案中对我司服务需求进行任务分解情况、技术服务团队工作职责及运作安排情况、各项过程技术服务成果质量把控能力、过程资料及档案管理、其他相关事宜。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提供技术服务方案，并加盖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公</w:t>
            </w:r>
            <w:r>
              <w:rPr>
                <w:rFonts w:hint="eastAsia" w:ascii="宋体" w:hAnsi="宋体" w:cs="宋体"/>
                <w:szCs w:val="21"/>
              </w:rPr>
              <w:t>章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7794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100分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794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拟推荐成交候选供应商（原则推荐评审综合得分最高的单位）</w:t>
            </w:r>
          </w:p>
        </w:tc>
        <w:tc>
          <w:tcPr>
            <w:tcW w:w="18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ind w:firstLine="420" w:firstLineChars="200"/>
        <w:rPr>
          <w:rFonts w:hint="eastAsia" w:ascii="黑体" w:hAnsi="黑体" w:eastAsia="黑体"/>
          <w:szCs w:val="21"/>
        </w:rPr>
      </w:pPr>
    </w:p>
    <w:p>
      <w:pPr>
        <w:ind w:firstLine="420" w:firstLineChars="200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备注：1.各项评审打分按照四舍五入，小数点后保留2位进行计算；</w:t>
      </w:r>
    </w:p>
    <w:p>
      <w:pPr>
        <w:ind w:firstLine="420" w:firstLineChars="200"/>
      </w:pPr>
      <w:r>
        <w:rPr>
          <w:rFonts w:hint="eastAsia" w:ascii="黑体" w:hAnsi="黑体" w:eastAsia="黑体"/>
          <w:szCs w:val="21"/>
        </w:rPr>
        <w:t xml:space="preserve">      2.若出现拟推荐成交候选供应商分数相同的情况，价低者得。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00563"/>
    <w:rsid w:val="021D3C05"/>
    <w:rsid w:val="078D75F5"/>
    <w:rsid w:val="0A314E36"/>
    <w:rsid w:val="0E9406CA"/>
    <w:rsid w:val="14EE4FE9"/>
    <w:rsid w:val="169B6DCC"/>
    <w:rsid w:val="1B9D72F6"/>
    <w:rsid w:val="1BAA4EFC"/>
    <w:rsid w:val="1C587E08"/>
    <w:rsid w:val="1CEB5018"/>
    <w:rsid w:val="1FAE7069"/>
    <w:rsid w:val="208A381B"/>
    <w:rsid w:val="21800563"/>
    <w:rsid w:val="2A6F2B38"/>
    <w:rsid w:val="2C845BFF"/>
    <w:rsid w:val="2CB145BD"/>
    <w:rsid w:val="300B7369"/>
    <w:rsid w:val="356E6597"/>
    <w:rsid w:val="39914D8E"/>
    <w:rsid w:val="40427A3E"/>
    <w:rsid w:val="40DD4C10"/>
    <w:rsid w:val="42096C00"/>
    <w:rsid w:val="47B378CD"/>
    <w:rsid w:val="4A3763C1"/>
    <w:rsid w:val="4B7A682D"/>
    <w:rsid w:val="4B817906"/>
    <w:rsid w:val="4C301125"/>
    <w:rsid w:val="523E1ECC"/>
    <w:rsid w:val="53332C9A"/>
    <w:rsid w:val="533849AF"/>
    <w:rsid w:val="5DBE5A18"/>
    <w:rsid w:val="5DDF222C"/>
    <w:rsid w:val="62BA0AE6"/>
    <w:rsid w:val="650444BF"/>
    <w:rsid w:val="66977392"/>
    <w:rsid w:val="6BEA49E8"/>
    <w:rsid w:val="70D90313"/>
    <w:rsid w:val="747A0218"/>
    <w:rsid w:val="75E81681"/>
    <w:rsid w:val="77E63F30"/>
    <w:rsid w:val="7A09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customStyle="1" w:styleId="5">
    <w:name w:val="纯文本1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867</Words>
  <Characters>895</Characters>
  <Lines>0</Lines>
  <Paragraphs>0</Paragraphs>
  <TotalTime>0</TotalTime>
  <ScaleCrop>false</ScaleCrop>
  <LinksUpToDate>false</LinksUpToDate>
  <CharactersWithSpaces>904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2025-02-27T10:13:00Z</dcterms:created>
  <dc:creator>姚隽</dc:creator>
  <cp:lastModifiedBy>姚隽</cp:lastModifiedBy>
  <cp:lastPrinted>2025-09-11T01:45:00Z</cp:lastPrinted>
  <dcterms:modified xsi:type="dcterms:W3CDTF">2025-10-09T02:30:15Z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eyJoZGlkIjoiNWMyNDI0OWY5MGVjMDYwZTI5OThjOTVjNzczNDcwOTkiLCJ1c2VySWQiOiIzMjAxMjQ4MDYifQ==</vt:lpwstr>
  </property>
  <property fmtid="{D5CDD505-2E9C-101B-9397-08002B2CF9AE}" pid="4" name="ICV">
    <vt:lpwstr>461DC5393A324D92A83B8A968C617E7E_13</vt:lpwstr>
  </property>
</Properties>
</file>