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：响应文件一览表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/>
              </w:rPr>
              <w:t>提供奖项照片或获奖（荣誉）证书扫描件</w:t>
            </w:r>
            <w:r>
              <w:rPr>
                <w:rFonts w:hint="eastAsia"/>
                <w:highlight w:val="none"/>
              </w:rPr>
              <w:t>并</w:t>
            </w: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ascii="none" w:hAnsi="none" w:eastAsia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官方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或行业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协会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的通报或查验信息网页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/>
              </w:rPr>
              <w:t>加盖公章。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业绩证明</w:t>
            </w: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合同复印件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报告的首页复印件加盖公章，同时提供合同复印件及报告显示项目团队人员及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项目名称（或类型）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页面加盖公章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提供项目负责人及团队成员相应工作经历及学历、学位证书复印件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项目服务方案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根据本公告的工作内容，出具技术服务方案，包括不限于对本项目的理解、拟派遣团队及业绩、响应速度、工期计划及相关服务保证措施等，需重点对本公告的工作内容提出技术方案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02DE"/>
    <w:rsid w:val="0B455639"/>
    <w:rsid w:val="0F836C3B"/>
    <w:rsid w:val="5DDF222C"/>
    <w:rsid w:val="6BC402DE"/>
    <w:rsid w:val="7F4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2025-10-09T03:07:58Z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