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96B8"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bookmarkEnd w:id="0"/>
    <w:p w14:paraId="3FDA02D6">
      <w:pPr>
        <w:ind w:firstLine="3600" w:firstLineChars="10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承诺函</w:t>
      </w:r>
    </w:p>
    <w:p w14:paraId="6AC5B76F"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海科兴留学生产业基地投资</w:t>
      </w:r>
      <w:r>
        <w:rPr>
          <w:rFonts w:hint="eastAsia" w:hAnsi="宋体"/>
          <w:sz w:val="24"/>
          <w:szCs w:val="24"/>
          <w:u w:val="single"/>
        </w:rPr>
        <w:t>有限公司</w:t>
      </w:r>
    </w:p>
    <w:p w14:paraId="7838CFC7">
      <w:pPr>
        <w:pStyle w:val="4"/>
        <w:numPr>
          <w:ilvl w:val="0"/>
          <w:numId w:val="0"/>
        </w:numPr>
        <w:adjustRightInd w:val="0"/>
        <w:snapToGrid w:val="0"/>
        <w:spacing w:line="560" w:lineRule="exact"/>
        <w:ind w:firstLine="480" w:firstLineChars="200"/>
        <w:outlineLvl w:val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u w:val="single"/>
          <w:lang w:val="en-US" w:eastAsia="zh-CN" w:bidi="ar-SA"/>
        </w:rPr>
        <w:t>紫光云数据（深圳）有限公司合同纠纷案应诉项目专项法律服务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u w:val="single"/>
          <w:lang w:val="en-US" w:eastAsia="zh-CN" w:bidi="ar-SA"/>
        </w:rPr>
        <w:t>紫光云数据（深圳）有限公司合同纠纷案应诉项目专项法律服务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 w14:paraId="367C3637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</w:t>
      </w:r>
    </w:p>
    <w:p w14:paraId="22D15695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7EEF91B4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1EB15A9E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5ADD6AC1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02DEB52A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3A0B7749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3D54A8D9">
      <w:pPr>
        <w:pStyle w:val="2"/>
        <w:spacing w:line="336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45E05030">
      <w:pPr>
        <w:pStyle w:val="3"/>
      </w:pPr>
    </w:p>
    <w:p w14:paraId="2A942009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38BEB712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2C8DFE15"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95E17"/>
    <w:rsid w:val="519A53EE"/>
    <w:rsid w:val="60B5557B"/>
    <w:rsid w:val="6B2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customStyle="1" w:styleId="7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2025-05-20T07:02:00Z</dcterms:created>
  <dc:creator>Administrator</dc:creator>
  <cp:lastModifiedBy>實誠</cp:lastModifiedBy>
  <dcterms:modified xsi:type="dcterms:W3CDTF">2025-10-09T02:59:29Z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A993C059FEFA4BAA85073C2DCC870765_13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