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eepNext w:val="0"/>
        <w:keepLines w:val="0"/>
        <w:pageBreakBefore w:val="0"/>
        <w:widowControl w:val="0"/>
        <w:kinsoku/>
        <w:wordWrap/>
        <w:overflowPunct/>
        <w:topLinePunct w:val="0"/>
        <w:autoSpaceDE/>
        <w:autoSpaceDN/>
        <w:bidi w:val="0"/>
        <w:adjustRightInd/>
        <w:snapToGrid/>
        <w:spacing w:line="540" w:lineRule="exact"/>
        <w:ind w:left="0" w:leftChars="0"/>
        <w:jc w:val="left"/>
        <w:textAlignment w:val="auto"/>
        <w:rPr>
          <w:rFonts w:hint="eastAsia" w:ascii="黑体" w:hAnsi="黑体" w:eastAsia="黑体" w:cs="黑体"/>
          <w:color w:val="auto"/>
          <w:sz w:val="32"/>
          <w:szCs w:val="32"/>
          <w:highlight w:val="none"/>
          <w:lang w:val="en-US" w:eastAsia="zh-CN"/>
        </w:rPr>
      </w:pPr>
      <w:bookmarkStart w:id="1" w:name="_GoBack"/>
      <w:bookmarkEnd w:id="1"/>
      <w:r>
        <w:rPr>
          <w:rFonts w:hint="eastAsia" w:ascii="黑体" w:hAnsi="黑体" w:eastAsia="黑体" w:cs="黑体"/>
          <w:color w:val="auto"/>
          <w:sz w:val="32"/>
          <w:szCs w:val="32"/>
          <w:highlight w:val="none"/>
          <w:lang w:val="en-US" w:eastAsia="zh-CN"/>
        </w:rPr>
        <w:t>附件3</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方正小标宋简体" w:hAnsi="方正小标宋简体" w:eastAsia="方正小标宋简体" w:cs="方正小标宋简体"/>
          <w:color w:val="auto"/>
          <w:kern w:val="2"/>
          <w:sz w:val="44"/>
          <w:szCs w:val="44"/>
          <w:highlight w:val="none"/>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bidi="ar-SA"/>
        </w:rPr>
      </w:pPr>
      <w:r>
        <w:rPr>
          <w:rFonts w:hint="eastAsia" w:ascii="方正小标宋简体" w:hAnsi="方正小标宋简体" w:eastAsia="方正小标宋简体" w:cs="方正小标宋简体"/>
          <w:color w:val="auto"/>
          <w:kern w:val="2"/>
          <w:sz w:val="44"/>
          <w:szCs w:val="44"/>
          <w:highlight w:val="none"/>
          <w:lang w:val="en-US" w:eastAsia="zh-CN" w:bidi="ar-SA"/>
        </w:rPr>
        <w:t>2025年龙岗区人工智能园区及产业空间建设运营扶持项目申报指南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　　一、政策依据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CESI仿宋-GB2312" w:hAnsi="CESI仿宋-GB2312" w:eastAsia="CESI仿宋-GB2312" w:cs="CESI仿宋-GB2312"/>
          <w:color w:val="auto"/>
          <w:sz w:val="32"/>
          <w:szCs w:val="32"/>
          <w:highlight w:val="none"/>
          <w:lang w:eastAsia="zh-CN"/>
        </w:rPr>
      </w:pPr>
      <w:r>
        <w:rPr>
          <w:rFonts w:hint="eastAsia" w:ascii="CESI仿宋-GB2312" w:hAnsi="CESI仿宋-GB2312" w:eastAsia="CESI仿宋-GB2312" w:cs="CESI仿宋-GB2312"/>
          <w:color w:val="auto"/>
          <w:sz w:val="32"/>
          <w:szCs w:val="32"/>
          <w:highlight w:val="none"/>
          <w:lang w:eastAsia="zh-CN"/>
        </w:rPr>
        <w:t>（一）《深圳市龙岗区关于支持人工智能产业引领高质量发展若干措施》（深龙工信规〔2024〕7号）；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CESI仿宋-GB2312" w:hAnsi="CESI仿宋-GB2312" w:eastAsia="CESI仿宋-GB2312" w:cs="CESI仿宋-GB2312"/>
          <w:color w:val="auto"/>
          <w:sz w:val="32"/>
          <w:szCs w:val="32"/>
          <w:highlight w:val="none"/>
          <w:lang w:eastAsia="zh-CN"/>
        </w:rPr>
        <w:t>（二）</w:t>
      </w:r>
      <w:r>
        <w:rPr>
          <w:rFonts w:hint="eastAsia" w:ascii="仿宋_GB2312" w:hAnsi="仿宋_GB2312" w:eastAsia="仿宋_GB2312" w:cs="仿宋_GB2312"/>
          <w:color w:val="auto"/>
          <w:kern w:val="2"/>
          <w:sz w:val="32"/>
          <w:szCs w:val="36"/>
          <w:highlight w:val="none"/>
          <w:lang w:val="en-US" w:eastAsia="zh-CN" w:bidi="ar-SA"/>
        </w:rPr>
        <w:t>《深圳市龙岗区工业和信息化产业发展专项资金关于支持人工智能产业引领高质量发展实施细则》</w:t>
      </w:r>
      <w:r>
        <w:rPr>
          <w:rFonts w:hint="eastAsia" w:ascii="CESI仿宋-GB2312" w:hAnsi="CESI仿宋-GB2312" w:eastAsia="CESI仿宋-GB2312" w:cs="CESI仿宋-GB2312"/>
          <w:color w:val="auto"/>
          <w:sz w:val="32"/>
          <w:szCs w:val="32"/>
          <w:highlight w:val="none"/>
          <w:lang w:eastAsia="zh-CN"/>
        </w:rPr>
        <w:t>（深龙工信规〔202</w:t>
      </w:r>
      <w:r>
        <w:rPr>
          <w:rFonts w:hint="eastAsia" w:ascii="CESI仿宋-GB2312" w:hAnsi="CESI仿宋-GB2312" w:eastAsia="CESI仿宋-GB2312" w:cs="CESI仿宋-GB2312"/>
          <w:color w:val="auto"/>
          <w:sz w:val="32"/>
          <w:szCs w:val="32"/>
          <w:highlight w:val="none"/>
          <w:lang w:val="en-US" w:eastAsia="zh-CN"/>
        </w:rPr>
        <w:t>5</w:t>
      </w:r>
      <w:r>
        <w:rPr>
          <w:rFonts w:hint="eastAsia" w:ascii="CESI仿宋-GB2312" w:hAnsi="CESI仿宋-GB2312" w:eastAsia="CESI仿宋-GB2312" w:cs="CESI仿宋-GB2312"/>
          <w:color w:val="auto"/>
          <w:sz w:val="32"/>
          <w:szCs w:val="32"/>
          <w:highlight w:val="none"/>
          <w:lang w:eastAsia="zh-CN"/>
        </w:rPr>
        <w:t>〕</w:t>
      </w:r>
      <w:r>
        <w:rPr>
          <w:rFonts w:hint="eastAsia" w:ascii="CESI仿宋-GB2312" w:hAnsi="CESI仿宋-GB2312" w:eastAsia="CESI仿宋-GB2312" w:cs="CESI仿宋-GB2312"/>
          <w:color w:val="auto"/>
          <w:sz w:val="32"/>
          <w:szCs w:val="32"/>
          <w:highlight w:val="none"/>
          <w:lang w:val="en-US" w:eastAsia="zh-CN"/>
        </w:rPr>
        <w:t>2</w:t>
      </w:r>
      <w:r>
        <w:rPr>
          <w:rFonts w:hint="eastAsia" w:ascii="CESI仿宋-GB2312" w:hAnsi="CESI仿宋-GB2312" w:eastAsia="CESI仿宋-GB2312" w:cs="CESI仿宋-GB2312"/>
          <w:color w:val="auto"/>
          <w:sz w:val="32"/>
          <w:szCs w:val="32"/>
          <w:highlight w:val="none"/>
          <w:lang w:eastAsia="zh-CN"/>
        </w:rPr>
        <w:t>号</w:t>
      </w:r>
      <w:r>
        <w:rPr>
          <w:rFonts w:hint="eastAsia" w:ascii="仿宋_GB2312" w:hAnsi="仿宋_GB2312" w:eastAsia="仿宋_GB2312" w:cs="仿宋_GB2312"/>
          <w:color w:val="auto"/>
          <w:kern w:val="2"/>
          <w:sz w:val="32"/>
          <w:szCs w:val="36"/>
          <w:highlight w:val="none"/>
          <w:lang w:val="en-US" w:eastAsia="zh-CN" w:bidi="ar-SA"/>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　　二、项目扶持范围和标准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华文楷体" w:hAnsi="华文楷体" w:eastAsia="华文楷体" w:cs="华文楷体"/>
          <w:color w:val="auto"/>
          <w:kern w:val="0"/>
          <w:sz w:val="32"/>
          <w:szCs w:val="32"/>
          <w:highlight w:val="none"/>
          <w:lang w:val="en-US" w:eastAsia="zh-CN" w:bidi="ar-SA"/>
        </w:rPr>
      </w:pPr>
      <w:r>
        <w:rPr>
          <w:rFonts w:hint="eastAsia" w:ascii="华文楷体" w:hAnsi="华文楷体" w:eastAsia="华文楷体" w:cs="华文楷体"/>
          <w:color w:val="auto"/>
          <w:kern w:val="0"/>
          <w:sz w:val="32"/>
          <w:szCs w:val="32"/>
          <w:highlight w:val="none"/>
          <w:lang w:val="en-US" w:eastAsia="en-US" w:bidi="ar-SA"/>
        </w:rPr>
        <w:t>　　</w:t>
      </w:r>
      <w:r>
        <w:rPr>
          <w:rFonts w:hint="eastAsia" w:ascii="华文楷体" w:hAnsi="华文楷体" w:eastAsia="华文楷体" w:cs="华文楷体"/>
          <w:color w:val="auto"/>
          <w:kern w:val="0"/>
          <w:sz w:val="32"/>
          <w:szCs w:val="32"/>
          <w:highlight w:val="none"/>
          <w:lang w:val="en-US" w:eastAsia="zh-CN" w:bidi="ar-SA"/>
        </w:rPr>
        <w:t>（一）</w:t>
      </w:r>
      <w:r>
        <w:rPr>
          <w:rFonts w:hint="eastAsia" w:ascii="华文楷体" w:hAnsi="华文楷体" w:eastAsia="华文楷体" w:cs="华文楷体"/>
          <w:color w:val="auto"/>
          <w:kern w:val="0"/>
          <w:sz w:val="32"/>
          <w:szCs w:val="32"/>
          <w:highlight w:val="none"/>
          <w:lang w:val="en-US" w:eastAsia="en-US" w:bidi="ar-SA"/>
        </w:rPr>
        <w:t>扶持范围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支持园区运营机构、产业空间运营机构在龙岗区内运营与人工智能产业相关的园区以及产业空间。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华文楷体" w:hAnsi="华文楷体" w:eastAsia="华文楷体" w:cs="华文楷体"/>
          <w:color w:val="auto"/>
          <w:kern w:val="0"/>
          <w:sz w:val="32"/>
          <w:szCs w:val="32"/>
          <w:highlight w:val="none"/>
          <w:lang w:val="en-US" w:eastAsia="zh-CN" w:bidi="ar-SA"/>
        </w:rPr>
      </w:pPr>
      <w:r>
        <w:rPr>
          <w:rFonts w:hint="eastAsia" w:ascii="华文楷体" w:hAnsi="华文楷体" w:eastAsia="华文楷体" w:cs="华文楷体"/>
          <w:color w:val="auto"/>
          <w:kern w:val="0"/>
          <w:sz w:val="32"/>
          <w:szCs w:val="32"/>
          <w:highlight w:val="none"/>
          <w:lang w:val="en-US" w:eastAsia="zh-CN" w:bidi="ar-SA"/>
        </w:rPr>
        <w:t>（二）扶持方式和标准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1.对于获评深圳市人工智能方向的特色软件名园，或工业和信息化部评定的人工智能方向的中国软件名园，给予园区运营机构一次性100万元支持。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2.支持打造满足人工智能企业集聚发展的产业空间，对于经深圳市龙岗区人工智能（机器人）署认定的区级人工智能产业空间，截至申报指南发布通知日，每个产业空间内实际经营的人工智能企业须同时符合以下条件，给予产业空间运营机构每年相应支持（如下表所示）。每家产业空间运营机构每年最高支持400万元，每家产业空间运营机构每年只能申报不超过两个产业空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6"/>
          <w:highlight w:val="none"/>
          <w:lang w:val="en-US" w:eastAsia="zh-CN"/>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1"/>
        <w:gridCol w:w="3814"/>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1"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auto"/>
                <w:sz w:val="32"/>
                <w:szCs w:val="36"/>
                <w:highlight w:val="none"/>
                <w:vertAlign w:val="baseline"/>
                <w:lang w:eastAsia="zh-CN"/>
              </w:rPr>
            </w:pPr>
            <w:r>
              <w:rPr>
                <w:rFonts w:hint="eastAsia" w:ascii="仿宋_GB2312" w:hAnsi="仿宋_GB2312" w:eastAsia="仿宋_GB2312" w:cs="仿宋_GB2312"/>
                <w:color w:val="auto"/>
                <w:sz w:val="32"/>
                <w:szCs w:val="36"/>
                <w:highlight w:val="none"/>
                <w:lang w:eastAsia="zh-CN"/>
              </w:rPr>
              <w:t>企业数量</w:t>
            </w:r>
          </w:p>
        </w:tc>
        <w:tc>
          <w:tcPr>
            <w:tcW w:w="3814"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auto"/>
                <w:sz w:val="32"/>
                <w:szCs w:val="36"/>
                <w:highlight w:val="none"/>
                <w:vertAlign w:val="baseline"/>
                <w:lang w:eastAsia="zh-CN"/>
              </w:rPr>
            </w:pPr>
            <w:r>
              <w:rPr>
                <w:rFonts w:hint="eastAsia" w:ascii="仿宋_GB2312" w:hAnsi="仿宋_GB2312" w:eastAsia="仿宋_GB2312" w:cs="仿宋_GB2312"/>
                <w:color w:val="auto"/>
                <w:sz w:val="32"/>
                <w:szCs w:val="36"/>
                <w:highlight w:val="none"/>
                <w:lang w:val="en-US" w:eastAsia="zh-CN"/>
              </w:rPr>
              <w:t>企业实际入驻面积</w:t>
            </w:r>
          </w:p>
        </w:tc>
        <w:tc>
          <w:tcPr>
            <w:tcW w:w="2222"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auto"/>
                <w:sz w:val="32"/>
                <w:szCs w:val="36"/>
                <w:highlight w:val="none"/>
                <w:vertAlign w:val="baseline"/>
                <w:lang w:eastAsia="zh-CN"/>
              </w:rPr>
            </w:pPr>
            <w:r>
              <w:rPr>
                <w:rFonts w:hint="eastAsia" w:ascii="仿宋_GB2312" w:hAnsi="仿宋_GB2312" w:eastAsia="仿宋_GB2312" w:cs="仿宋_GB2312"/>
                <w:color w:val="auto"/>
                <w:sz w:val="32"/>
                <w:szCs w:val="36"/>
                <w:highlight w:val="none"/>
                <w:vertAlign w:val="baseline"/>
                <w:lang w:eastAsia="zh-CN"/>
              </w:rPr>
              <w:t>最高支持金额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1" w:type="dxa"/>
            <w:vAlign w:val="top"/>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auto"/>
                <w:sz w:val="32"/>
                <w:szCs w:val="36"/>
                <w:highlight w:val="none"/>
                <w:vertAlign w:val="baseline"/>
                <w:lang w:eastAsia="zh-CN"/>
              </w:rPr>
            </w:pPr>
            <w:r>
              <w:rPr>
                <w:rFonts w:hint="eastAsia" w:ascii="仿宋_GB2312" w:hAnsi="仿宋_GB2312" w:eastAsia="仿宋_GB2312" w:cs="仿宋_GB2312"/>
                <w:i w:val="0"/>
                <w:iCs w:val="0"/>
                <w:color w:val="auto"/>
                <w:kern w:val="0"/>
                <w:sz w:val="32"/>
                <w:szCs w:val="36"/>
                <w:highlight w:val="none"/>
                <w:u w:val="none"/>
                <w:lang w:val="en-US" w:eastAsia="zh-CN" w:bidi="ar"/>
              </w:rPr>
              <w:t>不少于10家</w:t>
            </w:r>
          </w:p>
        </w:tc>
        <w:tc>
          <w:tcPr>
            <w:tcW w:w="3814" w:type="dxa"/>
            <w:vAlign w:val="top"/>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auto"/>
                <w:sz w:val="32"/>
                <w:szCs w:val="36"/>
                <w:highlight w:val="none"/>
                <w:vertAlign w:val="baseline"/>
                <w:lang w:eastAsia="zh-CN"/>
              </w:rPr>
            </w:pPr>
            <w:r>
              <w:rPr>
                <w:rFonts w:hint="eastAsia" w:ascii="仿宋_GB2312" w:hAnsi="仿宋_GB2312" w:eastAsia="仿宋_GB2312" w:cs="仿宋_GB2312"/>
                <w:i w:val="0"/>
                <w:iCs w:val="0"/>
                <w:color w:val="auto"/>
                <w:kern w:val="0"/>
                <w:sz w:val="32"/>
                <w:szCs w:val="36"/>
                <w:highlight w:val="none"/>
                <w:u w:val="none"/>
                <w:lang w:val="en-US" w:eastAsia="zh-CN" w:bidi="ar"/>
              </w:rPr>
              <w:t>不少于1000平方米</w:t>
            </w:r>
          </w:p>
        </w:tc>
        <w:tc>
          <w:tcPr>
            <w:tcW w:w="2222" w:type="dxa"/>
            <w:vAlign w:val="top"/>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auto"/>
                <w:sz w:val="32"/>
                <w:szCs w:val="36"/>
                <w:highlight w:val="none"/>
                <w:vertAlign w:val="baseline"/>
                <w:lang w:val="en-US" w:eastAsia="zh-CN"/>
              </w:rPr>
            </w:pPr>
            <w:r>
              <w:rPr>
                <w:rFonts w:hint="eastAsia" w:ascii="仿宋_GB2312" w:hAnsi="仿宋_GB2312" w:eastAsia="仿宋_GB2312" w:cs="仿宋_GB2312"/>
                <w:i w:val="0"/>
                <w:iCs w:val="0"/>
                <w:color w:val="auto"/>
                <w:kern w:val="0"/>
                <w:sz w:val="32"/>
                <w:szCs w:val="36"/>
                <w:highlight w:val="none"/>
                <w:u w:val="none"/>
                <w:lang w:val="en-US" w:eastAsia="zh-CN" w:bidi="ar"/>
              </w:rPr>
              <w:t>200万元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61" w:type="dxa"/>
            <w:vAlign w:val="top"/>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auto"/>
                <w:sz w:val="32"/>
                <w:szCs w:val="36"/>
                <w:highlight w:val="none"/>
                <w:lang w:val="en-US" w:eastAsia="zh-CN"/>
              </w:rPr>
            </w:pPr>
            <w:r>
              <w:rPr>
                <w:rFonts w:hint="eastAsia" w:ascii="仿宋_GB2312" w:hAnsi="仿宋_GB2312" w:eastAsia="仿宋_GB2312" w:cs="仿宋_GB2312"/>
                <w:i w:val="0"/>
                <w:iCs w:val="0"/>
                <w:color w:val="auto"/>
                <w:kern w:val="0"/>
                <w:sz w:val="32"/>
                <w:szCs w:val="36"/>
                <w:highlight w:val="none"/>
                <w:u w:val="none"/>
                <w:lang w:val="en-US" w:eastAsia="zh-CN" w:bidi="ar"/>
              </w:rPr>
              <w:t>不少于20家</w:t>
            </w:r>
          </w:p>
        </w:tc>
        <w:tc>
          <w:tcPr>
            <w:tcW w:w="3814" w:type="dxa"/>
            <w:vAlign w:val="top"/>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auto"/>
                <w:sz w:val="32"/>
                <w:szCs w:val="36"/>
                <w:highlight w:val="none"/>
                <w:vertAlign w:val="baseline"/>
                <w:lang w:eastAsia="zh-CN"/>
              </w:rPr>
            </w:pPr>
            <w:r>
              <w:rPr>
                <w:rFonts w:hint="eastAsia" w:ascii="仿宋_GB2312" w:hAnsi="仿宋_GB2312" w:eastAsia="仿宋_GB2312" w:cs="仿宋_GB2312"/>
                <w:i w:val="0"/>
                <w:iCs w:val="0"/>
                <w:color w:val="auto"/>
                <w:kern w:val="0"/>
                <w:sz w:val="32"/>
                <w:szCs w:val="36"/>
                <w:highlight w:val="none"/>
                <w:u w:val="none"/>
                <w:lang w:val="en-US" w:eastAsia="zh-CN" w:bidi="ar"/>
              </w:rPr>
              <w:t>不少于2000平方米</w:t>
            </w:r>
          </w:p>
        </w:tc>
        <w:tc>
          <w:tcPr>
            <w:tcW w:w="2222" w:type="dxa"/>
            <w:vAlign w:val="top"/>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auto"/>
                <w:sz w:val="32"/>
                <w:szCs w:val="36"/>
                <w:highlight w:val="none"/>
                <w:vertAlign w:val="baseline"/>
                <w:lang w:val="en-US" w:eastAsia="zh-CN"/>
              </w:rPr>
            </w:pPr>
            <w:r>
              <w:rPr>
                <w:rFonts w:hint="eastAsia" w:ascii="仿宋_GB2312" w:hAnsi="仿宋_GB2312" w:eastAsia="仿宋_GB2312" w:cs="仿宋_GB2312"/>
                <w:i w:val="0"/>
                <w:iCs w:val="0"/>
                <w:color w:val="auto"/>
                <w:kern w:val="0"/>
                <w:sz w:val="32"/>
                <w:szCs w:val="36"/>
                <w:highlight w:val="none"/>
                <w:u w:val="none"/>
                <w:lang w:val="en-US" w:eastAsia="zh-CN" w:bidi="ar"/>
              </w:rPr>
              <w:t>300万元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1" w:type="dxa"/>
            <w:vAlign w:val="top"/>
          </w:tcPr>
          <w:p>
            <w:pPr>
              <w:keepNext w:val="0"/>
              <w:keepLines w:val="0"/>
              <w:widowControl w:val="0"/>
              <w:suppressLineNumbers w:val="0"/>
              <w:spacing w:line="540" w:lineRule="exact"/>
              <w:jc w:val="center"/>
              <w:textAlignment w:val="auto"/>
              <w:rPr>
                <w:rFonts w:hint="eastAsia" w:ascii="仿宋_GB2312" w:hAnsi="仿宋_GB2312" w:eastAsia="仿宋_GB2312" w:cs="仿宋_GB2312"/>
                <w:color w:val="auto"/>
                <w:sz w:val="32"/>
                <w:szCs w:val="36"/>
                <w:highlight w:val="none"/>
                <w:lang w:val="en-US" w:eastAsia="zh-CN"/>
              </w:rPr>
            </w:pPr>
            <w:r>
              <w:rPr>
                <w:rFonts w:hint="eastAsia" w:ascii="仿宋_GB2312" w:hAnsi="仿宋_GB2312" w:eastAsia="仿宋_GB2312" w:cs="仿宋_GB2312"/>
                <w:i w:val="0"/>
                <w:iCs w:val="0"/>
                <w:color w:val="auto"/>
                <w:kern w:val="0"/>
                <w:sz w:val="32"/>
                <w:szCs w:val="36"/>
                <w:highlight w:val="none"/>
                <w:u w:val="none"/>
                <w:lang w:val="en-US" w:eastAsia="zh-CN" w:bidi="ar"/>
              </w:rPr>
              <w:t>不少于30家</w:t>
            </w:r>
          </w:p>
        </w:tc>
        <w:tc>
          <w:tcPr>
            <w:tcW w:w="3814" w:type="dxa"/>
            <w:vAlign w:val="top"/>
          </w:tcPr>
          <w:p>
            <w:pPr>
              <w:keepNext w:val="0"/>
              <w:keepLines w:val="0"/>
              <w:widowControl w:val="0"/>
              <w:suppressLineNumbers w:val="0"/>
              <w:spacing w:line="540" w:lineRule="exact"/>
              <w:jc w:val="center"/>
              <w:textAlignment w:val="auto"/>
              <w:rPr>
                <w:rFonts w:hint="eastAsia" w:ascii="仿宋_GB2312" w:hAnsi="仿宋_GB2312" w:eastAsia="仿宋_GB2312" w:cs="仿宋_GB2312"/>
                <w:color w:val="auto"/>
                <w:sz w:val="32"/>
                <w:szCs w:val="36"/>
                <w:highlight w:val="none"/>
                <w:vertAlign w:val="baseline"/>
                <w:lang w:eastAsia="zh-CN"/>
              </w:rPr>
            </w:pPr>
            <w:r>
              <w:rPr>
                <w:rFonts w:hint="eastAsia" w:ascii="仿宋_GB2312" w:hAnsi="仿宋_GB2312" w:eastAsia="仿宋_GB2312" w:cs="仿宋_GB2312"/>
                <w:i w:val="0"/>
                <w:iCs w:val="0"/>
                <w:color w:val="auto"/>
                <w:kern w:val="0"/>
                <w:sz w:val="32"/>
                <w:szCs w:val="36"/>
                <w:highlight w:val="none"/>
                <w:u w:val="none"/>
                <w:lang w:val="en-US" w:eastAsia="zh-CN" w:bidi="ar"/>
              </w:rPr>
              <w:t>不少于3000平方米</w:t>
            </w:r>
          </w:p>
        </w:tc>
        <w:tc>
          <w:tcPr>
            <w:tcW w:w="2222" w:type="dxa"/>
            <w:vAlign w:val="top"/>
          </w:tcPr>
          <w:p>
            <w:pPr>
              <w:keepNext w:val="0"/>
              <w:keepLines w:val="0"/>
              <w:widowControl w:val="0"/>
              <w:suppressLineNumbers w:val="0"/>
              <w:spacing w:line="540" w:lineRule="exact"/>
              <w:jc w:val="center"/>
              <w:textAlignment w:val="auto"/>
              <w:rPr>
                <w:rFonts w:hint="eastAsia" w:ascii="仿宋_GB2312" w:hAnsi="仿宋_GB2312" w:eastAsia="仿宋_GB2312" w:cs="仿宋_GB2312"/>
                <w:color w:val="auto"/>
                <w:sz w:val="32"/>
                <w:szCs w:val="36"/>
                <w:highlight w:val="none"/>
                <w:vertAlign w:val="baseline"/>
                <w:lang w:val="en-US" w:eastAsia="zh-CN"/>
              </w:rPr>
            </w:pPr>
            <w:r>
              <w:rPr>
                <w:rFonts w:hint="eastAsia" w:ascii="仿宋_GB2312" w:hAnsi="仿宋_GB2312" w:eastAsia="仿宋_GB2312" w:cs="仿宋_GB2312"/>
                <w:i w:val="0"/>
                <w:iCs w:val="0"/>
                <w:color w:val="auto"/>
                <w:kern w:val="0"/>
                <w:sz w:val="32"/>
                <w:szCs w:val="36"/>
                <w:highlight w:val="none"/>
                <w:u w:val="none"/>
                <w:lang w:val="en-US" w:eastAsia="zh-CN" w:bidi="ar"/>
              </w:rPr>
              <w:t>400万元</w:t>
            </w:r>
          </w:p>
        </w:tc>
      </w:tr>
    </w:tbl>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华文楷体" w:hAnsi="华文楷体" w:eastAsia="华文楷体" w:cs="华文楷体"/>
          <w:color w:val="auto"/>
          <w:kern w:val="0"/>
          <w:sz w:val="32"/>
          <w:szCs w:val="32"/>
          <w:highlight w:val="none"/>
          <w:lang w:val="en-US" w:eastAsia="zh-CN" w:bidi="ar-SA"/>
        </w:rPr>
      </w:pPr>
      <w:r>
        <w:rPr>
          <w:rFonts w:hint="eastAsia" w:ascii="华文楷体" w:hAnsi="华文楷体" w:eastAsia="华文楷体" w:cs="华文楷体"/>
          <w:color w:val="auto"/>
          <w:kern w:val="0"/>
          <w:sz w:val="32"/>
          <w:szCs w:val="32"/>
          <w:highlight w:val="none"/>
          <w:lang w:val="en-US" w:eastAsia="zh-CN" w:bidi="ar-SA"/>
        </w:rPr>
        <w:t>（三）审核方式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1.对以上扶持方式1，采用核准制。以上级认定文件等相关证明材料为准。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2.对以上扶持方式2，采用评审制。以租赁合同、营业执照等相关证明材料为准。同一运营机构，按照从高不重复的原则享受本扶持方式规定的资金扶持政策。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　　三、申报条件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华文楷体" w:hAnsi="华文楷体" w:eastAsia="华文楷体" w:cs="华文楷体"/>
          <w:color w:val="auto"/>
          <w:kern w:val="0"/>
          <w:sz w:val="32"/>
          <w:szCs w:val="32"/>
          <w:highlight w:val="none"/>
          <w:lang w:val="en-US" w:eastAsia="en-US" w:bidi="ar-SA"/>
        </w:rPr>
      </w:pPr>
      <w:r>
        <w:rPr>
          <w:rFonts w:hint="eastAsia" w:ascii="华文楷体" w:hAnsi="华文楷体" w:eastAsia="华文楷体" w:cs="华文楷体"/>
          <w:color w:val="auto"/>
          <w:kern w:val="0"/>
          <w:sz w:val="32"/>
          <w:szCs w:val="32"/>
          <w:highlight w:val="none"/>
          <w:lang w:val="en-US" w:eastAsia="en-US" w:bidi="ar-SA"/>
        </w:rPr>
        <w:t>　　（一）基础申报条件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CESI仿宋-GB2312" w:hAnsi="CESI仿宋-GB2312" w:eastAsia="CESI仿宋-GB2312" w:cs="CESI仿宋-GB2312"/>
          <w:color w:val="auto"/>
          <w:sz w:val="32"/>
          <w:szCs w:val="32"/>
          <w:highlight w:val="none"/>
        </w:rPr>
        <w:t>　</w:t>
      </w:r>
      <w:r>
        <w:rPr>
          <w:rFonts w:hint="eastAsia" w:ascii="仿宋_GB2312" w:hAnsi="仿宋_GB2312" w:eastAsia="仿宋_GB2312" w:cs="仿宋_GB2312"/>
          <w:color w:val="auto"/>
          <w:kern w:val="2"/>
          <w:sz w:val="32"/>
          <w:szCs w:val="36"/>
          <w:highlight w:val="none"/>
          <w:lang w:val="en-US" w:eastAsia="zh-CN" w:bidi="ar-SA"/>
        </w:rPr>
        <w:t>　1.申报单位是在龙岗区实际经营，并且符合要求的法人企业或民办非企业单位、行业协会，分支机构申请的，应同时提供总公司的授权证明文件；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2.申报单位未被依法依规列入严重失信主体名单且在有效期内；</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3.申报单位对申报材料的真实性、合法性和完整性负责，不得弄虚作假、套取、骗取专项资金，对违反规定获取专项资金的企业，龙岗区有权追回相关款项；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4.申报单位不得以同一事项重复申报或者多头申报区级专项资金，同一项目因政策允许可申报多项专项资金的，应当在申报材料中予以明确；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5.法律、法规、规章和上级行政机关规范性文件规定的其他条件。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华文楷体" w:hAnsi="华文楷体" w:eastAsia="华文楷体" w:cs="华文楷体"/>
          <w:color w:val="auto"/>
          <w:kern w:val="0"/>
          <w:sz w:val="32"/>
          <w:szCs w:val="32"/>
          <w:highlight w:val="none"/>
          <w:lang w:val="en-US" w:eastAsia="en-US" w:bidi="ar-SA"/>
        </w:rPr>
      </w:pPr>
      <w:r>
        <w:rPr>
          <w:rFonts w:hint="eastAsia" w:ascii="华文楷体" w:hAnsi="华文楷体" w:eastAsia="华文楷体" w:cs="华文楷体"/>
          <w:color w:val="auto"/>
          <w:kern w:val="0"/>
          <w:sz w:val="32"/>
          <w:szCs w:val="32"/>
          <w:highlight w:val="none"/>
          <w:lang w:val="en-US" w:eastAsia="en-US" w:bidi="ar-SA"/>
        </w:rPr>
        <w:t>（二）专项申报条件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项目单位申报具体项目，还应符合以下专项申报条件和深圳市龙岗区人工智能（机器人）署依据本实施细则制定的申报指南的相关条件：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1.申报单位须为企业，在龙岗区内运营与人工智能产业相关的园区以及产业空间。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2.对于扶持方式1，申报单位申报的园区须获评深圳市人工智能方向的特色软件名园，或工业和信息化部评定的人工智能方向的中国软件名园。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3.对于扶持方式2，申报单位申报的产业空间需符合以下条件：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6"/>
          <w:highlight w:val="none"/>
          <w:lang w:val="en-US" w:eastAsia="zh-CN"/>
        </w:rPr>
      </w:pPr>
      <w:r>
        <w:rPr>
          <w:rFonts w:hint="eastAsia" w:ascii="仿宋_GB2312" w:hAnsi="仿宋_GB2312" w:eastAsia="仿宋_GB2312" w:cs="仿宋_GB2312"/>
          <w:color w:val="auto"/>
          <w:sz w:val="32"/>
          <w:szCs w:val="36"/>
          <w:highlight w:val="none"/>
          <w:lang w:val="en-US" w:eastAsia="zh-CN"/>
        </w:rPr>
        <w:t>（1）产业空间运营机构是</w:t>
      </w:r>
      <w:r>
        <w:rPr>
          <w:rFonts w:hint="eastAsia" w:ascii="仿宋_GB2312" w:hAnsi="仿宋_GB2312" w:eastAsia="仿宋_GB2312" w:cs="仿宋_GB2312"/>
          <w:color w:val="auto"/>
          <w:sz w:val="32"/>
          <w:szCs w:val="36"/>
          <w:highlight w:val="none"/>
        </w:rPr>
        <w:t>在龙岗区实际经营</w:t>
      </w:r>
      <w:r>
        <w:rPr>
          <w:rFonts w:hint="eastAsia" w:ascii="仿宋_GB2312" w:hAnsi="仿宋_GB2312" w:eastAsia="仿宋_GB2312" w:cs="仿宋_GB2312"/>
          <w:color w:val="auto"/>
          <w:sz w:val="32"/>
          <w:szCs w:val="36"/>
          <w:highlight w:val="none"/>
          <w:lang w:val="en-US" w:eastAsia="zh-CN"/>
        </w:rPr>
        <w:t>的企业。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6"/>
          <w:highlight w:val="none"/>
          <w:lang w:val="en-US" w:eastAsia="zh-CN"/>
        </w:rPr>
      </w:pPr>
      <w:r>
        <w:rPr>
          <w:rFonts w:hint="eastAsia" w:ascii="仿宋_GB2312" w:hAnsi="仿宋_GB2312" w:eastAsia="仿宋_GB2312" w:cs="仿宋_GB2312"/>
          <w:color w:val="auto"/>
          <w:sz w:val="32"/>
          <w:szCs w:val="36"/>
          <w:highlight w:val="none"/>
          <w:lang w:val="en-US" w:eastAsia="zh-CN"/>
        </w:rPr>
        <w:t>（2）有良好的运营水平、科学的运营机制、规范的管理制度和满足运营需要的配套服务设施，工作人员不少于3名（</w:t>
      </w:r>
      <w:r>
        <w:rPr>
          <w:rFonts w:hint="eastAsia" w:ascii="楷体_GB2312" w:hAnsi="楷体_GB2312" w:eastAsia="楷体_GB2312" w:cs="楷体_GB2312"/>
          <w:color w:val="auto"/>
          <w:sz w:val="32"/>
          <w:szCs w:val="36"/>
          <w:highlight w:val="none"/>
          <w:lang w:val="en-US" w:eastAsia="zh-CN"/>
        </w:rPr>
        <w:t>其中专职工作人员不少于1名</w:t>
      </w:r>
      <w:r>
        <w:rPr>
          <w:rFonts w:hint="eastAsia" w:ascii="仿宋_GB2312" w:hAnsi="仿宋_GB2312" w:eastAsia="仿宋_GB2312" w:cs="仿宋_GB2312"/>
          <w:color w:val="auto"/>
          <w:sz w:val="32"/>
          <w:szCs w:val="36"/>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6"/>
          <w:highlight w:val="none"/>
          <w:lang w:val="en-US" w:eastAsia="zh-CN"/>
        </w:rPr>
      </w:pPr>
      <w:r>
        <w:rPr>
          <w:rFonts w:hint="eastAsia" w:ascii="仿宋_GB2312" w:hAnsi="仿宋_GB2312" w:eastAsia="仿宋_GB2312" w:cs="仿宋_GB2312"/>
          <w:color w:val="auto"/>
          <w:sz w:val="32"/>
          <w:szCs w:val="36"/>
          <w:highlight w:val="none"/>
          <w:lang w:val="en-US" w:eastAsia="zh-CN"/>
        </w:rPr>
        <w:t>（3）有固定的独立经营场地，场地属于自有物业的、产权必须清晰；属于租用物业或合作、委托等形式运营的，申请时租赁（</w:t>
      </w:r>
      <w:r>
        <w:rPr>
          <w:rFonts w:hint="eastAsia" w:ascii="楷体_GB2312" w:hAnsi="楷体_GB2312" w:eastAsia="楷体_GB2312" w:cs="楷体_GB2312"/>
          <w:color w:val="auto"/>
          <w:sz w:val="32"/>
          <w:szCs w:val="36"/>
          <w:highlight w:val="none"/>
          <w:lang w:val="en-US" w:eastAsia="zh-CN"/>
        </w:rPr>
        <w:t>委托运营</w:t>
      </w:r>
      <w:r>
        <w:rPr>
          <w:rFonts w:hint="eastAsia" w:ascii="仿宋_GB2312" w:hAnsi="仿宋_GB2312" w:eastAsia="仿宋_GB2312" w:cs="仿宋_GB2312"/>
          <w:color w:val="auto"/>
          <w:sz w:val="32"/>
          <w:szCs w:val="36"/>
          <w:highlight w:val="none"/>
          <w:lang w:val="en-US" w:eastAsia="zh-CN"/>
        </w:rPr>
        <w:t>）合同剩余期限不少于3年（含）。</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6"/>
          <w:highlight w:val="none"/>
          <w:lang w:val="en-US" w:eastAsia="zh-CN"/>
        </w:rPr>
      </w:pPr>
      <w:r>
        <w:rPr>
          <w:rFonts w:hint="eastAsia" w:ascii="仿宋_GB2312" w:hAnsi="仿宋_GB2312" w:eastAsia="仿宋_GB2312" w:cs="仿宋_GB2312"/>
          <w:color w:val="auto"/>
          <w:sz w:val="32"/>
          <w:szCs w:val="36"/>
          <w:highlight w:val="none"/>
          <w:lang w:val="en-US" w:eastAsia="zh-CN"/>
        </w:rPr>
        <w:t>（4）建筑面积须具备一定规模，原则上不低于1000平方米。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sz w:val="32"/>
          <w:szCs w:val="36"/>
          <w:highlight w:val="none"/>
          <w:lang w:val="en-US" w:eastAsia="zh-CN"/>
        </w:rPr>
        <w:t>（5）</w:t>
      </w:r>
      <w:r>
        <w:rPr>
          <w:rFonts w:hint="eastAsia" w:ascii="仿宋_GB2312" w:hAnsi="仿宋_GB2312" w:eastAsia="仿宋_GB2312" w:cs="仿宋_GB2312"/>
          <w:color w:val="auto"/>
          <w:kern w:val="2"/>
          <w:sz w:val="32"/>
          <w:szCs w:val="36"/>
          <w:highlight w:val="none"/>
          <w:lang w:val="en-US" w:eastAsia="zh-CN" w:bidi="ar-SA"/>
        </w:rPr>
        <w:t>产业空间须具备一定的人工智能产业集聚能力，集聚的人工智能企业数量和实际入驻面积须达到一定的规模。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（6）人工智能企业适用于在龙岗区依法从事经营活动的企业，同时需符合以下条件：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一）小微企业上一年度人工智能业务收入占总业务收入的50%以上。中型及大型企业上一年度人工智能业务收入占总业务收入的30%（含）以上。大中小微企业的划分按照《统计上大中小微型企业划分办法（2017）》中“软件和信息技术服务业”及“工业”划分标准执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（二）企业主营业务在下列或相关范围内：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1.人工智能软件。包括计算机视觉软件、智能语音处理软件、自然语言理解软件、生物特征识别软件、虚拟现实/增强现实软件等。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2.人工智能服务。包括机器学习服务、计算机视觉服务、智能语音处理服务、自然语言理解服务、生物特征识别服务、人工智能集成解决方案等。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3.人工智能产品。包括人工智能芯片、人工智能传感器、智能机器人、智能运载工具、虚拟现实/增强现实设备、智能可穿戴设备等。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另外，如果企业无业务收入数据，则须根据该企业与人工智能相关的投入、招聘、创始人背景等实际经营情况予以佐证。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7）产业空间须为同一楼层内不分隔的集中连片空间，存在明确物理边界，并且边界范围不超过其所在园区的边界范围。另外，对于同一楼层内不分隔的集中连片空间，不能拆分成两个或两个以上的产业空间进行申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4.对于扶持方式2，申报单位每年只能申报不超过两个产业空间。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　　四、申报材料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CESI仿宋-GB2312" w:hAnsi="CESI仿宋-GB2312" w:eastAsia="CESI仿宋-GB2312" w:cs="CESI仿宋-GB2312"/>
          <w:color w:val="auto"/>
          <w:sz w:val="32"/>
          <w:szCs w:val="32"/>
          <w:highlight w:val="none"/>
        </w:rPr>
        <w:t>　　</w:t>
      </w:r>
      <w:r>
        <w:rPr>
          <w:rFonts w:hint="eastAsia" w:ascii="仿宋_GB2312" w:hAnsi="仿宋_GB2312" w:eastAsia="仿宋_GB2312" w:cs="仿宋_GB2312"/>
          <w:color w:val="auto"/>
          <w:kern w:val="2"/>
          <w:sz w:val="32"/>
          <w:szCs w:val="36"/>
          <w:highlight w:val="none"/>
          <w:lang w:val="en-US" w:eastAsia="zh-CN" w:bidi="ar-SA"/>
        </w:rPr>
        <w:t>申报材料由基础申报材料和专项申报材料两部分组成，申报材料原件或复印件加盖单位公章，并彩色扫描成PDF文件上传至龙岗区产业管理服务平台系统。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华文楷体" w:hAnsi="华文楷体" w:eastAsia="华文楷体" w:cs="华文楷体"/>
          <w:color w:val="auto"/>
          <w:kern w:val="0"/>
          <w:sz w:val="32"/>
          <w:szCs w:val="32"/>
          <w:highlight w:val="none"/>
          <w:lang w:val="en-US" w:eastAsia="en-US" w:bidi="ar-SA"/>
        </w:rPr>
      </w:pPr>
      <w:r>
        <w:rPr>
          <w:rFonts w:hint="eastAsia" w:ascii="华文楷体" w:hAnsi="华文楷体" w:eastAsia="华文楷体" w:cs="华文楷体"/>
          <w:color w:val="auto"/>
          <w:kern w:val="0"/>
          <w:sz w:val="32"/>
          <w:szCs w:val="32"/>
          <w:highlight w:val="none"/>
          <w:lang w:val="en-US" w:eastAsia="en-US" w:bidi="ar-SA"/>
        </w:rPr>
        <w:t>　　（一）基础申报材料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1.登录龙岗区企业服务信息平台（http://qyfw.lg.gov.cn）在线填报申报书，提供通过该系统打印的申请书纸质文件（原件），申报单位所在辖区街道办事处须对申报书签署意见并加盖公章。</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2.申报单位提供营业执照，非企业机构提供统一社会信用代码证书。分支机构申请的，应同时提供机构总部的授权证明文件。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3.法定代表人身份证复印件（须有本人签字）。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4.申报项目负责人的身份证复印件（须有本人签字）、与申请单位签订的劳动合同复印件、近三个月的深圳社会保险缴纳凭证复印件。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5.深圳信用网（https://www.szcredit.org.cn）查询下载的完整版信用报告。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6.申报单位近两年的财务审计报告或财务报表（复印件，成立时间不足两年的提供成立以来的）。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7.税务部门提供的单位上年度纳税证明复印件（非事业单位提供）。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8.项目涉及科技伦理敏感领域，或存在科技安全等风险的，需按国家有关法律法规和伦理监管政策提供相关材料。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kern w:val="2"/>
          <w:sz w:val="32"/>
          <w:szCs w:val="36"/>
          <w:highlight w:val="none"/>
          <w:lang w:val="en-US" w:eastAsia="en-US" w:bidi="ar-SA"/>
        </w:rPr>
      </w:pPr>
      <w:r>
        <w:rPr>
          <w:rFonts w:hint="eastAsia" w:ascii="华文楷体" w:hAnsi="华文楷体" w:eastAsia="华文楷体" w:cs="华文楷体"/>
          <w:color w:val="auto"/>
          <w:kern w:val="0"/>
          <w:sz w:val="32"/>
          <w:szCs w:val="32"/>
          <w:highlight w:val="none"/>
          <w:lang w:val="en-US" w:eastAsia="en-US" w:bidi="ar-SA"/>
        </w:rPr>
        <w:t>　　（二）专项申报材料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1.对于扶持方式1，申报单位提供以下材料：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（1）属于自有物业的，提供园区产权证书。属于租赁物业的，提供租赁合同。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（2）获评深圳市人工智能方向的特色软件名园、工业和信息化部评定的人工智能方向的中国软件名园的相关证明材料。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2.对于对于扶持方式2，申报单位提供以下材料：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（1）空间物业产权证明文件、租赁合同或委托合作协议。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（2）有明确物理边界的空间平面布局图。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（3）产业空间的发展规划、管理制度等相关材料。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（4）空间配套服务设施清单、照片等相关材料。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（5）产业空间工作人员及专职工作人员的身份证复印件（须有本人签字）、劳动合同复印件、近三个月的深圳社会保险缴纳凭证复印件等证明材料。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（6）产业空间所在园区近五年内获得荣誉资质的认定材料（荣誉资质需经过政府部门认定）。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7）入驻产业空间所在园区的创新平台的租赁合同、认定或验收文件等相关材料。创新平台包括各级科创、发改、工信部门认定或验收通过的国家、省、市级技术创新中心、（重点）实验室、工程（技术）研究中心、临床医学研究中心、概念验证中心、中小试基地、工程实验室、企业技术中心等（含上述国家级创新平台分支机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（8）入驻产业空间所在园区的算力公司（中心）或数据公司（中心）的租赁合同、认定文件等相关材料。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（9）入驻产业空间所在园区的国家级制造业“单项冠军”示范企业、国家级专精特新“小巨人”企业的租赁合同、认定文件等相关材料。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（10）产业空间</w:t>
      </w:r>
      <w:r>
        <w:rPr>
          <w:rFonts w:hint="eastAsia" w:ascii="仿宋_GB2312" w:hAnsi="仿宋_GB2312" w:eastAsia="仿宋_GB2312" w:cs="仿宋_GB2312"/>
          <w:color w:val="auto"/>
          <w:sz w:val="32"/>
          <w:szCs w:val="32"/>
          <w:highlight w:val="none"/>
          <w:lang w:eastAsia="zh-CN"/>
        </w:rPr>
        <w:t>与服务机构签订的协议（</w:t>
      </w:r>
      <w:r>
        <w:rPr>
          <w:rFonts w:hint="eastAsia" w:ascii="仿宋_GB2312" w:hAnsi="仿宋_GB2312" w:eastAsia="仿宋_GB2312" w:cs="仿宋_GB2312"/>
          <w:color w:val="auto"/>
          <w:sz w:val="32"/>
          <w:szCs w:val="32"/>
          <w:highlight w:val="none"/>
          <w:lang w:val="en-US" w:eastAsia="zh-CN"/>
        </w:rPr>
        <w:t>须为</w:t>
      </w:r>
      <w:r>
        <w:rPr>
          <w:rFonts w:hint="eastAsia" w:ascii="仿宋_GB2312" w:hAnsi="仿宋_GB2312" w:eastAsia="仿宋_GB2312" w:cs="仿宋_GB2312"/>
          <w:color w:val="auto"/>
          <w:kern w:val="2"/>
          <w:sz w:val="32"/>
          <w:szCs w:val="36"/>
          <w:highlight w:val="none"/>
          <w:lang w:val="en-US" w:eastAsia="zh-CN" w:bidi="ar-SA"/>
        </w:rPr>
        <w:t>入驻产业空间的人工智能企业提供相关服务</w:t>
      </w:r>
      <w:r>
        <w:rPr>
          <w:rFonts w:hint="eastAsia" w:ascii="仿宋_GB2312" w:hAnsi="仿宋_GB2312" w:eastAsia="仿宋_GB2312" w:cs="仿宋_GB2312"/>
          <w:color w:val="auto"/>
          <w:sz w:val="32"/>
          <w:szCs w:val="32"/>
          <w:highlight w:val="none"/>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（11）产业空间运营机构及其关联股东的自有或合作基金规模（在管规模）、基金投资案例的相关证明材料。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12）实际入驻的人工智能企业清单（包括企业名称、营业收入及人工智能业务收入、实际入驻面积等信息），以及人工智能企业年度财务审计报告或企业所得税汇算清缴申报表、营业执照、租赁合同等材料。另外，如果企业无业务收入数据，则须提供该企业开展（或计划开展）人工智能业务所需的软硬件投入、人员投入、资金投入、技术投入等相关佐证材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（13）在受理过程中，实施部门认为需要补充的其他材料。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　　五、办理流程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sz w:val="32"/>
          <w:szCs w:val="32"/>
          <w:highlight w:val="none"/>
        </w:rPr>
        <w:t>　　</w:t>
      </w:r>
      <w:r>
        <w:rPr>
          <w:rFonts w:hint="eastAsia" w:ascii="仿宋_GB2312" w:hAnsi="仿宋_GB2312" w:eastAsia="仿宋_GB2312" w:cs="仿宋_GB2312"/>
          <w:color w:val="auto"/>
          <w:kern w:val="2"/>
          <w:sz w:val="32"/>
          <w:szCs w:val="36"/>
          <w:highlight w:val="none"/>
          <w:lang w:val="en-US" w:eastAsia="zh-CN" w:bidi="ar-SA"/>
        </w:rPr>
        <w:t>请按以下步骤进行申报：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华文楷体" w:hAnsi="华文楷体" w:eastAsia="华文楷体" w:cs="华文楷体"/>
          <w:color w:val="auto"/>
          <w:kern w:val="0"/>
          <w:sz w:val="32"/>
          <w:szCs w:val="32"/>
          <w:highlight w:val="none"/>
          <w:lang w:val="en-US" w:eastAsia="en-US" w:bidi="ar-SA"/>
        </w:rPr>
      </w:pPr>
      <w:r>
        <w:rPr>
          <w:rFonts w:hint="eastAsia" w:ascii="华文楷体" w:hAnsi="华文楷体" w:eastAsia="华文楷体" w:cs="华文楷体"/>
          <w:color w:val="auto"/>
          <w:kern w:val="0"/>
          <w:sz w:val="32"/>
          <w:szCs w:val="32"/>
          <w:highlight w:val="none"/>
          <w:lang w:val="en-US" w:eastAsia="en-US" w:bidi="ar-SA"/>
        </w:rPr>
        <w:t>　　（一）通过龙岗区企业服务信息平台生成申报书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企业在龙岗区企业服务信息平台（网址：https://qyfw.lg.gov.cn）用广东政务服务网的账号密码登录，然后在首页导航栏选择“资金扶持”——“当前可申报的项目”，选择【“人工智能园区及产业空间建设运营扶持项目”专项扶持】栏目进入申报。企业上传申报资料后，区人工智能（机器人）署将组织线上审核等工作，请企业等待线上审核结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企业收到龙岗区企业服务信息平台“已通过线上终审”的信息后，即可在平台下载带水印的申报书。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华文楷体" w:hAnsi="华文楷体" w:eastAsia="华文楷体" w:cs="华文楷体"/>
          <w:color w:val="auto"/>
          <w:kern w:val="0"/>
          <w:sz w:val="32"/>
          <w:szCs w:val="32"/>
          <w:highlight w:val="none"/>
          <w:lang w:val="en-US" w:eastAsia="en-US" w:bidi="ar-SA"/>
        </w:rPr>
      </w:pPr>
      <w:r>
        <w:rPr>
          <w:rFonts w:hint="eastAsia" w:ascii="华文楷体" w:hAnsi="华文楷体" w:eastAsia="华文楷体" w:cs="华文楷体"/>
          <w:color w:val="auto"/>
          <w:kern w:val="0"/>
          <w:sz w:val="32"/>
          <w:szCs w:val="32"/>
          <w:highlight w:val="none"/>
          <w:lang w:val="en-US" w:eastAsia="en-US" w:bidi="ar-SA"/>
        </w:rPr>
        <w:t>　　（二）在广东政务服务网进行项目申报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CESI仿宋-GB2312" w:hAnsi="CESI仿宋-GB2312" w:eastAsia="CESI仿宋-GB2312" w:cs="CESI仿宋-GB2312"/>
          <w:color w:val="auto"/>
          <w:sz w:val="32"/>
          <w:szCs w:val="32"/>
          <w:highlight w:val="none"/>
        </w:rPr>
        <w:t>　　</w:t>
      </w:r>
      <w:r>
        <w:rPr>
          <w:rFonts w:hint="eastAsia" w:ascii="仿宋_GB2312" w:hAnsi="仿宋_GB2312" w:eastAsia="仿宋_GB2312" w:cs="仿宋_GB2312"/>
          <w:color w:val="auto"/>
          <w:kern w:val="2"/>
          <w:sz w:val="32"/>
          <w:szCs w:val="36"/>
          <w:highlight w:val="none"/>
          <w:lang w:val="en-US" w:eastAsia="zh-CN" w:bidi="ar-SA"/>
        </w:rPr>
        <w:t>企业在广东政务服务网注册、登录；进入龙岗区人工智能（机器人）署“人工智能园区及产业空间建设运营扶持项目”申报页面在线办理申请，上传并提交带水印的申报书，等待后台工作人员审核。</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华文楷体" w:hAnsi="华文楷体" w:eastAsia="华文楷体" w:cs="华文楷体"/>
          <w:color w:val="auto"/>
          <w:kern w:val="0"/>
          <w:sz w:val="32"/>
          <w:szCs w:val="32"/>
          <w:highlight w:val="none"/>
          <w:lang w:val="en-US" w:eastAsia="en-US" w:bidi="ar-SA"/>
        </w:rPr>
      </w:pPr>
      <w:r>
        <w:rPr>
          <w:rFonts w:hint="eastAsia" w:ascii="华文楷体" w:hAnsi="华文楷体" w:eastAsia="华文楷体" w:cs="华文楷体"/>
          <w:color w:val="auto"/>
          <w:kern w:val="0"/>
          <w:sz w:val="32"/>
          <w:szCs w:val="32"/>
          <w:highlight w:val="none"/>
          <w:lang w:val="en-US" w:eastAsia="en-US" w:bidi="ar-SA"/>
        </w:rPr>
        <w:t>　　（三）递交书面材料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CESI仿宋-GB2312" w:hAnsi="CESI仿宋-GB2312" w:eastAsia="CESI仿宋-GB2312" w:cs="CESI仿宋-GB2312"/>
          <w:color w:val="auto"/>
          <w:sz w:val="32"/>
          <w:szCs w:val="32"/>
          <w:highlight w:val="none"/>
        </w:rPr>
        <w:t>　　</w:t>
      </w:r>
      <w:bookmarkStart w:id="0" w:name="_Hlk130487719"/>
      <w:bookmarkEnd w:id="0"/>
      <w:r>
        <w:rPr>
          <w:rFonts w:hint="eastAsia" w:ascii="仿宋_GB2312" w:hAnsi="仿宋_GB2312" w:eastAsia="仿宋_GB2312" w:cs="仿宋_GB2312"/>
          <w:color w:val="auto"/>
          <w:kern w:val="2"/>
          <w:sz w:val="32"/>
          <w:szCs w:val="36"/>
          <w:highlight w:val="none"/>
          <w:lang w:val="en-US" w:eastAsia="zh-CN" w:bidi="ar-SA"/>
        </w:rPr>
        <w:t>请企业在收到广东政务服务网审核通过的短信通知后，在5个工作日内递交带水印的书面申报书（请用A4纸双面打印带水印的申报书，按顺序胶装成册、封面加盖公章、盖骑缝章。一式两份）和各项申报材料（须按分项制作目录索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书面材料受理窗口地址如下（请任意选择其一）：</w:t>
      </w:r>
    </w:p>
    <w:tbl>
      <w:tblPr>
        <w:tblStyle w:val="9"/>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5"/>
        <w:gridCol w:w="2957"/>
        <w:gridCol w:w="3286"/>
        <w:gridCol w:w="16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序号</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名称</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地址</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咨询电话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default" w:ascii="仿宋" w:hAnsi="仿宋" w:eastAsia="仿宋" w:cs="仿宋"/>
                <w:i w:val="0"/>
                <w:iCs w:val="0"/>
                <w:color w:val="auto"/>
                <w:kern w:val="0"/>
                <w:sz w:val="24"/>
                <w:szCs w:val="24"/>
                <w:highlight w:val="none"/>
                <w:u w:val="none"/>
                <w:lang w:eastAsia="zh-CN" w:bidi="ar"/>
              </w:rPr>
              <w:t>1</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深圳市龙岗区政务服务中心</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深圳市龙岗区龙翔大道8033-1龙岗政务服务中心</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highlight w:val="none"/>
                <w:u w:val="none"/>
                <w:lang w:val="en-US" w:eastAsia="zh-CN" w:bidi="ar"/>
              </w:rPr>
            </w:pPr>
            <w:r>
              <w:rPr>
                <w:rFonts w:hint="default" w:ascii="仿宋" w:hAnsi="仿宋" w:eastAsia="仿宋" w:cs="仿宋"/>
                <w:i w:val="0"/>
                <w:iCs w:val="0"/>
                <w:color w:val="auto"/>
                <w:kern w:val="0"/>
                <w:sz w:val="24"/>
                <w:szCs w:val="24"/>
                <w:highlight w:val="none"/>
                <w:u w:val="none"/>
                <w:lang w:val="en-US" w:eastAsia="zh-CN" w:bidi="ar"/>
              </w:rPr>
              <w:t>84502446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eastAsia="zh-CN" w:bidi="ar"/>
              </w:rPr>
              <w:t>2</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深圳市龙岗区政务服务中心天安云谷分中心</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深圳市龙岗区坂田街道雪岗路2018号天安云谷1栋B座1楼</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89601111（转政务服务）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eastAsia="zh-CN" w:bidi="ar"/>
              </w:rPr>
              <w:t>3</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深圳市龙岗区政务服务中心大运软件小镇分中心</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深圳市龙岗区龙岗大道8288号大运软件小镇17栋1楼</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28229136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eastAsia="zh-CN" w:bidi="ar"/>
              </w:rPr>
              <w:t>4</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深圳市龙岗区政务服务中心中海信分中心</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深圳市龙岗区吉华街道甘李三路中海信创新产业城19A栋2层</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33112166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eastAsia="zh-CN" w:bidi="ar"/>
              </w:rPr>
              <w:t>5</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深圳市龙岗区政务服务中心天安数码城分中心</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深圳市龙岗区黄阁路天安数码城2栋a座1楼服务中心</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89312333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eastAsia="zh-CN" w:bidi="ar"/>
              </w:rPr>
              <w:t>6</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深圳市龙岗区政务服务中心宝龙分中心</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深圳市龙岗区冬青路18号宝龙街道便民服务中心1楼</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23255492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eastAsia="zh-CN" w:bidi="ar"/>
              </w:rPr>
              <w:t>7</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深圳市龙岗区政务服务中心丰隆深港分中心（原启迪协信分中心）</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 xml:space="preserve"> 深圳市龙岗区大运新城青春路与飞扬路交叉口丰隆深港科技园产业促进中心1楼政务服务中心</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28399039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eastAsia="zh-CN" w:bidi="ar"/>
              </w:rPr>
              <w:t>8</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深圳市龙岗区政务服务中心星河WORLD分中心</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深圳市龙岗区坂田街道南坑社区雅星路8号IEO-3栋1楼</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23952233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eastAsia="zh-CN" w:bidi="ar"/>
              </w:rPr>
              <w:t>9</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深圳市龙岗区政务服务中心康利城分中心</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深圳市龙岗区南湾街道平吉大道66号康利城2栋1楼</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28681209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eastAsia="zh-CN" w:bidi="ar"/>
              </w:rPr>
              <w:t>10</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深圳市龙岗区政务服务中心华南城分中心</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深圳市龙岗区平湖街道富安大道1号华南城招商中心一楼</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28491235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eastAsia="zh-CN" w:bidi="ar"/>
              </w:rPr>
              <w:t>11</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深圳市龙岗区政务服务中心大运AI小镇分中心</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深圳市龙岗区横岗街道信义路大运AI小镇B01栋小镇客厅一层</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89768806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highlight w:val="none"/>
                <w:u w:val="none"/>
                <w:lang w:val="en-US" w:eastAsia="zh-CN" w:bidi="ar"/>
              </w:rPr>
            </w:pPr>
            <w:r>
              <w:rPr>
                <w:rFonts w:hint="default" w:ascii="仿宋_GB2312" w:hAnsi="宋体" w:eastAsia="仿宋_GB2312" w:cs="仿宋_GB2312"/>
                <w:i w:val="0"/>
                <w:iCs w:val="0"/>
                <w:color w:val="auto"/>
                <w:kern w:val="0"/>
                <w:sz w:val="24"/>
                <w:szCs w:val="24"/>
                <w:highlight w:val="none"/>
                <w:u w:val="none"/>
                <w:lang w:val="en-US" w:eastAsia="zh-CN" w:bidi="ar"/>
              </w:rPr>
              <w:t>12</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深圳市龙岗区政务服务中心宝龙专精特新产业园分中心</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深圳市龙岗区宝龙街道宝龙三路与新能源五路交汇处宝龙专精特新产业园企业服务中心</w:t>
            </w:r>
            <w:r>
              <w:rPr>
                <w:rFonts w:hint="eastAsia" w:ascii="仿宋_GB2312" w:hAnsi="宋体" w:eastAsia="仿宋_GB2312" w:cs="仿宋_GB2312"/>
                <w:i w:val="0"/>
                <w:iCs w:val="0"/>
                <w:color w:val="auto"/>
                <w:kern w:val="0"/>
                <w:sz w:val="24"/>
                <w:szCs w:val="24"/>
                <w:highlight w:val="none"/>
                <w:u w:val="none"/>
                <w:lang w:val="en-US" w:eastAsia="zh-CN" w:bidi="ar"/>
              </w:rPr>
              <w:tab/>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28226779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highlight w:val="none"/>
                <w:u w:val="none"/>
                <w:lang w:val="en-US" w:eastAsia="zh-CN" w:bidi="ar"/>
              </w:rPr>
            </w:pPr>
            <w:r>
              <w:rPr>
                <w:rFonts w:hint="default" w:ascii="仿宋_GB2312" w:hAnsi="宋体" w:eastAsia="仿宋_GB2312" w:cs="仿宋_GB2312"/>
                <w:i w:val="0"/>
                <w:iCs w:val="0"/>
                <w:color w:val="auto"/>
                <w:kern w:val="0"/>
                <w:sz w:val="24"/>
                <w:szCs w:val="24"/>
                <w:highlight w:val="none"/>
                <w:u w:val="none"/>
                <w:lang w:val="en-US" w:eastAsia="zh-CN" w:bidi="ar"/>
              </w:rPr>
              <w:t>13</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深圳市龙岗区政务服务中心国际低碳城分中心</w:t>
            </w:r>
          </w:p>
          <w:p>
            <w:pPr>
              <w:keepNext w:val="0"/>
              <w:keepLines w:val="0"/>
              <w:widowControl/>
              <w:suppressLineNumbers w:val="0"/>
              <w:jc w:val="center"/>
              <w:textAlignment w:val="center"/>
              <w:rPr>
                <w:rFonts w:hint="eastAsia"/>
                <w:color w:val="auto"/>
                <w:highlight w:val="none"/>
              </w:rPr>
            </w:pP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深圳市龙岗区坪地街道教育北路68号高桥社区党群服务中心一楼</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28919635</w:t>
            </w:r>
          </w:p>
        </w:tc>
      </w:tr>
    </w:tbl>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华文楷体" w:hAnsi="华文楷体" w:eastAsia="华文楷体" w:cs="华文楷体"/>
          <w:color w:val="auto"/>
          <w:kern w:val="0"/>
          <w:sz w:val="32"/>
          <w:szCs w:val="32"/>
          <w:highlight w:val="none"/>
          <w:lang w:val="en-US" w:eastAsia="en-US" w:bidi="ar-SA"/>
        </w:rPr>
      </w:pPr>
      <w:r>
        <w:rPr>
          <w:rFonts w:hint="eastAsia" w:ascii="华文楷体" w:hAnsi="华文楷体" w:eastAsia="华文楷体" w:cs="华文楷体"/>
          <w:color w:val="auto"/>
          <w:kern w:val="0"/>
          <w:sz w:val="32"/>
          <w:szCs w:val="32"/>
          <w:highlight w:val="none"/>
          <w:lang w:val="en-US" w:eastAsia="en-US" w:bidi="ar-SA"/>
        </w:rPr>
        <w:t>　　</w:t>
      </w:r>
      <w:r>
        <w:rPr>
          <w:rFonts w:hint="eastAsia" w:ascii="华文楷体" w:hAnsi="华文楷体" w:eastAsia="华文楷体" w:cs="华文楷体"/>
          <w:color w:val="auto"/>
          <w:kern w:val="0"/>
          <w:sz w:val="32"/>
          <w:szCs w:val="32"/>
          <w:highlight w:val="none"/>
          <w:lang w:val="en-US" w:eastAsia="zh-CN" w:bidi="ar-SA"/>
        </w:rPr>
        <w:t>（四）</w:t>
      </w:r>
      <w:r>
        <w:rPr>
          <w:rFonts w:hint="eastAsia" w:ascii="华文楷体" w:hAnsi="华文楷体" w:eastAsia="华文楷体" w:cs="华文楷体"/>
          <w:color w:val="auto"/>
          <w:kern w:val="0"/>
          <w:sz w:val="32"/>
          <w:szCs w:val="32"/>
          <w:highlight w:val="none"/>
          <w:lang w:val="en-US" w:eastAsia="en-US" w:bidi="ar-SA"/>
        </w:rPr>
        <w:t>申报时间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CESI仿宋-GB2312" w:hAnsi="CESI仿宋-GB2312" w:eastAsia="CESI仿宋-GB2312" w:cs="CESI仿宋-GB2312"/>
          <w:color w:val="auto"/>
          <w:sz w:val="32"/>
          <w:szCs w:val="32"/>
          <w:highlight w:val="none"/>
        </w:rPr>
        <w:t>　　</w:t>
      </w:r>
      <w:r>
        <w:rPr>
          <w:rFonts w:hint="eastAsia" w:ascii="仿宋_GB2312" w:hAnsi="仿宋_GB2312" w:eastAsia="仿宋_GB2312" w:cs="仿宋_GB2312"/>
          <w:color w:val="auto"/>
          <w:kern w:val="2"/>
          <w:sz w:val="32"/>
          <w:szCs w:val="36"/>
          <w:highlight w:val="none"/>
          <w:lang w:val="en-US" w:eastAsia="zh-CN" w:bidi="ar-SA"/>
        </w:rPr>
        <w:t>受理时间：2025年9月29日-10月29日，逾期视作放弃申请。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华文楷体" w:hAnsi="华文楷体" w:eastAsia="华文楷体" w:cs="华文楷体"/>
          <w:color w:val="auto"/>
          <w:kern w:val="0"/>
          <w:sz w:val="32"/>
          <w:szCs w:val="32"/>
          <w:highlight w:val="none"/>
          <w:lang w:val="en-US" w:eastAsia="en-US" w:bidi="ar-SA"/>
        </w:rPr>
      </w:pPr>
      <w:r>
        <w:rPr>
          <w:rFonts w:hint="eastAsia" w:ascii="华文楷体" w:hAnsi="华文楷体" w:eastAsia="华文楷体" w:cs="华文楷体"/>
          <w:color w:val="auto"/>
          <w:kern w:val="0"/>
          <w:sz w:val="32"/>
          <w:szCs w:val="32"/>
          <w:highlight w:val="none"/>
          <w:lang w:val="en-US" w:eastAsia="en-US" w:bidi="ar-SA"/>
        </w:rPr>
        <w:t>　　</w:t>
      </w:r>
      <w:r>
        <w:rPr>
          <w:rFonts w:hint="eastAsia" w:ascii="华文楷体" w:hAnsi="华文楷体" w:eastAsia="华文楷体" w:cs="华文楷体"/>
          <w:color w:val="auto"/>
          <w:kern w:val="0"/>
          <w:sz w:val="32"/>
          <w:szCs w:val="32"/>
          <w:highlight w:val="none"/>
          <w:lang w:val="en-US" w:eastAsia="zh-CN" w:bidi="ar-SA"/>
        </w:rPr>
        <w:t>（五）</w:t>
      </w:r>
      <w:r>
        <w:rPr>
          <w:rFonts w:hint="eastAsia" w:ascii="华文楷体" w:hAnsi="华文楷体" w:eastAsia="华文楷体" w:cs="华文楷体"/>
          <w:color w:val="auto"/>
          <w:kern w:val="0"/>
          <w:sz w:val="32"/>
          <w:szCs w:val="32"/>
          <w:highlight w:val="none"/>
          <w:lang w:val="en-US" w:eastAsia="en-US" w:bidi="ar-SA"/>
        </w:rPr>
        <w:t>注意事项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CESI仿宋-GB2312" w:hAnsi="CESI仿宋-GB2312" w:eastAsia="CESI仿宋-GB2312" w:cs="CESI仿宋-GB2312"/>
          <w:color w:val="auto"/>
          <w:sz w:val="32"/>
          <w:szCs w:val="32"/>
          <w:highlight w:val="none"/>
        </w:rPr>
        <w:t>　</w:t>
      </w:r>
      <w:r>
        <w:rPr>
          <w:rFonts w:hint="eastAsia" w:ascii="仿宋_GB2312" w:hAnsi="仿宋_GB2312" w:eastAsia="仿宋_GB2312" w:cs="仿宋_GB2312"/>
          <w:color w:val="auto"/>
          <w:kern w:val="2"/>
          <w:sz w:val="32"/>
          <w:szCs w:val="36"/>
          <w:highlight w:val="none"/>
          <w:lang w:val="en-US" w:eastAsia="zh-CN" w:bidi="ar-SA"/>
        </w:rPr>
        <w:t>　1.申报时间为企业在龙岗区企业服务信息平台提交线上申请的期限，不含后续的修改以及提交纸质材料时间，但纸质材料必须在审核通过的5个工作日内提交，务必留意平台系统状态。逾期视为放弃申请。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　　2.业务咨询电话：0755-89559551；平台技术支持电话：0755-23602720，QQ：2972069207。因涉及企业较多，请企业按申报系统流程操作即可，业务高峰期电话繁忙请多试几次，或者加技术支持QQ咨询问题。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　　3.申请本项目支持的申报单位应保证其申报材料的完整性、真实性、准确性及合法性，并承担所提交的项目申报材料的相关法律责任，如有虚假或侵权等行为，该项目申请无效，如事后发现存在以上行为，本资金主管部门将保留依法追究其法律责任的权利。</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　　4.申报期结束后，区人工智能（机器人）署将按照规定程序进行后续工作，拟资助的企业名单将在区人工智能（机器人）署网站上公示。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　　温馨提示：区人工智能（机器人）署从未委托任何单位或个人为企业代理资金扶持申报事宜，不接受第三方单位代为申报，请企业自主申报。区人工智能（机器人）署将严格按照有关标准和程序受理申请，不收取任何费用。如有任何机构或个人假借区人工智能（机器人）署的工作人员名义向企业收取费用的，请知情者向区人工智能（机器人）署举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kern w:val="2"/>
          <w:sz w:val="32"/>
          <w:szCs w:val="36"/>
          <w:highlight w:val="none"/>
          <w:lang w:val="en-US" w:eastAsia="zh-CN" w:bidi="ar-SA"/>
        </w:rPr>
      </w:pPr>
    </w:p>
    <w:sectPr>
      <w:footerReference r:id="rId3" w:type="default"/>
      <w:pgSz w:w="11906" w:h="16838"/>
      <w:pgMar w:top="1587" w:right="2041" w:bottom="1587" w:left="198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FangSong_GB2312">
    <w:altName w:val="方正仿宋_GBK"/>
    <w:panose1 w:val="02010609030101010101"/>
    <w:charset w:val="00"/>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仿宋_GB2312">
    <w:altName w:val="方正仿宋_GBK"/>
    <w:panose1 w:val="02010609030101010101"/>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_GB2312">
    <w:altName w:val="方正楷体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isplayBackgroundShape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528B1"/>
    <w:rsid w:val="00115E2E"/>
    <w:rsid w:val="00615EA1"/>
    <w:rsid w:val="00E6284A"/>
    <w:rsid w:val="010A478A"/>
    <w:rsid w:val="01910A08"/>
    <w:rsid w:val="01C56903"/>
    <w:rsid w:val="01CD7566"/>
    <w:rsid w:val="01F91413"/>
    <w:rsid w:val="02C44E0D"/>
    <w:rsid w:val="044C05E0"/>
    <w:rsid w:val="049D76C3"/>
    <w:rsid w:val="06112117"/>
    <w:rsid w:val="062956B3"/>
    <w:rsid w:val="06755090"/>
    <w:rsid w:val="06C673A5"/>
    <w:rsid w:val="071A324D"/>
    <w:rsid w:val="075F5104"/>
    <w:rsid w:val="079C3C62"/>
    <w:rsid w:val="07DF45C3"/>
    <w:rsid w:val="08F301FA"/>
    <w:rsid w:val="08FD4BD5"/>
    <w:rsid w:val="0A6C3DC0"/>
    <w:rsid w:val="0B0264D2"/>
    <w:rsid w:val="0C6F5B34"/>
    <w:rsid w:val="0CF32576"/>
    <w:rsid w:val="0D776C33"/>
    <w:rsid w:val="0DA27AF9"/>
    <w:rsid w:val="0DFF4F4B"/>
    <w:rsid w:val="0E1924B1"/>
    <w:rsid w:val="0E2624D8"/>
    <w:rsid w:val="0F4C0664"/>
    <w:rsid w:val="0F55AB82"/>
    <w:rsid w:val="0FD97638"/>
    <w:rsid w:val="10301D50"/>
    <w:rsid w:val="10544963"/>
    <w:rsid w:val="10993435"/>
    <w:rsid w:val="10A2678D"/>
    <w:rsid w:val="10B22749"/>
    <w:rsid w:val="10B244F7"/>
    <w:rsid w:val="113E6FD5"/>
    <w:rsid w:val="126F6B43"/>
    <w:rsid w:val="13441D7E"/>
    <w:rsid w:val="13655850"/>
    <w:rsid w:val="1479049C"/>
    <w:rsid w:val="151C5D95"/>
    <w:rsid w:val="15325C06"/>
    <w:rsid w:val="15593193"/>
    <w:rsid w:val="159E5049"/>
    <w:rsid w:val="15D171CD"/>
    <w:rsid w:val="16113A6D"/>
    <w:rsid w:val="181C5276"/>
    <w:rsid w:val="183103F7"/>
    <w:rsid w:val="18657DFA"/>
    <w:rsid w:val="18954E2A"/>
    <w:rsid w:val="18CA5D6C"/>
    <w:rsid w:val="19A54BF8"/>
    <w:rsid w:val="19B6E7BF"/>
    <w:rsid w:val="19B906A4"/>
    <w:rsid w:val="1A7606F3"/>
    <w:rsid w:val="1B5FBF99"/>
    <w:rsid w:val="1BA79CDC"/>
    <w:rsid w:val="1C250273"/>
    <w:rsid w:val="1D216C8C"/>
    <w:rsid w:val="1D5030CD"/>
    <w:rsid w:val="1D6D1ED1"/>
    <w:rsid w:val="1DC00253"/>
    <w:rsid w:val="1DC14737"/>
    <w:rsid w:val="1DFE4216"/>
    <w:rsid w:val="1E825E7A"/>
    <w:rsid w:val="1F152820"/>
    <w:rsid w:val="1F6706ED"/>
    <w:rsid w:val="1FD224BF"/>
    <w:rsid w:val="1FED819C"/>
    <w:rsid w:val="212E3A33"/>
    <w:rsid w:val="21935C7E"/>
    <w:rsid w:val="223B434C"/>
    <w:rsid w:val="22D410DC"/>
    <w:rsid w:val="2342795C"/>
    <w:rsid w:val="239C1923"/>
    <w:rsid w:val="26130198"/>
    <w:rsid w:val="26977FBF"/>
    <w:rsid w:val="26FD2518"/>
    <w:rsid w:val="277D9957"/>
    <w:rsid w:val="27E2EFDB"/>
    <w:rsid w:val="27EE6D51"/>
    <w:rsid w:val="28846321"/>
    <w:rsid w:val="289447B6"/>
    <w:rsid w:val="28EB71AA"/>
    <w:rsid w:val="294A1318"/>
    <w:rsid w:val="29842A7C"/>
    <w:rsid w:val="29C70BBB"/>
    <w:rsid w:val="29E93AB7"/>
    <w:rsid w:val="2A0239A1"/>
    <w:rsid w:val="2A9A007E"/>
    <w:rsid w:val="2BC20FA8"/>
    <w:rsid w:val="2D4F6EFD"/>
    <w:rsid w:val="2D55028C"/>
    <w:rsid w:val="2D6B72D5"/>
    <w:rsid w:val="2D7217BA"/>
    <w:rsid w:val="2DC72B6C"/>
    <w:rsid w:val="2E187EA2"/>
    <w:rsid w:val="2E5D564A"/>
    <w:rsid w:val="2E764FDC"/>
    <w:rsid w:val="2EA126DC"/>
    <w:rsid w:val="2ECFDE06"/>
    <w:rsid w:val="2F4131BE"/>
    <w:rsid w:val="2F544C9F"/>
    <w:rsid w:val="2F99C37D"/>
    <w:rsid w:val="2FF41239"/>
    <w:rsid w:val="30032221"/>
    <w:rsid w:val="302C63F5"/>
    <w:rsid w:val="3062519A"/>
    <w:rsid w:val="3111609A"/>
    <w:rsid w:val="3310712F"/>
    <w:rsid w:val="33F26834"/>
    <w:rsid w:val="35194603"/>
    <w:rsid w:val="353BDD3F"/>
    <w:rsid w:val="356F22A0"/>
    <w:rsid w:val="35C066F2"/>
    <w:rsid w:val="35F9034E"/>
    <w:rsid w:val="360A194B"/>
    <w:rsid w:val="366E355E"/>
    <w:rsid w:val="367D4FF9"/>
    <w:rsid w:val="36940077"/>
    <w:rsid w:val="37133692"/>
    <w:rsid w:val="372F39DE"/>
    <w:rsid w:val="373FEDE0"/>
    <w:rsid w:val="37DA5A88"/>
    <w:rsid w:val="37EF8EA1"/>
    <w:rsid w:val="38107BD1"/>
    <w:rsid w:val="38A04AB1"/>
    <w:rsid w:val="38A11EF8"/>
    <w:rsid w:val="38E47595"/>
    <w:rsid w:val="39364146"/>
    <w:rsid w:val="39E38617"/>
    <w:rsid w:val="3A306308"/>
    <w:rsid w:val="3A9B19D4"/>
    <w:rsid w:val="3B3B3EFC"/>
    <w:rsid w:val="3B620744"/>
    <w:rsid w:val="3B7E465F"/>
    <w:rsid w:val="3B7F5941"/>
    <w:rsid w:val="3BCF9257"/>
    <w:rsid w:val="3BDB05F6"/>
    <w:rsid w:val="3BDE13E8"/>
    <w:rsid w:val="3BEBC578"/>
    <w:rsid w:val="3BFFA4DE"/>
    <w:rsid w:val="3C430575"/>
    <w:rsid w:val="3CC05722"/>
    <w:rsid w:val="3CFB0E5A"/>
    <w:rsid w:val="3D3659E4"/>
    <w:rsid w:val="3D5F54E9"/>
    <w:rsid w:val="3D94095C"/>
    <w:rsid w:val="3DC54FBA"/>
    <w:rsid w:val="3DFB80DB"/>
    <w:rsid w:val="3F3F54AD"/>
    <w:rsid w:val="3F46C357"/>
    <w:rsid w:val="3F572A2E"/>
    <w:rsid w:val="3F8D54A2"/>
    <w:rsid w:val="3FAD3B3B"/>
    <w:rsid w:val="3FBF43B6"/>
    <w:rsid w:val="3FD40E3E"/>
    <w:rsid w:val="3FDEF73E"/>
    <w:rsid w:val="3FE0EF90"/>
    <w:rsid w:val="3FF7E75F"/>
    <w:rsid w:val="401D6836"/>
    <w:rsid w:val="402B7FF5"/>
    <w:rsid w:val="404B1A0F"/>
    <w:rsid w:val="40B57568"/>
    <w:rsid w:val="41121115"/>
    <w:rsid w:val="41807B75"/>
    <w:rsid w:val="41DB1EE3"/>
    <w:rsid w:val="41F02810"/>
    <w:rsid w:val="427B1562"/>
    <w:rsid w:val="431542ED"/>
    <w:rsid w:val="44054362"/>
    <w:rsid w:val="444C01E3"/>
    <w:rsid w:val="445F1CC4"/>
    <w:rsid w:val="45CF69D6"/>
    <w:rsid w:val="46483E01"/>
    <w:rsid w:val="4799729B"/>
    <w:rsid w:val="479B56CF"/>
    <w:rsid w:val="480F57AF"/>
    <w:rsid w:val="491F5376"/>
    <w:rsid w:val="498875C7"/>
    <w:rsid w:val="49B74D2D"/>
    <w:rsid w:val="4A3E412A"/>
    <w:rsid w:val="4A930919"/>
    <w:rsid w:val="4ACC5BD9"/>
    <w:rsid w:val="4B6422B6"/>
    <w:rsid w:val="4D090A1F"/>
    <w:rsid w:val="4E0070D4"/>
    <w:rsid w:val="4EEF3C43"/>
    <w:rsid w:val="4F3F31D7"/>
    <w:rsid w:val="4F870321"/>
    <w:rsid w:val="4F987A09"/>
    <w:rsid w:val="4FD7B8C1"/>
    <w:rsid w:val="5072770A"/>
    <w:rsid w:val="50C3182D"/>
    <w:rsid w:val="513A33F2"/>
    <w:rsid w:val="51CFA532"/>
    <w:rsid w:val="525E584E"/>
    <w:rsid w:val="52D96E47"/>
    <w:rsid w:val="530C1269"/>
    <w:rsid w:val="531071B9"/>
    <w:rsid w:val="534529CD"/>
    <w:rsid w:val="53CA7443"/>
    <w:rsid w:val="54216F96"/>
    <w:rsid w:val="549335C7"/>
    <w:rsid w:val="5506772D"/>
    <w:rsid w:val="55C776C9"/>
    <w:rsid w:val="55EC3C81"/>
    <w:rsid w:val="56660C90"/>
    <w:rsid w:val="569357FD"/>
    <w:rsid w:val="56F6563D"/>
    <w:rsid w:val="575D6537"/>
    <w:rsid w:val="5777E18E"/>
    <w:rsid w:val="57821531"/>
    <w:rsid w:val="58AE254E"/>
    <w:rsid w:val="58ED7447"/>
    <w:rsid w:val="59FB5B93"/>
    <w:rsid w:val="5A2D03CA"/>
    <w:rsid w:val="5A6F20DD"/>
    <w:rsid w:val="5ABE0707"/>
    <w:rsid w:val="5B2D7FCE"/>
    <w:rsid w:val="5B95BF17"/>
    <w:rsid w:val="5BB7D3D2"/>
    <w:rsid w:val="5BEA42C9"/>
    <w:rsid w:val="5BF79DFC"/>
    <w:rsid w:val="5C0056E3"/>
    <w:rsid w:val="5C384E7D"/>
    <w:rsid w:val="5CCB7A9F"/>
    <w:rsid w:val="5CF43DA1"/>
    <w:rsid w:val="5D79399F"/>
    <w:rsid w:val="5E2E77C2"/>
    <w:rsid w:val="5E8CF660"/>
    <w:rsid w:val="5EA038B2"/>
    <w:rsid w:val="5EFE96DA"/>
    <w:rsid w:val="5EFF07BD"/>
    <w:rsid w:val="5FB640E5"/>
    <w:rsid w:val="5FBE9B08"/>
    <w:rsid w:val="5FD96878"/>
    <w:rsid w:val="5FFAB632"/>
    <w:rsid w:val="5FFDD801"/>
    <w:rsid w:val="5FFE2E6F"/>
    <w:rsid w:val="5FFE3534"/>
    <w:rsid w:val="5FFF8DE4"/>
    <w:rsid w:val="5FFFF88F"/>
    <w:rsid w:val="60EA6962"/>
    <w:rsid w:val="62A01E1D"/>
    <w:rsid w:val="631F74BC"/>
    <w:rsid w:val="634F42F2"/>
    <w:rsid w:val="634FDE17"/>
    <w:rsid w:val="63FA0A39"/>
    <w:rsid w:val="64D836A1"/>
    <w:rsid w:val="64FFA1A3"/>
    <w:rsid w:val="65271F32"/>
    <w:rsid w:val="65393A14"/>
    <w:rsid w:val="65D55697"/>
    <w:rsid w:val="65DF6D8A"/>
    <w:rsid w:val="65FE4CAA"/>
    <w:rsid w:val="65FE7F43"/>
    <w:rsid w:val="661B7AB4"/>
    <w:rsid w:val="665373FD"/>
    <w:rsid w:val="66B7003D"/>
    <w:rsid w:val="66DF0CB9"/>
    <w:rsid w:val="671F4CE9"/>
    <w:rsid w:val="67A4786A"/>
    <w:rsid w:val="683C02AC"/>
    <w:rsid w:val="687436E1"/>
    <w:rsid w:val="68A613C0"/>
    <w:rsid w:val="6A972321"/>
    <w:rsid w:val="6B2F9C3E"/>
    <w:rsid w:val="6B3268E8"/>
    <w:rsid w:val="6B833C3B"/>
    <w:rsid w:val="6C3D2933"/>
    <w:rsid w:val="6CDF0208"/>
    <w:rsid w:val="6CE36A9C"/>
    <w:rsid w:val="6E4B14A6"/>
    <w:rsid w:val="6E5D4C17"/>
    <w:rsid w:val="6F411E43"/>
    <w:rsid w:val="6F9F2999"/>
    <w:rsid w:val="6FBFDE40"/>
    <w:rsid w:val="6FD61A2C"/>
    <w:rsid w:val="6FE50A20"/>
    <w:rsid w:val="6FF7E679"/>
    <w:rsid w:val="6FFB0EF4"/>
    <w:rsid w:val="70A22DB5"/>
    <w:rsid w:val="710134D9"/>
    <w:rsid w:val="717007BD"/>
    <w:rsid w:val="71BD7555"/>
    <w:rsid w:val="71FF21BD"/>
    <w:rsid w:val="72AC1CC9"/>
    <w:rsid w:val="72F90170"/>
    <w:rsid w:val="72FE7215"/>
    <w:rsid w:val="736DC0EF"/>
    <w:rsid w:val="73D47729"/>
    <w:rsid w:val="73DE71FA"/>
    <w:rsid w:val="74F11C15"/>
    <w:rsid w:val="75235161"/>
    <w:rsid w:val="75EA6B0E"/>
    <w:rsid w:val="76245847"/>
    <w:rsid w:val="762B1157"/>
    <w:rsid w:val="768D3BBF"/>
    <w:rsid w:val="76BB24DB"/>
    <w:rsid w:val="76BE9F9C"/>
    <w:rsid w:val="76EC08E6"/>
    <w:rsid w:val="76F5AB6F"/>
    <w:rsid w:val="7775C95F"/>
    <w:rsid w:val="77872C35"/>
    <w:rsid w:val="77DD7915"/>
    <w:rsid w:val="77E59B6B"/>
    <w:rsid w:val="77F7FC45"/>
    <w:rsid w:val="77FE67C0"/>
    <w:rsid w:val="787055CD"/>
    <w:rsid w:val="79EED6AF"/>
    <w:rsid w:val="79F44681"/>
    <w:rsid w:val="7A066163"/>
    <w:rsid w:val="7A3E86B4"/>
    <w:rsid w:val="7A6A66F1"/>
    <w:rsid w:val="7A867391"/>
    <w:rsid w:val="7ADE019F"/>
    <w:rsid w:val="7B075CF6"/>
    <w:rsid w:val="7B9BC652"/>
    <w:rsid w:val="7B9D06FF"/>
    <w:rsid w:val="7BA6CBF1"/>
    <w:rsid w:val="7BFBA074"/>
    <w:rsid w:val="7BFE54A7"/>
    <w:rsid w:val="7BFEB1A5"/>
    <w:rsid w:val="7BFF04A2"/>
    <w:rsid w:val="7C632CAD"/>
    <w:rsid w:val="7C7EECF1"/>
    <w:rsid w:val="7CD10A13"/>
    <w:rsid w:val="7D8EEADD"/>
    <w:rsid w:val="7DB01C85"/>
    <w:rsid w:val="7DBE72CD"/>
    <w:rsid w:val="7E1FE0B2"/>
    <w:rsid w:val="7E2C3C2D"/>
    <w:rsid w:val="7EBCD84C"/>
    <w:rsid w:val="7EBF7AA6"/>
    <w:rsid w:val="7ECF5D6A"/>
    <w:rsid w:val="7EDBADD2"/>
    <w:rsid w:val="7EFF0341"/>
    <w:rsid w:val="7F5D406C"/>
    <w:rsid w:val="7F5E1159"/>
    <w:rsid w:val="7F6892CD"/>
    <w:rsid w:val="7F6BBF37"/>
    <w:rsid w:val="7F75698F"/>
    <w:rsid w:val="7F7DAC97"/>
    <w:rsid w:val="7F7F5E58"/>
    <w:rsid w:val="7F802513"/>
    <w:rsid w:val="7FAEE9F4"/>
    <w:rsid w:val="7FBF4E9E"/>
    <w:rsid w:val="7FCAE10B"/>
    <w:rsid w:val="7FDD5773"/>
    <w:rsid w:val="7FDDE80A"/>
    <w:rsid w:val="7FDF5309"/>
    <w:rsid w:val="7FE16B08"/>
    <w:rsid w:val="7FF6A4C6"/>
    <w:rsid w:val="7FFD4B41"/>
    <w:rsid w:val="7FFD99C9"/>
    <w:rsid w:val="7FFF2313"/>
    <w:rsid w:val="7FFF8FF3"/>
    <w:rsid w:val="8F7CE597"/>
    <w:rsid w:val="8FAFEFEF"/>
    <w:rsid w:val="9FA3D0A0"/>
    <w:rsid w:val="A1FD947C"/>
    <w:rsid w:val="A3E7464E"/>
    <w:rsid w:val="ABFD4106"/>
    <w:rsid w:val="ADFAFD9A"/>
    <w:rsid w:val="AF7B7952"/>
    <w:rsid w:val="AF9F8FCA"/>
    <w:rsid w:val="B1730552"/>
    <w:rsid w:val="B47F6B4C"/>
    <w:rsid w:val="B73E1263"/>
    <w:rsid w:val="B7CE548C"/>
    <w:rsid w:val="B7DF0942"/>
    <w:rsid w:val="B7FDB8D5"/>
    <w:rsid w:val="BB7B055D"/>
    <w:rsid w:val="BCDF0194"/>
    <w:rsid w:val="BE489A38"/>
    <w:rsid w:val="BEF81D65"/>
    <w:rsid w:val="BEFD7B84"/>
    <w:rsid w:val="BF37CFA6"/>
    <w:rsid w:val="BFEFC38A"/>
    <w:rsid w:val="BFFB5EB2"/>
    <w:rsid w:val="BFFD5851"/>
    <w:rsid w:val="C2F50BC2"/>
    <w:rsid w:val="C4779D79"/>
    <w:rsid w:val="C6EF96BF"/>
    <w:rsid w:val="C6FFB7BD"/>
    <w:rsid w:val="C7DF9CE7"/>
    <w:rsid w:val="C97EB8C9"/>
    <w:rsid w:val="CDAFB7F2"/>
    <w:rsid w:val="CEFECCF5"/>
    <w:rsid w:val="CFC547A0"/>
    <w:rsid w:val="D5FB8B81"/>
    <w:rsid w:val="D7BE7363"/>
    <w:rsid w:val="D7F92F70"/>
    <w:rsid w:val="D97FD55E"/>
    <w:rsid w:val="DAEFD3E8"/>
    <w:rsid w:val="DB7B9F2A"/>
    <w:rsid w:val="DCFAAB5D"/>
    <w:rsid w:val="DD0F2569"/>
    <w:rsid w:val="DD9FEC49"/>
    <w:rsid w:val="DDECA757"/>
    <w:rsid w:val="DE77A60E"/>
    <w:rsid w:val="DEEB202D"/>
    <w:rsid w:val="DFB3786F"/>
    <w:rsid w:val="DFBFF89F"/>
    <w:rsid w:val="E2FFFB61"/>
    <w:rsid w:val="E33F134E"/>
    <w:rsid w:val="E7B2BB94"/>
    <w:rsid w:val="E7F2B231"/>
    <w:rsid w:val="E7FF2182"/>
    <w:rsid w:val="ED5F0991"/>
    <w:rsid w:val="EEBBB0BA"/>
    <w:rsid w:val="EF7F672B"/>
    <w:rsid w:val="EFCEDB15"/>
    <w:rsid w:val="EFFD1C9E"/>
    <w:rsid w:val="EFFF618E"/>
    <w:rsid w:val="F1FAF18B"/>
    <w:rsid w:val="F297A4D4"/>
    <w:rsid w:val="F2CF9E1E"/>
    <w:rsid w:val="F35F078F"/>
    <w:rsid w:val="F3DF591E"/>
    <w:rsid w:val="F47F3D82"/>
    <w:rsid w:val="F6A18827"/>
    <w:rsid w:val="F73BC0E3"/>
    <w:rsid w:val="F74DA2EE"/>
    <w:rsid w:val="F7D3D8E8"/>
    <w:rsid w:val="F7FBBD65"/>
    <w:rsid w:val="F7FF2F68"/>
    <w:rsid w:val="F8AFDE21"/>
    <w:rsid w:val="F9E55726"/>
    <w:rsid w:val="FB4ED248"/>
    <w:rsid w:val="FBB6C733"/>
    <w:rsid w:val="FBF035AA"/>
    <w:rsid w:val="FBF7BB84"/>
    <w:rsid w:val="FBFD6267"/>
    <w:rsid w:val="FC67AC34"/>
    <w:rsid w:val="FD1752FB"/>
    <w:rsid w:val="FDDF64C7"/>
    <w:rsid w:val="FDF6DADC"/>
    <w:rsid w:val="FDF753BF"/>
    <w:rsid w:val="FDFD1A1E"/>
    <w:rsid w:val="FEB3E0B7"/>
    <w:rsid w:val="FEBE85F3"/>
    <w:rsid w:val="FEBF1651"/>
    <w:rsid w:val="FEE5CBF6"/>
    <w:rsid w:val="FEFB4F67"/>
    <w:rsid w:val="FEFE6AD6"/>
    <w:rsid w:val="FF14C066"/>
    <w:rsid w:val="FF1DD433"/>
    <w:rsid w:val="FF33AE98"/>
    <w:rsid w:val="FF3F731F"/>
    <w:rsid w:val="FF4944D5"/>
    <w:rsid w:val="FF56486A"/>
    <w:rsid w:val="FF7BF8C5"/>
    <w:rsid w:val="FFB7806A"/>
    <w:rsid w:val="FFDDF026"/>
    <w:rsid w:val="FFDF53BB"/>
    <w:rsid w:val="FFDF907C"/>
    <w:rsid w:val="FFF4C521"/>
    <w:rsid w:val="FFFB4B34"/>
    <w:rsid w:val="FFFBB860"/>
    <w:rsid w:val="FFFD7471"/>
    <w:rsid w:val="FFFD9611"/>
    <w:rsid w:val="FFFF4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autoSpaceDE w:val="0"/>
      <w:autoSpaceDN w:val="0"/>
      <w:spacing w:line="600" w:lineRule="exact"/>
      <w:ind w:firstLine="400"/>
      <w:jc w:val="left"/>
      <w:outlineLvl w:val="1"/>
    </w:pPr>
    <w:rPr>
      <w:rFonts w:hint="eastAsia" w:eastAsia="方正楷体_GBK"/>
      <w:kern w:val="0"/>
      <w:sz w:val="34"/>
      <w:szCs w:val="34"/>
      <w:lang w:val="zh-CN" w:bidi="zh-CN"/>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next w:val="4"/>
    <w:qFormat/>
    <w:uiPriority w:val="0"/>
    <w:pPr>
      <w:ind w:firstLine="420" w:firstLineChars="200"/>
    </w:pPr>
    <w:rPr>
      <w:rFonts w:ascii="Times New Roman" w:hAnsi="Times New Roman" w:eastAsia="宋体" w:cs="Times New Roman"/>
    </w:rPr>
  </w:style>
  <w:style w:type="paragraph" w:styleId="4">
    <w:name w:val="Body Text"/>
    <w:basedOn w:val="1"/>
    <w:next w:val="5"/>
    <w:qFormat/>
    <w:uiPriority w:val="1"/>
    <w:pPr>
      <w:ind w:left="138"/>
      <w:jc w:val="left"/>
    </w:pPr>
    <w:rPr>
      <w:rFonts w:ascii="宋体" w:hAnsi="宋体"/>
      <w:kern w:val="0"/>
      <w:sz w:val="24"/>
      <w:lang w:eastAsia="en-US"/>
    </w:rPr>
  </w:style>
  <w:style w:type="paragraph" w:styleId="5">
    <w:name w:val="Title"/>
    <w:basedOn w:val="1"/>
    <w:next w:val="1"/>
    <w:qFormat/>
    <w:uiPriority w:val="99"/>
    <w:pPr>
      <w:jc w:val="center"/>
    </w:pPr>
    <w:rPr>
      <w:rFonts w:ascii="方正小标宋简体" w:hAnsi="方正小标宋简体" w:eastAsia="方正小标宋简体" w:cs="方正小标宋简体"/>
      <w:sz w:val="44"/>
      <w:szCs w:val="44"/>
      <w:lang w:eastAsia="zh-CN" w:bidi="ar-SA"/>
    </w:rPr>
  </w:style>
  <w:style w:type="paragraph" w:styleId="6">
    <w:name w:val="footer"/>
    <w:basedOn w:val="1"/>
    <w:qFormat/>
    <w:uiPriority w:val="0"/>
    <w:pPr>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目录 91"/>
    <w:next w:val="1"/>
    <w:qFormat/>
    <w:uiPriority w:val="0"/>
    <w:pPr>
      <w:wordWrap w:val="0"/>
      <w:spacing w:after="200" w:line="276" w:lineRule="auto"/>
      <w:ind w:left="2975"/>
      <w:jc w:val="both"/>
    </w:pPr>
    <w:rPr>
      <w:rFonts w:ascii="Calibri" w:hAnsi="Calibri" w:eastAsia="宋体" w:cs="Calibri"/>
      <w:sz w:val="21"/>
      <w:szCs w:val="21"/>
      <w:lang w:val="en-US" w:eastAsia="zh-CN" w:bidi="ar-SA"/>
    </w:rPr>
  </w:style>
  <w:style w:type="paragraph" w:customStyle="1" w:styleId="13">
    <w:name w:val="_Style 1"/>
    <w:basedOn w:val="1"/>
    <w:qFormat/>
    <w:uiPriority w:val="0"/>
    <w:pPr>
      <w:spacing w:before="0" w:beforeAutospacing="0" w:after="0"/>
      <w:ind w:firstLine="200" w:firstLineChars="200"/>
    </w:pPr>
    <w:rPr>
      <w:rFonts w:ascii="宋体" w:hAnsi="宋体" w:eastAsia="FangSong_GB2312" w:cs="Times New Roman"/>
      <w:sz w:val="32"/>
      <w:szCs w:val="32"/>
    </w:rPr>
  </w:style>
  <w:style w:type="paragraph" w:customStyle="1" w:styleId="14">
    <w:name w:val="纯文本1"/>
    <w:basedOn w:val="1"/>
    <w:qFormat/>
    <w:uiPriority w:val="0"/>
    <w:rPr>
      <w:rFonts w:ascii="宋体" w:hAnsi="Courier New" w:eastAsia="宋体" w:cs="Courier New"/>
    </w:rPr>
  </w:style>
  <w:style w:type="paragraph" w:customStyle="1" w:styleId="15">
    <w:name w:val="正文_0"/>
    <w:next w:val="4"/>
    <w:qFormat/>
    <w:uiPriority w:val="0"/>
    <w:pPr>
      <w:widowControl w:val="0"/>
      <w:jc w:val="both"/>
    </w:pPr>
    <w:rPr>
      <w:rFonts w:ascii="Calibri" w:hAnsi="Calibri" w:eastAsia="宋体" w:cs="Times New Roman"/>
      <w:kern w:val="2"/>
      <w:sz w:val="21"/>
      <w:szCs w:val="24"/>
      <w:lang w:val="en-US" w:eastAsia="zh-CN" w:bidi="ar-SA"/>
    </w:rPr>
  </w:style>
  <w:style w:type="table" w:customStyle="1" w:styleId="16">
    <w:name w:val="网格型1"/>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5774</Words>
  <Characters>6086</Characters>
  <Lines>0</Lines>
  <Paragraphs>0</Paragraphs>
  <TotalTime>0</TotalTime>
  <ScaleCrop>false</ScaleCrop>
  <LinksUpToDate>false</LinksUpToDate>
  <CharactersWithSpaces>6198</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2025-06-12T09:45:00Z</dcterms:created>
  <dc:creator>PC</dc:creator>
  <cp:lastModifiedBy>陈珏然</cp:lastModifiedBy>
  <dcterms:modified xsi:type="dcterms:W3CDTF">2025-09-29T11:44:04Z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1208AA8524D04B4C2DA93F6831C25D47</vt:lpwstr>
  </property>
  <property fmtid="{D5CDD505-2E9C-101B-9397-08002B2CF9AE}" pid="4" name="KSOTemplateDocerSaveRecord">
    <vt:lpwstr>eyJoZGlkIjoiNDAzNjM4Yzg0YTJjNmVlMDFmNDJlMjRkZGVkY2M5MGIiLCJ1c2VySWQiOiIxMzc4NjUxMzYxIn0=</vt:lpwstr>
  </property>
</Properties>
</file>