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widowControl w:val="0"/>
        <w:kinsoku/>
        <w:wordWrap/>
        <w:overflowPunct/>
        <w:topLinePunct w:val="0"/>
        <w:autoSpaceDE/>
        <w:autoSpaceDN/>
        <w:bidi w:val="0"/>
        <w:adjustRightInd/>
        <w:snapToGrid/>
        <w:spacing w:line="540" w:lineRule="exact"/>
        <w:ind w:left="0" w:leftChars="0"/>
        <w:jc w:val="left"/>
        <w:textAlignment w:val="auto"/>
        <w:rPr>
          <w:rFonts w:hint="eastAsia" w:ascii="黑体" w:hAnsi="黑体" w:eastAsia="黑体" w:cs="黑体"/>
          <w:color w:val="auto"/>
          <w:sz w:val="32"/>
          <w:szCs w:val="32"/>
          <w:highlight w:val="none"/>
          <w:lang w:val="en-US" w:eastAsia="zh-CN"/>
        </w:rPr>
      </w:pPr>
      <w:bookmarkStart w:id="0" w:name="_GoBack"/>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6</w:t>
      </w:r>
    </w:p>
    <w:p>
      <w:pPr>
        <w:pStyle w:val="3"/>
        <w:pageBreakBefore w:val="0"/>
        <w:kinsoku/>
        <w:wordWrap/>
        <w:overflowPunct/>
        <w:topLinePunct w:val="0"/>
        <w:autoSpaceDN/>
        <w:bidi w:val="0"/>
        <w:spacing w:before="0" w:after="0" w:line="560" w:lineRule="exact"/>
        <w:jc w:val="center"/>
        <w:textAlignment w:val="auto"/>
        <w:rPr>
          <w:rFonts w:hint="eastAsia" w:ascii="方正小标宋简体" w:hAnsi="宋体" w:eastAsia="方正小标宋简体"/>
          <w:b w:val="0"/>
          <w:color w:val="auto"/>
          <w:sz w:val="44"/>
          <w:highlight w:val="none"/>
          <w:lang w:val="en-US" w:eastAsia="zh-CN"/>
        </w:rPr>
      </w:pPr>
    </w:p>
    <w:p>
      <w:pPr>
        <w:pStyle w:val="3"/>
        <w:pageBreakBefore w:val="0"/>
        <w:kinsoku/>
        <w:wordWrap/>
        <w:overflowPunct/>
        <w:topLinePunct w:val="0"/>
        <w:autoSpaceDN/>
        <w:bidi w:val="0"/>
        <w:spacing w:before="0" w:after="0" w:line="560" w:lineRule="exact"/>
        <w:jc w:val="center"/>
        <w:textAlignment w:val="auto"/>
        <w:rPr>
          <w:rFonts w:hint="eastAsia" w:ascii="方正小标宋简体" w:hAnsi="宋体" w:eastAsia="方正小标宋简体"/>
          <w:b w:val="0"/>
          <w:color w:val="auto"/>
          <w:sz w:val="44"/>
          <w:szCs w:val="44"/>
          <w:highlight w:val="none"/>
          <w:lang w:eastAsia="zh-CN"/>
        </w:rPr>
      </w:pPr>
      <w:r>
        <w:rPr>
          <w:rFonts w:hint="eastAsia" w:ascii="方正小标宋简体" w:hAnsi="宋体" w:eastAsia="方正小标宋简体"/>
          <w:b w:val="0"/>
          <w:color w:val="auto"/>
          <w:sz w:val="44"/>
          <w:highlight w:val="none"/>
          <w:lang w:val="en-US" w:eastAsia="zh-CN"/>
        </w:rPr>
        <w:t>2025年龙岗区人工智能应用场景示范扶持项目专项审计原则（试行）</w:t>
      </w:r>
    </w:p>
    <w:p>
      <w:pPr>
        <w:pageBreakBefore w:val="0"/>
        <w:kinsoku/>
        <w:wordWrap/>
        <w:overflowPunct/>
        <w:topLinePunct w:val="0"/>
        <w:autoSpaceDN/>
        <w:bidi w:val="0"/>
        <w:spacing w:line="560" w:lineRule="exact"/>
        <w:textAlignment w:val="auto"/>
        <w:rPr>
          <w:rFonts w:ascii="仿宋_GB2312" w:eastAsia="仿宋_GB2312"/>
          <w:color w:val="auto"/>
          <w:sz w:val="32"/>
          <w:szCs w:val="32"/>
          <w:highlight w:val="none"/>
        </w:rPr>
      </w:pPr>
    </w:p>
    <w:p>
      <w:pPr>
        <w:pStyle w:val="2"/>
        <w:pageBreakBefore w:val="0"/>
        <w:widowControl w:val="0"/>
        <w:numPr>
          <w:ilvl w:val="0"/>
          <w:numId w:val="0"/>
        </w:numPr>
        <w:kinsoku/>
        <w:wordWrap/>
        <w:overflowPunct/>
        <w:topLinePunct w:val="0"/>
        <w:autoSpaceDE/>
        <w:autoSpaceDN/>
        <w:bidi w:val="0"/>
        <w:spacing w:before="0" w:after="0" w:line="560" w:lineRule="exact"/>
        <w:ind w:leftChars="0" w:firstLine="640" w:firstLineChars="200"/>
        <w:textAlignment w:val="auto"/>
        <w:rPr>
          <w:rFonts w:ascii="黑体" w:hAnsi="黑体" w:eastAsia="黑体"/>
          <w:b w:val="0"/>
          <w:color w:val="auto"/>
          <w:highlight w:val="none"/>
        </w:rPr>
      </w:pPr>
      <w:r>
        <w:rPr>
          <w:rFonts w:hint="eastAsia" w:ascii="黑体" w:hAnsi="黑体" w:eastAsia="黑体"/>
          <w:b w:val="0"/>
          <w:color w:val="auto"/>
          <w:highlight w:val="none"/>
          <w:lang w:eastAsia="zh-CN"/>
        </w:rPr>
        <w:t>一、总体要求</w:t>
      </w:r>
    </w:p>
    <w:p>
      <w:pPr>
        <w:pStyle w:val="10"/>
        <w:keepNext w:val="0"/>
        <w:keepLines w:val="0"/>
        <w:widowControl/>
        <w:suppressLineNumbers w:val="0"/>
        <w:spacing w:before="0" w:beforeAutospacing="0" w:after="0" w:afterAutospacing="0"/>
        <w:ind w:left="0" w:right="0" w:firstLine="640" w:firstLineChars="200"/>
        <w:rPr>
          <w:rFonts w:hint="eastAsia" w:ascii="仿宋_GB2312" w:hAnsi="Calibri" w:eastAsia="仿宋_GB2312" w:cs="Calibri"/>
          <w:color w:val="auto"/>
          <w:sz w:val="32"/>
          <w:szCs w:val="32"/>
          <w:highlight w:val="none"/>
          <w:lang w:val="en-US" w:bidi="ar"/>
        </w:rPr>
      </w:pPr>
      <w:r>
        <w:rPr>
          <w:rFonts w:hint="eastAsia" w:ascii="仿宋_GB2312" w:hAnsi="Calibri" w:eastAsia="仿宋_GB2312" w:cs="Calibri"/>
          <w:color w:val="auto"/>
          <w:sz w:val="32"/>
          <w:szCs w:val="32"/>
          <w:highlight w:val="none"/>
          <w:lang w:val="en-US" w:eastAsia="zh-CN" w:bidi="ar"/>
        </w:rPr>
        <w:t>审计机构应</w:t>
      </w:r>
      <w:r>
        <w:rPr>
          <w:rFonts w:hint="eastAsia" w:ascii="仿宋_GB2312" w:hAnsi="Calibri" w:eastAsia="仿宋_GB2312" w:cs="Calibri"/>
          <w:color w:val="auto"/>
          <w:sz w:val="32"/>
          <w:szCs w:val="32"/>
          <w:highlight w:val="none"/>
          <w:lang w:val="en-US" w:bidi="ar"/>
        </w:rPr>
        <w:t>依据《中华人民共和国</w:t>
      </w:r>
      <w:r>
        <w:rPr>
          <w:rFonts w:hint="eastAsia" w:ascii="仿宋_GB2312" w:hAnsi="Calibri" w:eastAsia="仿宋_GB2312" w:cs="Calibri"/>
          <w:color w:val="auto"/>
          <w:sz w:val="32"/>
          <w:szCs w:val="32"/>
          <w:highlight w:val="none"/>
          <w:lang w:val="en-US" w:eastAsia="zh-CN" w:bidi="ar"/>
        </w:rPr>
        <w:t>民法典</w:t>
      </w:r>
      <w:r>
        <w:rPr>
          <w:rFonts w:hint="eastAsia" w:ascii="仿宋_GB2312" w:hAnsi="Calibri" w:eastAsia="仿宋_GB2312" w:cs="Calibri"/>
          <w:color w:val="auto"/>
          <w:sz w:val="32"/>
          <w:szCs w:val="32"/>
          <w:highlight w:val="none"/>
          <w:lang w:val="en-US" w:bidi="ar"/>
        </w:rPr>
        <w:t>》《中华人民共和国票据法》《中华人民共和国发票管理办法》《注册会计师审计准则》</w:t>
      </w:r>
      <w:r>
        <w:rPr>
          <w:rFonts w:hint="eastAsia" w:ascii="仿宋_GB2312" w:hAnsi="Calibri" w:eastAsia="仿宋_GB2312" w:cs="Calibri"/>
          <w:color w:val="auto"/>
          <w:sz w:val="32"/>
          <w:szCs w:val="32"/>
          <w:highlight w:val="none"/>
          <w:lang w:val="en-US" w:eastAsia="zh-CN" w:bidi="ar"/>
        </w:rPr>
        <w:t>和</w:t>
      </w:r>
      <w:r>
        <w:rPr>
          <w:rFonts w:hint="eastAsia" w:ascii="仿宋_GB2312" w:hAnsi="Calibri" w:eastAsia="仿宋_GB2312" w:cs="Calibri"/>
          <w:color w:val="auto"/>
          <w:sz w:val="32"/>
          <w:szCs w:val="32"/>
          <w:highlight w:val="none"/>
          <w:lang w:val="en-US" w:bidi="ar"/>
        </w:rPr>
        <w:t>《企业会计准则》</w:t>
      </w:r>
      <w:r>
        <w:rPr>
          <w:rFonts w:hint="eastAsia" w:ascii="仿宋_GB2312" w:hAnsi="Calibri" w:eastAsia="仿宋_GB2312" w:cs="Calibri"/>
          <w:color w:val="auto"/>
          <w:sz w:val="32"/>
          <w:szCs w:val="32"/>
          <w:highlight w:val="none"/>
          <w:lang w:val="en-US" w:eastAsia="zh-CN" w:bidi="ar"/>
        </w:rPr>
        <w:t>等相关法律法规，严格按照</w:t>
      </w:r>
      <w:r>
        <w:rPr>
          <w:rFonts w:hint="eastAsia" w:ascii="仿宋_GB2312" w:eastAsia="仿宋_GB2312" w:cs="Calibri"/>
          <w:color w:val="auto"/>
          <w:sz w:val="32"/>
          <w:szCs w:val="32"/>
          <w:highlight w:val="none"/>
          <w:lang w:val="en-US" w:eastAsia="zh-CN" w:bidi="ar"/>
        </w:rPr>
        <w:t>《深圳市龙岗区区级财政专项资金管理办法（修订）》</w:t>
      </w:r>
      <w:r>
        <w:rPr>
          <w:rFonts w:hint="eastAsia" w:ascii="仿宋_GB2312" w:hAnsi="Calibri" w:eastAsia="仿宋_GB2312" w:cs="Calibri"/>
          <w:color w:val="auto"/>
          <w:sz w:val="32"/>
          <w:szCs w:val="32"/>
          <w:highlight w:val="none"/>
          <w:lang w:val="en-US" w:eastAsia="zh-CN" w:bidi="ar"/>
        </w:rPr>
        <w:t>《深圳市龙岗区工业和信息化产业发展专项资金关于支持人工智能产业引领高质量发展实施细则》以及相对应申请指南</w:t>
      </w:r>
      <w:r>
        <w:rPr>
          <w:rFonts w:hint="eastAsia" w:ascii="仿宋_GB2312" w:hAnsi="Calibri" w:eastAsia="仿宋_GB2312" w:cs="Calibri"/>
          <w:color w:val="auto"/>
          <w:sz w:val="32"/>
          <w:szCs w:val="32"/>
          <w:highlight w:val="none"/>
          <w:lang w:val="en-US" w:bidi="ar"/>
        </w:rPr>
        <w:t>等专项资金管理</w:t>
      </w:r>
      <w:r>
        <w:rPr>
          <w:rFonts w:hint="eastAsia" w:ascii="仿宋_GB2312" w:hAnsi="Calibri" w:eastAsia="仿宋_GB2312" w:cs="Calibri"/>
          <w:color w:val="auto"/>
          <w:sz w:val="32"/>
          <w:szCs w:val="32"/>
          <w:highlight w:val="none"/>
          <w:lang w:val="en-US" w:eastAsia="zh-CN" w:bidi="ar"/>
        </w:rPr>
        <w:t>规定</w:t>
      </w:r>
      <w:r>
        <w:rPr>
          <w:rFonts w:hint="eastAsia" w:ascii="仿宋_GB2312" w:hAnsi="Calibri" w:eastAsia="仿宋_GB2312" w:cs="Calibri"/>
          <w:color w:val="auto"/>
          <w:sz w:val="32"/>
          <w:szCs w:val="32"/>
          <w:highlight w:val="none"/>
          <w:lang w:val="en-US" w:bidi="ar"/>
        </w:rPr>
        <w:t>，</w:t>
      </w:r>
      <w:r>
        <w:rPr>
          <w:rFonts w:hint="eastAsia" w:ascii="仿宋_GB2312" w:hAnsi="Calibri" w:eastAsia="仿宋_GB2312" w:cs="Calibri"/>
          <w:b w:val="0"/>
          <w:bCs w:val="0"/>
          <w:color w:val="auto"/>
          <w:kern w:val="2"/>
          <w:sz w:val="32"/>
          <w:szCs w:val="32"/>
          <w:highlight w:val="none"/>
          <w:lang w:val="en-US" w:eastAsia="zh-CN" w:bidi="ar"/>
        </w:rPr>
        <w:t>结合本审计原则要求</w:t>
      </w:r>
      <w:r>
        <w:rPr>
          <w:rFonts w:hint="eastAsia" w:ascii="仿宋_GB2312" w:hAnsi="Calibri" w:eastAsia="仿宋_GB2312" w:cs="Calibri"/>
          <w:color w:val="auto"/>
          <w:kern w:val="2"/>
          <w:sz w:val="32"/>
          <w:szCs w:val="32"/>
          <w:highlight w:val="none"/>
          <w:lang w:val="en-US" w:eastAsia="zh-CN" w:bidi="ar"/>
        </w:rPr>
        <w:t>，独立自主完成专项审计并出具审计结论，并承担相应的法律责任</w:t>
      </w:r>
      <w:r>
        <w:rPr>
          <w:rFonts w:hint="eastAsia" w:ascii="仿宋_GB2312" w:hAnsi="Calibri" w:eastAsia="仿宋_GB2312" w:cs="Calibri"/>
          <w:color w:val="auto"/>
          <w:sz w:val="32"/>
          <w:szCs w:val="32"/>
          <w:highlight w:val="none"/>
          <w:lang w:val="en-US" w:bidi="ar"/>
        </w:rPr>
        <w:t>。</w:t>
      </w:r>
    </w:p>
    <w:p>
      <w:pPr>
        <w:pStyle w:val="2"/>
        <w:pageBreakBefore w:val="0"/>
        <w:widowControl w:val="0"/>
        <w:numPr>
          <w:ilvl w:val="0"/>
          <w:numId w:val="0"/>
        </w:numPr>
        <w:kinsoku/>
        <w:wordWrap/>
        <w:overflowPunct/>
        <w:topLinePunct w:val="0"/>
        <w:autoSpaceDN/>
        <w:bidi w:val="0"/>
        <w:spacing w:before="0" w:after="0" w:line="560" w:lineRule="exact"/>
        <w:ind w:leftChars="0" w:firstLine="640" w:firstLineChars="200"/>
        <w:textAlignment w:val="auto"/>
        <w:rPr>
          <w:rFonts w:ascii="黑体" w:hAnsi="黑体" w:eastAsia="黑体"/>
          <w:b w:val="0"/>
          <w:color w:val="auto"/>
          <w:highlight w:val="none"/>
        </w:rPr>
      </w:pPr>
      <w:r>
        <w:rPr>
          <w:rFonts w:hint="eastAsia" w:ascii="黑体" w:hAnsi="黑体" w:eastAsia="黑体"/>
          <w:b w:val="0"/>
          <w:color w:val="auto"/>
          <w:highlight w:val="none"/>
          <w:lang w:eastAsia="zh-CN"/>
        </w:rPr>
        <w:t>二、</w:t>
      </w:r>
      <w:r>
        <w:rPr>
          <w:rFonts w:hint="eastAsia" w:ascii="黑体" w:hAnsi="黑体" w:eastAsia="黑体"/>
          <w:b w:val="0"/>
          <w:color w:val="auto"/>
          <w:highlight w:val="none"/>
        </w:rPr>
        <w:t>制定依据</w:t>
      </w:r>
    </w:p>
    <w:p>
      <w:pPr>
        <w:pageBreakBefore w:val="0"/>
        <w:widowControl w:val="0"/>
        <w:kinsoku/>
        <w:overflowPunct/>
        <w:topLinePunct w:val="0"/>
        <w:autoSpaceDN/>
        <w:bidi w:val="0"/>
        <w:spacing w:line="560" w:lineRule="exact"/>
        <w:ind w:firstLine="640" w:firstLineChars="200"/>
        <w:textAlignment w:val="auto"/>
        <w:rPr>
          <w:rFonts w:hint="eastAsia" w:ascii="仿宋_GB2312" w:hAnsi="宋体" w:eastAsia="仿宋_GB2312" w:cs="宋体"/>
          <w:color w:val="auto"/>
          <w:kern w:val="0"/>
          <w:sz w:val="32"/>
          <w:szCs w:val="32"/>
          <w:highlight w:val="none"/>
          <w:lang w:eastAsia="zh-CN"/>
        </w:rPr>
      </w:pPr>
      <w:r>
        <w:rPr>
          <w:rFonts w:hint="eastAsia" w:ascii="仿宋_GB2312" w:hAnsi="宋体" w:eastAsia="仿宋_GB2312" w:cs="宋体"/>
          <w:color w:val="auto"/>
          <w:kern w:val="0"/>
          <w:sz w:val="32"/>
          <w:szCs w:val="32"/>
          <w:highlight w:val="none"/>
        </w:rPr>
        <w:t>（一）《深圳市龙岗区区级财政专项资金管理办法（修订）》</w:t>
      </w:r>
      <w:r>
        <w:rPr>
          <w:rFonts w:hint="eastAsia" w:ascii="仿宋_GB2312" w:hAnsi="宋体" w:eastAsia="仿宋_GB2312" w:cs="宋体"/>
          <w:color w:val="auto"/>
          <w:kern w:val="0"/>
          <w:sz w:val="32"/>
          <w:szCs w:val="32"/>
          <w:highlight w:val="none"/>
          <w:lang w:eastAsia="zh-CN"/>
        </w:rPr>
        <w:t>（深龙府规〔2024〕4号）</w:t>
      </w:r>
    </w:p>
    <w:p>
      <w:pPr>
        <w:pageBreakBefore w:val="0"/>
        <w:widowControl w:val="0"/>
        <w:kinsoku/>
        <w:overflowPunct/>
        <w:topLinePunct w:val="0"/>
        <w:autoSpaceDN/>
        <w:bidi w:val="0"/>
        <w:spacing w:line="560" w:lineRule="exact"/>
        <w:ind w:firstLine="640" w:firstLineChars="200"/>
        <w:textAlignment w:val="auto"/>
        <w:rPr>
          <w:rFonts w:hint="default"/>
          <w:color w:val="auto"/>
          <w:highlight w:val="none"/>
          <w:lang w:eastAsia="zh-CN"/>
        </w:rPr>
      </w:pP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二</w:t>
      </w:r>
      <w:r>
        <w:rPr>
          <w:rFonts w:hint="eastAsia" w:ascii="仿宋_GB2312" w:hAnsi="宋体" w:eastAsia="仿宋_GB2312" w:cs="宋体"/>
          <w:color w:val="auto"/>
          <w:kern w:val="0"/>
          <w:sz w:val="32"/>
          <w:szCs w:val="32"/>
          <w:highlight w:val="none"/>
          <w:lang w:eastAsia="zh-CN"/>
        </w:rPr>
        <w:t>）</w:t>
      </w:r>
      <w:r>
        <w:rPr>
          <w:rFonts w:hint="eastAsia" w:ascii="仿宋_GB2312" w:hAnsi="Calibri" w:eastAsia="仿宋_GB2312" w:cs="Calibri"/>
          <w:color w:val="auto"/>
          <w:sz w:val="32"/>
          <w:szCs w:val="32"/>
          <w:highlight w:val="none"/>
          <w:lang w:val="en-US" w:eastAsia="zh-CN" w:bidi="ar"/>
        </w:rPr>
        <w:t>《深圳市龙岗区工业和信息化产业发展专项资金关于支持人工智能产业引领高质量发展实施细则》（深龙工信规〔2025〕2号</w:t>
      </w:r>
      <w:r>
        <w:rPr>
          <w:rFonts w:hint="eastAsia" w:ascii="仿宋_GB2312" w:eastAsia="仿宋_GB2312" w:cs="Calibri"/>
          <w:color w:val="auto"/>
          <w:sz w:val="32"/>
          <w:szCs w:val="32"/>
          <w:highlight w:val="none"/>
          <w:lang w:val="en-US" w:eastAsia="zh-CN" w:bidi="ar"/>
        </w:rPr>
        <w:t>）</w:t>
      </w:r>
    </w:p>
    <w:p>
      <w:pPr>
        <w:pStyle w:val="2"/>
        <w:pageBreakBefore w:val="0"/>
        <w:widowControl w:val="0"/>
        <w:numPr>
          <w:ilvl w:val="0"/>
          <w:numId w:val="0"/>
        </w:numPr>
        <w:kinsoku/>
        <w:wordWrap/>
        <w:overflowPunct/>
        <w:topLinePunct w:val="0"/>
        <w:autoSpaceDN/>
        <w:bidi w:val="0"/>
        <w:spacing w:before="0" w:after="0" w:line="560" w:lineRule="exact"/>
        <w:ind w:leftChars="0" w:firstLine="640" w:firstLineChars="200"/>
        <w:textAlignment w:val="auto"/>
        <w:rPr>
          <w:rFonts w:ascii="黑体" w:hAnsi="黑体" w:eastAsia="黑体"/>
          <w:b w:val="0"/>
          <w:color w:val="auto"/>
          <w:highlight w:val="none"/>
        </w:rPr>
      </w:pPr>
      <w:r>
        <w:rPr>
          <w:rFonts w:hint="eastAsia" w:ascii="黑体" w:hAnsi="黑体" w:eastAsia="黑体"/>
          <w:b w:val="0"/>
          <w:color w:val="auto"/>
          <w:highlight w:val="none"/>
          <w:lang w:eastAsia="zh-CN"/>
        </w:rPr>
        <w:t>三、限定性条件</w:t>
      </w:r>
      <w:r>
        <w:rPr>
          <w:rFonts w:hint="eastAsia" w:ascii="黑体" w:hAnsi="黑体" w:eastAsia="黑体"/>
          <w:b w:val="0"/>
          <w:color w:val="auto"/>
          <w:highlight w:val="none"/>
        </w:rPr>
        <w:t>审查</w:t>
      </w:r>
    </w:p>
    <w:p>
      <w:pPr>
        <w:pageBreakBefore w:val="0"/>
        <w:widowControl w:val="0"/>
        <w:kinsoku/>
        <w:overflowPunct/>
        <w:topLinePunct w:val="0"/>
        <w:autoSpaceDN/>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（一）</w:t>
      </w:r>
      <w:r>
        <w:rPr>
          <w:rFonts w:hint="eastAsia" w:ascii="仿宋_GB2312" w:eastAsia="仿宋_GB2312"/>
          <w:color w:val="auto"/>
          <w:sz w:val="32"/>
          <w:szCs w:val="32"/>
          <w:highlight w:val="none"/>
        </w:rPr>
        <w:t>申报单位是在龙岗区实际经营，并且符合要求的法人企业或民办非企业单位、行业协会，分支机构申请的，应同时提供总公司的授权证明文件；</w:t>
      </w:r>
    </w:p>
    <w:p>
      <w:pPr>
        <w:pageBreakBefore w:val="0"/>
        <w:widowControl w:val="0"/>
        <w:kinsoku/>
        <w:overflowPunct/>
        <w:topLinePunct w:val="0"/>
        <w:autoSpaceDN/>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（二）</w:t>
      </w:r>
      <w:r>
        <w:rPr>
          <w:rFonts w:hint="eastAsia" w:ascii="仿宋_GB2312" w:eastAsia="仿宋_GB2312"/>
          <w:color w:val="auto"/>
          <w:sz w:val="32"/>
          <w:szCs w:val="32"/>
          <w:highlight w:val="none"/>
        </w:rPr>
        <w:t>申报单位未被依法依规列入严重失信主体名单且在有效期内；</w:t>
      </w:r>
    </w:p>
    <w:p>
      <w:pPr>
        <w:pageBreakBefore w:val="0"/>
        <w:widowControl w:val="0"/>
        <w:kinsoku/>
        <w:overflowPunct/>
        <w:topLinePunct w:val="0"/>
        <w:autoSpaceDN/>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（三）</w:t>
      </w:r>
      <w:r>
        <w:rPr>
          <w:rFonts w:hint="eastAsia" w:ascii="仿宋_GB2312" w:eastAsia="仿宋_GB2312"/>
          <w:color w:val="auto"/>
          <w:sz w:val="32"/>
          <w:szCs w:val="32"/>
          <w:highlight w:val="none"/>
        </w:rPr>
        <w:t>申报单位对申报材料的真实性、合法性和完整性负责，不得弄虚作假、套取、骗取专项资金，对违反规定获取专项资金的企业，龙岗区有权追回相关款项；</w:t>
      </w:r>
    </w:p>
    <w:p>
      <w:pPr>
        <w:pageBreakBefore w:val="0"/>
        <w:widowControl w:val="0"/>
        <w:kinsoku/>
        <w:overflowPunct/>
        <w:topLinePunct w:val="0"/>
        <w:autoSpaceDN/>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（四）</w:t>
      </w:r>
      <w:r>
        <w:rPr>
          <w:rFonts w:hint="eastAsia" w:ascii="仿宋_GB2312" w:eastAsia="仿宋_GB2312"/>
          <w:color w:val="auto"/>
          <w:sz w:val="32"/>
          <w:szCs w:val="32"/>
          <w:highlight w:val="none"/>
        </w:rPr>
        <w:t>申报单位不得以同一事项重复申报或者多头申报区级专项资金，同一项目因政策允许可申报多项专项资金的，应当在申报材料中予以明确；</w:t>
      </w:r>
    </w:p>
    <w:p>
      <w:pPr>
        <w:pageBreakBefore w:val="0"/>
        <w:widowControl w:val="0"/>
        <w:kinsoku/>
        <w:overflowPunct/>
        <w:topLinePunct w:val="0"/>
        <w:autoSpaceDN/>
        <w:bidi w:val="0"/>
        <w:spacing w:line="560" w:lineRule="exact"/>
        <w:ind w:firstLine="640" w:firstLineChars="200"/>
        <w:textAlignment w:val="auto"/>
        <w:rPr>
          <w:rFonts w:hint="eastAsia" w:eastAsia="仿宋_GB2312"/>
          <w:color w:val="auto"/>
          <w:sz w:val="32"/>
          <w:szCs w:val="32"/>
          <w:highlight w:val="none"/>
          <w:lang w:eastAsia="zh-CN"/>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五</w:t>
      </w:r>
      <w:r>
        <w:rPr>
          <w:rFonts w:hint="eastAsia" w:ascii="仿宋_GB2312" w:eastAsia="仿宋_GB2312"/>
          <w:color w:val="auto"/>
          <w:sz w:val="32"/>
          <w:szCs w:val="32"/>
          <w:highlight w:val="none"/>
        </w:rPr>
        <w:t>）申报单位</w:t>
      </w:r>
      <w:r>
        <w:rPr>
          <w:rFonts w:hint="eastAsia" w:ascii="仿宋_GB2312" w:eastAsia="仿宋_GB2312"/>
          <w:color w:val="auto"/>
          <w:sz w:val="32"/>
          <w:szCs w:val="32"/>
          <w:highlight w:val="none"/>
          <w:lang w:eastAsia="zh-CN"/>
        </w:rPr>
        <w:t>应</w:t>
      </w:r>
      <w:r>
        <w:rPr>
          <w:rFonts w:hint="eastAsia" w:ascii="仿宋_GB2312" w:hAnsi="宋体" w:eastAsia="仿宋_GB2312"/>
          <w:color w:val="auto"/>
          <w:sz w:val="32"/>
          <w:szCs w:val="32"/>
          <w:highlight w:val="none"/>
          <w:shd w:val="clear" w:color="auto" w:fill="FFFFFF"/>
          <w:lang w:eastAsia="zh-CN"/>
        </w:rPr>
        <w:t>建立了规范的财务会计和生产经营管理制度（经营活动正常，财务状况良好，未发生歇业、非正常停产、资产清算、控股权出售等情况）；</w:t>
      </w:r>
    </w:p>
    <w:p>
      <w:pPr>
        <w:pageBreakBefore w:val="0"/>
        <w:widowControl w:val="0"/>
        <w:kinsoku/>
        <w:overflowPunct/>
        <w:topLinePunct w:val="0"/>
        <w:autoSpaceDN/>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六</w:t>
      </w:r>
      <w:r>
        <w:rPr>
          <w:rFonts w:hint="eastAsia" w:ascii="仿宋_GB2312" w:eastAsia="仿宋_GB2312"/>
          <w:color w:val="auto"/>
          <w:sz w:val="32"/>
          <w:szCs w:val="32"/>
          <w:highlight w:val="none"/>
        </w:rPr>
        <w:t>）申报项目实施地在</w:t>
      </w:r>
      <w:r>
        <w:rPr>
          <w:rFonts w:hint="eastAsia" w:ascii="仿宋_GB2312" w:eastAsia="仿宋_GB2312"/>
          <w:color w:val="auto"/>
          <w:sz w:val="32"/>
          <w:szCs w:val="32"/>
          <w:highlight w:val="none"/>
          <w:lang w:eastAsia="zh-CN"/>
        </w:rPr>
        <w:t>深圳市</w:t>
      </w:r>
      <w:r>
        <w:rPr>
          <w:rFonts w:hint="default" w:ascii="仿宋_GB2312" w:eastAsia="仿宋_GB2312"/>
          <w:color w:val="auto"/>
          <w:sz w:val="32"/>
          <w:szCs w:val="32"/>
          <w:highlight w:val="none"/>
          <w:lang w:eastAsia="zh-CN"/>
        </w:rPr>
        <w:t>龙岗</w:t>
      </w:r>
      <w:r>
        <w:rPr>
          <w:rFonts w:hint="eastAsia" w:ascii="仿宋_GB2312" w:eastAsia="仿宋_GB2312"/>
          <w:color w:val="auto"/>
          <w:sz w:val="32"/>
          <w:szCs w:val="32"/>
          <w:highlight w:val="none"/>
          <w:lang w:eastAsia="zh-CN"/>
        </w:rPr>
        <w:t>区</w:t>
      </w:r>
      <w:r>
        <w:rPr>
          <w:rFonts w:hint="eastAsia" w:ascii="仿宋_GB2312" w:hAnsi="宋体" w:eastAsia="仿宋_GB2312"/>
          <w:color w:val="auto"/>
          <w:sz w:val="32"/>
          <w:szCs w:val="32"/>
          <w:highlight w:val="none"/>
          <w:shd w:val="clear" w:color="auto" w:fill="FFFFFF"/>
          <w:lang w:eastAsia="zh-CN"/>
        </w:rPr>
        <w:t>，项目</w:t>
      </w:r>
      <w:r>
        <w:rPr>
          <w:rFonts w:hint="eastAsia" w:ascii="仿宋_GB2312" w:eastAsia="仿宋_GB2312"/>
          <w:color w:val="auto"/>
          <w:sz w:val="32"/>
          <w:szCs w:val="32"/>
          <w:highlight w:val="none"/>
        </w:rPr>
        <w:t>实施地</w:t>
      </w:r>
      <w:r>
        <w:rPr>
          <w:rFonts w:hint="eastAsia" w:ascii="仿宋_GB2312" w:hAnsi="宋体" w:eastAsia="仿宋_GB2312"/>
          <w:color w:val="auto"/>
          <w:sz w:val="32"/>
          <w:szCs w:val="32"/>
          <w:highlight w:val="none"/>
          <w:shd w:val="clear" w:color="auto" w:fill="FFFFFF"/>
          <w:lang w:eastAsia="zh-CN"/>
        </w:rPr>
        <w:t>与申报情况一致</w:t>
      </w:r>
      <w:r>
        <w:rPr>
          <w:rFonts w:hint="eastAsia" w:ascii="仿宋_GB2312" w:eastAsia="仿宋_GB2312"/>
          <w:color w:val="auto"/>
          <w:sz w:val="32"/>
          <w:szCs w:val="32"/>
          <w:highlight w:val="none"/>
        </w:rPr>
        <w:t>；</w:t>
      </w:r>
    </w:p>
    <w:p>
      <w:pPr>
        <w:pageBreakBefore w:val="0"/>
        <w:widowControl w:val="0"/>
        <w:kinsoku/>
        <w:overflowPunct/>
        <w:topLinePunct w:val="0"/>
        <w:autoSpaceDN/>
        <w:bidi w:val="0"/>
        <w:spacing w:line="560" w:lineRule="exact"/>
        <w:ind w:firstLine="640" w:firstLineChars="200"/>
        <w:textAlignment w:val="auto"/>
        <w:rPr>
          <w:rFonts w:hint="eastAsia" w:eastAsia="仿宋_GB2312"/>
          <w:color w:val="auto"/>
          <w:sz w:val="32"/>
          <w:szCs w:val="32"/>
          <w:highlight w:val="none"/>
          <w:lang w:eastAsia="zh-CN"/>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七</w:t>
      </w:r>
      <w:r>
        <w:rPr>
          <w:rFonts w:hint="eastAsia" w:ascii="仿宋_GB2312" w:eastAsia="仿宋_GB2312"/>
          <w:color w:val="auto"/>
          <w:sz w:val="32"/>
          <w:szCs w:val="32"/>
          <w:highlight w:val="none"/>
        </w:rPr>
        <w:t>）申报单位与项目实施主体为</w:t>
      </w:r>
      <w:r>
        <w:rPr>
          <w:rFonts w:hint="eastAsia" w:ascii="仿宋_GB2312" w:hAnsi="Calibri" w:eastAsia="仿宋_GB2312" w:cs="Times New Roman"/>
          <w:color w:val="auto"/>
          <w:sz w:val="32"/>
          <w:szCs w:val="32"/>
          <w:highlight w:val="none"/>
        </w:rPr>
        <w:t>同一主体</w:t>
      </w:r>
      <w:r>
        <w:rPr>
          <w:rFonts w:hint="eastAsia" w:ascii="仿宋_GB2312" w:eastAsia="仿宋_GB2312" w:cs="Times New Roman"/>
          <w:color w:val="auto"/>
          <w:sz w:val="32"/>
          <w:szCs w:val="32"/>
          <w:highlight w:val="none"/>
          <w:lang w:eastAsia="zh-CN"/>
        </w:rPr>
        <w:t>。</w:t>
      </w:r>
    </w:p>
    <w:p>
      <w:pPr>
        <w:pageBreakBefore w:val="0"/>
        <w:widowControl w:val="0"/>
        <w:kinsoku/>
        <w:wordWrap/>
        <w:overflowPunct/>
        <w:topLinePunct w:val="0"/>
        <w:autoSpaceDN/>
        <w:bidi w:val="0"/>
        <w:spacing w:line="560" w:lineRule="exact"/>
        <w:ind w:firstLine="640" w:firstLineChars="200"/>
        <w:textAlignment w:val="auto"/>
        <w:rPr>
          <w:rFonts w:hint="eastAsia"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以上限制性条件为项目必须具备的基本条件，有其中任何一项不符合要求的，不进行</w:t>
      </w:r>
      <w:r>
        <w:rPr>
          <w:rFonts w:hint="eastAsia" w:ascii="仿宋_GB2312" w:hAnsi="宋体" w:eastAsia="仿宋_GB2312"/>
          <w:color w:val="auto"/>
          <w:kern w:val="0"/>
          <w:sz w:val="32"/>
          <w:szCs w:val="32"/>
          <w:highlight w:val="none"/>
          <w:lang w:eastAsia="zh-CN"/>
        </w:rPr>
        <w:t>具体金额审查</w:t>
      </w:r>
      <w:r>
        <w:rPr>
          <w:rFonts w:hint="eastAsia" w:ascii="仿宋_GB2312" w:hAnsi="宋体" w:eastAsia="仿宋_GB2312"/>
          <w:color w:val="auto"/>
          <w:kern w:val="0"/>
          <w:sz w:val="32"/>
          <w:szCs w:val="32"/>
          <w:highlight w:val="none"/>
        </w:rPr>
        <w:t>。</w:t>
      </w:r>
    </w:p>
    <w:p>
      <w:pPr>
        <w:pStyle w:val="2"/>
        <w:pageBreakBefore w:val="0"/>
        <w:widowControl w:val="0"/>
        <w:kinsoku/>
        <w:wordWrap/>
        <w:overflowPunct/>
        <w:topLinePunct w:val="0"/>
        <w:autoSpaceDN/>
        <w:bidi w:val="0"/>
        <w:spacing w:before="0" w:after="0" w:line="560" w:lineRule="exact"/>
        <w:ind w:firstLine="640" w:firstLineChars="200"/>
        <w:textAlignment w:val="auto"/>
        <w:rPr>
          <w:rFonts w:hint="eastAsia" w:ascii="黑体" w:hAnsi="黑体" w:eastAsia="黑体"/>
          <w:b w:val="0"/>
          <w:color w:val="auto"/>
          <w:highlight w:val="none"/>
          <w:lang w:eastAsia="zh-CN"/>
        </w:rPr>
      </w:pPr>
      <w:r>
        <w:rPr>
          <w:rFonts w:hint="eastAsia" w:ascii="黑体" w:hAnsi="黑体" w:eastAsia="黑体"/>
          <w:b w:val="0"/>
          <w:color w:val="auto"/>
          <w:highlight w:val="none"/>
          <w:lang w:eastAsia="zh-CN"/>
        </w:rPr>
        <w:t>四、具体金额审计</w:t>
      </w:r>
    </w:p>
    <w:p>
      <w:pPr>
        <w:pStyle w:val="2"/>
        <w:pageBreakBefore w:val="0"/>
        <w:widowControl w:val="0"/>
        <w:kinsoku/>
        <w:wordWrap/>
        <w:overflowPunct/>
        <w:topLinePunct w:val="0"/>
        <w:autoSpaceDN/>
        <w:bidi w:val="0"/>
        <w:spacing w:before="0" w:after="0" w:line="560" w:lineRule="exact"/>
        <w:ind w:firstLine="640" w:firstLineChars="200"/>
        <w:textAlignment w:val="auto"/>
        <w:rPr>
          <w:rFonts w:hint="eastAsia" w:ascii="楷体_GB2312" w:hAnsi="Calibri" w:eastAsia="楷体_GB2312" w:cs="Times New Roman"/>
          <w:b w:val="0"/>
          <w:bCs/>
          <w:color w:val="auto"/>
          <w:kern w:val="2"/>
          <w:sz w:val="32"/>
          <w:szCs w:val="32"/>
          <w:highlight w:val="none"/>
          <w:lang w:val="en-US" w:eastAsia="zh-CN" w:bidi="ar-SA"/>
        </w:rPr>
      </w:pPr>
      <w:r>
        <w:rPr>
          <w:rFonts w:hint="eastAsia" w:ascii="楷体_GB2312" w:hAnsi="Calibri" w:eastAsia="楷体_GB2312" w:cs="Times New Roman"/>
          <w:b w:val="0"/>
          <w:bCs/>
          <w:color w:val="auto"/>
          <w:kern w:val="2"/>
          <w:sz w:val="32"/>
          <w:szCs w:val="32"/>
          <w:highlight w:val="none"/>
          <w:lang w:val="en-US" w:eastAsia="zh-CN" w:bidi="ar-SA"/>
        </w:rPr>
        <w:t>（一）资助标准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kern w:val="2"/>
          <w:sz w:val="32"/>
          <w:szCs w:val="36"/>
          <w:highlight w:val="none"/>
          <w:lang w:val="en-US" w:eastAsia="zh-CN" w:bidi="ar-SA"/>
        </w:rPr>
        <w:t>按照技术创新、市场推广、应用成效、发展潜力等维度，每年遴选不超过20个具有行业引领的示范场景项目，最高按照项目（非政府投资项目）实际投入的30%，给予最高不超过200万元支持</w:t>
      </w:r>
      <w:r>
        <w:rPr>
          <w:rFonts w:hint="eastAsia" w:ascii="仿宋_GB2312" w:hAnsi="仿宋_GB2312" w:eastAsia="仿宋_GB2312" w:cs="仿宋_GB2312"/>
          <w:b w:val="0"/>
          <w:bCs w:val="0"/>
          <w:color w:val="auto"/>
          <w:kern w:val="2"/>
          <w:sz w:val="32"/>
          <w:szCs w:val="32"/>
          <w:highlight w:val="none"/>
          <w:lang w:val="en-US" w:eastAsia="zh-CN" w:bidi="ar-SA"/>
        </w:rPr>
        <w:t>。</w:t>
      </w:r>
    </w:p>
    <w:p>
      <w:pPr>
        <w:pStyle w:val="4"/>
        <w:keepNext w:val="0"/>
        <w:keepLines w:val="0"/>
        <w:spacing w:before="0" w:after="0" w:line="560" w:lineRule="exact"/>
        <w:ind w:firstLine="640" w:firstLineChars="200"/>
        <w:jc w:val="left"/>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2.项目须在申报指南发布前两个周期年度内开始建设，项目建设期不超过2年，且项目已完成建设、验收，投入运营。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3.项目须具有一定的技术创新性，</w:t>
      </w:r>
      <w:r>
        <w:rPr>
          <w:rFonts w:ascii="仿宋_GB2312" w:hAnsi="Times New Roman" w:eastAsia="仿宋_GB2312" w:cs="Calibri"/>
          <w:color w:val="auto"/>
          <w:kern w:val="0"/>
          <w:sz w:val="32"/>
          <w:szCs w:val="32"/>
          <w:highlight w:val="none"/>
          <w:lang w:bidi="ar"/>
        </w:rPr>
        <w:t>在实际应用中展现良好的效果，</w:t>
      </w:r>
      <w:r>
        <w:rPr>
          <w:rFonts w:hint="eastAsia" w:ascii="仿宋_GB2312" w:hAnsi="仿宋_GB2312" w:eastAsia="仿宋_GB2312" w:cs="仿宋_GB2312"/>
          <w:color w:val="auto"/>
          <w:kern w:val="2"/>
          <w:sz w:val="32"/>
          <w:szCs w:val="36"/>
          <w:highlight w:val="none"/>
          <w:lang w:val="en-US" w:eastAsia="zh-CN" w:bidi="ar-SA"/>
        </w:rPr>
        <w:t>可复制推广、引导资源和引领行业发展。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color w:val="auto"/>
          <w:highlight w:val="none"/>
          <w:lang w:val="en-US" w:eastAsia="zh-CN"/>
        </w:rPr>
      </w:pPr>
      <w:r>
        <w:rPr>
          <w:rFonts w:hint="eastAsia" w:ascii="仿宋_GB2312" w:hAnsi="仿宋_GB2312" w:eastAsia="仿宋_GB2312" w:cs="仿宋_GB2312"/>
          <w:color w:val="auto"/>
          <w:kern w:val="2"/>
          <w:sz w:val="32"/>
          <w:szCs w:val="36"/>
          <w:highlight w:val="none"/>
          <w:lang w:val="en-US" w:eastAsia="zh-CN" w:bidi="ar-SA"/>
        </w:rPr>
        <w:t>4.同一申报单位及其关联方原则上每年只能申报合计不超过2个项目。</w:t>
      </w:r>
    </w:p>
    <w:p>
      <w:pPr>
        <w:pStyle w:val="2"/>
        <w:pageBreakBefore w:val="0"/>
        <w:widowControl w:val="0"/>
        <w:kinsoku/>
        <w:wordWrap/>
        <w:overflowPunct/>
        <w:topLinePunct w:val="0"/>
        <w:autoSpaceDN/>
        <w:bidi w:val="0"/>
        <w:spacing w:before="0" w:after="0" w:line="560" w:lineRule="exact"/>
        <w:ind w:firstLine="640" w:firstLineChars="200"/>
        <w:textAlignment w:val="auto"/>
        <w:rPr>
          <w:rFonts w:hint="eastAsia" w:ascii="楷体_GB2312" w:hAnsi="Calibri" w:eastAsia="楷体_GB2312" w:cs="Times New Roman"/>
          <w:b w:val="0"/>
          <w:bCs/>
          <w:color w:val="auto"/>
          <w:kern w:val="2"/>
          <w:sz w:val="32"/>
          <w:szCs w:val="32"/>
          <w:highlight w:val="none"/>
          <w:lang w:val="en-US" w:eastAsia="zh-CN" w:bidi="ar-SA"/>
        </w:rPr>
      </w:pPr>
      <w:r>
        <w:rPr>
          <w:rFonts w:hint="eastAsia" w:ascii="楷体_GB2312" w:hAnsi="Calibri" w:eastAsia="楷体_GB2312" w:cs="Times New Roman"/>
          <w:b w:val="0"/>
          <w:bCs/>
          <w:color w:val="auto"/>
          <w:kern w:val="2"/>
          <w:sz w:val="32"/>
          <w:szCs w:val="32"/>
          <w:highlight w:val="none"/>
          <w:lang w:val="en-US" w:eastAsia="zh-CN" w:bidi="ar-SA"/>
        </w:rPr>
        <w:t>（二）资助的费用范围</w:t>
      </w:r>
    </w:p>
    <w:p>
      <w:pPr>
        <w:pStyle w:val="16"/>
        <w:ind w:firstLine="640"/>
        <w:rPr>
          <w:rFonts w:hint="eastAsia" w:eastAsia="仿宋_GB2312"/>
          <w:color w:val="auto"/>
          <w:highlight w:val="none"/>
          <w:lang w:eastAsia="zh-CN"/>
        </w:rPr>
      </w:pPr>
      <w:r>
        <w:rPr>
          <w:rFonts w:hint="eastAsia" w:ascii="仿宋_GB2312" w:hAnsi="仿宋_GB2312" w:eastAsia="仿宋_GB2312" w:cs="仿宋_GB2312"/>
          <w:color w:val="auto"/>
          <w:kern w:val="2"/>
          <w:sz w:val="32"/>
          <w:szCs w:val="36"/>
          <w:highlight w:val="none"/>
          <w:lang w:val="en-US" w:eastAsia="zh-CN" w:bidi="ar-SA"/>
        </w:rPr>
        <w:t>项目实际投入</w:t>
      </w:r>
      <w:r>
        <w:rPr>
          <w:rFonts w:hint="eastAsia"/>
          <w:color w:val="auto"/>
          <w:highlight w:val="none"/>
        </w:rPr>
        <w:t>是</w:t>
      </w:r>
      <w:r>
        <w:rPr>
          <w:rFonts w:hint="eastAsia"/>
          <w:color w:val="auto"/>
          <w:highlight w:val="none"/>
          <w:lang w:val="en-US" w:eastAsia="zh-CN"/>
        </w:rPr>
        <w:t>指</w:t>
      </w:r>
      <w:r>
        <w:rPr>
          <w:rFonts w:hint="eastAsia"/>
          <w:color w:val="auto"/>
          <w:highlight w:val="none"/>
        </w:rPr>
        <w:t>项目实施单位为实施资助项目实际发生的项目建设总投入，包括硬件设备及工器具（不含生产设备</w:t>
      </w:r>
      <w:r>
        <w:rPr>
          <w:rFonts w:hint="eastAsia"/>
          <w:color w:val="auto"/>
          <w:highlight w:val="none"/>
          <w:lang w:eastAsia="zh-CN"/>
        </w:rPr>
        <w:t>、办公设备、办公软件</w:t>
      </w:r>
      <w:r>
        <w:rPr>
          <w:rFonts w:hint="eastAsia"/>
          <w:color w:val="auto"/>
          <w:highlight w:val="none"/>
        </w:rPr>
        <w:t>）</w:t>
      </w:r>
      <w:r>
        <w:rPr>
          <w:rFonts w:hint="eastAsia"/>
          <w:color w:val="auto"/>
          <w:highlight w:val="none"/>
          <w:lang w:eastAsia="zh-CN"/>
        </w:rPr>
        <w:t>、软件、自主研发费、委托开发费、系统集成，不包</w:t>
      </w:r>
      <w:r>
        <w:rPr>
          <w:rFonts w:hint="eastAsia"/>
          <w:color w:val="auto"/>
          <w:highlight w:val="none"/>
          <w:lang w:val="en-US" w:eastAsia="zh-CN"/>
        </w:rPr>
        <w:t>括</w:t>
      </w:r>
      <w:r>
        <w:rPr>
          <w:rFonts w:hint="eastAsia"/>
          <w:color w:val="auto"/>
          <w:highlight w:val="none"/>
          <w:lang w:eastAsia="zh-CN"/>
        </w:rPr>
        <w:t>允许抵扣的增值税（进项税额）、未付款款项、推广复制的场景项目相关投入：</w:t>
      </w:r>
    </w:p>
    <w:p>
      <w:pPr>
        <w:spacing w:line="54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硬件设备及工器具（不含生产设备）：是指项目建设</w:t>
      </w:r>
      <w:r>
        <w:rPr>
          <w:rFonts w:hint="eastAsia" w:ascii="仿宋_GB2312" w:hAnsi="仿宋_GB2312" w:eastAsia="仿宋_GB2312" w:cs="仿宋_GB2312"/>
          <w:color w:val="auto"/>
          <w:sz w:val="32"/>
          <w:szCs w:val="32"/>
          <w:highlight w:val="none"/>
          <w:lang w:val="en-US" w:eastAsia="zh-CN"/>
        </w:rPr>
        <w:t>所需的</w:t>
      </w:r>
      <w:r>
        <w:rPr>
          <w:rFonts w:hint="eastAsia" w:ascii="仿宋_GB2312" w:hAnsi="仿宋_GB2312" w:eastAsia="仿宋_GB2312" w:cs="仿宋_GB2312"/>
          <w:color w:val="auto"/>
          <w:sz w:val="32"/>
          <w:szCs w:val="32"/>
          <w:highlight w:val="none"/>
        </w:rPr>
        <w:t>设备及工器具的购置</w:t>
      </w:r>
      <w:r>
        <w:rPr>
          <w:rFonts w:hint="eastAsia" w:ascii="仿宋_GB2312" w:hAnsi="仿宋_GB2312" w:eastAsia="仿宋_GB2312" w:cs="仿宋_GB2312"/>
          <w:color w:val="auto"/>
          <w:sz w:val="32"/>
          <w:szCs w:val="32"/>
          <w:highlight w:val="none"/>
          <w:lang w:val="en-US" w:eastAsia="zh-CN"/>
        </w:rPr>
        <w:t>和改造费用、设备及云服务器的租赁费用</w:t>
      </w:r>
      <w:r>
        <w:rPr>
          <w:rFonts w:hint="eastAsia" w:ascii="仿宋_GB2312" w:hAnsi="仿宋_GB2312" w:eastAsia="仿宋_GB2312" w:cs="仿宋_GB2312"/>
          <w:color w:val="auto"/>
          <w:sz w:val="32"/>
          <w:szCs w:val="32"/>
          <w:highlight w:val="none"/>
        </w:rPr>
        <w:t>。</w:t>
      </w:r>
    </w:p>
    <w:p>
      <w:pPr>
        <w:spacing w:line="540" w:lineRule="exact"/>
        <w:ind w:firstLine="640" w:firstLineChars="200"/>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软件：是指项目建设所需的数据库、设计工具、开发工具、网络安全等软件购置费、软件维护费、软件租赁费、外协开发费。其中，外协开发费必须与具有相关开发资质的单位签订开发协议，协议需明确开发项目的需求说明、开发进度计划、开发实际参与人员情况、知识产权归属及实施费用明细（不支持以开发名义的人员派遣费用），经验收合格且出具验收报告</w:t>
      </w:r>
      <w:r>
        <w:rPr>
          <w:rFonts w:hint="eastAsia" w:ascii="仿宋_GB2312" w:hAnsi="仿宋_GB2312" w:eastAsia="仿宋_GB2312" w:cs="仿宋_GB2312"/>
          <w:color w:val="auto"/>
          <w:sz w:val="32"/>
          <w:szCs w:val="32"/>
          <w:highlight w:val="none"/>
          <w:lang w:eastAsia="zh-CN"/>
        </w:rPr>
        <w:t>。</w:t>
      </w:r>
    </w:p>
    <w:p>
      <w:pPr>
        <w:pStyle w:val="5"/>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3.自主研发费是指项目建设所需的材料费、测试化验加工费、研发人员费、间接费用。其中，研发人员费（含工资、社保、公积金）不超过项目总投入的30%，测试化验加工费未单独核算的不予确认。</w:t>
      </w:r>
    </w:p>
    <w:p>
      <w:pPr>
        <w:pStyle w:val="5"/>
        <w:ind w:firstLine="640" w:firstLineChars="200"/>
        <w:rPr>
          <w:rFonts w:hint="default"/>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4.系统集成：是指项目建设所需的系统设计、安装调试、测试优化的费用。</w:t>
      </w:r>
    </w:p>
    <w:p>
      <w:pPr>
        <w:pageBreakBefore w:val="0"/>
        <w:widowControl w:val="0"/>
        <w:kinsoku/>
        <w:overflowPunct/>
        <w:topLinePunct w:val="0"/>
        <w:autoSpaceDN/>
        <w:bidi w:val="0"/>
        <w:adjustRightInd w:val="0"/>
        <w:snapToGrid w:val="0"/>
        <w:spacing w:line="560" w:lineRule="exact"/>
        <w:ind w:firstLine="640" w:firstLineChars="200"/>
        <w:textAlignment w:val="auto"/>
        <w:rPr>
          <w:rFonts w:hint="eastAsia" w:ascii="楷体_GB2312" w:hAnsi="Calibri" w:eastAsia="楷体_GB2312" w:cs="Times New Roman"/>
          <w:b w:val="0"/>
          <w:bCs/>
          <w:color w:val="auto"/>
          <w:kern w:val="2"/>
          <w:sz w:val="32"/>
          <w:szCs w:val="32"/>
          <w:highlight w:val="none"/>
          <w:lang w:val="en-US" w:eastAsia="zh-CN" w:bidi="ar-SA"/>
        </w:rPr>
      </w:pPr>
      <w:r>
        <w:rPr>
          <w:rFonts w:hint="eastAsia" w:ascii="楷体_GB2312" w:hAnsi="Calibri" w:eastAsia="楷体_GB2312" w:cs="Times New Roman"/>
          <w:b w:val="0"/>
          <w:bCs/>
          <w:color w:val="auto"/>
          <w:kern w:val="2"/>
          <w:sz w:val="32"/>
          <w:szCs w:val="32"/>
          <w:highlight w:val="none"/>
          <w:lang w:val="en-US" w:eastAsia="zh-CN" w:bidi="ar-SA"/>
        </w:rPr>
        <w:t>（四）审计要点</w:t>
      </w:r>
    </w:p>
    <w:p>
      <w:pPr>
        <w:spacing w:after="0" w:line="560" w:lineRule="exact"/>
        <w:ind w:firstLine="642" w:firstLineChars="200"/>
        <w:rPr>
          <w:rFonts w:ascii="仿宋_GB2312" w:eastAsia="仿宋_GB2312" w:cs="Calibri"/>
          <w:bCs/>
          <w:color w:val="auto"/>
          <w:sz w:val="32"/>
          <w:szCs w:val="32"/>
          <w:highlight w:val="none"/>
        </w:rPr>
      </w:pPr>
      <w:r>
        <w:rPr>
          <w:rFonts w:hint="eastAsia" w:ascii="仿宋_GB2312" w:hAnsi="仿宋" w:eastAsia="仿宋_GB2312"/>
          <w:b/>
          <w:bCs/>
          <w:color w:val="auto"/>
          <w:sz w:val="32"/>
          <w:szCs w:val="32"/>
          <w:highlight w:val="none"/>
        </w:rPr>
        <w:t>1.审计范围确认</w:t>
      </w:r>
      <w:r>
        <w:rPr>
          <w:rFonts w:hint="eastAsia" w:ascii="仿宋_GB2312" w:eastAsia="仿宋_GB2312" w:cs="Calibri"/>
          <w:b/>
          <w:bCs/>
          <w:color w:val="auto"/>
          <w:sz w:val="32"/>
          <w:szCs w:val="32"/>
          <w:highlight w:val="none"/>
          <w:lang w:bidi="ar"/>
        </w:rPr>
        <w:t>。</w:t>
      </w:r>
      <w:r>
        <w:rPr>
          <w:rFonts w:ascii="仿宋_GB2312" w:eastAsia="仿宋_GB2312" w:cs="Calibri"/>
          <w:bCs/>
          <w:color w:val="auto"/>
          <w:sz w:val="32"/>
          <w:szCs w:val="32"/>
          <w:highlight w:val="none"/>
        </w:rPr>
        <w:t>审计时应先确认项目申报单位提供的被审计资料信息是否与</w:t>
      </w:r>
      <w:r>
        <w:rPr>
          <w:rFonts w:ascii="仿宋_GB2312" w:eastAsia="仿宋_GB2312" w:cs="Calibri"/>
          <w:bCs/>
          <w:color w:val="auto"/>
          <w:sz w:val="32"/>
          <w:szCs w:val="32"/>
          <w:highlight w:val="none"/>
        </w:rPr>
        <w:t>项目申请书中填写的项目费用清单一致</w:t>
      </w:r>
      <w:r>
        <w:rPr>
          <w:rFonts w:ascii="仿宋_GB2312" w:eastAsia="仿宋_GB2312" w:cs="Calibri"/>
          <w:bCs/>
          <w:color w:val="auto"/>
          <w:sz w:val="32"/>
          <w:szCs w:val="32"/>
          <w:highlight w:val="none"/>
        </w:rPr>
        <w:t>（不得自行增减），</w:t>
      </w:r>
      <w:r>
        <w:rPr>
          <w:rFonts w:hint="eastAsia" w:ascii="仿宋_GB2312" w:eastAsia="仿宋_GB2312" w:cs="Calibri"/>
          <w:bCs/>
          <w:color w:val="auto"/>
          <w:sz w:val="32"/>
          <w:szCs w:val="32"/>
          <w:highlight w:val="none"/>
        </w:rPr>
        <w:t>再按照项目申请书中填报的</w:t>
      </w:r>
      <w:r>
        <w:rPr>
          <w:rFonts w:hint="eastAsia" w:ascii="仿宋_GB2312" w:eastAsia="仿宋_GB2312" w:cs="Calibri"/>
          <w:bCs/>
          <w:color w:val="auto"/>
          <w:sz w:val="32"/>
          <w:szCs w:val="32"/>
          <w:highlight w:val="none"/>
        </w:rPr>
        <w:t>项目费用清单</w:t>
      </w:r>
      <w:r>
        <w:rPr>
          <w:rFonts w:hint="eastAsia" w:ascii="仿宋_GB2312" w:eastAsia="仿宋_GB2312" w:cs="Calibri"/>
          <w:bCs/>
          <w:color w:val="auto"/>
          <w:sz w:val="32"/>
          <w:szCs w:val="32"/>
          <w:highlight w:val="none"/>
        </w:rPr>
        <w:t>进行盘点审核，申报</w:t>
      </w:r>
      <w:r>
        <w:rPr>
          <w:rFonts w:ascii="仿宋_GB2312" w:eastAsia="仿宋_GB2312" w:cs="Calibri"/>
          <w:bCs/>
          <w:color w:val="auto"/>
          <w:sz w:val="32"/>
          <w:szCs w:val="32"/>
          <w:highlight w:val="none"/>
        </w:rPr>
        <w:t>清单以外的不计入审计</w:t>
      </w:r>
      <w:r>
        <w:rPr>
          <w:rFonts w:hint="eastAsia" w:ascii="仿宋_GB2312" w:eastAsia="仿宋_GB2312" w:cs="Calibri"/>
          <w:bCs/>
          <w:color w:val="auto"/>
          <w:sz w:val="32"/>
          <w:szCs w:val="32"/>
          <w:highlight w:val="none"/>
        </w:rPr>
        <w:t>范畴。</w:t>
      </w:r>
      <w:r>
        <w:rPr>
          <w:rFonts w:hint="eastAsia" w:ascii="仿宋_GB2312" w:eastAsia="仿宋_GB2312"/>
          <w:color w:val="auto"/>
          <w:sz w:val="32"/>
          <w:szCs w:val="32"/>
          <w:highlight w:val="none"/>
        </w:rPr>
        <w:t>如清单中已填报的项目支出，申报单位将金额、发票号、设备型号等填报错误的，应根据实际核实情况予以修正并备注（审计报告中应为实际予以确认的内容而非申报的错误内容）</w:t>
      </w:r>
      <w:r>
        <w:rPr>
          <w:rFonts w:hint="eastAsia" w:ascii="仿宋_GB2312" w:hAnsi="宋体" w:eastAsia="仿宋_GB2312" w:cs="宋体"/>
          <w:color w:val="auto"/>
          <w:kern w:val="0"/>
          <w:sz w:val="32"/>
          <w:szCs w:val="32"/>
          <w:highlight w:val="none"/>
        </w:rPr>
        <w:t>。</w:t>
      </w:r>
    </w:p>
    <w:p>
      <w:pPr>
        <w:spacing w:after="0" w:line="560" w:lineRule="exact"/>
        <w:ind w:firstLine="642" w:firstLineChars="200"/>
        <w:rPr>
          <w:rFonts w:ascii="仿宋_GB2312" w:eastAsia="仿宋_GB2312" w:cs="Calibri"/>
          <w:color w:val="auto"/>
          <w:sz w:val="32"/>
          <w:szCs w:val="32"/>
          <w:highlight w:val="none"/>
          <w:lang w:bidi="ar"/>
        </w:rPr>
      </w:pPr>
      <w:r>
        <w:rPr>
          <w:rFonts w:hint="eastAsia" w:ascii="仿宋_GB2312" w:hAnsi="宋体" w:eastAsia="仿宋_GB2312" w:cs="宋体"/>
          <w:b/>
          <w:bCs/>
          <w:color w:val="auto"/>
          <w:kern w:val="0"/>
          <w:sz w:val="32"/>
          <w:szCs w:val="32"/>
          <w:highlight w:val="none"/>
        </w:rPr>
        <w:t>2.一致性确认</w:t>
      </w:r>
      <w:r>
        <w:rPr>
          <w:rFonts w:hint="eastAsia" w:ascii="仿宋_GB2312" w:eastAsia="仿宋_GB2312" w:cs="Calibri"/>
          <w:b/>
          <w:bCs/>
          <w:color w:val="auto"/>
          <w:sz w:val="32"/>
          <w:szCs w:val="32"/>
          <w:highlight w:val="none"/>
          <w:lang w:bidi="ar"/>
        </w:rPr>
        <w:t>。</w:t>
      </w:r>
      <w:r>
        <w:rPr>
          <w:rFonts w:hint="eastAsia" w:ascii="仿宋_GB2312" w:eastAsia="仿宋_GB2312" w:cs="Calibri"/>
          <w:color w:val="auto"/>
          <w:sz w:val="32"/>
          <w:szCs w:val="32"/>
          <w:highlight w:val="none"/>
          <w:lang w:bidi="ar"/>
        </w:rPr>
        <w:t>项目</w:t>
      </w:r>
      <w:r>
        <w:rPr>
          <w:rFonts w:hint="eastAsia" w:ascii="仿宋_GB2312" w:eastAsia="仿宋_GB2312"/>
          <w:color w:val="auto"/>
          <w:sz w:val="32"/>
          <w:szCs w:val="32"/>
          <w:highlight w:val="none"/>
        </w:rPr>
        <w:t>申报单位与项目实施单位应为</w:t>
      </w:r>
      <w:r>
        <w:rPr>
          <w:rFonts w:hint="eastAsia" w:ascii="仿宋_GB2312" w:hAnsi="Calibri" w:eastAsia="仿宋_GB2312" w:cs="Times New Roman"/>
          <w:color w:val="auto"/>
          <w:sz w:val="32"/>
          <w:szCs w:val="32"/>
          <w:highlight w:val="none"/>
        </w:rPr>
        <w:t>同一主体</w:t>
      </w:r>
      <w:r>
        <w:rPr>
          <w:rFonts w:hint="eastAsia" w:ascii="仿宋_GB2312" w:eastAsia="仿宋_GB2312"/>
          <w:color w:val="auto"/>
          <w:sz w:val="32"/>
          <w:szCs w:val="32"/>
          <w:highlight w:val="none"/>
        </w:rPr>
        <w:t>；</w:t>
      </w:r>
      <w:r>
        <w:rPr>
          <w:rFonts w:ascii="仿宋_GB2312" w:eastAsia="仿宋_GB2312" w:cs="Calibri"/>
          <w:bCs/>
          <w:color w:val="auto"/>
          <w:sz w:val="32"/>
          <w:szCs w:val="32"/>
          <w:highlight w:val="none"/>
        </w:rPr>
        <w:t>项目费用清单</w:t>
      </w:r>
      <w:r>
        <w:rPr>
          <w:rFonts w:hint="eastAsia" w:ascii="仿宋_GB2312" w:hAnsi="宋体" w:eastAsia="仿宋_GB2312" w:cs="宋体"/>
          <w:color w:val="auto"/>
          <w:kern w:val="0"/>
          <w:sz w:val="32"/>
          <w:szCs w:val="32"/>
          <w:highlight w:val="none"/>
        </w:rPr>
        <w:t>中所列相关投入原则上应</w:t>
      </w:r>
      <w:r>
        <w:rPr>
          <w:rFonts w:hint="eastAsia" w:ascii="仿宋_GB2312" w:eastAsia="仿宋_GB2312" w:cs="Calibri"/>
          <w:color w:val="auto"/>
          <w:sz w:val="32"/>
          <w:szCs w:val="32"/>
          <w:highlight w:val="none"/>
          <w:lang w:bidi="ar"/>
        </w:rPr>
        <w:t>由项目</w:t>
      </w:r>
      <w:r>
        <w:rPr>
          <w:rFonts w:hint="eastAsia" w:ascii="仿宋_GB2312" w:eastAsia="仿宋_GB2312"/>
          <w:color w:val="auto"/>
          <w:sz w:val="32"/>
          <w:szCs w:val="32"/>
          <w:highlight w:val="none"/>
        </w:rPr>
        <w:t>申报</w:t>
      </w:r>
      <w:r>
        <w:rPr>
          <w:rFonts w:hint="eastAsia" w:ascii="仿宋_GB2312" w:eastAsia="仿宋_GB2312" w:cs="Calibri"/>
          <w:color w:val="auto"/>
          <w:sz w:val="32"/>
          <w:szCs w:val="32"/>
          <w:highlight w:val="none"/>
          <w:lang w:bidi="ar"/>
        </w:rPr>
        <w:t>单位直接采购，采购合同上的采购单位、发票单位、实际付款单位（投资主体）与申报单位的名称必须一致，且应</w:t>
      </w:r>
      <w:r>
        <w:rPr>
          <w:rFonts w:hint="eastAsia" w:ascii="仿宋_GB2312" w:hAnsi="宋体" w:eastAsia="仿宋_GB2312" w:cs="宋体"/>
          <w:color w:val="auto"/>
          <w:kern w:val="0"/>
          <w:sz w:val="32"/>
          <w:szCs w:val="32"/>
          <w:highlight w:val="none"/>
        </w:rPr>
        <w:t>为项目申报单位自用，即</w:t>
      </w:r>
      <w:r>
        <w:rPr>
          <w:rFonts w:hint="eastAsia" w:ascii="仿宋_GB2312" w:eastAsia="仿宋_GB2312"/>
          <w:color w:val="auto"/>
          <w:sz w:val="32"/>
          <w:szCs w:val="32"/>
          <w:highlight w:val="none"/>
        </w:rPr>
        <w:t>使用</w:t>
      </w:r>
      <w:r>
        <w:rPr>
          <w:rFonts w:hint="eastAsia" w:ascii="仿宋_GB2312" w:eastAsia="仿宋_GB2312" w:cs="Calibri"/>
          <w:color w:val="auto"/>
          <w:sz w:val="32"/>
          <w:szCs w:val="32"/>
          <w:highlight w:val="none"/>
          <w:lang w:bidi="ar"/>
        </w:rPr>
        <w:t>单位</w:t>
      </w:r>
      <w:r>
        <w:rPr>
          <w:rFonts w:hint="eastAsia" w:ascii="仿宋_GB2312" w:eastAsia="仿宋_GB2312"/>
          <w:color w:val="auto"/>
          <w:sz w:val="32"/>
          <w:szCs w:val="32"/>
          <w:highlight w:val="none"/>
        </w:rPr>
        <w:t>与申报</w:t>
      </w:r>
      <w:r>
        <w:rPr>
          <w:rFonts w:hint="eastAsia" w:ascii="仿宋_GB2312" w:eastAsia="仿宋_GB2312" w:cs="Calibri"/>
          <w:color w:val="auto"/>
          <w:sz w:val="32"/>
          <w:szCs w:val="32"/>
          <w:highlight w:val="none"/>
          <w:lang w:bidi="ar"/>
        </w:rPr>
        <w:t>单位</w:t>
      </w:r>
      <w:r>
        <w:rPr>
          <w:rFonts w:hint="eastAsia" w:ascii="仿宋_GB2312" w:eastAsia="仿宋_GB2312"/>
          <w:color w:val="auto"/>
          <w:sz w:val="32"/>
          <w:szCs w:val="32"/>
          <w:highlight w:val="none"/>
        </w:rPr>
        <w:t>一致</w:t>
      </w:r>
      <w:r>
        <w:rPr>
          <w:rFonts w:hint="eastAsia" w:ascii="仿宋_GB2312" w:eastAsia="仿宋_GB2312" w:cs="Calibri"/>
          <w:color w:val="auto"/>
          <w:sz w:val="32"/>
          <w:szCs w:val="32"/>
          <w:highlight w:val="none"/>
          <w:lang w:bidi="ar"/>
        </w:rPr>
        <w:t>。</w:t>
      </w:r>
    </w:p>
    <w:p>
      <w:pPr>
        <w:spacing w:after="0" w:line="560" w:lineRule="exact"/>
        <w:ind w:firstLine="642" w:firstLineChars="200"/>
        <w:rPr>
          <w:rFonts w:ascii="仿宋_GB2312" w:eastAsia="仿宋_GB2312" w:cs="Calibri"/>
          <w:color w:val="auto"/>
          <w:sz w:val="32"/>
          <w:szCs w:val="32"/>
          <w:highlight w:val="none"/>
          <w:lang w:bidi="ar"/>
        </w:rPr>
      </w:pPr>
      <w:r>
        <w:rPr>
          <w:rFonts w:hint="eastAsia" w:ascii="仿宋_GB2312" w:hAnsi="宋体" w:eastAsia="仿宋_GB2312" w:cs="宋体"/>
          <w:b/>
          <w:bCs/>
          <w:color w:val="auto"/>
          <w:kern w:val="0"/>
          <w:sz w:val="32"/>
          <w:szCs w:val="32"/>
          <w:highlight w:val="none"/>
        </w:rPr>
        <w:t>3.真实性确认</w:t>
      </w:r>
      <w:r>
        <w:rPr>
          <w:rFonts w:hint="eastAsia" w:ascii="仿宋_GB2312" w:eastAsia="仿宋_GB2312" w:cs="Calibri"/>
          <w:b/>
          <w:bCs/>
          <w:color w:val="auto"/>
          <w:sz w:val="32"/>
          <w:szCs w:val="32"/>
          <w:highlight w:val="none"/>
          <w:lang w:bidi="ar"/>
        </w:rPr>
        <w:t>。</w:t>
      </w:r>
      <w:r>
        <w:rPr>
          <w:rFonts w:hint="eastAsia" w:ascii="仿宋_GB2312" w:eastAsia="仿宋_GB2312" w:cs="Calibri"/>
          <w:color w:val="auto"/>
          <w:sz w:val="32"/>
          <w:szCs w:val="32"/>
          <w:highlight w:val="none"/>
          <w:lang w:bidi="ar"/>
        </w:rPr>
        <w:t>严格按照企业会计准则，在对企业原始证据进行审核的同时，必须对项目申报的设备等进行现场盘点核对，保证项目投资的真实性、完整性和有效性。</w:t>
      </w:r>
    </w:p>
    <w:p>
      <w:pPr>
        <w:spacing w:after="0" w:line="560" w:lineRule="exact"/>
        <w:ind w:firstLine="643"/>
        <w:rPr>
          <w:rFonts w:hint="eastAsia" w:ascii="仿宋_GB2312" w:hAnsi="宋体" w:eastAsia="仿宋_GB2312" w:cs="宋体"/>
          <w:color w:val="auto"/>
          <w:kern w:val="0"/>
          <w:sz w:val="32"/>
          <w:szCs w:val="32"/>
          <w:highlight w:val="none"/>
        </w:rPr>
      </w:pPr>
      <w:r>
        <w:rPr>
          <w:rFonts w:hint="eastAsia" w:ascii="仿宋_GB2312" w:hAnsi="宋体" w:eastAsia="仿宋_GB2312" w:cs="宋体"/>
          <w:b/>
          <w:bCs/>
          <w:color w:val="auto"/>
          <w:kern w:val="0"/>
          <w:sz w:val="32"/>
          <w:szCs w:val="32"/>
          <w:highlight w:val="none"/>
        </w:rPr>
        <w:t>4.关联性确认</w:t>
      </w:r>
      <w:r>
        <w:rPr>
          <w:rFonts w:hint="eastAsia" w:ascii="仿宋_GB2312" w:eastAsia="仿宋_GB2312" w:cs="Calibri"/>
          <w:b/>
          <w:bCs/>
          <w:color w:val="auto"/>
          <w:sz w:val="32"/>
          <w:szCs w:val="32"/>
          <w:highlight w:val="none"/>
          <w:lang w:bidi="ar"/>
        </w:rPr>
        <w:t>。</w:t>
      </w:r>
      <w:r>
        <w:rPr>
          <w:rFonts w:hint="eastAsia" w:ascii="仿宋_GB2312" w:hAnsi="宋体" w:eastAsia="仿宋_GB2312" w:cs="宋体"/>
          <w:color w:val="auto"/>
          <w:kern w:val="0"/>
          <w:sz w:val="32"/>
          <w:szCs w:val="32"/>
          <w:highlight w:val="none"/>
        </w:rPr>
        <w:t>项目费用清单</w:t>
      </w:r>
      <w:r>
        <w:rPr>
          <w:rFonts w:hint="eastAsia" w:ascii="仿宋_GB2312" w:hAnsi="宋体" w:eastAsia="仿宋_GB2312" w:cs="宋体"/>
          <w:color w:val="auto"/>
          <w:kern w:val="0"/>
          <w:sz w:val="32"/>
          <w:szCs w:val="32"/>
          <w:highlight w:val="none"/>
        </w:rPr>
        <w:t>中所列相关投入应与所申报项目具备关联性，</w:t>
      </w:r>
      <w:r>
        <w:rPr>
          <w:rFonts w:hint="eastAsia" w:ascii="仿宋_GB2312" w:hAnsi="宋体" w:eastAsia="仿宋_GB2312" w:cs="仿宋_GB2312"/>
          <w:color w:val="auto"/>
          <w:kern w:val="0"/>
          <w:sz w:val="32"/>
          <w:szCs w:val="32"/>
          <w:highlight w:val="none"/>
          <w:lang w:bidi="ar"/>
        </w:rPr>
        <w:t>与申报项目</w:t>
      </w:r>
      <w:r>
        <w:rPr>
          <w:rFonts w:hint="eastAsia" w:ascii="仿宋_GB2312" w:eastAsia="仿宋_GB2312" w:cs="Calibri"/>
          <w:color w:val="auto"/>
          <w:sz w:val="32"/>
          <w:szCs w:val="32"/>
          <w:highlight w:val="none"/>
          <w:lang w:bidi="ar"/>
        </w:rPr>
        <w:t>的</w:t>
      </w:r>
      <w:r>
        <w:rPr>
          <w:rFonts w:hint="eastAsia" w:ascii="仿宋_GB2312" w:hAnsi="宋体" w:eastAsia="仿宋_GB2312" w:cs="宋体"/>
          <w:color w:val="auto"/>
          <w:kern w:val="0"/>
          <w:sz w:val="32"/>
          <w:szCs w:val="32"/>
          <w:highlight w:val="none"/>
        </w:rPr>
        <w:t>建设</w:t>
      </w:r>
      <w:r>
        <w:rPr>
          <w:rFonts w:hint="eastAsia" w:ascii="仿宋_GB2312" w:hAnsi="宋体" w:eastAsia="仿宋_GB2312" w:cs="宋体"/>
          <w:color w:val="auto"/>
          <w:kern w:val="0"/>
          <w:sz w:val="32"/>
          <w:szCs w:val="32"/>
          <w:highlight w:val="none"/>
          <w:lang w:val="en-US" w:eastAsia="zh-CN"/>
        </w:rPr>
        <w:t>运营</w:t>
      </w:r>
      <w:r>
        <w:rPr>
          <w:rFonts w:hint="eastAsia" w:ascii="仿宋_GB2312" w:hAnsi="宋体" w:eastAsia="仿宋_GB2312" w:cs="宋体"/>
          <w:color w:val="auto"/>
          <w:kern w:val="0"/>
          <w:sz w:val="32"/>
          <w:szCs w:val="32"/>
          <w:highlight w:val="none"/>
        </w:rPr>
        <w:t>内容及提高</w:t>
      </w:r>
      <w:r>
        <w:rPr>
          <w:rFonts w:hint="eastAsia" w:ascii="仿宋_GB2312" w:eastAsia="仿宋_GB2312" w:cs="Calibri"/>
          <w:color w:val="auto"/>
          <w:sz w:val="32"/>
          <w:szCs w:val="32"/>
          <w:highlight w:val="none"/>
          <w:lang w:bidi="ar"/>
        </w:rPr>
        <w:t>企业生产效率、生产能力等</w:t>
      </w:r>
      <w:r>
        <w:rPr>
          <w:rFonts w:hint="eastAsia" w:ascii="仿宋_GB2312" w:hAnsi="宋体" w:eastAsia="仿宋_GB2312" w:cs="宋体"/>
          <w:color w:val="auto"/>
          <w:kern w:val="0"/>
          <w:sz w:val="32"/>
          <w:szCs w:val="32"/>
          <w:highlight w:val="none"/>
        </w:rPr>
        <w:t>目标具有</w:t>
      </w:r>
      <w:r>
        <w:rPr>
          <w:rFonts w:hint="eastAsia" w:ascii="仿宋_GB2312" w:eastAsia="仿宋_GB2312" w:cs="Calibri"/>
          <w:color w:val="auto"/>
          <w:sz w:val="32"/>
          <w:szCs w:val="32"/>
          <w:highlight w:val="none"/>
          <w:lang w:bidi="ar"/>
        </w:rPr>
        <w:t>直接关系</w:t>
      </w:r>
      <w:r>
        <w:rPr>
          <w:rFonts w:hint="eastAsia" w:ascii="仿宋_GB2312" w:hAnsi="宋体" w:eastAsia="仿宋_GB2312" w:cs="宋体"/>
          <w:color w:val="auto"/>
          <w:kern w:val="0"/>
          <w:sz w:val="32"/>
          <w:szCs w:val="32"/>
          <w:highlight w:val="none"/>
        </w:rPr>
        <w:t>。</w:t>
      </w:r>
    </w:p>
    <w:p>
      <w:pPr>
        <w:spacing w:line="560" w:lineRule="exact"/>
        <w:ind w:firstLine="642" w:firstLineChars="200"/>
        <w:rPr>
          <w:rFonts w:hint="eastAsia" w:ascii="仿宋_GB2312" w:hAnsi="宋体" w:eastAsia="仿宋_GB2312" w:cs="宋体"/>
          <w:color w:val="auto"/>
          <w:kern w:val="0"/>
          <w:sz w:val="32"/>
          <w:szCs w:val="32"/>
          <w:highlight w:val="none"/>
        </w:rPr>
      </w:pPr>
      <w:r>
        <w:rPr>
          <w:rFonts w:hint="eastAsia" w:ascii="仿宋_GB2312" w:eastAsia="仿宋_GB2312" w:cs="Calibri"/>
          <w:b/>
          <w:bCs/>
          <w:color w:val="auto"/>
          <w:sz w:val="32"/>
          <w:szCs w:val="32"/>
          <w:highlight w:val="none"/>
          <w:lang w:bidi="ar"/>
        </w:rPr>
        <w:t>5.价值评估公允性</w:t>
      </w:r>
      <w:r>
        <w:rPr>
          <w:rFonts w:hint="eastAsia" w:ascii="仿宋_GB2312" w:hAnsi="宋体" w:eastAsia="仿宋_GB2312" w:cs="宋体"/>
          <w:b/>
          <w:bCs/>
          <w:color w:val="auto"/>
          <w:kern w:val="0"/>
          <w:sz w:val="32"/>
          <w:szCs w:val="32"/>
          <w:highlight w:val="none"/>
        </w:rPr>
        <w:t>确认</w:t>
      </w:r>
      <w:r>
        <w:rPr>
          <w:rFonts w:hint="eastAsia" w:ascii="仿宋_GB2312" w:eastAsia="仿宋_GB2312" w:cs="Calibri"/>
          <w:b/>
          <w:bCs/>
          <w:color w:val="auto"/>
          <w:sz w:val="32"/>
          <w:szCs w:val="32"/>
          <w:highlight w:val="none"/>
          <w:lang w:bidi="ar"/>
        </w:rPr>
        <w:t>。</w:t>
      </w:r>
      <w:r>
        <w:rPr>
          <w:rFonts w:hint="eastAsia" w:ascii="仿宋_GB2312" w:eastAsia="仿宋_GB2312" w:cs="Calibri"/>
          <w:color w:val="auto"/>
          <w:sz w:val="32"/>
          <w:szCs w:val="32"/>
          <w:highlight w:val="none"/>
          <w:lang w:bidi="ar"/>
        </w:rPr>
        <w:t>投资企业与私人间的投资往来（以股东出资方式购置设备），或者企业集团内控股企业的分拆投资，控股企业与参股企业、母子公司间的关联交易等形成的固定资产投资（如是二手设备，应同时满足相关条件），应严格申报单位为唯一企业法人单位。应要求申报单位提供投资价值额的公允性证明、设备评估报告等，在能够明确判定投资公允性的前提下提出审计意见</w:t>
      </w:r>
      <w:r>
        <w:rPr>
          <w:rFonts w:hint="eastAsia" w:ascii="仿宋_GB2312" w:eastAsia="仿宋_GB2312"/>
          <w:color w:val="auto"/>
          <w:sz w:val="32"/>
          <w:szCs w:val="32"/>
          <w:highlight w:val="none"/>
        </w:rPr>
        <w:t>。</w:t>
      </w:r>
    </w:p>
    <w:p>
      <w:pPr>
        <w:pStyle w:val="15"/>
        <w:spacing w:line="560" w:lineRule="exact"/>
        <w:ind w:firstLine="643"/>
        <w:rPr>
          <w:rFonts w:hint="eastAsia" w:ascii="仿宋_GB2312" w:hAnsi="宋体" w:eastAsia="仿宋_GB2312" w:cs="宋体"/>
          <w:color w:val="auto"/>
          <w:kern w:val="0"/>
          <w:sz w:val="32"/>
          <w:szCs w:val="32"/>
          <w:highlight w:val="none"/>
        </w:rPr>
      </w:pPr>
      <w:r>
        <w:rPr>
          <w:rFonts w:hint="eastAsia" w:ascii="仿宋_GB2312" w:hAnsi="宋体" w:eastAsia="仿宋_GB2312" w:cs="宋体"/>
          <w:b/>
          <w:bCs/>
          <w:color w:val="auto"/>
          <w:kern w:val="0"/>
          <w:sz w:val="32"/>
          <w:szCs w:val="32"/>
          <w:highlight w:val="none"/>
        </w:rPr>
        <w:t>6.会计科目确认</w:t>
      </w:r>
      <w:r>
        <w:rPr>
          <w:rFonts w:hint="eastAsia" w:ascii="仿宋_GB2312" w:eastAsia="仿宋_GB2312" w:cs="Calibri"/>
          <w:b/>
          <w:bCs/>
          <w:color w:val="auto"/>
          <w:sz w:val="32"/>
          <w:szCs w:val="32"/>
          <w:highlight w:val="none"/>
          <w:lang w:bidi="ar"/>
        </w:rPr>
        <w:t>。</w:t>
      </w:r>
      <w:r>
        <w:rPr>
          <w:rFonts w:hint="eastAsia" w:ascii="仿宋_GB2312" w:hAnsi="宋体" w:eastAsia="仿宋_GB2312" w:cs="宋体"/>
          <w:color w:val="auto"/>
          <w:kern w:val="0"/>
          <w:sz w:val="32"/>
          <w:szCs w:val="32"/>
          <w:highlight w:val="none"/>
          <w:lang w:bidi="ar"/>
        </w:rPr>
        <w:t>根据审计时该笔费用所计入的会计科目确认，不允许申报单位临时进行会计科目调整；但如项目申报单位填报</w:t>
      </w:r>
      <w:r>
        <w:rPr>
          <w:rFonts w:hint="eastAsia" w:ascii="仿宋_GB2312" w:hAnsi="宋体" w:eastAsia="仿宋_GB2312" w:cs="宋体"/>
          <w:color w:val="auto"/>
          <w:kern w:val="0"/>
          <w:sz w:val="32"/>
          <w:szCs w:val="32"/>
          <w:highlight w:val="none"/>
        </w:rPr>
        <w:t>项目费用清单</w:t>
      </w:r>
      <w:r>
        <w:rPr>
          <w:rFonts w:hint="eastAsia" w:ascii="仿宋_GB2312" w:hAnsi="宋体" w:eastAsia="仿宋_GB2312" w:cs="宋体"/>
          <w:color w:val="auto"/>
          <w:kern w:val="0"/>
          <w:sz w:val="32"/>
          <w:szCs w:val="32"/>
          <w:highlight w:val="none"/>
          <w:lang w:bidi="ar"/>
        </w:rPr>
        <w:t>时分类错误，可根据实际核实情况进行</w:t>
      </w:r>
      <w:r>
        <w:rPr>
          <w:rFonts w:hint="eastAsia" w:ascii="仿宋_GB2312" w:hAnsi="华文楷体" w:eastAsia="仿宋_GB2312"/>
          <w:color w:val="auto"/>
          <w:sz w:val="32"/>
          <w:szCs w:val="32"/>
          <w:highlight w:val="none"/>
        </w:rPr>
        <w:t>费用类别</w:t>
      </w:r>
      <w:r>
        <w:rPr>
          <w:rFonts w:hint="eastAsia" w:ascii="仿宋_GB2312" w:hAnsi="宋体" w:eastAsia="仿宋_GB2312" w:cs="宋体"/>
          <w:color w:val="auto"/>
          <w:kern w:val="0"/>
          <w:sz w:val="32"/>
          <w:szCs w:val="32"/>
          <w:highlight w:val="none"/>
          <w:lang w:bidi="ar"/>
        </w:rPr>
        <w:t>调整。</w:t>
      </w:r>
    </w:p>
    <w:p>
      <w:pPr>
        <w:spacing w:after="0" w:line="560" w:lineRule="exact"/>
        <w:ind w:firstLine="642" w:firstLineChars="200"/>
        <w:rPr>
          <w:rFonts w:ascii="仿宋_GB2312" w:eastAsia="仿宋_GB2312" w:cs="Calibri"/>
          <w:bCs/>
          <w:color w:val="auto"/>
          <w:sz w:val="32"/>
          <w:szCs w:val="32"/>
          <w:highlight w:val="none"/>
        </w:rPr>
      </w:pPr>
      <w:r>
        <w:rPr>
          <w:rFonts w:hint="eastAsia" w:ascii="仿宋_GB2312" w:hAnsi="宋体" w:eastAsia="仿宋_GB2312" w:cs="宋体"/>
          <w:b/>
          <w:bCs/>
          <w:color w:val="auto"/>
          <w:kern w:val="0"/>
          <w:sz w:val="32"/>
          <w:szCs w:val="32"/>
          <w:highlight w:val="none"/>
        </w:rPr>
        <w:t>7.凭据审查</w:t>
      </w:r>
      <w:r>
        <w:rPr>
          <w:rFonts w:hint="eastAsia" w:ascii="仿宋_GB2312" w:eastAsia="仿宋_GB2312" w:cs="Calibri"/>
          <w:b/>
          <w:bCs/>
          <w:color w:val="auto"/>
          <w:sz w:val="32"/>
          <w:szCs w:val="32"/>
          <w:highlight w:val="none"/>
          <w:lang w:bidi="ar"/>
        </w:rPr>
        <w:t>。</w:t>
      </w:r>
      <w:r>
        <w:rPr>
          <w:rFonts w:hint="eastAsia" w:ascii="仿宋_GB2312" w:eastAsia="仿宋_GB2312" w:cs="Calibri"/>
          <w:bCs/>
          <w:color w:val="auto"/>
          <w:sz w:val="32"/>
          <w:szCs w:val="32"/>
          <w:highlight w:val="none"/>
        </w:rPr>
        <w:t>审计机构应核查申报单位是否按照会计准则及时登记入账，凭证、发票、合同、银行回单等是否齐全。</w:t>
      </w:r>
      <w:r>
        <w:rPr>
          <w:rFonts w:hint="eastAsia" w:ascii="仿宋_GB2312" w:eastAsia="仿宋_GB2312" w:cs="Calibri"/>
          <w:color w:val="auto"/>
          <w:sz w:val="32"/>
          <w:szCs w:val="32"/>
          <w:highlight w:val="none"/>
          <w:lang w:bidi="ar"/>
        </w:rPr>
        <w:t>发票和付款时间应当在实施期内，期外不计入审计范畴。除进口设备外，项目支出需提供发票联；发票联质押在银行、设备租赁公司等其他机构的，可由企业短期借出，由审计机构加盖审验章、留存复印件再归还。</w:t>
      </w:r>
    </w:p>
    <w:p>
      <w:pPr>
        <w:pStyle w:val="15"/>
        <w:spacing w:line="560" w:lineRule="exact"/>
        <w:ind w:firstLine="643"/>
        <w:rPr>
          <w:rFonts w:ascii="仿宋_GB2312" w:eastAsia="仿宋_GB2312" w:cs="仿宋_GB2312"/>
          <w:color w:val="auto"/>
          <w:sz w:val="32"/>
          <w:szCs w:val="32"/>
          <w:highlight w:val="none"/>
          <w:lang w:bidi="ar"/>
        </w:rPr>
      </w:pPr>
      <w:r>
        <w:rPr>
          <w:rFonts w:hint="eastAsia" w:ascii="仿宋_GB2312" w:hAnsi="??" w:eastAsia="仿宋_GB2312" w:cs="仿宋_GB2312"/>
          <w:b/>
          <w:color w:val="auto"/>
          <w:sz w:val="32"/>
          <w:szCs w:val="32"/>
          <w:highlight w:val="none"/>
          <w:lang w:bidi="ar"/>
        </w:rPr>
        <w:t>8.项目资助期限界定。</w:t>
      </w:r>
      <w:r>
        <w:rPr>
          <w:rFonts w:hint="eastAsia" w:ascii="仿宋_GB2312" w:hAnsi="仿宋" w:eastAsia="仿宋_GB2312"/>
          <w:color w:val="auto"/>
          <w:sz w:val="32"/>
          <w:szCs w:val="32"/>
          <w:highlight w:val="none"/>
        </w:rPr>
        <w:t>申报的项目建设期或实施期应当在申请指南规定的期限内，且发票时间和付款时间应当在申报的项目建设期或实施期内。</w:t>
      </w:r>
      <w:r>
        <w:rPr>
          <w:rStyle w:val="13"/>
          <w:rFonts w:hint="eastAsia" w:ascii="仿宋_GB2312" w:hAnsi="宋体" w:eastAsia="仿宋_GB2312" w:cs="Arial"/>
          <w:b w:val="0"/>
          <w:color w:val="auto"/>
          <w:kern w:val="0"/>
          <w:sz w:val="32"/>
          <w:szCs w:val="32"/>
          <w:highlight w:val="none"/>
        </w:rPr>
        <w:t>项目资助期不</w:t>
      </w:r>
      <w:r>
        <w:rPr>
          <w:rFonts w:hint="eastAsia" w:ascii="仿宋_GB2312" w:eastAsia="仿宋_GB2312"/>
          <w:color w:val="auto"/>
          <w:sz w:val="32"/>
          <w:szCs w:val="32"/>
          <w:highlight w:val="none"/>
        </w:rPr>
        <w:t>早于</w:t>
      </w:r>
      <w:r>
        <w:rPr>
          <w:rStyle w:val="13"/>
          <w:rFonts w:hint="eastAsia" w:ascii="仿宋_GB2312" w:hAnsi="宋体" w:eastAsia="仿宋_GB2312" w:cs="Arial"/>
          <w:b w:val="0"/>
          <w:color w:val="auto"/>
          <w:kern w:val="0"/>
          <w:sz w:val="32"/>
          <w:szCs w:val="32"/>
          <w:highlight w:val="none"/>
        </w:rPr>
        <w:t>项目建设</w:t>
      </w:r>
      <w:r>
        <w:rPr>
          <w:rFonts w:hint="eastAsia" w:ascii="仿宋_GB2312" w:eastAsia="仿宋_GB2312"/>
          <w:color w:val="auto"/>
          <w:sz w:val="32"/>
          <w:szCs w:val="32"/>
          <w:highlight w:val="none"/>
        </w:rPr>
        <w:t>起始日</w:t>
      </w:r>
      <w:r>
        <w:rPr>
          <w:rStyle w:val="13"/>
          <w:rFonts w:hint="eastAsia" w:ascii="仿宋_GB2312" w:hAnsi="宋体" w:eastAsia="仿宋_GB2312" w:cs="Arial"/>
          <w:b w:val="0"/>
          <w:color w:val="auto"/>
          <w:kern w:val="0"/>
          <w:sz w:val="32"/>
          <w:szCs w:val="32"/>
          <w:highlight w:val="none"/>
        </w:rPr>
        <w:t>，</w:t>
      </w:r>
      <w:r>
        <w:rPr>
          <w:rFonts w:hint="eastAsia" w:ascii="仿宋_GB2312" w:eastAsia="仿宋_GB2312"/>
          <w:color w:val="auto"/>
          <w:sz w:val="32"/>
          <w:szCs w:val="32"/>
          <w:highlight w:val="none"/>
        </w:rPr>
        <w:t>不晚于</w:t>
      </w:r>
      <w:r>
        <w:rPr>
          <w:rStyle w:val="13"/>
          <w:rFonts w:hint="eastAsia" w:ascii="仿宋_GB2312" w:hAnsi="宋体" w:eastAsia="仿宋_GB2312" w:cs="Arial"/>
          <w:b w:val="0"/>
          <w:color w:val="auto"/>
          <w:kern w:val="0"/>
          <w:sz w:val="32"/>
          <w:szCs w:val="32"/>
          <w:highlight w:val="none"/>
        </w:rPr>
        <w:t>项目建设</w:t>
      </w:r>
      <w:r>
        <w:rPr>
          <w:rFonts w:hint="eastAsia" w:ascii="仿宋_GB2312" w:eastAsia="仿宋_GB2312"/>
          <w:color w:val="auto"/>
          <w:sz w:val="32"/>
          <w:szCs w:val="32"/>
          <w:highlight w:val="none"/>
        </w:rPr>
        <w:t>终止日，即</w:t>
      </w:r>
      <w:r>
        <w:rPr>
          <w:rFonts w:hint="eastAsia" w:ascii="仿宋_GB2312" w:hAnsi="仿宋" w:eastAsia="仿宋_GB2312"/>
          <w:color w:val="auto"/>
          <w:sz w:val="32"/>
          <w:szCs w:val="32"/>
          <w:highlight w:val="none"/>
        </w:rPr>
        <w:t>超出建设期或实施期的发票或付款，不予以确认（但合同中已明确的定金、质保金、预付款等除外）。其中，</w:t>
      </w:r>
      <w:r>
        <w:rPr>
          <w:rFonts w:hint="eastAsia" w:ascii="仿宋_GB2312" w:eastAsia="仿宋_GB2312" w:cs="Calibri"/>
          <w:color w:val="auto"/>
          <w:sz w:val="32"/>
          <w:szCs w:val="32"/>
          <w:highlight w:val="none"/>
          <w:lang w:bidi="ar"/>
        </w:rPr>
        <w:t>进口设备和工器具以海关进口报关单申报</w:t>
      </w:r>
      <w:r>
        <w:rPr>
          <w:rFonts w:hint="eastAsia" w:ascii="仿宋_GB2312" w:eastAsia="仿宋_GB2312" w:cs="仿宋_GB2312"/>
          <w:color w:val="auto"/>
          <w:sz w:val="32"/>
          <w:szCs w:val="32"/>
          <w:highlight w:val="none"/>
          <w:lang w:bidi="ar"/>
        </w:rPr>
        <w:t>日期为发票时间</w:t>
      </w:r>
      <w:r>
        <w:rPr>
          <w:rFonts w:hint="eastAsia" w:ascii="仿宋_GB2312" w:hAnsi="仿宋" w:eastAsia="仿宋_GB2312"/>
          <w:color w:val="auto"/>
          <w:sz w:val="32"/>
          <w:szCs w:val="32"/>
          <w:highlight w:val="none"/>
        </w:rPr>
        <w:t>。</w:t>
      </w:r>
    </w:p>
    <w:p>
      <w:pPr>
        <w:autoSpaceDE w:val="0"/>
        <w:spacing w:line="560" w:lineRule="exact"/>
        <w:ind w:firstLine="642" w:firstLineChars="200"/>
        <w:jc w:val="left"/>
        <w:rPr>
          <w:rFonts w:ascii="仿宋_GB2312" w:eastAsia="仿宋_GB2312"/>
          <w:color w:val="auto"/>
          <w:sz w:val="32"/>
          <w:szCs w:val="32"/>
          <w:highlight w:val="none"/>
        </w:rPr>
      </w:pPr>
      <w:r>
        <w:rPr>
          <w:rFonts w:hint="eastAsia" w:ascii="仿宋_GB2312" w:hAnsi="??" w:eastAsia="仿宋_GB2312" w:cs="仿宋_GB2312"/>
          <w:b/>
          <w:color w:val="auto"/>
          <w:sz w:val="32"/>
          <w:szCs w:val="32"/>
          <w:highlight w:val="none"/>
          <w:lang w:bidi="ar"/>
        </w:rPr>
        <w:t>9.项目</w:t>
      </w:r>
      <w:r>
        <w:rPr>
          <w:rFonts w:hint="eastAsia" w:ascii="仿宋_GB2312" w:eastAsia="仿宋_GB2312"/>
          <w:b/>
          <w:bCs/>
          <w:color w:val="auto"/>
          <w:sz w:val="32"/>
          <w:szCs w:val="32"/>
          <w:highlight w:val="none"/>
        </w:rPr>
        <w:t>投资审计金额确认。</w:t>
      </w:r>
      <w:r>
        <w:rPr>
          <w:rFonts w:hint="eastAsia" w:ascii="仿宋_GB2312" w:hAnsi="宋体" w:eastAsia="仿宋_GB2312" w:cs="宋体"/>
          <w:color w:val="auto"/>
          <w:kern w:val="0"/>
          <w:sz w:val="32"/>
          <w:szCs w:val="32"/>
          <w:highlight w:val="none"/>
        </w:rPr>
        <w:t>以</w:t>
      </w:r>
      <w:r>
        <w:rPr>
          <w:rFonts w:hint="eastAsia" w:ascii="仿宋_GB2312" w:hAnsi="宋体" w:eastAsia="仿宋_GB2312" w:cs="宋体"/>
          <w:color w:val="auto"/>
          <w:kern w:val="0"/>
          <w:sz w:val="32"/>
          <w:szCs w:val="32"/>
          <w:highlight w:val="none"/>
        </w:rPr>
        <w:t>项目费用清单</w:t>
      </w:r>
      <w:r>
        <w:rPr>
          <w:rFonts w:hint="eastAsia" w:ascii="仿宋_GB2312" w:hAnsi="仿宋" w:eastAsia="仿宋_GB2312"/>
          <w:color w:val="auto"/>
          <w:sz w:val="32"/>
          <w:szCs w:val="32"/>
          <w:highlight w:val="none"/>
        </w:rPr>
        <w:t>为审计范围，</w:t>
      </w:r>
      <w:r>
        <w:rPr>
          <w:rFonts w:hint="eastAsia" w:ascii="仿宋_GB2312" w:eastAsia="仿宋_GB2312"/>
          <w:color w:val="auto"/>
          <w:sz w:val="32"/>
          <w:szCs w:val="32"/>
          <w:highlight w:val="none"/>
        </w:rPr>
        <w:t>项目投资审计金额是指扣除可抵扣、可减免税款后的投资建设费用和其他相关支出费用，以有正规发票且相关款项实际已支付为依据。</w:t>
      </w:r>
      <w:r>
        <w:rPr>
          <w:rFonts w:hint="eastAsia" w:ascii="仿宋_GB2312" w:hAnsi="仿宋_GB2312" w:eastAsia="仿宋_GB2312" w:cs="仿宋_GB2312"/>
          <w:color w:val="auto"/>
          <w:sz w:val="32"/>
          <w:szCs w:val="32"/>
          <w:highlight w:val="none"/>
          <w:shd w:val="clear" w:color="auto" w:fill="FFFFFF"/>
        </w:rPr>
        <w:t>项目单位取得的增值税专用发票，可抵扣、</w:t>
      </w:r>
      <w:r>
        <w:rPr>
          <w:rFonts w:hint="eastAsia" w:ascii="仿宋_GB2312" w:eastAsia="仿宋_GB2312"/>
          <w:color w:val="auto"/>
          <w:sz w:val="32"/>
          <w:szCs w:val="32"/>
          <w:highlight w:val="none"/>
        </w:rPr>
        <w:t>可减免</w:t>
      </w:r>
      <w:r>
        <w:rPr>
          <w:rFonts w:hint="eastAsia" w:ascii="仿宋_GB2312" w:hAnsi="仿宋_GB2312" w:eastAsia="仿宋_GB2312" w:cs="仿宋_GB2312"/>
          <w:color w:val="auto"/>
          <w:sz w:val="32"/>
          <w:szCs w:val="32"/>
          <w:highlight w:val="none"/>
          <w:shd w:val="clear" w:color="auto" w:fill="FFFFFF"/>
        </w:rPr>
        <w:t>税额不论是否发生实质抵扣或减免，均予以剔除，不计入项目完成投资金额。</w:t>
      </w:r>
    </w:p>
    <w:p>
      <w:pPr>
        <w:pageBreakBefore w:val="0"/>
        <w:widowControl w:val="0"/>
        <w:kinsoku/>
        <w:overflowPunct/>
        <w:topLinePunct w:val="0"/>
        <w:autoSpaceDE/>
        <w:autoSpaceDN/>
        <w:bidi w:val="0"/>
        <w:spacing w:line="560" w:lineRule="exact"/>
        <w:ind w:firstLine="642" w:firstLineChars="200"/>
        <w:jc w:val="left"/>
        <w:textAlignment w:val="auto"/>
        <w:rPr>
          <w:rFonts w:ascii="仿宋_GB2312" w:eastAsia="仿宋_GB2312" w:cs="Calibri"/>
          <w:bCs/>
          <w:color w:val="auto"/>
          <w:sz w:val="32"/>
          <w:szCs w:val="32"/>
          <w:highlight w:val="none"/>
        </w:rPr>
      </w:pPr>
      <w:r>
        <w:rPr>
          <w:rFonts w:hint="eastAsia" w:ascii="仿宋_GB2312" w:hAnsi="宋体" w:eastAsia="仿宋_GB2312" w:cs="宋体"/>
          <w:b/>
          <w:bCs/>
          <w:color w:val="auto"/>
          <w:kern w:val="0"/>
          <w:sz w:val="32"/>
          <w:szCs w:val="32"/>
          <w:highlight w:val="none"/>
        </w:rPr>
        <w:t>10.支付方式界定</w:t>
      </w:r>
      <w:r>
        <w:rPr>
          <w:rFonts w:hint="eastAsia" w:ascii="仿宋_GB2312" w:eastAsia="仿宋_GB2312" w:cs="Calibri"/>
          <w:b/>
          <w:bCs/>
          <w:color w:val="auto"/>
          <w:sz w:val="32"/>
          <w:szCs w:val="32"/>
          <w:highlight w:val="none"/>
          <w:lang w:bidi="ar"/>
        </w:rPr>
        <w:t>。</w:t>
      </w:r>
      <w:r>
        <w:rPr>
          <w:rFonts w:hint="eastAsia" w:ascii="仿宋_GB2312" w:eastAsia="仿宋_GB2312" w:cs="Calibri"/>
          <w:bCs/>
          <w:color w:val="auto"/>
          <w:sz w:val="32"/>
          <w:szCs w:val="32"/>
          <w:highlight w:val="none"/>
        </w:rPr>
        <w:t>对于项目支出由集团、集团采购中心等第三方代为付款、收款的情形，需要在采购合同中有明确规定，且付款资金完备，否则一般不予确认。</w:t>
      </w:r>
      <w:r>
        <w:rPr>
          <w:rFonts w:hint="eastAsia" w:ascii="仿宋_GB2312" w:eastAsia="仿宋_GB2312" w:cs="Calibri"/>
          <w:color w:val="auto"/>
          <w:sz w:val="32"/>
          <w:szCs w:val="32"/>
          <w:highlight w:val="none"/>
          <w:lang w:bidi="ar"/>
        </w:rPr>
        <w:t>以银行承兑汇票或商业承兑汇票方式支付设备款的，对于银行承兑汇票以汇票到期日确认为付款日期；对于商业承兑汇票根据</w:t>
      </w:r>
      <w:r>
        <w:rPr>
          <w:rFonts w:hint="eastAsia" w:ascii="仿宋_GB2312" w:eastAsia="仿宋_GB2312" w:cs="Calibri"/>
          <w:color w:val="auto"/>
          <w:sz w:val="32"/>
          <w:szCs w:val="32"/>
          <w:highlight w:val="none"/>
          <w:lang w:eastAsia="zh-CN" w:bidi="ar"/>
        </w:rPr>
        <w:t>申报单位</w:t>
      </w:r>
      <w:r>
        <w:rPr>
          <w:rFonts w:hint="eastAsia" w:ascii="仿宋_GB2312" w:eastAsia="仿宋_GB2312" w:cs="Calibri"/>
          <w:color w:val="auto"/>
          <w:sz w:val="32"/>
          <w:szCs w:val="32"/>
          <w:highlight w:val="none"/>
          <w:lang w:bidi="ar"/>
        </w:rPr>
        <w:t>提供银行付款的回单确认付款日期</w:t>
      </w:r>
      <w:r>
        <w:rPr>
          <w:rFonts w:hint="eastAsia" w:ascii="仿宋_GB2312" w:eastAsia="仿宋_GB2312" w:cs="Calibri"/>
          <w:color w:val="auto"/>
          <w:sz w:val="32"/>
          <w:szCs w:val="32"/>
          <w:highlight w:val="none"/>
          <w:lang w:eastAsia="zh-CN" w:bidi="ar"/>
        </w:rPr>
        <w:t>。</w:t>
      </w:r>
    </w:p>
    <w:p>
      <w:pPr>
        <w:spacing w:after="0" w:line="560" w:lineRule="exact"/>
        <w:ind w:firstLine="642" w:firstLineChars="200"/>
        <w:rPr>
          <w:rFonts w:ascii="仿宋_GB2312" w:eastAsia="仿宋_GB2312" w:cs="Calibri"/>
          <w:bCs/>
          <w:color w:val="auto"/>
          <w:sz w:val="32"/>
          <w:szCs w:val="32"/>
          <w:highlight w:val="none"/>
        </w:rPr>
      </w:pPr>
      <w:r>
        <w:rPr>
          <w:rFonts w:hint="eastAsia" w:ascii="仿宋_GB2312" w:eastAsia="仿宋_GB2312" w:cs="Calibri"/>
          <w:b/>
          <w:color w:val="auto"/>
          <w:sz w:val="32"/>
          <w:szCs w:val="32"/>
          <w:highlight w:val="none"/>
        </w:rPr>
        <w:t>11.</w:t>
      </w:r>
      <w:r>
        <w:rPr>
          <w:rFonts w:ascii="仿宋_GB2312" w:eastAsia="仿宋_GB2312" w:cs="Calibri"/>
          <w:b/>
          <w:color w:val="auto"/>
          <w:sz w:val="32"/>
          <w:szCs w:val="32"/>
          <w:highlight w:val="none"/>
        </w:rPr>
        <w:t>借款费用</w:t>
      </w:r>
      <w:r>
        <w:rPr>
          <w:rFonts w:hint="eastAsia" w:ascii="仿宋_GB2312" w:eastAsia="仿宋_GB2312" w:cs="Calibri"/>
          <w:b/>
          <w:color w:val="auto"/>
          <w:sz w:val="32"/>
          <w:szCs w:val="32"/>
          <w:highlight w:val="none"/>
        </w:rPr>
        <w:t>核算。</w:t>
      </w:r>
      <w:r>
        <w:rPr>
          <w:rFonts w:ascii="仿宋_GB2312" w:eastAsia="仿宋_GB2312" w:cs="Calibri"/>
          <w:bCs/>
          <w:color w:val="auto"/>
          <w:sz w:val="32"/>
          <w:szCs w:val="32"/>
          <w:highlight w:val="none"/>
        </w:rPr>
        <w:t>因购买设备、改造设备等采用贷款形式实施的借款费用，符合资本化条件的且已按照要求进行会计核算的可纳入设备投资，贷款利率不得高于同期基准利率，但费用化、未纳入固定资产进行会计核算的不予确认</w:t>
      </w:r>
      <w:r>
        <w:rPr>
          <w:rFonts w:hint="eastAsia" w:ascii="仿宋_GB2312" w:eastAsia="仿宋_GB2312" w:cs="Calibri"/>
          <w:bCs/>
          <w:color w:val="auto"/>
          <w:sz w:val="32"/>
          <w:szCs w:val="32"/>
          <w:highlight w:val="none"/>
        </w:rPr>
        <w:t>。</w:t>
      </w:r>
    </w:p>
    <w:p>
      <w:pPr>
        <w:spacing w:after="0" w:line="560" w:lineRule="exact"/>
        <w:ind w:firstLine="642" w:firstLineChars="200"/>
        <w:rPr>
          <w:rFonts w:ascii="仿宋_GB2312" w:eastAsia="仿宋_GB2312" w:cs="Calibri"/>
          <w:bCs/>
          <w:color w:val="auto"/>
          <w:sz w:val="32"/>
          <w:szCs w:val="32"/>
          <w:highlight w:val="none"/>
        </w:rPr>
      </w:pPr>
      <w:r>
        <w:rPr>
          <w:rFonts w:hint="eastAsia" w:ascii="仿宋_GB2312" w:eastAsia="仿宋_GB2312" w:cs="Calibri"/>
          <w:b/>
          <w:color w:val="auto"/>
          <w:sz w:val="32"/>
          <w:szCs w:val="32"/>
          <w:highlight w:val="none"/>
        </w:rPr>
        <w:t>12</w:t>
      </w:r>
      <w:r>
        <w:rPr>
          <w:rFonts w:ascii="仿宋_GB2312" w:eastAsia="仿宋_GB2312" w:cs="Calibri"/>
          <w:b/>
          <w:color w:val="auto"/>
          <w:sz w:val="32"/>
          <w:szCs w:val="32"/>
          <w:highlight w:val="none"/>
        </w:rPr>
        <w:t>.</w:t>
      </w:r>
      <w:r>
        <w:rPr>
          <w:rFonts w:hint="eastAsia" w:ascii="仿宋_GB2312" w:eastAsia="仿宋_GB2312" w:cs="Calibri"/>
          <w:b/>
          <w:color w:val="auto"/>
          <w:sz w:val="32"/>
          <w:szCs w:val="32"/>
          <w:highlight w:val="none"/>
        </w:rPr>
        <w:t>质保金。</w:t>
      </w:r>
      <w:r>
        <w:rPr>
          <w:rFonts w:ascii="仿宋_GB2312" w:eastAsia="仿宋_GB2312" w:cs="Calibri"/>
          <w:bCs/>
          <w:color w:val="auto"/>
          <w:sz w:val="32"/>
          <w:szCs w:val="32"/>
          <w:highlight w:val="none"/>
        </w:rPr>
        <w:t>未支付金额如仅为因质量保障计划按合理比率</w:t>
      </w:r>
      <w:r>
        <w:rPr>
          <w:rFonts w:hint="eastAsia" w:ascii="仿宋_GB2312" w:eastAsia="仿宋_GB2312" w:cs="Calibri"/>
          <w:bCs/>
          <w:color w:val="auto"/>
          <w:sz w:val="32"/>
          <w:szCs w:val="32"/>
          <w:highlight w:val="none"/>
        </w:rPr>
        <w:t>（10%及以内）</w:t>
      </w:r>
      <w:r>
        <w:rPr>
          <w:rFonts w:ascii="仿宋_GB2312" w:eastAsia="仿宋_GB2312" w:cs="Calibri"/>
          <w:bCs/>
          <w:color w:val="auto"/>
          <w:sz w:val="32"/>
          <w:szCs w:val="32"/>
          <w:highlight w:val="none"/>
        </w:rPr>
        <w:t>计算的质保金，视同项目投入金额计算（如属分期付款而非质保金，不予确认）。</w:t>
      </w:r>
    </w:p>
    <w:p>
      <w:pPr>
        <w:spacing w:after="0" w:line="560" w:lineRule="exact"/>
        <w:ind w:firstLine="642" w:firstLineChars="200"/>
        <w:rPr>
          <w:rFonts w:ascii="仿宋_GB2312" w:eastAsia="仿宋_GB2312" w:cs="Calibri"/>
          <w:bCs/>
          <w:color w:val="auto"/>
          <w:sz w:val="32"/>
          <w:szCs w:val="32"/>
          <w:highlight w:val="none"/>
        </w:rPr>
      </w:pPr>
      <w:r>
        <w:rPr>
          <w:rFonts w:hint="eastAsia" w:ascii="仿宋_GB2312" w:eastAsia="仿宋_GB2312" w:cs="Calibri"/>
          <w:b/>
          <w:bCs w:val="0"/>
          <w:color w:val="auto"/>
          <w:sz w:val="32"/>
          <w:szCs w:val="32"/>
          <w:highlight w:val="none"/>
        </w:rPr>
        <w:t>13</w:t>
      </w:r>
      <w:r>
        <w:rPr>
          <w:rFonts w:ascii="仿宋_GB2312" w:eastAsia="仿宋_GB2312" w:cs="Calibri"/>
          <w:b/>
          <w:bCs w:val="0"/>
          <w:color w:val="auto"/>
          <w:sz w:val="32"/>
          <w:szCs w:val="32"/>
          <w:highlight w:val="none"/>
        </w:rPr>
        <w:t>.</w:t>
      </w:r>
      <w:r>
        <w:rPr>
          <w:rFonts w:ascii="仿宋_GB2312" w:eastAsia="仿宋_GB2312" w:cs="Calibri"/>
          <w:bCs/>
          <w:color w:val="auto"/>
          <w:sz w:val="32"/>
          <w:szCs w:val="32"/>
          <w:highlight w:val="none"/>
        </w:rPr>
        <w:t>对于未盘点到设备实物的支出或未投入使用的设备，不予以确认</w:t>
      </w:r>
      <w:r>
        <w:rPr>
          <w:rFonts w:hint="eastAsia" w:ascii="仿宋_GB2312" w:eastAsia="仿宋_GB2312" w:cs="Calibri"/>
          <w:bCs/>
          <w:color w:val="auto"/>
          <w:sz w:val="32"/>
          <w:szCs w:val="32"/>
          <w:highlight w:val="none"/>
        </w:rPr>
        <w:t>。</w:t>
      </w:r>
      <w:r>
        <w:rPr>
          <w:rFonts w:hint="eastAsia" w:ascii="仿宋_GB2312" w:hAnsi="宋体" w:eastAsia="仿宋_GB2312" w:cs="宋体"/>
          <w:color w:val="auto"/>
          <w:kern w:val="0"/>
          <w:sz w:val="32"/>
          <w:szCs w:val="32"/>
          <w:highlight w:val="none"/>
          <w:lang w:bidi="ar"/>
        </w:rPr>
        <w:t>原则上设备</w:t>
      </w:r>
      <w:r>
        <w:rPr>
          <w:rFonts w:hint="eastAsia" w:ascii="仿宋_GB2312" w:eastAsia="仿宋_GB2312" w:cs="Calibri"/>
          <w:color w:val="auto"/>
          <w:sz w:val="32"/>
          <w:szCs w:val="32"/>
          <w:highlight w:val="none"/>
          <w:lang w:bidi="ar"/>
        </w:rPr>
        <w:t>应</w:t>
      </w:r>
      <w:r>
        <w:rPr>
          <w:rFonts w:hint="eastAsia" w:ascii="仿宋_GB2312" w:hAnsi="宋体" w:eastAsia="仿宋_GB2312" w:cs="宋体"/>
          <w:color w:val="auto"/>
          <w:kern w:val="0"/>
          <w:sz w:val="32"/>
          <w:szCs w:val="32"/>
          <w:highlight w:val="none"/>
        </w:rPr>
        <w:t>放置在项目申报单位所属场地（关联公司也不予认可），</w:t>
      </w:r>
      <w:r>
        <w:rPr>
          <w:rFonts w:hint="eastAsia" w:ascii="仿宋_GB2312" w:eastAsia="仿宋_GB2312" w:cs="Calibri"/>
          <w:color w:val="auto"/>
          <w:sz w:val="32"/>
          <w:szCs w:val="32"/>
          <w:highlight w:val="none"/>
          <w:lang w:bidi="ar"/>
        </w:rPr>
        <w:t>确因实际需要，设备放置在别处的，审计机构应根据申报单位提供的相关协议、设备转交协议等材料，确认与申报项目的关联性、真实性，以及设备的所有权依然归属于申报单位，审计机构在审计报告中要备注设备的实际使用方。</w:t>
      </w:r>
    </w:p>
    <w:p>
      <w:pPr>
        <w:spacing w:after="0" w:line="560" w:lineRule="exact"/>
        <w:ind w:firstLine="642" w:firstLineChars="200"/>
        <w:rPr>
          <w:rFonts w:ascii="仿宋_GB2312" w:eastAsia="仿宋_GB2312" w:cs="Calibri"/>
          <w:color w:val="auto"/>
          <w:sz w:val="32"/>
          <w:szCs w:val="32"/>
          <w:highlight w:val="none"/>
          <w:lang w:bidi="ar"/>
        </w:rPr>
      </w:pPr>
      <w:r>
        <w:rPr>
          <w:rFonts w:hint="eastAsia" w:ascii="仿宋_GB2312" w:eastAsia="仿宋_GB2312" w:cs="Calibri"/>
          <w:b/>
          <w:bCs/>
          <w:color w:val="auto"/>
          <w:sz w:val="32"/>
          <w:szCs w:val="32"/>
          <w:highlight w:val="none"/>
          <w:lang w:bidi="ar"/>
        </w:rPr>
        <w:t>14.</w:t>
      </w:r>
      <w:r>
        <w:rPr>
          <w:rFonts w:hint="eastAsia" w:ascii="仿宋_GB2312" w:eastAsia="仿宋_GB2312" w:cs="Calibri"/>
          <w:bCs/>
          <w:color w:val="auto"/>
          <w:sz w:val="32"/>
          <w:szCs w:val="32"/>
          <w:highlight w:val="none"/>
        </w:rPr>
        <w:t>扶持项目费用按认定规则划定范围，其他未明确事宜，以区人工智能（机器人）署与第三方审计机构进一步商议确认为准</w:t>
      </w:r>
      <w:r>
        <w:rPr>
          <w:rFonts w:hint="eastAsia" w:ascii="仿宋_GB2312" w:eastAsia="仿宋_GB2312" w:cs="Calibri"/>
          <w:color w:val="auto"/>
          <w:sz w:val="32"/>
          <w:szCs w:val="32"/>
          <w:highlight w:val="none"/>
          <w:lang w:bidi="ar"/>
        </w:rPr>
        <w:t>。</w:t>
      </w:r>
    </w:p>
    <w:p>
      <w:pPr>
        <w:pageBreakBefore w:val="0"/>
        <w:widowControl w:val="0"/>
        <w:kinsoku/>
        <w:wordWrap/>
        <w:overflowPunct/>
        <w:topLinePunct w:val="0"/>
        <w:autoSpaceDN/>
        <w:bidi w:val="0"/>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rPr>
        <w:t>、审计报告内容</w:t>
      </w:r>
    </w:p>
    <w:p>
      <w:pPr>
        <w:pageBreakBefore w:val="0"/>
        <w:widowControl w:val="0"/>
        <w:kinsoku/>
        <w:wordWrap/>
        <w:overflowPunct/>
        <w:topLinePunct w:val="0"/>
        <w:autoSpaceDN/>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hAnsi="Calibri" w:eastAsia="仿宋_GB2312" w:cs="Calibri"/>
          <w:b w:val="0"/>
          <w:bCs w:val="0"/>
          <w:color w:val="auto"/>
          <w:kern w:val="2"/>
          <w:sz w:val="32"/>
          <w:szCs w:val="32"/>
          <w:highlight w:val="none"/>
          <w:lang w:val="en-US" w:eastAsia="zh-CN" w:bidi="ar"/>
        </w:rPr>
        <w:t>审计报告内容</w:t>
      </w:r>
      <w:r>
        <w:rPr>
          <w:rFonts w:hint="eastAsia" w:ascii="仿宋_GB2312" w:eastAsia="仿宋_GB2312"/>
          <w:color w:val="auto"/>
          <w:sz w:val="32"/>
          <w:szCs w:val="32"/>
          <w:highlight w:val="none"/>
        </w:rPr>
        <w:t>包括但不限于以下内容：</w:t>
      </w:r>
    </w:p>
    <w:p>
      <w:pPr>
        <w:pageBreakBefore w:val="0"/>
        <w:widowControl w:val="0"/>
        <w:kinsoku/>
        <w:wordWrap/>
        <w:overflowPunct/>
        <w:topLinePunct w:val="0"/>
        <w:autoSpaceDN/>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default" w:ascii="仿宋_GB2312" w:eastAsia="仿宋_GB2312"/>
          <w:color w:val="auto"/>
          <w:sz w:val="32"/>
          <w:szCs w:val="32"/>
          <w:highlight w:val="none"/>
        </w:rPr>
        <w:t>申报单位</w:t>
      </w:r>
      <w:r>
        <w:rPr>
          <w:rFonts w:hint="eastAsia" w:ascii="仿宋_GB2312" w:eastAsia="仿宋_GB2312"/>
          <w:color w:val="auto"/>
          <w:sz w:val="32"/>
          <w:szCs w:val="32"/>
          <w:highlight w:val="none"/>
        </w:rPr>
        <w:t>基本情况。成立时间、注册资本、注册地址、经营范围、股东信息、企业类型、法定代表人、主要经济指标等。</w:t>
      </w:r>
    </w:p>
    <w:p>
      <w:pPr>
        <w:pageBreakBefore w:val="0"/>
        <w:widowControl w:val="0"/>
        <w:kinsoku/>
        <w:wordWrap/>
        <w:overflowPunct/>
        <w:topLinePunct w:val="0"/>
        <w:autoSpaceDN/>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2.项目基本情况。项目名称、项目地点、</w:t>
      </w:r>
      <w:r>
        <w:rPr>
          <w:rFonts w:hint="eastAsia" w:ascii="仿宋_GB2312" w:eastAsia="仿宋_GB2312"/>
          <w:color w:val="auto"/>
          <w:sz w:val="32"/>
          <w:szCs w:val="32"/>
          <w:highlight w:val="none"/>
          <w:lang w:eastAsia="zh-CN"/>
        </w:rPr>
        <w:t>项目</w:t>
      </w:r>
      <w:r>
        <w:rPr>
          <w:rFonts w:hint="default" w:ascii="仿宋_GB2312" w:eastAsia="仿宋_GB2312"/>
          <w:color w:val="auto"/>
          <w:sz w:val="32"/>
          <w:szCs w:val="32"/>
          <w:highlight w:val="none"/>
          <w:lang w:eastAsia="zh-CN"/>
        </w:rPr>
        <w:t>周期</w:t>
      </w:r>
      <w:r>
        <w:rPr>
          <w:rFonts w:hint="eastAsia" w:ascii="仿宋_GB2312" w:eastAsia="仿宋_GB2312"/>
          <w:color w:val="auto"/>
          <w:sz w:val="32"/>
          <w:szCs w:val="32"/>
          <w:highlight w:val="none"/>
        </w:rPr>
        <w:t>、项目主要内容</w:t>
      </w:r>
      <w:r>
        <w:rPr>
          <w:rFonts w:hint="default" w:ascii="仿宋_GB2312" w:eastAsia="仿宋_GB2312"/>
          <w:color w:val="auto"/>
          <w:sz w:val="32"/>
          <w:szCs w:val="32"/>
          <w:highlight w:val="none"/>
        </w:rPr>
        <w:t>及意义、项目投入情况</w:t>
      </w:r>
      <w:r>
        <w:rPr>
          <w:rFonts w:hint="eastAsia" w:ascii="仿宋_GB2312" w:eastAsia="仿宋_GB2312"/>
          <w:color w:val="auto"/>
          <w:sz w:val="32"/>
          <w:szCs w:val="32"/>
          <w:highlight w:val="none"/>
        </w:rPr>
        <w:t>等。</w:t>
      </w:r>
    </w:p>
    <w:p>
      <w:pPr>
        <w:pageBreakBefore w:val="0"/>
        <w:widowControl w:val="0"/>
        <w:kinsoku/>
        <w:wordWrap/>
        <w:overflowPunct/>
        <w:topLinePunct w:val="0"/>
        <w:autoSpaceDN/>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项目审计情况。一是限制性条件审查</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二</w:t>
      </w:r>
      <w:r>
        <w:rPr>
          <w:rFonts w:hint="eastAsia" w:ascii="仿宋_GB2312" w:eastAsia="仿宋_GB2312"/>
          <w:color w:val="auto"/>
          <w:sz w:val="32"/>
          <w:szCs w:val="32"/>
          <w:highlight w:val="none"/>
        </w:rPr>
        <w:t>是项目投资情况。项目申报投资额、经审计符合申报规定的投资及其构成。</w:t>
      </w:r>
      <w:r>
        <w:rPr>
          <w:rFonts w:hint="eastAsia" w:ascii="仿宋_GB2312" w:eastAsia="仿宋_GB2312"/>
          <w:color w:val="auto"/>
          <w:sz w:val="32"/>
          <w:szCs w:val="32"/>
          <w:highlight w:val="none"/>
          <w:lang w:val="en-US" w:eastAsia="zh-CN"/>
        </w:rPr>
        <w:t>三</w:t>
      </w:r>
      <w:r>
        <w:rPr>
          <w:rFonts w:hint="eastAsia" w:ascii="仿宋_GB2312" w:eastAsia="仿宋_GB2312"/>
          <w:color w:val="auto"/>
          <w:sz w:val="32"/>
          <w:szCs w:val="32"/>
          <w:highlight w:val="none"/>
        </w:rPr>
        <w:t>是审计结论。</w:t>
      </w:r>
    </w:p>
    <w:p>
      <w:pPr>
        <w:pStyle w:val="5"/>
        <w:pageBreakBefore w:val="0"/>
        <w:widowControl w:val="0"/>
        <w:kinsoku/>
        <w:wordWrap/>
        <w:overflowPunct/>
        <w:topLinePunct w:val="0"/>
        <w:autoSpaceDN/>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.其他事项说明。</w:t>
      </w:r>
      <w:r>
        <w:rPr>
          <w:rFonts w:hint="eastAsia" w:ascii="仿宋_GB2312" w:eastAsia="仿宋_GB2312"/>
          <w:color w:val="auto"/>
          <w:sz w:val="32"/>
          <w:szCs w:val="32"/>
          <w:highlight w:val="none"/>
          <w:lang w:eastAsia="zh-CN"/>
        </w:rPr>
        <w:t>并</w:t>
      </w:r>
      <w:r>
        <w:rPr>
          <w:rFonts w:hint="eastAsia" w:ascii="仿宋_GB2312" w:eastAsia="仿宋_GB2312"/>
          <w:color w:val="auto"/>
          <w:sz w:val="32"/>
          <w:szCs w:val="32"/>
          <w:highlight w:val="none"/>
        </w:rPr>
        <w:t>附</w:t>
      </w:r>
      <w:r>
        <w:rPr>
          <w:rFonts w:hint="eastAsia" w:ascii="仿宋_GB2312" w:hAnsi="宋体" w:eastAsia="仿宋_GB2312" w:cs="宋体"/>
          <w:b w:val="0"/>
          <w:bCs w:val="0"/>
          <w:color w:val="auto"/>
          <w:kern w:val="0"/>
          <w:sz w:val="32"/>
          <w:szCs w:val="32"/>
          <w:highlight w:val="none"/>
          <w:lang w:eastAsia="zh-CN" w:bidi="ar"/>
        </w:rPr>
        <w:t>《</w:t>
      </w:r>
      <w:r>
        <w:rPr>
          <w:rFonts w:hint="eastAsia" w:ascii="仿宋_GB2312" w:hAnsi="宋体" w:eastAsia="仿宋_GB2312" w:cs="宋体"/>
          <w:color w:val="auto"/>
          <w:kern w:val="0"/>
          <w:sz w:val="32"/>
          <w:szCs w:val="32"/>
          <w:highlight w:val="none"/>
        </w:rPr>
        <w:t>项目</w:t>
      </w:r>
      <w:r>
        <w:rPr>
          <w:rFonts w:hint="default" w:ascii="仿宋_GB2312" w:hAnsi="宋体" w:eastAsia="仿宋_GB2312" w:cs="宋体"/>
          <w:color w:val="auto"/>
          <w:kern w:val="0"/>
          <w:sz w:val="32"/>
          <w:szCs w:val="32"/>
          <w:highlight w:val="none"/>
        </w:rPr>
        <w:t>投入与审核</w:t>
      </w:r>
      <w:r>
        <w:rPr>
          <w:rFonts w:hint="eastAsia" w:ascii="仿宋_GB2312" w:hAnsi="宋体" w:eastAsia="仿宋_GB2312" w:cs="宋体"/>
          <w:color w:val="auto"/>
          <w:kern w:val="0"/>
          <w:sz w:val="32"/>
          <w:szCs w:val="32"/>
          <w:highlight w:val="none"/>
        </w:rPr>
        <w:t>费用明细</w:t>
      </w:r>
      <w:r>
        <w:rPr>
          <w:rFonts w:hint="default" w:ascii="仿宋_GB2312" w:hAnsi="宋体" w:eastAsia="仿宋_GB2312" w:cs="宋体"/>
          <w:color w:val="auto"/>
          <w:kern w:val="0"/>
          <w:sz w:val="32"/>
          <w:szCs w:val="32"/>
          <w:highlight w:val="none"/>
        </w:rPr>
        <w:t>表</w:t>
      </w:r>
      <w:r>
        <w:rPr>
          <w:rFonts w:hint="eastAsia" w:ascii="仿宋_GB2312" w:hAnsi="宋体" w:eastAsia="仿宋_GB2312" w:cs="宋体"/>
          <w:b w:val="0"/>
          <w:bCs w:val="0"/>
          <w:color w:val="auto"/>
          <w:kern w:val="0"/>
          <w:sz w:val="32"/>
          <w:szCs w:val="32"/>
          <w:highlight w:val="none"/>
          <w:lang w:eastAsia="zh-CN" w:bidi="ar"/>
        </w:rPr>
        <w:t>》</w:t>
      </w:r>
      <w:r>
        <w:rPr>
          <w:rFonts w:hint="eastAsia" w:ascii="仿宋_GB2312" w:eastAsia="仿宋_GB2312"/>
          <w:color w:val="auto"/>
          <w:sz w:val="32"/>
          <w:szCs w:val="32"/>
          <w:highlight w:val="none"/>
        </w:rPr>
        <w:t>等相关附件。</w:t>
      </w:r>
    </w:p>
    <w:p>
      <w:pPr>
        <w:rPr>
          <w:color w:val="auto"/>
          <w:highlight w:val="none"/>
        </w:rPr>
      </w:pPr>
    </w:p>
    <w:bookmarkEnd w:id="0"/>
    <w:sectPr>
      <w:footerReference r:id="rId4" w:type="first"/>
      <w:footerReference r:id="rId3" w:type="default"/>
      <w:pgSz w:w="11906" w:h="16838"/>
      <w:pgMar w:top="1440" w:right="1417" w:bottom="1440" w:left="141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
    <w:altName w:val="C059"/>
    <w:panose1 w:val="00000000000000000000"/>
    <w:charset w:val="00"/>
    <w:family w:val="roman"/>
    <w:pitch w:val="default"/>
    <w:sig w:usb0="00000000" w:usb1="00000000" w:usb2="00000000" w:usb3="00000000" w:csb0="00000001"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center"/>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8"/>
                      <w:jc w:val="center"/>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4FF61B8"/>
    <w:rsid w:val="036C34DA"/>
    <w:rsid w:val="04C74740"/>
    <w:rsid w:val="06316315"/>
    <w:rsid w:val="06FD54E4"/>
    <w:rsid w:val="0A116B8A"/>
    <w:rsid w:val="0BAB4DBC"/>
    <w:rsid w:val="0BCB4508"/>
    <w:rsid w:val="0E680D42"/>
    <w:rsid w:val="14D013EF"/>
    <w:rsid w:val="1566684E"/>
    <w:rsid w:val="15F37B2E"/>
    <w:rsid w:val="16AF39B2"/>
    <w:rsid w:val="19F753D5"/>
    <w:rsid w:val="1CB51E02"/>
    <w:rsid w:val="1EBC0966"/>
    <w:rsid w:val="1FDB75C6"/>
    <w:rsid w:val="23045086"/>
    <w:rsid w:val="24F15196"/>
    <w:rsid w:val="25956469"/>
    <w:rsid w:val="266D4CF0"/>
    <w:rsid w:val="2B632B65"/>
    <w:rsid w:val="2BC5112A"/>
    <w:rsid w:val="34717CB6"/>
    <w:rsid w:val="372F1B4E"/>
    <w:rsid w:val="392456E2"/>
    <w:rsid w:val="3986639D"/>
    <w:rsid w:val="3CA64A67"/>
    <w:rsid w:val="3DE43018"/>
    <w:rsid w:val="3E86299B"/>
    <w:rsid w:val="3EDFFF57"/>
    <w:rsid w:val="3EFD1D1E"/>
    <w:rsid w:val="40223925"/>
    <w:rsid w:val="42CF527F"/>
    <w:rsid w:val="44BF6C07"/>
    <w:rsid w:val="474927B8"/>
    <w:rsid w:val="47C14A44"/>
    <w:rsid w:val="50106568"/>
    <w:rsid w:val="50F419E6"/>
    <w:rsid w:val="536746F1"/>
    <w:rsid w:val="53D6646D"/>
    <w:rsid w:val="54083864"/>
    <w:rsid w:val="548B08B3"/>
    <w:rsid w:val="552906BC"/>
    <w:rsid w:val="585316E8"/>
    <w:rsid w:val="58CA7BFC"/>
    <w:rsid w:val="58F3101F"/>
    <w:rsid w:val="599C2C1B"/>
    <w:rsid w:val="5A44578C"/>
    <w:rsid w:val="5B9E16D8"/>
    <w:rsid w:val="5C967DF5"/>
    <w:rsid w:val="5E8C7702"/>
    <w:rsid w:val="5F5961A4"/>
    <w:rsid w:val="5F9920D6"/>
    <w:rsid w:val="5FF90DC7"/>
    <w:rsid w:val="5FFF1741"/>
    <w:rsid w:val="60561D75"/>
    <w:rsid w:val="62122B2A"/>
    <w:rsid w:val="633453C9"/>
    <w:rsid w:val="64140789"/>
    <w:rsid w:val="64850E7B"/>
    <w:rsid w:val="665E1984"/>
    <w:rsid w:val="669DE4FD"/>
    <w:rsid w:val="69DC3AF7"/>
    <w:rsid w:val="6BCF9899"/>
    <w:rsid w:val="6BD34BC2"/>
    <w:rsid w:val="6D4D4500"/>
    <w:rsid w:val="6F655B31"/>
    <w:rsid w:val="70B56644"/>
    <w:rsid w:val="71ED0060"/>
    <w:rsid w:val="71FFB364"/>
    <w:rsid w:val="721D6B97"/>
    <w:rsid w:val="73AF1A71"/>
    <w:rsid w:val="746565D3"/>
    <w:rsid w:val="79BF22E2"/>
    <w:rsid w:val="7CBC0D5A"/>
    <w:rsid w:val="7DEE373A"/>
    <w:rsid w:val="7F76DB7E"/>
    <w:rsid w:val="94FF61B8"/>
    <w:rsid w:val="9EFF202E"/>
    <w:rsid w:val="AD7F948E"/>
    <w:rsid w:val="BF72536A"/>
    <w:rsid w:val="BF7F6558"/>
    <w:rsid w:val="BFBD755A"/>
    <w:rsid w:val="DEB503A6"/>
    <w:rsid w:val="DFD97485"/>
    <w:rsid w:val="E3DE4970"/>
    <w:rsid w:val="E654D7AD"/>
    <w:rsid w:val="EC727A99"/>
    <w:rsid w:val="FDDEABEC"/>
    <w:rsid w:val="FFFD7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6" w:lineRule="auto"/>
      <w:outlineLvl w:val="0"/>
    </w:pPr>
    <w:rPr>
      <w:rFonts w:cs="宋体"/>
      <w:b/>
      <w:bCs/>
      <w:kern w:val="44"/>
      <w:sz w:val="32"/>
      <w:szCs w:val="44"/>
    </w:rPr>
  </w:style>
  <w:style w:type="paragraph" w:styleId="2">
    <w:name w:val="heading 2"/>
    <w:basedOn w:val="1"/>
    <w:next w:val="1"/>
    <w:unhideWhenUsed/>
    <w:qFormat/>
    <w:uiPriority w:val="9"/>
    <w:pPr>
      <w:keepNext/>
      <w:keepLines/>
      <w:spacing w:before="260" w:after="260" w:line="415" w:lineRule="auto"/>
      <w:outlineLvl w:val="1"/>
    </w:pPr>
    <w:rPr>
      <w:rFonts w:ascii="Cambria" w:hAnsi="Cambria" w:eastAsia="仿宋" w:cs="Times New Roman"/>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3"/>
    <w:pPr>
      <w:spacing w:line="540" w:lineRule="exact"/>
      <w:jc w:val="left"/>
    </w:pPr>
    <w:rPr>
      <w:rFonts w:ascii="楷体_GB2312" w:eastAsia="楷体_GB2312"/>
    </w:rPr>
  </w:style>
  <w:style w:type="paragraph" w:styleId="6">
    <w:name w:val="Title"/>
    <w:basedOn w:val="1"/>
    <w:next w:val="1"/>
    <w:qFormat/>
    <w:uiPriority w:val="99"/>
    <w:pPr>
      <w:jc w:val="center"/>
    </w:pPr>
    <w:rPr>
      <w:rFonts w:ascii="方正小标宋简体" w:hAnsi="方正小标宋简体" w:eastAsia="方正小标宋简体" w:cs="方正小标宋简体"/>
      <w:sz w:val="44"/>
      <w:szCs w:val="44"/>
      <w:lang w:eastAsia="zh-CN" w:bidi="ar-SA"/>
    </w:rPr>
  </w:style>
  <w:style w:type="paragraph" w:styleId="7">
    <w:name w:val="Plain Text"/>
    <w:basedOn w:val="1"/>
    <w:unhideWhenUsed/>
    <w:qFormat/>
    <w:uiPriority w:val="99"/>
    <w:rPr>
      <w:rFonts w:ascii="宋体" w:hAnsi="Courier New" w:eastAsia="宋体" w:cs="Courier New"/>
      <w:szCs w:val="24"/>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jc w:val="left"/>
    </w:pPr>
    <w:rPr>
      <w:rFonts w:ascii="Calibri" w:hAnsi="Calibri"/>
      <w:kern w:val="0"/>
      <w:sz w:val="24"/>
      <w:szCs w:val="24"/>
    </w:rPr>
  </w:style>
  <w:style w:type="character" w:styleId="13">
    <w:name w:val="Strong"/>
    <w:qFormat/>
    <w:uiPriority w:val="22"/>
    <w:rPr>
      <w:b/>
      <w:bCs/>
    </w:rPr>
  </w:style>
  <w:style w:type="paragraph" w:styleId="14">
    <w:name w:val="List Paragraph"/>
    <w:basedOn w:val="1"/>
    <w:qFormat/>
    <w:uiPriority w:val="99"/>
    <w:pPr>
      <w:ind w:firstLine="420" w:firstLineChars="200"/>
    </w:pPr>
  </w:style>
  <w:style w:type="paragraph" w:customStyle="1" w:styleId="15">
    <w:name w:val="列表段落1"/>
    <w:basedOn w:val="1"/>
    <w:unhideWhenUsed/>
    <w:qFormat/>
    <w:uiPriority w:val="99"/>
    <w:pPr>
      <w:ind w:firstLine="420" w:firstLineChars="200"/>
    </w:pPr>
  </w:style>
  <w:style w:type="paragraph" w:customStyle="1" w:styleId="16">
    <w:name w:val="【正文】"/>
    <w:basedOn w:val="17"/>
    <w:qFormat/>
    <w:uiPriority w:val="0"/>
    <w:pPr>
      <w:adjustRightInd w:val="0"/>
      <w:snapToGrid w:val="0"/>
      <w:spacing w:line="560" w:lineRule="exact"/>
      <w:ind w:firstLine="200" w:firstLineChars="200"/>
    </w:pPr>
    <w:rPr>
      <w:rFonts w:ascii="仿宋_GB2312" w:hAnsi="宋体" w:eastAsia="仿宋_GB2312" w:cs="宋体"/>
      <w:sz w:val="32"/>
      <w:szCs w:val="32"/>
    </w:rPr>
  </w:style>
  <w:style w:type="paragraph" w:customStyle="1" w:styleId="17">
    <w:name w:val="正文_0"/>
    <w:basedOn w:val="1"/>
    <w:next w:val="5"/>
    <w:qFormat/>
    <w:uiPriority w:val="0"/>
    <w:pPr>
      <w:spacing w:line="240" w:lineRule="auto"/>
      <w:ind w:firstLine="0" w:firstLineChars="0"/>
    </w:pPr>
    <w:rPr>
      <w:rFonts w:ascii="Times New Roman" w:hAnsi="Times New Roman" w:eastAsia="宋体" w:cs="Times New Roman"/>
      <w:sz w:val="21"/>
      <w:szCs w:val="21"/>
      <w14:ligatures w14:val="none"/>
    </w:rPr>
  </w:style>
  <w:style w:type="paragraph" w:customStyle="1" w:styleId="18">
    <w:name w:val="纯文本1"/>
    <w:basedOn w:val="1"/>
    <w:qFormat/>
    <w:uiPriority w:val="0"/>
    <w:rPr>
      <w:rFonts w:ascii="宋体" w:hAnsi="Courier New" w:eastAsia="宋体" w:cs="Courier Ne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3754</Words>
  <Characters>3802</Characters>
  <Lines>0</Lines>
  <Paragraphs>0</Paragraphs>
  <TotalTime>15</TotalTime>
  <ScaleCrop>false</ScaleCrop>
  <LinksUpToDate>false</LinksUpToDate>
  <CharactersWithSpaces>3802</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2025-07-18T17:12:00Z</dcterms:created>
  <dc:creator>陈珏然</dc:creator>
  <cp:lastModifiedBy>陈珏然</cp:lastModifiedBy>
  <dcterms:modified xsi:type="dcterms:W3CDTF">2025-09-26T12:05:30Z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2863160EB2F366900A4E78682FFBE3FD</vt:lpwstr>
  </property>
  <property fmtid="{D5CDD505-2E9C-101B-9397-08002B2CF9AE}" pid="4" name="KSOTemplateDocerSaveRecord">
    <vt:lpwstr>eyJoZGlkIjoiNDAzNjM4Yzg0YTJjNmVlMDFmNDJlMjRkZGVkY2M5MGIiLCJ1c2VySWQiOiIxMzc4NjUxMzYxIn0=</vt:lpwstr>
  </property>
</Properties>
</file>