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cente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28"/>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6"/>
          <w:szCs w:val="36"/>
          <w:lang w:val="en-US" w:eastAsia="zh-CN" w:bidi="ar-SA"/>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lang w:val="en-US" w:eastAsia="zh-CN" w:bidi="ar-SA"/>
        </w:rPr>
        <w:t>深圳市龙岗区第七人民医院2025年在职工会会员、退休员工中秋节慰问品采购项目</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lang w:val="en-US" w:eastAsia="zh-CN"/>
        </w:rPr>
        <w:t>深龙七医采[LGQY2025GH001]</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lang w:val="en-US" w:eastAsia="zh-CN"/>
        </w:rPr>
        <w:t>货物</w:t>
      </w:r>
      <w:r>
        <w:rPr>
          <w:rFonts w:hint="eastAsia" w:ascii="仿宋_GB2312" w:hAnsi="仿宋_GB2312" w:eastAsia="仿宋_GB2312" w:cs="仿宋_GB2312"/>
          <w:sz w:val="36"/>
          <w:szCs w:val="36"/>
        </w:rPr>
        <w:t>类</w:t>
      </w:r>
    </w:p>
    <w:p>
      <w:pPr>
        <w:snapToGrid w:val="0"/>
        <w:spacing w:line="360" w:lineRule="auto"/>
        <w:rPr>
          <w:rFonts w:hint="default" w:eastAsia="仿宋_GB2312"/>
          <w:lang w:val="en-US" w:eastAsia="zh-CN"/>
        </w:rPr>
      </w:pPr>
      <w:r>
        <w:rPr>
          <w:rFonts w:hint="eastAsia" w:ascii="仿宋_GB2312" w:hAnsi="仿宋_GB2312" w:eastAsia="仿宋_GB2312" w:cs="仿宋_GB2312"/>
          <w:b/>
          <w:bCs/>
          <w:sz w:val="36"/>
          <w:szCs w:val="36"/>
          <w:lang w:val="en-US" w:eastAsia="zh-CN"/>
        </w:rPr>
        <w:t>预计</w:t>
      </w: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lang w:val="en-US" w:eastAsia="zh-CN"/>
        </w:rPr>
        <w:t>377份（以实际采购数量为准）</w:t>
      </w:r>
    </w:p>
    <w:p>
      <w:pPr>
        <w:snapToGrid w:val="0"/>
        <w:spacing w:line="360" w:lineRule="auto"/>
        <w:jc w:val="left"/>
        <w:rPr>
          <w:rFonts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sz w:val="36"/>
          <w:szCs w:val="36"/>
          <w:lang w:val="en-US" w:eastAsia="zh-CN"/>
        </w:rPr>
        <w:t>18.85万元</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2"/>
        <w:rPr>
          <w:rFonts w:hint="default"/>
        </w:rPr>
      </w:pPr>
    </w:p>
    <w:p>
      <w:pPr>
        <w:pStyle w:val="12"/>
        <w:rPr>
          <w:rFonts w:hint="default"/>
          <w:szCs w:val="20"/>
        </w:rPr>
      </w:pPr>
    </w:p>
    <w:p>
      <w:pPr>
        <w:pStyle w:val="6"/>
      </w:pPr>
    </w:p>
    <w:p/>
    <w:p>
      <w:pPr>
        <w:pStyle w:val="4"/>
      </w:pPr>
    </w:p>
    <w:p/>
    <w:p>
      <w:pPr>
        <w:pStyle w:val="4"/>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pStyle w:val="28"/>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sz w:val="40"/>
          <w:szCs w:val="40"/>
          <w:lang w:val="en-US" w:eastAsia="zh-CN"/>
        </w:rPr>
      </w:pPr>
      <w:r>
        <w:rPr>
          <w:rFonts w:hint="eastAsia" w:ascii="宋体" w:hAnsi="宋体" w:eastAsia="宋体"/>
          <w:sz w:val="40"/>
          <w:szCs w:val="40"/>
          <w:lang w:val="en-US" w:eastAsia="zh-CN"/>
        </w:rPr>
        <w:t>深圳市龙岗区第七人民医院关于2025年在职工会会员、退休员工中秋节慰问品采购项目</w:t>
      </w:r>
    </w:p>
    <w:p>
      <w:pPr>
        <w:pStyle w:val="28"/>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sz w:val="40"/>
          <w:szCs w:val="40"/>
          <w:lang w:val="en-US" w:eastAsia="zh-CN"/>
        </w:rPr>
      </w:pPr>
      <w:r>
        <w:rPr>
          <w:rFonts w:hint="eastAsia" w:ascii="宋体" w:hAnsi="宋体" w:eastAsia="宋体"/>
          <w:sz w:val="40"/>
          <w:szCs w:val="40"/>
          <w:lang w:val="en-US" w:eastAsia="zh-CN"/>
        </w:rPr>
        <w:t>院内公开采购的公告</w:t>
      </w:r>
    </w:p>
    <w:p>
      <w:pPr>
        <w:spacing w:line="48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hAnsi="宋体" w:eastAsia="仿宋_GB2312"/>
          <w:sz w:val="28"/>
          <w:szCs w:val="28"/>
        </w:rPr>
        <w:t>根据政府采</w:t>
      </w:r>
      <w:r>
        <w:rPr>
          <w:rFonts w:hint="eastAsia" w:ascii="仿宋_GB2312" w:hAnsi="宋体" w:eastAsia="仿宋_GB2312"/>
          <w:sz w:val="28"/>
          <w:szCs w:val="28"/>
          <w:lang w:eastAsia="zh-CN"/>
        </w:rPr>
        <w:t>购的</w:t>
      </w:r>
      <w:r>
        <w:rPr>
          <w:rFonts w:hint="eastAsia" w:ascii="仿宋_GB2312" w:hAnsi="宋体" w:eastAsia="仿宋_GB2312"/>
          <w:sz w:val="28"/>
          <w:szCs w:val="28"/>
        </w:rPr>
        <w:t>相关规定和《深圳市龙岗区第七人民医院采购管理办法》的有关规定，</w:t>
      </w:r>
      <w:r>
        <w:rPr>
          <w:rFonts w:hint="eastAsia" w:ascii="仿宋_GB2312" w:eastAsia="仿宋_GB2312"/>
          <w:sz w:val="28"/>
          <w:szCs w:val="28"/>
        </w:rPr>
        <w:t>我院拟对以下项目进行院内公开采购，欢迎符合条件具有供应能力的供应商或厂家前来报名参加。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一、采购</w:t>
      </w:r>
      <w:r>
        <w:rPr>
          <w:rFonts w:hint="eastAsia" w:ascii="仿宋_GB2312" w:eastAsia="仿宋_GB2312"/>
          <w:sz w:val="28"/>
          <w:szCs w:val="28"/>
          <w:lang w:val="en-US" w:eastAsia="zh-CN"/>
        </w:rPr>
        <w:t>项目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36"/>
          <w:szCs w:val="36"/>
          <w:lang w:val="en-US" w:eastAsia="zh-CN"/>
        </w:rPr>
      </w:pPr>
      <w:r>
        <w:rPr>
          <w:rFonts w:hint="eastAsia" w:ascii="仿宋_GB2312" w:eastAsia="仿宋_GB2312"/>
          <w:sz w:val="28"/>
          <w:szCs w:val="28"/>
          <w:lang w:val="en-US" w:eastAsia="zh-CN"/>
        </w:rPr>
        <w:t>（一）项目编号：深龙七医采[LGQY2025GH001]</w:t>
      </w:r>
    </w:p>
    <w:p>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lang w:val="en-US" w:eastAsia="zh-CN"/>
        </w:rPr>
        <w:t>二</w:t>
      </w:r>
      <w:r>
        <w:rPr>
          <w:rFonts w:hint="eastAsia" w:ascii="仿宋_GB2312" w:eastAsia="仿宋_GB2312"/>
          <w:sz w:val="28"/>
          <w:szCs w:val="28"/>
        </w:rPr>
        <w:t>）项目名</w:t>
      </w:r>
      <w:r>
        <w:rPr>
          <w:rFonts w:hint="eastAsia" w:ascii="仿宋_GB2312" w:eastAsia="仿宋_GB2312"/>
          <w:sz w:val="28"/>
          <w:szCs w:val="28"/>
          <w:lang w:val="en-US" w:eastAsia="zh-CN"/>
        </w:rPr>
        <w:t>称：深圳市龙岗区第七人民医院2025年在职工会会员、退休员工中秋节慰问品采购项目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hAnsi="Calibri" w:eastAsia="仿宋_GB2312" w:cs="黑体"/>
          <w:kern w:val="0"/>
          <w:sz w:val="28"/>
          <w:szCs w:val="28"/>
          <w:lang w:val="en-US" w:eastAsia="zh-CN" w:bidi="ar-SA"/>
        </w:rPr>
      </w:pPr>
      <w:r>
        <w:rPr>
          <w:rFonts w:hint="eastAsia" w:ascii="仿宋_GB2312" w:eastAsia="仿宋_GB2312"/>
          <w:sz w:val="28"/>
          <w:szCs w:val="28"/>
        </w:rPr>
        <w:t>（</w:t>
      </w:r>
      <w:r>
        <w:rPr>
          <w:rFonts w:hint="eastAsia" w:ascii="仿宋_GB2312" w:eastAsia="仿宋_GB2312"/>
          <w:sz w:val="28"/>
          <w:szCs w:val="28"/>
          <w:lang w:val="en-US" w:eastAsia="zh-CN"/>
        </w:rPr>
        <w:t>三</w:t>
      </w:r>
      <w:r>
        <w:rPr>
          <w:rFonts w:hint="eastAsia" w:ascii="仿宋_GB2312" w:eastAsia="仿宋_GB2312"/>
          <w:sz w:val="28"/>
          <w:szCs w:val="28"/>
        </w:rPr>
        <w:t>）</w:t>
      </w:r>
      <w:r>
        <w:rPr>
          <w:rFonts w:hint="eastAsia" w:ascii="仿宋_GB2312" w:eastAsia="仿宋_GB2312"/>
          <w:sz w:val="28"/>
          <w:szCs w:val="28"/>
          <w:lang w:val="en-US" w:eastAsia="zh-CN"/>
        </w:rPr>
        <w:t>预计</w:t>
      </w:r>
      <w:r>
        <w:rPr>
          <w:rFonts w:hint="eastAsia" w:ascii="仿宋_GB2312" w:eastAsia="仿宋_GB2312"/>
          <w:sz w:val="28"/>
          <w:szCs w:val="28"/>
        </w:rPr>
        <w:t>采购数量</w:t>
      </w:r>
      <w:r>
        <w:rPr>
          <w:rFonts w:hint="eastAsia" w:ascii="仿宋_GB2312" w:hAnsi="Calibri" w:eastAsia="仿宋_GB2312" w:cs="黑体"/>
          <w:kern w:val="0"/>
          <w:sz w:val="28"/>
          <w:szCs w:val="28"/>
          <w:lang w:val="en-US" w:eastAsia="zh-CN" w:bidi="ar-SA"/>
        </w:rPr>
        <w:t>：377份（以</w:t>
      </w:r>
      <w:r>
        <w:rPr>
          <w:rFonts w:hint="eastAsia" w:ascii="仿宋_GB2312" w:eastAsia="仿宋_GB2312" w:cs="黑体"/>
          <w:kern w:val="0"/>
          <w:sz w:val="28"/>
          <w:szCs w:val="28"/>
          <w:lang w:val="en-US" w:eastAsia="zh-CN" w:bidi="ar-SA"/>
        </w:rPr>
        <w:t>实际</w:t>
      </w:r>
      <w:r>
        <w:rPr>
          <w:rFonts w:hint="eastAsia" w:ascii="仿宋_GB2312" w:hAnsi="Calibri" w:eastAsia="仿宋_GB2312" w:cs="黑体"/>
          <w:kern w:val="0"/>
          <w:sz w:val="28"/>
          <w:szCs w:val="28"/>
          <w:lang w:val="en-US" w:eastAsia="zh-CN" w:bidi="ar-SA"/>
        </w:rPr>
        <w:t>采购数量为准）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lang w:val="en-US" w:eastAsia="zh-CN"/>
        </w:rPr>
        <w:t>四</w:t>
      </w:r>
      <w:r>
        <w:rPr>
          <w:rFonts w:hint="eastAsia" w:ascii="仿宋_GB2312" w:eastAsia="仿宋_GB2312"/>
          <w:sz w:val="28"/>
          <w:szCs w:val="28"/>
        </w:rPr>
        <w:t>）预算金额（最高上限）：</w:t>
      </w:r>
      <w:r>
        <w:rPr>
          <w:rFonts w:hint="eastAsia" w:ascii="仿宋_GB2312" w:eastAsia="仿宋_GB2312"/>
          <w:sz w:val="28"/>
          <w:szCs w:val="28"/>
          <w:lang w:val="en-US" w:eastAsia="zh-CN"/>
        </w:rPr>
        <w:t>18.85万元</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（二）本项目的特定资格要求（须按本项目投标文件格式要求提供《投标及履约承诺函》加盖投标人公章）：</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1.参与本项目采购活动前三年内，在经营活动中没有重大违法记录；</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2.参与本项目采购活动时不存在被有关部门禁止参与政府采购活动且在有效期内的情况；</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3.除单一来源采购项目外，为采购项目提供整体设计、规范编制或者项目管理、监理、检测等服务的供应商，不得再参加该采购项目的其他采购活动；</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4.参与本项目采购活动不存在与其他采购参加人串通投标，隐瞒真实情况，提供虚假资料等违法违规情形；</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7.法律、行政法规和国家有关规定对供应商从事特定经营活动有资质、资格规定的，供应商应当具备的相应条件；</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8.本项目不接受联合体投标，不允许非法分包或转包。</w:t>
      </w:r>
    </w:p>
    <w:p>
      <w:pPr>
        <w:widowControl/>
        <w:numPr>
          <w:ilvl w:val="-1"/>
          <w:numId w:val="0"/>
        </w:numPr>
        <w:spacing w:line="500" w:lineRule="exact"/>
        <w:ind w:leftChars="0" w:firstLine="560" w:firstLineChars="200"/>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（三）投标人须具有合法有效的《食品生产许可证》或《食品经营许可证》或《仅销售预包装食品备案凭证》。</w:t>
      </w:r>
    </w:p>
    <w:p>
      <w:pPr>
        <w:pStyle w:val="30"/>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所有资质文件均需在有效期内并加盖投标方公章。</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w:t>
      </w:r>
      <w:r>
        <w:rPr>
          <w:rFonts w:hint="eastAsia" w:ascii="仿宋_GB2312" w:hAnsi="仿宋_GB2312" w:eastAsia="仿宋_GB2312" w:cs="仿宋_GB2312"/>
          <w:kern w:val="2"/>
          <w:sz w:val="28"/>
          <w:szCs w:val="28"/>
          <w:lang w:val="en-US" w:eastAsia="zh-CN" w:bidi="ar-SA"/>
        </w:rPr>
        <w:t>、采购方式：院内公开招标</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四</w:t>
      </w:r>
      <w:r>
        <w:rPr>
          <w:rFonts w:hint="eastAsia" w:ascii="仿宋_GB2312" w:hAnsi="仿宋_GB2312" w:eastAsia="仿宋_GB2312" w:cs="仿宋_GB2312"/>
          <w:kern w:val="2"/>
          <w:sz w:val="28"/>
          <w:szCs w:val="28"/>
          <w:lang w:val="en-US" w:eastAsia="zh-CN" w:bidi="ar-SA"/>
        </w:rPr>
        <w:t>、评标方法：综合评分法</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五</w:t>
      </w:r>
      <w:r>
        <w:rPr>
          <w:rFonts w:hint="eastAsia" w:ascii="仿宋_GB2312" w:hAnsi="仿宋_GB2312" w:eastAsia="仿宋_GB2312" w:cs="仿宋_GB2312"/>
          <w:kern w:val="2"/>
          <w:sz w:val="28"/>
          <w:szCs w:val="28"/>
          <w:lang w:val="en-US" w:eastAsia="zh-CN" w:bidi="ar-SA"/>
        </w:rPr>
        <w:t>、投标人报名资料要求</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（一）院内采购报名表。</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（二）法定代表人参加的提供法定代表人资格证明书及个人身份证复印件；非法定代表人参加的须提供法定代表人资格证明书及法定代表人身份证复印件、法定代表人授权书及授权代表人身份证复印件。</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（三）供应商须提供具有独立承担民事责任能力的法人或其他组织或个体工商户的营业执照或法人证书等证明材料复印件或扫描件。</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（四）提供合法有效的《食品生产许可证》或《食品经营许可证》或《</w:t>
      </w:r>
      <w:r>
        <w:rPr>
          <w:rFonts w:hint="eastAsia" w:ascii="仿宋" w:hAnsi="仿宋" w:eastAsia="仿宋" w:cs="仿宋"/>
          <w:b w:val="0"/>
          <w:bCs w:val="0"/>
          <w:color w:val="auto"/>
          <w:sz w:val="28"/>
          <w:szCs w:val="28"/>
          <w:lang w:val="en-US" w:eastAsia="zh-CN"/>
        </w:rPr>
        <w:t>仅销售预包装食品备案凭证</w:t>
      </w:r>
      <w:r>
        <w:rPr>
          <w:rFonts w:hint="eastAsia" w:ascii="仿宋_GB2312" w:hAnsi="仿宋_GB2312" w:eastAsia="仿宋_GB2312" w:cs="仿宋_GB2312"/>
          <w:kern w:val="2"/>
          <w:sz w:val="28"/>
          <w:szCs w:val="28"/>
          <w:lang w:val="en-US" w:eastAsia="zh-CN" w:bidi="ar-SA"/>
        </w:rPr>
        <w:t>》（提供相关证件复印件）。</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（五）供应商基本情况表。</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（六）提供法定代表人、主要经营负责人、投标授权代表人、项目负责人（如有）、主要技术人员（如有）最近一个月的社保证明。</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（七）通过以下3个官网的信用信息查询记录网络截图件并加盖投标人公章：①信用中国②中国政府采购网③深圳市政府采购监管网。相关信息以开标当日的查询结果为准。</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（八）投标及履约承诺函。</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以上资料均需在有效期内并加盖投标方公章。本项目实行资格预审，投标人报名时将进行资格审查，未经审查或审查未通过的不能参与投标。</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六、报名截止时间及地点：2025年9月26日17:00，简竹护理院行政楼三楼招采办。</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七、递交投标文件及开标时间及地点：2025年9月28日9:30，深圳市龙岗区南湾街道吉厦社区简竹路12号简竹护理院行政楼五楼活动室（如有变动，另行通知）。</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八、联系人及联系电话：陈女士，0755-28740471。</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九、公告日期：自公告发布之日起5个工作日。</w:t>
      </w:r>
    </w:p>
    <w:p>
      <w:pPr>
        <w:pStyle w:val="3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p>
    <w:p>
      <w:pPr>
        <w:pStyle w:val="30"/>
        <w:keepNext w:val="0"/>
        <w:keepLines w:val="0"/>
        <w:pageBreakBefore w:val="0"/>
        <w:kinsoku/>
        <w:wordWrap/>
        <w:overflowPunct/>
        <w:topLinePunct w:val="0"/>
        <w:autoSpaceDE/>
        <w:autoSpaceDN/>
        <w:bidi w:val="0"/>
        <w:adjustRightInd/>
        <w:snapToGrid/>
        <w:spacing w:line="400" w:lineRule="exact"/>
        <w:ind w:left="0" w:leftChars="0" w:firstLine="56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SA"/>
        </w:rPr>
        <w:t>2.</w:t>
      </w:r>
      <w:r>
        <w:rPr>
          <w:rFonts w:hint="eastAsia" w:ascii="仿宋_GB2312" w:hAnsi="宋体" w:eastAsia="仿宋_GB2312" w:cs="黑体"/>
          <w:kern w:val="2"/>
          <w:sz w:val="28"/>
          <w:szCs w:val="28"/>
          <w:lang w:val="en-US" w:eastAsia="zh-CN" w:bidi="ar-SA"/>
        </w:rPr>
        <w:t>深圳市龙岗区第七人民医院</w:t>
      </w:r>
      <w:r>
        <w:rPr>
          <w:rFonts w:hint="eastAsia" w:ascii="仿宋_GB2312" w:eastAsia="仿宋_GB2312"/>
          <w:sz w:val="28"/>
          <w:szCs w:val="28"/>
          <w:lang w:val="en-US" w:eastAsia="zh-CN"/>
        </w:rPr>
        <w:t>2025年在职工会会员、退休员工中秋节慰问品采购项目招标文件</w:t>
      </w:r>
    </w:p>
    <w:p>
      <w:pPr>
        <w:pStyle w:val="30"/>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ascii="仿宋_GB2312" w:eastAsia="仿宋_GB2312"/>
          <w:sz w:val="28"/>
          <w:szCs w:val="28"/>
          <w:highlight w:val="none"/>
        </w:rPr>
      </w:pPr>
    </w:p>
    <w:p>
      <w:pPr>
        <w:pStyle w:val="30"/>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ascii="仿宋_GB2312" w:eastAsia="仿宋_GB2312"/>
          <w:sz w:val="28"/>
          <w:szCs w:val="28"/>
          <w:highlight w:val="none"/>
        </w:rPr>
      </w:pPr>
    </w:p>
    <w:p>
      <w:pPr>
        <w:pStyle w:val="30"/>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ascii="仿宋_GB2312" w:eastAsia="仿宋_GB2312"/>
          <w:sz w:val="28"/>
          <w:szCs w:val="28"/>
          <w:highlight w:val="none"/>
        </w:rPr>
      </w:pPr>
    </w:p>
    <w:p>
      <w:pPr>
        <w:pStyle w:val="30"/>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ascii="仿宋_GB2312" w:eastAsia="仿宋_GB2312"/>
          <w:color w:val="auto"/>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深圳</w:t>
      </w:r>
      <w:r>
        <w:rPr>
          <w:rFonts w:hint="eastAsia" w:ascii="仿宋_GB2312" w:eastAsia="仿宋_GB2312"/>
          <w:color w:val="auto"/>
          <w:sz w:val="28"/>
          <w:szCs w:val="28"/>
          <w:highlight w:val="none"/>
        </w:rPr>
        <w:t>市龙岗区第七人民医院</w:t>
      </w:r>
    </w:p>
    <w:p>
      <w:pPr>
        <w:pStyle w:val="30"/>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2025年9月19日</w:t>
      </w:r>
    </w:p>
    <w:p>
      <w:pPr>
        <w:pStyle w:val="4"/>
      </w:pPr>
    </w:p>
    <w:p/>
    <w:p/>
    <w:p>
      <w:pPr>
        <w:pStyle w:val="9"/>
      </w:pPr>
    </w:p>
    <w:p/>
    <w:p>
      <w:pPr>
        <w:pStyle w:val="9"/>
      </w:pPr>
    </w:p>
    <w:p/>
    <w:p>
      <w:pPr>
        <w:numPr>
          <w:ilvl w:val="0"/>
          <w:numId w:val="0"/>
        </w:num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kern w:val="2"/>
          <w:sz w:val="44"/>
          <w:szCs w:val="44"/>
          <w:lang w:val="en-US" w:eastAsia="zh-CN" w:bidi="ar-SA"/>
        </w:rPr>
        <w:t xml:space="preserve">第二章  </w:t>
      </w:r>
      <w:r>
        <w:rPr>
          <w:rFonts w:hint="eastAsia" w:ascii="仿宋_GB2312" w:hAnsi="仿宋_GB2312" w:eastAsia="仿宋_GB2312" w:cs="仿宋_GB2312"/>
          <w:b/>
          <w:bCs/>
          <w:sz w:val="44"/>
          <w:szCs w:val="44"/>
        </w:rPr>
        <w:t>院内公开采购项目需求</w:t>
      </w:r>
    </w:p>
    <w:p>
      <w:pPr>
        <w:widowControl/>
        <w:spacing w:line="500" w:lineRule="exact"/>
        <w:ind w:firstLine="560" w:firstLineChars="200"/>
        <w:jc w:val="left"/>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SA"/>
        </w:rPr>
        <w:t>一、项目概况</w:t>
      </w:r>
      <w:r>
        <w:rPr>
          <w:rFonts w:hint="eastAsia" w:ascii="仿宋_GB2312" w:hAnsi="仿宋_GB2312" w:eastAsia="仿宋_GB2312" w:cs="仿宋_GB2312"/>
          <w:b/>
          <w:bCs/>
          <w:sz w:val="28"/>
          <w:szCs w:val="28"/>
        </w:rPr>
        <w:t>：</w:t>
      </w:r>
      <w:r>
        <w:rPr>
          <w:rFonts w:hint="eastAsia" w:ascii="仿宋_GB2312" w:hAnsi="仿宋_GB2312" w:eastAsia="仿宋_GB2312" w:cs="仿宋_GB2312"/>
          <w:kern w:val="2"/>
          <w:sz w:val="28"/>
          <w:szCs w:val="28"/>
          <w:lang w:val="en-US" w:eastAsia="zh-CN" w:bidi="ar-SA"/>
        </w:rPr>
        <w:t>医院拟在中秋节前夕，开展关心关爱职工慰问活动，为我院在职工会会员，退休员工发放一份节日福利品，预计采购377人份（以实际采购数量为准）。各供应商根据项目需求产品要求自行提供品牌、规格型号等，组合套餐优惠后总价不得超过500元/人（含商品费用、服务费、运输费、税费等所有费用）。</w:t>
      </w:r>
    </w:p>
    <w:p>
      <w:pPr>
        <w:pStyle w:val="28"/>
        <w:keepNext w:val="0"/>
        <w:keepLines w:val="0"/>
        <w:pageBreakBefore w:val="0"/>
        <w:kinsoku/>
        <w:wordWrap/>
        <w:overflowPunct/>
        <w:topLinePunct w:val="0"/>
        <w:bidi w:val="0"/>
        <w:adjustRightInd/>
        <w:snapToGri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、采购组织形式</w:t>
      </w:r>
      <w:r>
        <w:rPr>
          <w:rFonts w:hint="eastAsia" w:ascii="仿宋_GB2312" w:hAnsi="仿宋_GB2312" w:eastAsia="仿宋_GB2312" w:cs="仿宋_GB2312"/>
          <w:b/>
          <w:bCs/>
          <w:color w:val="auto"/>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政府集中采购□、院内集中采购☑、院内委托代理采购□、集团联合采购□、其他□。</w:t>
      </w:r>
    </w:p>
    <w:p>
      <w:pPr>
        <w:keepNext w:val="0"/>
        <w:keepLines w:val="0"/>
        <w:pageBreakBefore w:val="0"/>
        <w:kinsoku/>
        <w:wordWrap/>
        <w:overflowPunct/>
        <w:topLinePunct w:val="0"/>
        <w:bidi w:val="0"/>
        <w:adjustRightInd/>
        <w:snapToGrid/>
        <w:spacing w:line="400" w:lineRule="exact"/>
        <w:textAlignment w:val="auto"/>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、采购方</w:t>
      </w:r>
      <w:r>
        <w:rPr>
          <w:rFonts w:hint="eastAsia" w:ascii="仿宋_GB2312" w:hAnsi="仿宋_GB2312" w:eastAsia="仿宋_GB2312" w:cs="仿宋_GB2312"/>
          <w:b/>
          <w:bCs/>
          <w:color w:val="auto"/>
          <w:sz w:val="28"/>
          <w:szCs w:val="28"/>
        </w:rPr>
        <w:t>式（勾选）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keepNext w:val="0"/>
        <w:keepLines w:val="0"/>
        <w:pageBreakBefore w:val="0"/>
        <w:widowControl/>
        <w:kinsoku/>
        <w:wordWrap/>
        <w:overflowPunct/>
        <w:topLinePunct w:val="0"/>
        <w:bidi w:val="0"/>
        <w:adjustRightInd/>
        <w:snapToGrid/>
        <w:spacing w:line="400" w:lineRule="exact"/>
        <w:ind w:firstLine="562" w:firstLineChars="200"/>
        <w:jc w:val="left"/>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四</w:t>
      </w:r>
      <w:r>
        <w:rPr>
          <w:rFonts w:hint="eastAsia" w:ascii="仿宋_GB2312" w:hAnsi="仿宋_GB2312" w:eastAsia="仿宋_GB2312" w:cs="仿宋_GB2312"/>
          <w:b/>
          <w:bCs/>
          <w:kern w:val="0"/>
          <w:sz w:val="28"/>
          <w:szCs w:val="28"/>
        </w:rPr>
        <w:t>、投标人资格要求</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（二）本项目的特定资格要求（须按本项目投标文件格式要求提供《投标及履约承诺函》加盖投标人公章）：</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1.参与本项目采购活动前三年内，在经营活动中没有重大违法记录；</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2.参与本项目采购活动时不存在被有关部门禁止参与政府采购活动且在有效期内的情况；</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3.除单一来源采购项目外，为采购项目提供整体设计、规范编制或者项目管理、监理、检测等服务的供应商，不得再参加该采购项目的其他采购活动；</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4.参与本项目采购活动不存在与其他采购参加人串通投标，隐瞒真实情况，提供虚假资料等违法违规情形；</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7.法律、行政法规和国家有关规定对供应商从事特定经营活动有资质、资格规定的，供应商应当具备的相应条件；</w:t>
      </w:r>
    </w:p>
    <w:p>
      <w:pPr>
        <w:pStyle w:val="28"/>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8.本项目不接受联合体投标，不允许非法分包或转包。</w:t>
      </w:r>
    </w:p>
    <w:p>
      <w:pPr>
        <w:widowControl/>
        <w:numPr>
          <w:ilvl w:val="-1"/>
          <w:numId w:val="0"/>
        </w:numPr>
        <w:spacing w:line="500" w:lineRule="exact"/>
        <w:ind w:leftChars="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（三）投标人须具有合法有效的《食品生产许可证》或《食品经营许可证》或《</w:t>
      </w:r>
      <w:r>
        <w:rPr>
          <w:rFonts w:hint="eastAsia" w:ascii="仿宋" w:hAnsi="仿宋" w:eastAsia="仿宋" w:cs="仿宋"/>
          <w:b w:val="0"/>
          <w:bCs w:val="0"/>
          <w:color w:val="auto"/>
          <w:sz w:val="28"/>
          <w:szCs w:val="28"/>
          <w:lang w:val="en-US" w:eastAsia="zh-CN"/>
        </w:rPr>
        <w:t>仅销售预包装食品备案凭证</w:t>
      </w:r>
      <w:r>
        <w:rPr>
          <w:rFonts w:hint="eastAsia" w:ascii="仿宋_GB2312" w:hAnsi="仿宋_GB2312" w:eastAsia="仿宋_GB2312" w:cs="仿宋_GB2312"/>
          <w:kern w:val="2"/>
          <w:sz w:val="28"/>
          <w:szCs w:val="28"/>
          <w:lang w:val="en-US" w:eastAsia="zh-CN" w:bidi="ar-SA"/>
        </w:rPr>
        <w:t>》（提供相关证件复印件）。</w:t>
      </w:r>
    </w:p>
    <w:p>
      <w:pPr>
        <w:pStyle w:val="28"/>
        <w:spacing w:line="46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kern w:val="2"/>
          <w:sz w:val="28"/>
          <w:szCs w:val="28"/>
          <w:lang w:val="en-US" w:eastAsia="zh-CN" w:bidi="ar-SA"/>
        </w:rPr>
        <w:t>所有资质文件均需在有效期内并加盖投标方公章。</w:t>
      </w:r>
    </w:p>
    <w:p>
      <w:pPr>
        <w:pStyle w:val="28"/>
        <w:keepNext w:val="0"/>
        <w:keepLines w:val="0"/>
        <w:pageBreakBefore w:val="0"/>
        <w:numPr>
          <w:ilvl w:val="0"/>
          <w:numId w:val="0"/>
        </w:numPr>
        <w:kinsoku/>
        <w:wordWrap/>
        <w:overflowPunct/>
        <w:topLinePunct w:val="0"/>
        <w:bidi w:val="0"/>
        <w:adjustRightInd/>
        <w:snapToGrid/>
        <w:spacing w:line="40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lang w:val="en-US" w:eastAsia="zh-CN" w:bidi="ar-SA"/>
        </w:rPr>
        <w:t>五、服务内</w:t>
      </w:r>
      <w:r>
        <w:rPr>
          <w:rFonts w:hint="eastAsia" w:ascii="仿宋_GB2312" w:hAnsi="仿宋_GB2312" w:eastAsia="仿宋_GB2312" w:cs="仿宋_GB2312"/>
          <w:b/>
          <w:bCs/>
          <w:sz w:val="28"/>
          <w:szCs w:val="28"/>
          <w:highlight w:val="none"/>
        </w:rPr>
        <w:t>容及要求</w:t>
      </w:r>
    </w:p>
    <w:p>
      <w:pPr>
        <w:pStyle w:val="28"/>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default" w:ascii="仿宋_GB2312" w:hAnsi="仿宋_GB2312" w:eastAsia="仿宋_GB2312" w:cs="仿宋_GB2312"/>
          <w:b w:val="0"/>
          <w:bCs w:val="0"/>
          <w:sz w:val="28"/>
          <w:szCs w:val="28"/>
          <w:lang w:val="en-US" w:eastAsia="zh-CN"/>
        </w:rPr>
        <w:t>项目</w:t>
      </w:r>
      <w:r>
        <w:rPr>
          <w:rFonts w:hint="eastAsia" w:ascii="仿宋_GB2312" w:hAnsi="仿宋_GB2312" w:eastAsia="仿宋_GB2312" w:cs="仿宋_GB2312"/>
          <w:b w:val="0"/>
          <w:bCs w:val="0"/>
          <w:sz w:val="28"/>
          <w:szCs w:val="28"/>
          <w:lang w:val="en-US" w:eastAsia="zh-CN"/>
        </w:rPr>
        <w:t>需求一览表</w:t>
      </w:r>
    </w:p>
    <w:tbl>
      <w:tblPr>
        <w:tblStyle w:val="21"/>
        <w:tblpPr w:leftFromText="180" w:rightFromText="180" w:vertAnchor="text" w:horzAnchor="page" w:tblpX="529" w:tblpY="820"/>
        <w:tblOverlap w:val="never"/>
        <w:tblW w:w="60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74"/>
        <w:gridCol w:w="985"/>
        <w:gridCol w:w="975"/>
        <w:gridCol w:w="825"/>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shd w:val="clear" w:color="000000" w:fill="C0C0C0"/>
            <w:vAlign w:val="center"/>
          </w:tcPr>
          <w:p>
            <w:pPr>
              <w:pStyle w:val="37"/>
              <w:jc w:val="center"/>
              <w:rPr>
                <w:color w:val="auto"/>
                <w:sz w:val="24"/>
                <w:szCs w:val="24"/>
              </w:rPr>
            </w:pPr>
            <w:r>
              <w:rPr>
                <w:rFonts w:hint="eastAsia"/>
                <w:b/>
                <w:bCs/>
                <w:color w:val="auto"/>
                <w:sz w:val="24"/>
                <w:szCs w:val="24"/>
              </w:rPr>
              <w:t>序号</w:t>
            </w:r>
          </w:p>
        </w:tc>
        <w:tc>
          <w:tcPr>
            <w:tcW w:w="674" w:type="pct"/>
            <w:shd w:val="clear" w:color="000000" w:fill="C0C0C0"/>
            <w:vAlign w:val="center"/>
          </w:tcPr>
          <w:p>
            <w:pPr>
              <w:widowControl/>
              <w:jc w:val="center"/>
              <w:rPr>
                <w:rFonts w:ascii="宋体" w:hAnsi="宋体" w:cs="宋体"/>
                <w:b/>
                <w:bCs/>
                <w:color w:val="auto"/>
                <w:kern w:val="0"/>
                <w:sz w:val="24"/>
                <w:szCs w:val="24"/>
              </w:rPr>
            </w:pPr>
            <w:r>
              <w:rPr>
                <w:rFonts w:hint="eastAsia" w:ascii="宋体" w:hAnsi="宋体" w:cs="宋体"/>
                <w:bCs/>
                <w:sz w:val="21"/>
                <w:szCs w:val="21"/>
              </w:rPr>
              <w:t>★</w:t>
            </w:r>
            <w:r>
              <w:rPr>
                <w:rFonts w:hint="eastAsia" w:ascii="宋体" w:hAnsi="宋体" w:cs="宋体"/>
                <w:b/>
                <w:bCs/>
                <w:color w:val="auto"/>
                <w:kern w:val="0"/>
                <w:sz w:val="24"/>
                <w:szCs w:val="24"/>
              </w:rPr>
              <w:t>产品名称</w:t>
            </w:r>
          </w:p>
        </w:tc>
        <w:tc>
          <w:tcPr>
            <w:tcW w:w="450" w:type="pct"/>
            <w:shd w:val="clear" w:color="000000" w:fill="C0C0C0"/>
            <w:vAlign w:val="center"/>
          </w:tcPr>
          <w:p>
            <w:pPr>
              <w:widowControl/>
              <w:jc w:val="center"/>
              <w:rPr>
                <w:rFonts w:hint="eastAsia" w:ascii="宋体" w:hAnsi="宋体" w:eastAsia="宋体" w:cs="宋体"/>
                <w:b/>
                <w:bCs/>
                <w:color w:val="auto"/>
                <w:kern w:val="0"/>
                <w:sz w:val="24"/>
                <w:szCs w:val="24"/>
                <w:lang w:val="en-US" w:eastAsia="zh-CN"/>
              </w:rPr>
            </w:pPr>
            <w:r>
              <w:rPr>
                <w:rFonts w:hint="eastAsia" w:ascii="宋体" w:hAnsi="宋体" w:cs="宋体"/>
                <w:bCs/>
                <w:sz w:val="21"/>
                <w:szCs w:val="21"/>
              </w:rPr>
              <w:t>★</w:t>
            </w:r>
            <w:r>
              <w:rPr>
                <w:rFonts w:hint="eastAsia" w:ascii="宋体" w:hAnsi="宋体" w:cs="宋体"/>
                <w:b/>
                <w:bCs/>
                <w:color w:val="auto"/>
                <w:kern w:val="0"/>
                <w:sz w:val="24"/>
                <w:szCs w:val="24"/>
                <w:lang w:val="en-US" w:eastAsia="zh-CN"/>
              </w:rPr>
              <w:t>规格</w:t>
            </w:r>
          </w:p>
        </w:tc>
        <w:tc>
          <w:tcPr>
            <w:tcW w:w="445" w:type="pct"/>
            <w:shd w:val="clear" w:color="000000" w:fill="C0C0C0"/>
            <w:vAlign w:val="center"/>
          </w:tcPr>
          <w:p>
            <w:pPr>
              <w:widowControl/>
              <w:jc w:val="center"/>
              <w:rPr>
                <w:rFonts w:ascii="宋体" w:hAnsi="宋体" w:cs="宋体"/>
                <w:b/>
                <w:bCs/>
                <w:color w:val="auto"/>
                <w:kern w:val="0"/>
                <w:sz w:val="24"/>
                <w:szCs w:val="24"/>
              </w:rPr>
            </w:pPr>
            <w:r>
              <w:rPr>
                <w:rFonts w:hint="eastAsia" w:ascii="宋体" w:hAnsi="宋体" w:cs="宋体"/>
                <w:bCs/>
                <w:sz w:val="21"/>
                <w:szCs w:val="21"/>
              </w:rPr>
              <w:t>★</w:t>
            </w:r>
            <w:r>
              <w:rPr>
                <w:rFonts w:hint="eastAsia" w:ascii="宋体" w:hAnsi="宋体" w:cs="宋体"/>
                <w:b/>
                <w:bCs/>
                <w:color w:val="auto"/>
                <w:kern w:val="0"/>
                <w:sz w:val="24"/>
                <w:szCs w:val="24"/>
              </w:rPr>
              <w:t>数量</w:t>
            </w:r>
          </w:p>
        </w:tc>
        <w:tc>
          <w:tcPr>
            <w:tcW w:w="377" w:type="pct"/>
            <w:shd w:val="clear" w:color="000000" w:fill="C0C0C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2668" w:type="pct"/>
            <w:shd w:val="clear" w:color="000000" w:fill="C0C0C0"/>
            <w:vAlign w:val="center"/>
          </w:tcPr>
          <w:p>
            <w:pPr>
              <w:widowControl/>
              <w:jc w:val="center"/>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4" w:type="pct"/>
            <w:shd w:val="clear" w:color="auto" w:fill="auto"/>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6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压榨花生油</w:t>
            </w:r>
          </w:p>
        </w:tc>
        <w:tc>
          <w:tcPr>
            <w:tcW w:w="450" w:type="pct"/>
            <w:shd w:val="clear" w:color="auto" w:fill="auto"/>
            <w:vAlign w:val="center"/>
          </w:tcPr>
          <w:p>
            <w:pPr>
              <w:keepNext w:val="0"/>
              <w:keepLines w:val="0"/>
              <w:widowControl/>
              <w:suppressLineNumbers w:val="0"/>
              <w:jc w:val="center"/>
              <w:textAlignment w:val="center"/>
              <w:rPr>
                <w:rFonts w:ascii="宋体" w:hAnsi="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≥5L/桶</w:t>
            </w:r>
          </w:p>
        </w:tc>
        <w:tc>
          <w:tcPr>
            <w:tcW w:w="445" w:type="pct"/>
            <w:shd w:val="clear" w:color="auto" w:fill="auto"/>
            <w:vAlign w:val="center"/>
          </w:tcPr>
          <w:p>
            <w:pPr>
              <w:widowControl/>
              <w:jc w:val="center"/>
              <w:rPr>
                <w:rFonts w:hint="eastAsia"/>
                <w:highlight w:val="none"/>
                <w:lang w:val="en-US" w:eastAsia="zh-CN"/>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color w:val="auto"/>
                <w:kern w:val="0"/>
                <w:sz w:val="28"/>
                <w:szCs w:val="28"/>
                <w:lang w:val="en-US" w:eastAsia="zh-CN"/>
              </w:rPr>
              <w:t>1</w:t>
            </w:r>
          </w:p>
        </w:tc>
        <w:tc>
          <w:tcPr>
            <w:tcW w:w="377" w:type="pct"/>
            <w:shd w:val="clear" w:color="auto" w:fill="auto"/>
            <w:vAlign w:val="center"/>
          </w:tcPr>
          <w:p>
            <w:pPr>
              <w:widowControl/>
              <w:jc w:val="center"/>
              <w:rPr>
                <w:rFonts w:hint="default"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桶</w:t>
            </w:r>
          </w:p>
        </w:tc>
        <w:tc>
          <w:tcPr>
            <w:tcW w:w="2668" w:type="pct"/>
            <w:shd w:val="clear" w:color="auto" w:fill="auto"/>
            <w:vAlign w:val="center"/>
          </w:tcPr>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工艺：一级压榨；</w:t>
            </w:r>
          </w:p>
          <w:p>
            <w:pPr>
              <w:widowControl/>
              <w:numPr>
                <w:ilvl w:val="0"/>
                <w:numId w:val="0"/>
              </w:numPr>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质量与技术标准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不低于国家标准：GB/T 1534、GB 2716、GB 2718、GB 28050</w:t>
            </w:r>
            <w:r>
              <w:rPr>
                <w:rFonts w:hint="eastAsia" w:ascii="宋体" w:hAnsi="宋体" w:cs="宋体"/>
                <w:i w:val="0"/>
                <w:iCs w:val="0"/>
                <w:color w:val="auto"/>
                <w:kern w:val="0"/>
                <w:sz w:val="24"/>
                <w:szCs w:val="24"/>
                <w:highlight w:val="none"/>
                <w:u w:val="none"/>
                <w:lang w:val="en-US" w:eastAsia="zh-CN" w:bidi="ar"/>
              </w:rPr>
              <w:t>；</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u w:val="none"/>
                <w:lang w:val="en-US" w:eastAsia="zh-CN" w:bidi="ar"/>
              </w:rPr>
              <w:t>3.质量指标要求：</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黄曲霉毒素B1：≤</w:t>
            </w:r>
            <w:r>
              <w:rPr>
                <w:rFonts w:hint="eastAsia" w:ascii="宋体" w:hAnsi="宋体" w:cs="宋体"/>
                <w:i w:val="0"/>
                <w:iCs w:val="0"/>
                <w:color w:val="auto"/>
                <w:kern w:val="0"/>
                <w:sz w:val="24"/>
                <w:szCs w:val="24"/>
                <w:highlight w:val="none"/>
                <w:u w:val="none"/>
                <w:lang w:val="en-US" w:eastAsia="zh-CN" w:bidi="ar"/>
              </w:rPr>
              <w:t>20</w:t>
            </w:r>
            <w:r>
              <w:rPr>
                <w:rFonts w:hint="default" w:ascii="宋体" w:hAnsi="宋体" w:eastAsia="宋体" w:cs="宋体"/>
                <w:i w:val="0"/>
                <w:iCs w:val="0"/>
                <w:color w:val="auto"/>
                <w:kern w:val="0"/>
                <w:sz w:val="24"/>
                <w:szCs w:val="24"/>
                <w:highlight w:val="none"/>
                <w:u w:val="none"/>
                <w:lang w:val="en-US" w:eastAsia="zh-CN" w:bidi="ar"/>
              </w:rPr>
              <w:t>μg/kg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酸价（KOH）：≤1.</w:t>
            </w: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mg/g</w:t>
            </w:r>
            <w:r>
              <w:rPr>
                <w:rFonts w:hint="eastAsia" w:ascii="宋体" w:hAnsi="宋体" w:cs="宋体"/>
                <w:i w:val="0"/>
                <w:iCs w:val="0"/>
                <w:color w:val="auto"/>
                <w:kern w:val="0"/>
                <w:sz w:val="24"/>
                <w:szCs w:val="24"/>
                <w:highlight w:val="none"/>
                <w:u w:val="none"/>
                <w:lang w:val="en-US" w:eastAsia="zh-CN" w:bidi="ar"/>
              </w:rPr>
              <w:t>；</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过氧化值：≤6.0mmol/kg</w:t>
            </w:r>
            <w:r>
              <w:rPr>
                <w:rFonts w:hint="eastAsia" w:ascii="宋体" w:hAnsi="宋体" w:eastAsia="宋体" w:cs="宋体"/>
                <w:i w:val="0"/>
                <w:iCs w:val="0"/>
                <w:color w:val="auto"/>
                <w:kern w:val="0"/>
                <w:sz w:val="24"/>
                <w:szCs w:val="24"/>
                <w:highlight w:val="none"/>
                <w:u w:val="none"/>
                <w:lang w:val="en-US" w:eastAsia="zh-CN" w:bidi="ar"/>
              </w:rPr>
              <w:t>；</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溶剂残留量：不得检出（检出限≤</w:t>
            </w:r>
            <w:r>
              <w:rPr>
                <w:rFonts w:hint="eastAsia" w:ascii="宋体" w:hAnsi="宋体" w:eastAsia="宋体" w:cs="宋体"/>
                <w:i w:val="0"/>
                <w:iCs w:val="0"/>
                <w:color w:val="auto"/>
                <w:kern w:val="0"/>
                <w:sz w:val="24"/>
                <w:szCs w:val="24"/>
                <w:highlight w:val="none"/>
                <w:u w:val="none"/>
                <w:lang w:val="en-US" w:eastAsia="zh-CN" w:bidi="ar"/>
              </w:rPr>
              <w:t>10</w:t>
            </w:r>
            <w:r>
              <w:rPr>
                <w:rFonts w:hint="default" w:ascii="宋体" w:hAnsi="宋体" w:eastAsia="宋体" w:cs="宋体"/>
                <w:i w:val="0"/>
                <w:iCs w:val="0"/>
                <w:color w:val="auto"/>
                <w:kern w:val="0"/>
                <w:sz w:val="24"/>
                <w:szCs w:val="24"/>
                <w:highlight w:val="none"/>
                <w:u w:val="none"/>
                <w:lang w:val="en-US" w:eastAsia="zh-CN" w:bidi="ar"/>
              </w:rPr>
              <w:t>mg/kg）</w:t>
            </w:r>
            <w:r>
              <w:rPr>
                <w:rFonts w:hint="eastAsia" w:ascii="宋体" w:hAnsi="宋体" w:eastAsia="宋体" w:cs="宋体"/>
                <w:i w:val="0"/>
                <w:iCs w:val="0"/>
                <w:color w:val="auto"/>
                <w:kern w:val="0"/>
                <w:sz w:val="24"/>
                <w:szCs w:val="24"/>
                <w:highlight w:val="none"/>
                <w:u w:val="none"/>
                <w:lang w:val="en-US" w:eastAsia="zh-CN" w:bidi="ar"/>
              </w:rPr>
              <w:t>；</w:t>
            </w:r>
          </w:p>
          <w:p>
            <w:pPr>
              <w:widowControl/>
              <w:numPr>
                <w:ilvl w:val="0"/>
                <w:numId w:val="0"/>
              </w:numPr>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苯并[a]芘：≤</w:t>
            </w:r>
            <w:r>
              <w:rPr>
                <w:rFonts w:hint="eastAsia" w:ascii="宋体" w:hAnsi="宋体" w:eastAsia="宋体" w:cs="宋体"/>
                <w:i w:val="0"/>
                <w:iCs w:val="0"/>
                <w:color w:val="auto"/>
                <w:kern w:val="0"/>
                <w:sz w:val="24"/>
                <w:szCs w:val="24"/>
                <w:highlight w:val="none"/>
                <w:u w:val="none"/>
                <w:lang w:val="en-US" w:eastAsia="zh-CN" w:bidi="ar"/>
              </w:rPr>
              <w:t>10</w:t>
            </w:r>
            <w:r>
              <w:rPr>
                <w:rFonts w:hint="default" w:ascii="宋体" w:hAnsi="宋体" w:eastAsia="宋体" w:cs="宋体"/>
                <w:i w:val="0"/>
                <w:iCs w:val="0"/>
                <w:color w:val="auto"/>
                <w:kern w:val="0"/>
                <w:sz w:val="24"/>
                <w:szCs w:val="24"/>
                <w:highlight w:val="none"/>
                <w:u w:val="none"/>
                <w:lang w:val="en-US" w:eastAsia="zh-CN" w:bidi="ar"/>
              </w:rPr>
              <w:t>μg/kg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十七烷一烯酸（C17:1）：</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0.1%；</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铅（以Pb计）：</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0.08mg/kg；</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总砷（以As计）：</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0.1mg/kg；</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以上</w:t>
            </w:r>
            <w:r>
              <w:rPr>
                <w:rFonts w:hint="eastAsia" w:ascii="宋体" w:hAnsi="宋体" w:cs="宋体"/>
                <w:b/>
                <w:bCs/>
                <w:i w:val="0"/>
                <w:iCs w:val="0"/>
                <w:color w:val="auto"/>
                <w:kern w:val="0"/>
                <w:sz w:val="24"/>
                <w:szCs w:val="24"/>
                <w:highlight w:val="none"/>
                <w:u w:val="none"/>
                <w:lang w:val="en-US" w:eastAsia="zh-CN" w:bidi="ar"/>
              </w:rPr>
              <w:t>1-3</w:t>
            </w:r>
            <w:r>
              <w:rPr>
                <w:rFonts w:hint="default" w:ascii="宋体" w:hAnsi="宋体" w:eastAsia="宋体" w:cs="宋体"/>
                <w:b/>
                <w:bCs/>
                <w:i w:val="0"/>
                <w:iCs w:val="0"/>
                <w:color w:val="auto"/>
                <w:kern w:val="0"/>
                <w:sz w:val="24"/>
                <w:szCs w:val="24"/>
                <w:highlight w:val="none"/>
                <w:u w:val="none"/>
                <w:lang w:val="en-US" w:eastAsia="zh-CN" w:bidi="ar"/>
              </w:rPr>
              <w:t>指标需提供有资质的第三方检验机构（CNAS/CMA认证）出具的近一年内的型式检验报告作为证明，并在中标后</w:t>
            </w:r>
            <w:r>
              <w:rPr>
                <w:rFonts w:hint="eastAsia" w:ascii="宋体" w:hAnsi="宋体" w:eastAsia="宋体" w:cs="宋体"/>
                <w:b/>
                <w:bCs/>
                <w:i w:val="0"/>
                <w:iCs w:val="0"/>
                <w:color w:val="auto"/>
                <w:kern w:val="0"/>
                <w:sz w:val="24"/>
                <w:szCs w:val="24"/>
                <w:highlight w:val="none"/>
                <w:u w:val="none"/>
                <w:lang w:val="en-US" w:eastAsia="zh-CN" w:bidi="ar"/>
              </w:rPr>
              <w:t>交货前</w:t>
            </w:r>
            <w:r>
              <w:rPr>
                <w:rFonts w:hint="default" w:ascii="宋体" w:hAnsi="宋体" w:eastAsia="宋体" w:cs="宋体"/>
                <w:b/>
                <w:bCs/>
                <w:i w:val="0"/>
                <w:iCs w:val="0"/>
                <w:color w:val="auto"/>
                <w:kern w:val="0"/>
                <w:sz w:val="24"/>
                <w:szCs w:val="24"/>
                <w:highlight w:val="none"/>
                <w:u w:val="none"/>
                <w:lang w:val="en-US" w:eastAsia="zh-CN" w:bidi="ar"/>
              </w:rPr>
              <w:t>提供当批次产品的合格检验报告。</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hint="default" w:ascii="宋体" w:hAnsi="宋体" w:eastAsia="宋体" w:cs="宋体"/>
                <w:i w:val="0"/>
                <w:iCs w:val="0"/>
                <w:color w:val="auto"/>
                <w:kern w:val="0"/>
                <w:sz w:val="24"/>
                <w:szCs w:val="24"/>
                <w:highlight w:val="none"/>
                <w:u w:val="none"/>
                <w:lang w:val="en-US" w:eastAsia="zh-CN" w:bidi="ar"/>
              </w:rPr>
              <w:t>容器应为食品级、避光、密封性良好的PET材质或马口铁罐，确保运输和储存中不漏油、不变质</w:t>
            </w:r>
            <w:r>
              <w:rPr>
                <w:rFonts w:hint="eastAsia" w:ascii="宋体" w:hAnsi="宋体" w:eastAsia="宋体" w:cs="宋体"/>
                <w:i w:val="0"/>
                <w:iCs w:val="0"/>
                <w:color w:val="auto"/>
                <w:kern w:val="0"/>
                <w:sz w:val="24"/>
                <w:szCs w:val="24"/>
                <w:highlight w:val="none"/>
                <w:u w:val="none"/>
                <w:lang w:val="en-US" w:eastAsia="zh-CN" w:bidi="ar"/>
              </w:rPr>
              <w:t>；</w:t>
            </w:r>
          </w:p>
          <w:p>
            <w:pPr>
              <w:widowControl/>
              <w:numPr>
                <w:ilvl w:val="0"/>
                <w:numId w:val="0"/>
              </w:numPr>
              <w:ind w:left="0" w:leftChars="0" w:firstLine="0" w:firstLineChars="0"/>
              <w:jc w:val="left"/>
              <w:rPr>
                <w:rFonts w:hint="eastAsia" w:ascii="Calibri" w:hAnsi="Calibri" w:eastAsia="宋体" w:cs="黑体"/>
                <w:color w:val="auto"/>
                <w:kern w:val="2"/>
                <w:sz w:val="21"/>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标签标识：在标签上显著标注“压榨”</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产品名称、配料、质量等级、生产日期、保质期、贮存条件、生产商、生产许可证编号（SC标志）等</w:t>
            </w:r>
            <w:r>
              <w:rPr>
                <w:rFonts w:hint="eastAsia" w:ascii="宋体" w:hAnsi="宋体" w:eastAsia="宋体" w:cs="宋体"/>
                <w:i w:val="0"/>
                <w:iCs w:val="0"/>
                <w:color w:val="auto"/>
                <w:kern w:val="0"/>
                <w:sz w:val="24"/>
                <w:szCs w:val="24"/>
                <w:highlight w:val="none"/>
                <w:u w:val="none"/>
                <w:lang w:val="en-US" w:eastAsia="zh-CN" w:bidi="ar"/>
              </w:rPr>
              <w:t>内容</w:t>
            </w:r>
            <w:r>
              <w:rPr>
                <w:rFonts w:hint="eastAsia" w:ascii="宋体" w:hAnsi="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shd w:val="clear" w:color="auto" w:fill="auto"/>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6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玉米油</w:t>
            </w:r>
          </w:p>
        </w:tc>
        <w:tc>
          <w:tcPr>
            <w:tcW w:w="450" w:type="pct"/>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≥5L/桶</w:t>
            </w:r>
          </w:p>
        </w:tc>
        <w:tc>
          <w:tcPr>
            <w:tcW w:w="445" w:type="pct"/>
            <w:shd w:val="clear" w:color="auto" w:fill="auto"/>
            <w:vAlign w:val="center"/>
          </w:tcPr>
          <w:p>
            <w:pPr>
              <w:widowControl/>
              <w:jc w:val="center"/>
              <w:rPr>
                <w:rFonts w:hint="default"/>
                <w:highlight w:val="none"/>
                <w:lang w:val="en-US" w:eastAsia="zh-CN"/>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color w:val="auto"/>
                <w:kern w:val="0"/>
                <w:sz w:val="28"/>
                <w:szCs w:val="28"/>
                <w:lang w:val="en-US" w:eastAsia="zh-CN"/>
              </w:rPr>
              <w:t>1</w:t>
            </w:r>
          </w:p>
        </w:tc>
        <w:tc>
          <w:tcPr>
            <w:tcW w:w="377" w:type="pct"/>
            <w:shd w:val="clear" w:color="auto" w:fill="auto"/>
            <w:vAlign w:val="center"/>
          </w:tcPr>
          <w:p>
            <w:pPr>
              <w:widowControl/>
              <w:jc w:val="center"/>
              <w:rPr>
                <w:rFonts w:hint="default"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桶</w:t>
            </w:r>
          </w:p>
        </w:tc>
        <w:tc>
          <w:tcPr>
            <w:tcW w:w="2668" w:type="pct"/>
            <w:shd w:val="clear" w:color="auto" w:fill="auto"/>
            <w:vAlign w:val="center"/>
          </w:tcPr>
          <w:p>
            <w:pPr>
              <w:widowControl/>
              <w:numPr>
                <w:ilvl w:val="0"/>
                <w:numId w:val="0"/>
              </w:numPr>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default"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工艺：</w:t>
            </w:r>
            <w:r>
              <w:rPr>
                <w:rFonts w:hint="default" w:ascii="宋体" w:hAnsi="宋体" w:eastAsia="宋体" w:cs="宋体"/>
                <w:i w:val="0"/>
                <w:iCs w:val="0"/>
                <w:color w:val="auto"/>
                <w:kern w:val="0"/>
                <w:sz w:val="24"/>
                <w:szCs w:val="24"/>
                <w:highlight w:val="none"/>
                <w:u w:val="none"/>
                <w:lang w:val="en-US" w:eastAsia="zh-CN" w:bidi="ar"/>
              </w:rPr>
              <w:t>一级压榨法</w:t>
            </w:r>
            <w:r>
              <w:rPr>
                <w:rFonts w:hint="eastAsia" w:ascii="宋体" w:hAnsi="宋体" w:cs="宋体"/>
                <w:i w:val="0"/>
                <w:iCs w:val="0"/>
                <w:color w:val="auto"/>
                <w:kern w:val="0"/>
                <w:sz w:val="24"/>
                <w:szCs w:val="24"/>
                <w:highlight w:val="none"/>
                <w:u w:val="none"/>
                <w:lang w:val="en-US" w:eastAsia="zh-CN" w:bidi="ar"/>
              </w:rPr>
              <w:t>；</w:t>
            </w:r>
          </w:p>
          <w:p>
            <w:pPr>
              <w:widowControl/>
              <w:numPr>
                <w:ilvl w:val="0"/>
                <w:numId w:val="0"/>
              </w:numPr>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eastAsia="宋体" w:cs="宋体"/>
                <w:i w:val="0"/>
                <w:iCs w:val="0"/>
                <w:color w:val="auto"/>
                <w:kern w:val="0"/>
                <w:sz w:val="24"/>
                <w:szCs w:val="24"/>
                <w:highlight w:val="none"/>
                <w:u w:val="none"/>
                <w:lang w:val="en-US" w:eastAsia="zh-CN" w:bidi="ar"/>
              </w:rPr>
              <w:t>2.</w:t>
            </w:r>
            <w:r>
              <w:rPr>
                <w:rFonts w:hint="default" w:ascii="宋体" w:hAnsi="宋体" w:eastAsia="宋体" w:cs="宋体"/>
                <w:i w:val="0"/>
                <w:iCs w:val="0"/>
                <w:color w:val="auto"/>
                <w:kern w:val="0"/>
                <w:sz w:val="24"/>
                <w:szCs w:val="24"/>
                <w:highlight w:val="none"/>
                <w:u w:val="none"/>
                <w:lang w:val="en-US" w:eastAsia="zh-CN" w:bidi="ar"/>
              </w:rPr>
              <w:t>质量与技术标准</w:t>
            </w:r>
            <w:r>
              <w:rPr>
                <w:rFonts w:hint="eastAsia" w:ascii="宋体" w:hAnsi="宋体" w:eastAsia="宋体" w:cs="宋体"/>
                <w:i w:val="0"/>
                <w:iCs w:val="0"/>
                <w:color w:val="auto"/>
                <w:kern w:val="0"/>
                <w:sz w:val="24"/>
                <w:szCs w:val="24"/>
                <w:highlight w:val="none"/>
                <w:u w:val="none"/>
                <w:lang w:val="en-US" w:eastAsia="zh-CN" w:bidi="ar"/>
              </w:rPr>
              <w:t>：不低于国家标准GB/T 19111、</w:t>
            </w:r>
            <w:r>
              <w:rPr>
                <w:rFonts w:hint="default" w:ascii="宋体" w:hAnsi="宋体" w:eastAsia="宋体" w:cs="宋体"/>
                <w:i w:val="0"/>
                <w:iCs w:val="0"/>
                <w:color w:val="auto"/>
                <w:kern w:val="0"/>
                <w:sz w:val="24"/>
                <w:szCs w:val="24"/>
                <w:highlight w:val="none"/>
                <w:u w:val="none"/>
                <w:lang w:val="en-US" w:eastAsia="zh-CN" w:bidi="ar"/>
              </w:rPr>
              <w:t>GB 2716</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GB 2</w:t>
            </w:r>
            <w:r>
              <w:rPr>
                <w:rFonts w:hint="eastAsia" w:ascii="宋体" w:hAnsi="宋体" w:cs="宋体"/>
                <w:i w:val="0"/>
                <w:iCs w:val="0"/>
                <w:color w:val="auto"/>
                <w:kern w:val="0"/>
                <w:sz w:val="24"/>
                <w:szCs w:val="24"/>
                <w:highlight w:val="none"/>
                <w:u w:val="none"/>
                <w:lang w:val="en-US" w:eastAsia="zh-CN" w:bidi="ar"/>
              </w:rPr>
              <w:t>8050</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eastAsia="宋体" w:cs="宋体"/>
                <w:i w:val="0"/>
                <w:iCs w:val="0"/>
                <w:color w:val="auto"/>
                <w:kern w:val="0"/>
                <w:sz w:val="24"/>
                <w:szCs w:val="24"/>
                <w:highlight w:val="none"/>
                <w:u w:val="none"/>
                <w:lang w:val="en-US" w:eastAsia="zh-CN" w:bidi="ar"/>
              </w:rPr>
              <w:t>3.质量指标要求：</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黄曲霉毒素B1：≤</w:t>
            </w:r>
            <w:r>
              <w:rPr>
                <w:rFonts w:hint="eastAsia" w:ascii="宋体" w:hAnsi="宋体" w:cs="宋体"/>
                <w:i w:val="0"/>
                <w:iCs w:val="0"/>
                <w:color w:val="auto"/>
                <w:kern w:val="0"/>
                <w:sz w:val="24"/>
                <w:szCs w:val="24"/>
                <w:highlight w:val="none"/>
                <w:u w:val="none"/>
                <w:lang w:val="en-US" w:eastAsia="zh-CN" w:bidi="ar"/>
              </w:rPr>
              <w:t>20</w:t>
            </w:r>
            <w:r>
              <w:rPr>
                <w:rFonts w:hint="default" w:ascii="宋体" w:hAnsi="宋体" w:eastAsia="宋体" w:cs="宋体"/>
                <w:i w:val="0"/>
                <w:iCs w:val="0"/>
                <w:color w:val="auto"/>
                <w:kern w:val="0"/>
                <w:sz w:val="24"/>
                <w:szCs w:val="24"/>
                <w:highlight w:val="none"/>
                <w:u w:val="none"/>
                <w:lang w:val="en-US" w:eastAsia="zh-CN" w:bidi="ar"/>
              </w:rPr>
              <w:t>μg/kg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酸价（KOH）：≤0.</w:t>
            </w:r>
            <w:r>
              <w:rPr>
                <w:rFonts w:hint="eastAsia" w:ascii="宋体" w:hAnsi="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0mg/g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过氧化值：≤</w:t>
            </w:r>
            <w:r>
              <w:rPr>
                <w:rFonts w:hint="eastAsia" w:ascii="宋体" w:hAnsi="宋体" w:cs="宋体"/>
                <w:i w:val="0"/>
                <w:iCs w:val="0"/>
                <w:color w:val="auto"/>
                <w:kern w:val="0"/>
                <w:sz w:val="24"/>
                <w:szCs w:val="24"/>
                <w:highlight w:val="none"/>
                <w:u w:val="none"/>
                <w:lang w:val="en-US" w:eastAsia="zh-CN" w:bidi="ar"/>
              </w:rPr>
              <w:t>0.25g</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100</w:t>
            </w:r>
            <w:r>
              <w:rPr>
                <w:rFonts w:hint="default" w:ascii="宋体" w:hAnsi="宋体" w:eastAsia="宋体" w:cs="宋体"/>
                <w:i w:val="0"/>
                <w:iCs w:val="0"/>
                <w:color w:val="auto"/>
                <w:kern w:val="0"/>
                <w:sz w:val="24"/>
                <w:szCs w:val="24"/>
                <w:highlight w:val="none"/>
                <w:u w:val="none"/>
                <w:lang w:val="en-US" w:eastAsia="zh-CN" w:bidi="ar"/>
              </w:rPr>
              <w:t>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溶剂残留量：不得检出</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苯并[a]芘：≤</w:t>
            </w:r>
            <w:r>
              <w:rPr>
                <w:rFonts w:hint="eastAsia" w:ascii="宋体" w:hAnsi="宋体" w:cs="宋体"/>
                <w:i w:val="0"/>
                <w:iCs w:val="0"/>
                <w:color w:val="auto"/>
                <w:kern w:val="0"/>
                <w:sz w:val="24"/>
                <w:szCs w:val="24"/>
                <w:highlight w:val="none"/>
                <w:u w:val="none"/>
                <w:lang w:val="en-US" w:eastAsia="zh-CN" w:bidi="ar"/>
              </w:rPr>
              <w:t>10</w:t>
            </w:r>
            <w:r>
              <w:rPr>
                <w:rFonts w:hint="default" w:ascii="宋体" w:hAnsi="宋体" w:eastAsia="宋体" w:cs="宋体"/>
                <w:i w:val="0"/>
                <w:iCs w:val="0"/>
                <w:color w:val="auto"/>
                <w:kern w:val="0"/>
                <w:sz w:val="24"/>
                <w:szCs w:val="24"/>
                <w:highlight w:val="none"/>
                <w:u w:val="none"/>
                <w:lang w:val="en-US" w:eastAsia="zh-CN" w:bidi="ar"/>
              </w:rPr>
              <w:t>μg/kg</w:t>
            </w:r>
            <w:r>
              <w:rPr>
                <w:rFonts w:hint="eastAsia" w:ascii="宋体" w:hAnsi="宋体" w:cs="宋体"/>
                <w:i w:val="0"/>
                <w:iCs w:val="0"/>
                <w:color w:val="auto"/>
                <w:kern w:val="0"/>
                <w:sz w:val="24"/>
                <w:szCs w:val="24"/>
                <w:highlight w:val="none"/>
                <w:u w:val="none"/>
                <w:lang w:val="en-US" w:eastAsia="zh-CN" w:bidi="ar"/>
              </w:rPr>
              <w:t>；</w:t>
            </w:r>
          </w:p>
          <w:p>
            <w:pPr>
              <w:widowControl/>
              <w:numPr>
                <w:ilvl w:val="0"/>
                <w:numId w:val="0"/>
              </w:numPr>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铅</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以Pb计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0.08mg/kg；</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以As计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0.1mg/kg</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suppressLineNumbers w:val="0"/>
              <w:jc w:val="left"/>
              <w:rPr>
                <w:highlight w:val="none"/>
              </w:rPr>
            </w:pPr>
            <w:r>
              <w:rPr>
                <w:rFonts w:hint="eastAsia" w:ascii="宋体" w:hAnsi="宋体" w:eastAsia="宋体" w:cs="宋体"/>
                <w:i w:val="0"/>
                <w:iCs w:val="0"/>
                <w:color w:val="auto"/>
                <w:kern w:val="0"/>
                <w:sz w:val="24"/>
                <w:szCs w:val="24"/>
                <w:highlight w:val="none"/>
                <w:u w:val="none"/>
                <w:lang w:val="en-US" w:eastAsia="zh-CN" w:bidi="ar"/>
              </w:rPr>
              <w:t>特丁基对苯二酚</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TBHQ</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g/kg</w:t>
            </w:r>
            <w:r>
              <w:rPr>
                <w:rFonts w:hint="eastAsia" w:ascii="宋体" w:hAnsi="宋体" w:cs="宋体"/>
                <w:i w:val="0"/>
                <w:iCs w:val="0"/>
                <w:color w:val="auto"/>
                <w:kern w:val="0"/>
                <w:sz w:val="24"/>
                <w:szCs w:val="24"/>
                <w:highlight w:val="none"/>
                <w:u w:val="none"/>
                <w:lang w:val="en-US" w:eastAsia="zh-CN" w:bidi="ar"/>
              </w:rPr>
              <w:t>；</w:t>
            </w:r>
          </w:p>
          <w:p>
            <w:pPr>
              <w:pStyle w:val="9"/>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以</w:t>
            </w:r>
            <w:r>
              <w:rPr>
                <w:rFonts w:hint="eastAsia" w:cs="宋体"/>
                <w:b/>
                <w:bCs/>
                <w:i w:val="0"/>
                <w:iCs w:val="0"/>
                <w:color w:val="auto"/>
                <w:kern w:val="0"/>
                <w:sz w:val="24"/>
                <w:szCs w:val="24"/>
                <w:highlight w:val="none"/>
                <w:u w:val="none"/>
                <w:lang w:val="en-US" w:eastAsia="zh-CN" w:bidi="ar"/>
              </w:rPr>
              <w:t>上1-3</w:t>
            </w:r>
            <w:r>
              <w:rPr>
                <w:rFonts w:hint="default" w:ascii="宋体" w:hAnsi="宋体" w:eastAsia="宋体" w:cs="宋体"/>
                <w:b/>
                <w:bCs/>
                <w:i w:val="0"/>
                <w:iCs w:val="0"/>
                <w:color w:val="auto"/>
                <w:kern w:val="0"/>
                <w:sz w:val="24"/>
                <w:szCs w:val="24"/>
                <w:highlight w:val="none"/>
                <w:u w:val="none"/>
                <w:lang w:val="en-US" w:eastAsia="zh-CN" w:bidi="ar"/>
              </w:rPr>
              <w:t>指标需提供有资质的第三方检验机构（CNAS/CMA认证）出具的近一年内的型式检验报告作为证明，并在中标后提供当批次产品的合格检验报告。</w:t>
            </w:r>
          </w:p>
          <w:p>
            <w:pPr>
              <w:numPr>
                <w:ilvl w:val="0"/>
                <w:numId w:val="0"/>
              </w:numPr>
              <w:ind w:left="0" w:leftChars="0" w:firstLine="0" w:firstLineChars="0"/>
              <w:rPr>
                <w:rFonts w:hint="eastAsia" w:ascii="Calibri" w:hAnsi="Calibri" w:eastAsia="宋体" w:cs="黑体"/>
                <w:color w:val="auto"/>
                <w:kern w:val="2"/>
                <w:sz w:val="21"/>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4.</w:t>
            </w:r>
            <w:r>
              <w:rPr>
                <w:rFonts w:hint="default" w:ascii="宋体" w:hAnsi="宋体" w:eastAsia="宋体" w:cs="宋体"/>
                <w:i w:val="0"/>
                <w:iCs w:val="0"/>
                <w:color w:val="auto"/>
                <w:kern w:val="0"/>
                <w:sz w:val="24"/>
                <w:szCs w:val="24"/>
                <w:highlight w:val="none"/>
                <w:u w:val="none"/>
                <w:lang w:val="en-US" w:eastAsia="zh-CN" w:bidi="ar"/>
              </w:rPr>
              <w:t>配料表应为“玉米油”或“玉米胚芽油”</w:t>
            </w:r>
            <w:r>
              <w:rPr>
                <w:rFonts w:hint="eastAsia" w:ascii="宋体" w:hAnsi="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84" w:type="pct"/>
            <w:shd w:val="clear" w:color="auto" w:fill="auto"/>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3</w:t>
            </w:r>
          </w:p>
        </w:tc>
        <w:tc>
          <w:tcPr>
            <w:tcW w:w="6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五常大米</w:t>
            </w:r>
          </w:p>
        </w:tc>
        <w:tc>
          <w:tcPr>
            <w:tcW w:w="450"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≥5kg/袋</w:t>
            </w:r>
          </w:p>
        </w:tc>
        <w:tc>
          <w:tcPr>
            <w:tcW w:w="445" w:type="pct"/>
            <w:shd w:val="clear" w:color="auto" w:fill="auto"/>
            <w:vAlign w:val="center"/>
          </w:tcPr>
          <w:p>
            <w:pPr>
              <w:widowControl/>
              <w:jc w:val="center"/>
              <w:rPr>
                <w:rFonts w:hint="default"/>
                <w:highlight w:val="none"/>
                <w:lang w:val="en-US" w:eastAsia="zh-CN"/>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color w:val="auto"/>
                <w:kern w:val="0"/>
                <w:sz w:val="28"/>
                <w:szCs w:val="28"/>
                <w:lang w:val="en-US" w:eastAsia="zh-CN"/>
              </w:rPr>
              <w:t>2</w:t>
            </w:r>
          </w:p>
        </w:tc>
        <w:tc>
          <w:tcPr>
            <w:tcW w:w="377" w:type="pct"/>
            <w:shd w:val="clear" w:color="auto" w:fill="auto"/>
            <w:vAlign w:val="center"/>
          </w:tcPr>
          <w:p>
            <w:pPr>
              <w:widowControl/>
              <w:jc w:val="center"/>
              <w:rPr>
                <w:rFonts w:hint="default"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袋</w:t>
            </w:r>
          </w:p>
        </w:tc>
        <w:tc>
          <w:tcPr>
            <w:tcW w:w="2668" w:type="pct"/>
            <w:shd w:val="clear" w:color="auto" w:fill="auto"/>
            <w:vAlign w:val="center"/>
          </w:tcPr>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质量与技术标准</w:t>
            </w:r>
            <w:r>
              <w:rPr>
                <w:rFonts w:hint="eastAsia" w:ascii="宋体" w:hAnsi="宋体" w:eastAsia="宋体" w:cs="宋体"/>
                <w:i w:val="0"/>
                <w:iCs w:val="0"/>
                <w:color w:val="auto"/>
                <w:kern w:val="0"/>
                <w:sz w:val="24"/>
                <w:szCs w:val="24"/>
                <w:highlight w:val="none"/>
                <w:u w:val="none"/>
                <w:lang w:val="en-US" w:eastAsia="zh-CN" w:bidi="ar"/>
              </w:rPr>
              <w:t>：不低于国家标准GB/T19266；</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.质量指标要求</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加工精度：精碾（GB/T</w:t>
            </w:r>
            <w:r>
              <w:rPr>
                <w:rFonts w:hint="eastAsia" w:ascii="宋体" w:hAnsi="宋体" w:cs="宋体"/>
                <w:i w:val="0"/>
                <w:iCs w:val="0"/>
                <w:color w:val="auto"/>
                <w:kern w:val="0"/>
                <w:sz w:val="24"/>
                <w:szCs w:val="24"/>
                <w:highlight w:val="none"/>
                <w:u w:val="none"/>
                <w:lang w:val="en-US" w:eastAsia="zh-CN" w:bidi="ar"/>
              </w:rPr>
              <w:t xml:space="preserve"> </w:t>
            </w:r>
            <w:r>
              <w:rPr>
                <w:rFonts w:hint="default" w:ascii="宋体" w:hAnsi="宋体" w:eastAsia="宋体" w:cs="宋体"/>
                <w:i w:val="0"/>
                <w:iCs w:val="0"/>
                <w:color w:val="auto"/>
                <w:kern w:val="0"/>
                <w:sz w:val="24"/>
                <w:szCs w:val="24"/>
                <w:highlight w:val="none"/>
                <w:u w:val="none"/>
                <w:lang w:val="en-US" w:eastAsia="zh-CN" w:bidi="ar"/>
              </w:rPr>
              <w:t>5502-2018要求）</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霉变粒率</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2</w:t>
            </w:r>
            <w:r>
              <w:rPr>
                <w:rFonts w:hint="default" w:ascii="宋体" w:hAnsi="宋体" w:eastAsia="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直链淀粉含量（干基）：15.0%</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20.0%</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胶稠度：≥70mm</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黄曲霉毒素B1：不得检出</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赭曲霉毒素</w:t>
            </w:r>
            <w:r>
              <w:rPr>
                <w:rFonts w:hint="eastAsia" w:ascii="宋体" w:hAnsi="宋体" w:cs="宋体"/>
                <w:i w:val="0"/>
                <w:iCs w:val="0"/>
                <w:color w:val="auto"/>
                <w:kern w:val="0"/>
                <w:sz w:val="24"/>
                <w:szCs w:val="24"/>
                <w:highlight w:val="none"/>
                <w:u w:val="none"/>
                <w:lang w:val="en-US" w:eastAsia="zh-CN" w:bidi="ar"/>
              </w:rPr>
              <w:t>A：</w:t>
            </w:r>
            <w:r>
              <w:rPr>
                <w:rFonts w:hint="default" w:ascii="宋体" w:hAnsi="宋体" w:eastAsia="宋体" w:cs="宋体"/>
                <w:i w:val="0"/>
                <w:iCs w:val="0"/>
                <w:color w:val="auto"/>
                <w:kern w:val="0"/>
                <w:sz w:val="24"/>
                <w:szCs w:val="24"/>
                <w:highlight w:val="none"/>
                <w:u w:val="none"/>
                <w:lang w:val="en-US" w:eastAsia="zh-CN" w:bidi="ar"/>
              </w:rPr>
              <w:t>不得检出</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丁草胺：</w:t>
            </w:r>
            <w:r>
              <w:rPr>
                <w:rFonts w:hint="default" w:ascii="宋体" w:hAnsi="宋体" w:eastAsia="宋体" w:cs="宋体"/>
                <w:i w:val="0"/>
                <w:iCs w:val="0"/>
                <w:color w:val="auto"/>
                <w:kern w:val="0"/>
                <w:sz w:val="24"/>
                <w:szCs w:val="24"/>
                <w:highlight w:val="none"/>
                <w:u w:val="none"/>
                <w:lang w:val="en-US" w:eastAsia="zh-CN" w:bidi="ar"/>
              </w:rPr>
              <w:t>不得检出</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溴氰菊酯</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不得检出</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重金属（镉Cd）：≤0.</w:t>
            </w:r>
            <w:r>
              <w:rPr>
                <w:rFonts w:hint="eastAsia" w:ascii="宋体" w:hAnsi="宋体" w:eastAsia="宋体" w:cs="宋体"/>
                <w:i w:val="0"/>
                <w:iCs w:val="0"/>
                <w:color w:val="auto"/>
                <w:kern w:val="0"/>
                <w:sz w:val="24"/>
                <w:szCs w:val="24"/>
                <w:highlight w:val="none"/>
                <w:u w:val="none"/>
                <w:lang w:val="en-US" w:eastAsia="zh-CN" w:bidi="ar"/>
              </w:rPr>
              <w:t>2</w:t>
            </w:r>
            <w:r>
              <w:rPr>
                <w:rFonts w:hint="default" w:ascii="宋体" w:hAnsi="宋体" w:eastAsia="宋体" w:cs="宋体"/>
                <w:i w:val="0"/>
                <w:iCs w:val="0"/>
                <w:color w:val="auto"/>
                <w:kern w:val="0"/>
                <w:sz w:val="24"/>
                <w:szCs w:val="24"/>
                <w:highlight w:val="none"/>
                <w:u w:val="none"/>
                <w:lang w:val="en-US" w:eastAsia="zh-CN" w:bidi="ar"/>
              </w:rPr>
              <w:t>mg/kg</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重金属（</w:t>
            </w:r>
            <w:r>
              <w:rPr>
                <w:rFonts w:hint="eastAsia" w:ascii="宋体" w:hAnsi="宋体" w:cs="宋体"/>
                <w:i w:val="0"/>
                <w:iCs w:val="0"/>
                <w:color w:val="auto"/>
                <w:kern w:val="0"/>
                <w:sz w:val="24"/>
                <w:szCs w:val="24"/>
                <w:highlight w:val="none"/>
                <w:u w:val="none"/>
                <w:lang w:val="en-US" w:eastAsia="zh-CN" w:bidi="ar"/>
              </w:rPr>
              <w:t>总汞Hg</w:t>
            </w:r>
            <w:r>
              <w:rPr>
                <w:rFonts w:hint="default"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2</w:t>
            </w:r>
            <w:r>
              <w:rPr>
                <w:rFonts w:hint="default" w:ascii="宋体" w:hAnsi="宋体" w:eastAsia="宋体" w:cs="宋体"/>
                <w:i w:val="0"/>
                <w:iCs w:val="0"/>
                <w:color w:val="auto"/>
                <w:kern w:val="0"/>
                <w:sz w:val="24"/>
                <w:szCs w:val="24"/>
                <w:highlight w:val="none"/>
                <w:u w:val="none"/>
                <w:lang w:val="en-US" w:eastAsia="zh-CN" w:bidi="ar"/>
              </w:rPr>
              <w:t>mg/kg</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农药残留：农药残留</w:t>
            </w:r>
            <w:r>
              <w:rPr>
                <w:rFonts w:hint="eastAsia" w:ascii="宋体" w:hAnsi="宋体" w:cs="宋体"/>
                <w:i w:val="0"/>
                <w:iCs w:val="0"/>
                <w:color w:val="auto"/>
                <w:kern w:val="0"/>
                <w:sz w:val="24"/>
                <w:szCs w:val="24"/>
                <w:highlight w:val="none"/>
                <w:u w:val="none"/>
                <w:lang w:val="en-US" w:eastAsia="zh-CN" w:bidi="ar"/>
              </w:rPr>
              <w:t>物的检测</w:t>
            </w:r>
            <w:r>
              <w:rPr>
                <w:rFonts w:hint="default" w:ascii="宋体" w:hAnsi="宋体" w:eastAsia="宋体" w:cs="宋体"/>
                <w:i w:val="0"/>
                <w:iCs w:val="0"/>
                <w:color w:val="auto"/>
                <w:kern w:val="0"/>
                <w:sz w:val="24"/>
                <w:szCs w:val="24"/>
                <w:highlight w:val="none"/>
                <w:u w:val="none"/>
                <w:lang w:val="en-US" w:eastAsia="zh-CN" w:bidi="ar"/>
              </w:rPr>
              <w:t>必须符合GB</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default" w:ascii="宋体" w:hAnsi="宋体" w:eastAsia="宋体" w:cs="宋体"/>
                <w:i w:val="0"/>
                <w:iCs w:val="0"/>
                <w:color w:val="auto"/>
                <w:kern w:val="0"/>
                <w:sz w:val="24"/>
                <w:szCs w:val="24"/>
                <w:highlight w:val="none"/>
                <w:u w:val="none"/>
                <w:lang w:val="en-US" w:eastAsia="zh-CN" w:bidi="ar"/>
              </w:rPr>
              <w:t>2763</w:t>
            </w:r>
            <w:r>
              <w:rPr>
                <w:rFonts w:hint="eastAsia" w:ascii="宋体" w:hAnsi="宋体" w:cs="宋体"/>
                <w:i w:val="0"/>
                <w:iCs w:val="0"/>
                <w:color w:val="auto"/>
                <w:kern w:val="0"/>
                <w:sz w:val="24"/>
                <w:szCs w:val="24"/>
                <w:highlight w:val="none"/>
                <w:u w:val="none"/>
                <w:lang w:val="en-US" w:eastAsia="zh-CN" w:bidi="ar"/>
              </w:rPr>
              <w:t>食品中农药最大残留量限量要求；</w:t>
            </w:r>
          </w:p>
          <w:p>
            <w:pPr>
              <w:widowControl/>
              <w:jc w:val="left"/>
              <w:rPr>
                <w:rFonts w:hint="eastAsia" w:ascii="宋体" w:hAnsi="宋体" w:cs="宋体"/>
                <w:b/>
                <w:bCs/>
                <w:i w:val="0"/>
                <w:iCs w:val="0"/>
                <w:color w:val="auto"/>
                <w:kern w:val="0"/>
                <w:sz w:val="24"/>
                <w:szCs w:val="24"/>
                <w:highlight w:val="none"/>
                <w:u w:val="none"/>
                <w:lang w:val="en-US" w:eastAsia="zh-CN" w:bidi="ar"/>
              </w:rPr>
            </w:pPr>
            <w:r>
              <w:rPr>
                <w:rFonts w:hint="eastAsia" w:cs="宋体"/>
                <w:b/>
                <w:bCs/>
                <w:i w:val="0"/>
                <w:iCs w:val="0"/>
                <w:color w:val="auto"/>
                <w:kern w:val="0"/>
                <w:sz w:val="24"/>
                <w:szCs w:val="24"/>
                <w:highlight w:val="none"/>
                <w:u w:val="none"/>
                <w:lang w:val="en-US" w:eastAsia="zh-CN" w:bidi="ar"/>
              </w:rPr>
              <w:t>以</w:t>
            </w:r>
            <w:r>
              <w:rPr>
                <w:rFonts w:hint="eastAsia" w:ascii="宋体" w:hAnsi="宋体" w:cs="宋体"/>
                <w:b/>
                <w:bCs/>
                <w:i w:val="0"/>
                <w:iCs w:val="0"/>
                <w:color w:val="auto"/>
                <w:kern w:val="0"/>
                <w:sz w:val="24"/>
                <w:szCs w:val="24"/>
                <w:highlight w:val="none"/>
                <w:u w:val="none"/>
                <w:lang w:val="en-US" w:eastAsia="zh-CN" w:bidi="ar"/>
              </w:rPr>
              <w:t>上1-2</w:t>
            </w:r>
            <w:r>
              <w:rPr>
                <w:rFonts w:hint="default" w:ascii="宋体" w:hAnsi="宋体" w:eastAsia="宋体" w:cs="宋体"/>
                <w:b/>
                <w:bCs/>
                <w:i w:val="0"/>
                <w:iCs w:val="0"/>
                <w:color w:val="auto"/>
                <w:kern w:val="0"/>
                <w:sz w:val="24"/>
                <w:szCs w:val="24"/>
                <w:highlight w:val="none"/>
                <w:u w:val="none"/>
                <w:lang w:val="en-US" w:eastAsia="zh-CN" w:bidi="ar"/>
              </w:rPr>
              <w:t>指标需提供有资质的第三方检验机构（CNAS/CMA认证）出具的近一年内的型式检验报告作为证明，并在中标后提供当批次产品的合格检验报告</w:t>
            </w:r>
            <w:r>
              <w:rPr>
                <w:rFonts w:hint="eastAsia" w:ascii="宋体" w:hAnsi="宋体" w:cs="宋体"/>
                <w:b/>
                <w:bCs/>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default" w:ascii="宋体" w:hAnsi="宋体" w:eastAsia="宋体" w:cs="宋体"/>
                <w:i w:val="0"/>
                <w:iCs w:val="0"/>
                <w:color w:val="auto"/>
                <w:kern w:val="0"/>
                <w:sz w:val="24"/>
                <w:szCs w:val="24"/>
                <w:highlight w:val="none"/>
                <w:u w:val="none"/>
                <w:lang w:val="en-US" w:eastAsia="zh-CN" w:bidi="ar"/>
              </w:rPr>
              <w:t>色泽：清白透明，富有光泽</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default" w:ascii="宋体" w:hAnsi="宋体" w:eastAsia="宋体" w:cs="宋体"/>
                <w:i w:val="0"/>
                <w:iCs w:val="0"/>
                <w:color w:val="auto"/>
                <w:kern w:val="0"/>
                <w:sz w:val="24"/>
                <w:szCs w:val="24"/>
                <w:highlight w:val="none"/>
                <w:u w:val="none"/>
                <w:lang w:val="en-US" w:eastAsia="zh-CN" w:bidi="ar"/>
              </w:rPr>
              <w:t>气味：具有五常大米固有的自然清香，不应有陈米味、霉味或其他异味</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口感：润滑、软硬适中有弹性</w:t>
            </w:r>
            <w:r>
              <w:rPr>
                <w:rFonts w:hint="eastAsia" w:ascii="宋体" w:hAnsi="宋体" w:cs="宋体"/>
                <w:i w:val="0"/>
                <w:iCs w:val="0"/>
                <w:color w:val="auto"/>
                <w:kern w:val="0"/>
                <w:sz w:val="24"/>
                <w:szCs w:val="24"/>
                <w:highlight w:val="none"/>
                <w:u w:val="none"/>
                <w:lang w:val="en-US" w:eastAsia="zh-CN" w:bidi="ar"/>
              </w:rPr>
              <w:t>；</w:t>
            </w:r>
          </w:p>
          <w:p>
            <w:pPr>
              <w:pStyle w:val="9"/>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工艺：真空双层包装，</w:t>
            </w:r>
            <w:r>
              <w:rPr>
                <w:rFonts w:hint="default" w:ascii="宋体" w:hAnsi="宋体" w:eastAsia="宋体" w:cs="宋体"/>
                <w:i w:val="0"/>
                <w:iCs w:val="0"/>
                <w:color w:val="auto"/>
                <w:kern w:val="0"/>
                <w:sz w:val="24"/>
                <w:szCs w:val="24"/>
                <w:highlight w:val="none"/>
                <w:u w:val="none"/>
                <w:lang w:val="en-US" w:eastAsia="zh-CN" w:bidi="ar"/>
              </w:rPr>
              <w:t>五常地区优质粳稻品种，并在包装上明确标注品种名称</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Calibri" w:hAnsi="Calibri" w:eastAsia="宋体" w:cs="黑体"/>
                <w:color w:val="auto"/>
                <w:kern w:val="2"/>
                <w:sz w:val="21"/>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7.</w:t>
            </w:r>
            <w:r>
              <w:rPr>
                <w:rFonts w:hint="default" w:ascii="宋体" w:hAnsi="宋体" w:eastAsia="宋体" w:cs="宋体"/>
                <w:i w:val="0"/>
                <w:iCs w:val="0"/>
                <w:color w:val="auto"/>
                <w:kern w:val="0"/>
                <w:sz w:val="24"/>
                <w:szCs w:val="24"/>
                <w:highlight w:val="none"/>
                <w:u w:val="none"/>
                <w:lang w:val="en-US" w:eastAsia="zh-CN" w:bidi="ar"/>
              </w:rPr>
              <w:t>包装袋应为食品级、真空包装或充氮包装，材质厚实，具有良好的防潮、防虫性能</w:t>
            </w:r>
            <w:r>
              <w:rPr>
                <w:rFonts w:hint="eastAsia" w:ascii="宋体" w:hAnsi="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84" w:type="pct"/>
            <w:shd w:val="clear" w:color="auto" w:fill="auto"/>
            <w:vAlign w:val="center"/>
          </w:tcPr>
          <w:p>
            <w:pPr>
              <w:widowControl/>
              <w:jc w:val="center"/>
              <w:rPr>
                <w:rFonts w:hint="default" w:ascii="宋体" w:hAnsi="宋体" w:eastAsia="宋体" w:cs="宋体"/>
                <w:color w:val="auto"/>
                <w:kern w:val="0"/>
                <w:sz w:val="28"/>
                <w:szCs w:val="28"/>
                <w:lang w:val="en-US" w:eastAsia="zh-CN"/>
              </w:rPr>
            </w:pPr>
            <w:r>
              <w:rPr>
                <w:rFonts w:hint="eastAsia" w:ascii="宋体" w:hAnsi="宋体" w:cs="宋体"/>
                <w:strike w:val="0"/>
                <w:dstrike w:val="0"/>
                <w:color w:val="auto"/>
                <w:kern w:val="0"/>
                <w:sz w:val="28"/>
                <w:szCs w:val="28"/>
                <w:lang w:val="en-US" w:eastAsia="zh-CN"/>
              </w:rPr>
              <w:t>4</w:t>
            </w:r>
          </w:p>
        </w:tc>
        <w:tc>
          <w:tcPr>
            <w:tcW w:w="6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厨房湿巾</w:t>
            </w:r>
          </w:p>
        </w:tc>
        <w:tc>
          <w:tcPr>
            <w:tcW w:w="450"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≥48片/包</w:t>
            </w:r>
          </w:p>
        </w:tc>
        <w:tc>
          <w:tcPr>
            <w:tcW w:w="445" w:type="pct"/>
            <w:shd w:val="clear" w:color="auto" w:fill="auto"/>
            <w:vAlign w:val="center"/>
          </w:tcPr>
          <w:p>
            <w:pPr>
              <w:widowControl/>
              <w:jc w:val="center"/>
              <w:rPr>
                <w:rFonts w:hint="default"/>
                <w:highlight w:val="none"/>
                <w:lang w:val="en-US" w:eastAsia="zh-CN"/>
              </w:rPr>
            </w:pPr>
            <w:r>
              <w:rPr>
                <w:rFonts w:hint="eastAsia" w:ascii="宋体" w:hAnsi="宋体" w:eastAsia="宋体" w:cs="宋体"/>
                <w:i w:val="0"/>
                <w:iCs w:val="0"/>
                <w:color w:val="000000"/>
                <w:kern w:val="0"/>
                <w:sz w:val="24"/>
                <w:szCs w:val="24"/>
                <w:u w:val="none"/>
                <w:lang w:val="en-US" w:eastAsia="zh-CN" w:bidi="ar"/>
              </w:rPr>
              <w:t>≥1包</w:t>
            </w:r>
          </w:p>
        </w:tc>
        <w:tc>
          <w:tcPr>
            <w:tcW w:w="377" w:type="pct"/>
            <w:shd w:val="clear" w:color="auto" w:fill="auto"/>
            <w:vAlign w:val="center"/>
          </w:tcPr>
          <w:p>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w:t>
            </w:r>
          </w:p>
        </w:tc>
        <w:tc>
          <w:tcPr>
            <w:tcW w:w="2668" w:type="pct"/>
            <w:shd w:val="clear" w:color="auto" w:fill="auto"/>
            <w:vAlign w:val="center"/>
          </w:tcPr>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eastAsia="宋体" w:cs="宋体"/>
                <w:i w:val="0"/>
                <w:iCs w:val="0"/>
                <w:color w:val="auto"/>
                <w:kern w:val="0"/>
                <w:sz w:val="24"/>
                <w:szCs w:val="24"/>
                <w:highlight w:val="none"/>
                <w:u w:val="none"/>
                <w:lang w:val="en-US" w:eastAsia="zh-CN" w:bidi="ar"/>
              </w:rPr>
              <w:t>1.国家标准：符合且不低于国家标准GB 15979、GB 43631；</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highlight w:val="none"/>
              </w:rPr>
              <w:t>▲</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.质量指标要求：</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重金属（铅、砷、镉、汞）：不得检出；</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大肠菌群：不得检出；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甲醛：不得检出；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甲醇：不得检出；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防腐剂：不得检出；</w:t>
            </w:r>
          </w:p>
          <w:p>
            <w:pPr>
              <w:widowControl/>
              <w:jc w:val="left"/>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可迁移性荧光物质：不得检出；</w:t>
            </w:r>
          </w:p>
          <w:p>
            <w:pPr>
              <w:widowControl/>
              <w:jc w:val="left"/>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以</w:t>
            </w:r>
            <w:r>
              <w:rPr>
                <w:rFonts w:hint="eastAsia" w:ascii="宋体" w:hAnsi="宋体" w:eastAsia="宋体" w:cs="宋体"/>
                <w:b/>
                <w:bCs/>
                <w:i w:val="0"/>
                <w:iCs w:val="0"/>
                <w:color w:val="auto"/>
                <w:kern w:val="0"/>
                <w:sz w:val="24"/>
                <w:szCs w:val="24"/>
                <w:highlight w:val="none"/>
                <w:u w:val="none"/>
                <w:lang w:val="en-US" w:eastAsia="zh-CN" w:bidi="ar"/>
              </w:rPr>
              <w:t>上</w:t>
            </w:r>
            <w:r>
              <w:rPr>
                <w:rFonts w:hint="eastAsia" w:ascii="宋体" w:hAnsi="宋体" w:cs="宋体"/>
                <w:b/>
                <w:bCs/>
                <w:i w:val="0"/>
                <w:iCs w:val="0"/>
                <w:color w:val="auto"/>
                <w:kern w:val="0"/>
                <w:sz w:val="24"/>
                <w:szCs w:val="24"/>
                <w:highlight w:val="none"/>
                <w:u w:val="none"/>
                <w:lang w:val="en-US" w:eastAsia="zh-CN" w:bidi="ar"/>
              </w:rPr>
              <w:t>1-2</w:t>
            </w:r>
            <w:r>
              <w:rPr>
                <w:rFonts w:hint="default" w:ascii="宋体" w:hAnsi="宋体" w:eastAsia="宋体" w:cs="宋体"/>
                <w:b/>
                <w:bCs/>
                <w:i w:val="0"/>
                <w:iCs w:val="0"/>
                <w:color w:val="auto"/>
                <w:kern w:val="0"/>
                <w:sz w:val="24"/>
                <w:szCs w:val="24"/>
                <w:highlight w:val="none"/>
                <w:u w:val="none"/>
                <w:lang w:val="en-US" w:eastAsia="zh-CN" w:bidi="ar"/>
              </w:rPr>
              <w:t>指标需提供有资质的第三方检验机构（CNAS/CMA认证）出具的近一年内的有效检测报告作为证明。</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3.工艺：无纺布湿巾，</w:t>
            </w:r>
            <w:r>
              <w:rPr>
                <w:rFonts w:hint="default" w:ascii="宋体" w:hAnsi="宋体" w:eastAsia="宋体" w:cs="宋体"/>
                <w:i w:val="0"/>
                <w:iCs w:val="0"/>
                <w:color w:val="auto"/>
                <w:kern w:val="0"/>
                <w:sz w:val="24"/>
                <w:szCs w:val="24"/>
                <w:highlight w:val="none"/>
                <w:u w:val="none"/>
                <w:lang w:val="en-US" w:eastAsia="zh-CN" w:bidi="ar"/>
              </w:rPr>
              <w:t>含清洁液</w:t>
            </w:r>
            <w:r>
              <w:rPr>
                <w:rFonts w:hint="eastAsia" w:ascii="宋体" w:hAnsi="宋体" w:eastAsia="宋体" w:cs="宋体"/>
                <w:i w:val="0"/>
                <w:iCs w:val="0"/>
                <w:color w:val="auto"/>
                <w:kern w:val="0"/>
                <w:sz w:val="24"/>
                <w:szCs w:val="24"/>
                <w:highlight w:val="none"/>
                <w:u w:val="none"/>
                <w:lang w:val="en-US" w:eastAsia="zh-CN" w:bidi="ar"/>
              </w:rPr>
              <w:t>，去污杀菌二合一；</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hint="default" w:ascii="宋体" w:hAnsi="宋体" w:eastAsia="宋体" w:cs="宋体"/>
                <w:i w:val="0"/>
                <w:iCs w:val="0"/>
                <w:color w:val="auto"/>
                <w:kern w:val="0"/>
                <w:sz w:val="24"/>
                <w:szCs w:val="24"/>
                <w:highlight w:val="none"/>
                <w:u w:val="none"/>
                <w:lang w:val="en-US" w:eastAsia="zh-CN" w:bidi="ar"/>
              </w:rPr>
              <w:t>高效清洁：强力去除油污，清洁能力</w:t>
            </w:r>
            <w:r>
              <w:rPr>
                <w:rFonts w:hint="eastAsia" w:ascii="宋体" w:hAnsi="宋体" w:eastAsia="宋体" w:cs="宋体"/>
                <w:i w:val="0"/>
                <w:iCs w:val="0"/>
                <w:color w:val="auto"/>
                <w:kern w:val="0"/>
                <w:sz w:val="24"/>
                <w:szCs w:val="24"/>
                <w:highlight w:val="none"/>
                <w:u w:val="none"/>
                <w:lang w:val="en-US" w:eastAsia="zh-CN" w:bidi="ar"/>
              </w:rPr>
              <w:t>强；</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气味：气味清新，无刺鼻、令人不悦的化学气味</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r>
              <w:rPr>
                <w:rFonts w:hint="default" w:ascii="宋体" w:hAnsi="宋体" w:eastAsia="宋体" w:cs="宋体"/>
                <w:i w:val="0"/>
                <w:iCs w:val="0"/>
                <w:color w:val="auto"/>
                <w:kern w:val="0"/>
                <w:sz w:val="24"/>
                <w:szCs w:val="24"/>
                <w:highlight w:val="none"/>
                <w:u w:val="none"/>
                <w:lang w:val="en-US" w:eastAsia="zh-CN" w:bidi="ar"/>
              </w:rPr>
              <w:t>耐用厚实：材质应坚韧耐磨，不易撕破，擦拭时不起毛、不掉屑</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Calibri" w:hAnsi="Calibri" w:eastAsia="宋体" w:cs="黑体"/>
                <w:color w:val="auto"/>
                <w:kern w:val="2"/>
                <w:sz w:val="21"/>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r>
              <w:rPr>
                <w:rFonts w:hint="default" w:ascii="宋体" w:hAnsi="宋体" w:eastAsia="宋体" w:cs="宋体"/>
                <w:i w:val="0"/>
                <w:iCs w:val="0"/>
                <w:color w:val="auto"/>
                <w:kern w:val="0"/>
                <w:sz w:val="24"/>
                <w:szCs w:val="24"/>
                <w:highlight w:val="none"/>
                <w:u w:val="none"/>
                <w:lang w:val="en-US" w:eastAsia="zh-CN" w:bidi="ar"/>
              </w:rPr>
              <w:t>包装合理：使用软塑抽口包装或硬质塑料盖抽取式包装，并带有密封贴。包装密封性必须良好，能有效防止液体挥发。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84" w:type="pct"/>
            <w:shd w:val="clear" w:color="auto" w:fill="auto"/>
            <w:vAlign w:val="center"/>
          </w:tcPr>
          <w:p>
            <w:pPr>
              <w:widowControl/>
              <w:jc w:val="center"/>
              <w:rPr>
                <w:rFonts w:hint="default" w:ascii="宋体" w:hAnsi="宋体" w:cs="宋体"/>
                <w:color w:val="auto"/>
                <w:kern w:val="0"/>
                <w:sz w:val="28"/>
                <w:szCs w:val="28"/>
                <w:lang w:val="en-US" w:eastAsia="zh-CN"/>
              </w:rPr>
            </w:pPr>
            <w:r>
              <w:rPr>
                <w:rFonts w:hint="eastAsia" w:ascii="宋体" w:hAnsi="宋体" w:cs="宋体"/>
                <w:strike w:val="0"/>
                <w:dstrike w:val="0"/>
                <w:color w:val="auto"/>
                <w:kern w:val="0"/>
                <w:sz w:val="28"/>
                <w:szCs w:val="28"/>
                <w:lang w:val="en-US" w:eastAsia="zh-CN"/>
              </w:rPr>
              <w:t>5</w:t>
            </w:r>
          </w:p>
        </w:tc>
        <w:tc>
          <w:tcPr>
            <w:tcW w:w="6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抽纸</w:t>
            </w:r>
          </w:p>
        </w:tc>
        <w:tc>
          <w:tcPr>
            <w:tcW w:w="450" w:type="pct"/>
            <w:shd w:val="clear" w:color="auto" w:fill="auto"/>
            <w:vAlign w:val="center"/>
          </w:tcPr>
          <w:p>
            <w:pPr>
              <w:pStyle w:val="19"/>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每抽纸张层数</w:t>
            </w:r>
            <w:r>
              <w:rPr>
                <w:rFonts w:hint="default" w:ascii="宋体" w:hAnsi="宋体" w:eastAsia="宋体" w:cs="宋体"/>
                <w:i w:val="0"/>
                <w:iCs w:val="0"/>
                <w:color w:val="000000"/>
                <w:kern w:val="0"/>
                <w:sz w:val="24"/>
                <w:szCs w:val="24"/>
                <w:u w:val="none"/>
                <w:lang w:val="en-US" w:eastAsia="zh-CN" w:bidi="ar"/>
              </w:rPr>
              <w:t>：≥3层</w:t>
            </w:r>
            <w:r>
              <w:rPr>
                <w:rFonts w:hint="eastAsia" w:ascii="宋体" w:hAnsi="宋体" w:cs="宋体"/>
                <w:i w:val="0"/>
                <w:iCs w:val="0"/>
                <w:color w:val="000000"/>
                <w:kern w:val="0"/>
                <w:sz w:val="24"/>
                <w:szCs w:val="24"/>
                <w:u w:val="none"/>
                <w:lang w:val="en-US" w:eastAsia="zh-CN" w:bidi="ar"/>
              </w:rPr>
              <w:t>；</w:t>
            </w:r>
          </w:p>
          <w:p>
            <w:pPr>
              <w:pStyle w:val="19"/>
              <w:keepNext w:val="0"/>
              <w:keepLines w:val="0"/>
              <w:widowControl/>
              <w:suppressLineNumbers w:val="0"/>
              <w:spacing w:before="0" w:beforeAutospacing="0" w:after="0" w:afterAutospacing="0"/>
              <w:ind w:left="0" w:right="0"/>
              <w:jc w:val="center"/>
              <w:rPr>
                <w:rFonts w:hint="eastAsia" w:ascii="宋体" w:hAnsi="宋体" w:cs="宋体"/>
                <w:i w:val="0"/>
                <w:iCs w:val="0"/>
                <w:color w:val="auto"/>
                <w:kern w:val="0"/>
                <w:sz w:val="28"/>
                <w:szCs w:val="28"/>
                <w:u w:val="none"/>
                <w:lang w:val="en-US" w:eastAsia="zh-CN" w:bidi="ar"/>
              </w:rPr>
            </w:pPr>
            <w:r>
              <w:rPr>
                <w:rFonts w:hint="default" w:ascii="宋体" w:hAnsi="宋体" w:eastAsia="宋体" w:cs="宋体"/>
                <w:i w:val="0"/>
                <w:iCs w:val="0"/>
                <w:color w:val="000000"/>
                <w:kern w:val="0"/>
                <w:sz w:val="24"/>
                <w:szCs w:val="24"/>
                <w:u w:val="none"/>
                <w:lang w:val="en-US" w:eastAsia="zh-CN" w:bidi="ar"/>
              </w:rPr>
              <w:t>每包抽数：≥</w:t>
            </w:r>
            <w:r>
              <w:rPr>
                <w:rFonts w:hint="eastAsia" w:ascii="宋体" w:hAnsi="宋体" w:cs="宋体"/>
                <w:i w:val="0"/>
                <w:iCs w:val="0"/>
                <w:color w:val="000000"/>
                <w:kern w:val="0"/>
                <w:sz w:val="24"/>
                <w:szCs w:val="24"/>
                <w:u w:val="none"/>
                <w:lang w:val="en-US" w:eastAsia="zh-CN" w:bidi="ar"/>
              </w:rPr>
              <w:t>90</w:t>
            </w:r>
            <w:r>
              <w:rPr>
                <w:rFonts w:hint="default" w:ascii="宋体" w:hAnsi="宋体" w:eastAsia="宋体" w:cs="宋体"/>
                <w:i w:val="0"/>
                <w:iCs w:val="0"/>
                <w:color w:val="000000"/>
                <w:kern w:val="0"/>
                <w:sz w:val="24"/>
                <w:szCs w:val="24"/>
                <w:u w:val="none"/>
                <w:lang w:val="en-US" w:eastAsia="zh-CN" w:bidi="ar"/>
              </w:rPr>
              <w:t>。</w:t>
            </w:r>
          </w:p>
        </w:tc>
        <w:tc>
          <w:tcPr>
            <w:tcW w:w="445" w:type="pct"/>
            <w:shd w:val="clear" w:color="auto" w:fill="auto"/>
            <w:vAlign w:val="center"/>
          </w:tcPr>
          <w:p>
            <w:pPr>
              <w:widowControl/>
              <w:jc w:val="center"/>
              <w:rPr>
                <w:rFonts w:hint="default"/>
                <w:highlight w:val="none"/>
                <w:lang w:val="en-US" w:eastAsia="zh-CN"/>
              </w:rPr>
            </w:pPr>
            <w:r>
              <w:rPr>
                <w:rFonts w:hint="eastAsia" w:ascii="宋体" w:hAnsi="宋体" w:eastAsia="宋体" w:cs="宋体"/>
                <w:i w:val="0"/>
                <w:iCs w:val="0"/>
                <w:color w:val="000000"/>
                <w:kern w:val="0"/>
                <w:sz w:val="24"/>
                <w:szCs w:val="24"/>
                <w:u w:val="none"/>
                <w:lang w:val="en-US" w:eastAsia="zh-CN" w:bidi="ar"/>
              </w:rPr>
              <w:t>≥16包</w:t>
            </w:r>
          </w:p>
        </w:tc>
        <w:tc>
          <w:tcPr>
            <w:tcW w:w="377" w:type="pct"/>
            <w:shd w:val="clear" w:color="auto" w:fill="auto"/>
            <w:vAlign w:val="center"/>
          </w:tcPr>
          <w:p>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w:t>
            </w:r>
          </w:p>
        </w:tc>
        <w:tc>
          <w:tcPr>
            <w:tcW w:w="2668" w:type="pct"/>
            <w:shd w:val="clear" w:color="auto" w:fill="auto"/>
            <w:vAlign w:val="center"/>
          </w:tcPr>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eastAsia="宋体" w:cs="宋体"/>
                <w:i w:val="0"/>
                <w:iCs w:val="0"/>
                <w:color w:val="auto"/>
                <w:kern w:val="0"/>
                <w:sz w:val="24"/>
                <w:szCs w:val="24"/>
                <w:highlight w:val="none"/>
                <w:u w:val="none"/>
                <w:lang w:val="en-US" w:eastAsia="zh-CN" w:bidi="ar"/>
              </w:rPr>
              <w:t>1.</w:t>
            </w:r>
            <w:r>
              <w:rPr>
                <w:rFonts w:hint="default" w:ascii="宋体" w:hAnsi="宋体" w:eastAsia="宋体" w:cs="宋体"/>
                <w:i w:val="0"/>
                <w:iCs w:val="0"/>
                <w:color w:val="auto"/>
                <w:kern w:val="0"/>
                <w:sz w:val="24"/>
                <w:szCs w:val="24"/>
                <w:highlight w:val="none"/>
                <w:u w:val="none"/>
                <w:lang w:val="en-US" w:eastAsia="zh-CN" w:bidi="ar"/>
              </w:rPr>
              <w:t>质量与技术标准</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符合或优于</w:t>
            </w:r>
            <w:r>
              <w:rPr>
                <w:rFonts w:hint="eastAsia" w:ascii="宋体" w:hAnsi="宋体" w:eastAsia="宋体" w:cs="宋体"/>
                <w:i w:val="0"/>
                <w:iCs w:val="0"/>
                <w:color w:val="auto"/>
                <w:kern w:val="0"/>
                <w:sz w:val="24"/>
                <w:szCs w:val="24"/>
                <w:highlight w:val="none"/>
                <w:u w:val="none"/>
                <w:lang w:val="en-US" w:eastAsia="zh-CN" w:bidi="ar"/>
              </w:rPr>
              <w:t>国家标准</w:t>
            </w:r>
            <w:r>
              <w:rPr>
                <w:rFonts w:hint="default" w:ascii="宋体" w:hAnsi="宋体" w:eastAsia="宋体" w:cs="宋体"/>
                <w:i w:val="0"/>
                <w:iCs w:val="0"/>
                <w:color w:val="auto"/>
                <w:kern w:val="0"/>
                <w:sz w:val="24"/>
                <w:szCs w:val="24"/>
                <w:highlight w:val="none"/>
                <w:u w:val="none"/>
                <w:lang w:val="en-US" w:eastAsia="zh-CN" w:bidi="ar"/>
              </w:rPr>
              <w:t>GB/T 20810</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highlight w:val="none"/>
              </w:rPr>
              <w:t>▲</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.质量指标要求：</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大肠菌群：不得检出；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金黄色葡萄球菌：不得检出；</w:t>
            </w:r>
          </w:p>
          <w:p>
            <w:pPr>
              <w:widowControl/>
              <w:jc w:val="left"/>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可迁移性荧光物质：不得检出；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细菌菌落总数达标</w:t>
            </w:r>
            <w:r>
              <w:rPr>
                <w:rFonts w:hint="eastAsia" w:ascii="宋体" w:hAnsi="宋体" w:cs="宋体"/>
                <w:i w:val="0"/>
                <w:iCs w:val="0"/>
                <w:color w:val="auto"/>
                <w:kern w:val="0"/>
                <w:sz w:val="24"/>
                <w:szCs w:val="24"/>
                <w:highlight w:val="none"/>
                <w:u w:val="none"/>
                <w:lang w:val="en-US" w:eastAsia="zh-CN" w:bidi="ar"/>
              </w:rPr>
              <w:t>（≤600CFU/g）</w:t>
            </w:r>
            <w:r>
              <w:rPr>
                <w:rFonts w:hint="eastAsia" w:ascii="宋体" w:hAnsi="宋体" w:eastAsia="宋体" w:cs="宋体"/>
                <w:i w:val="0"/>
                <w:iCs w:val="0"/>
                <w:color w:val="auto"/>
                <w:kern w:val="0"/>
                <w:sz w:val="24"/>
                <w:szCs w:val="24"/>
                <w:highlight w:val="none"/>
                <w:u w:val="none"/>
                <w:lang w:val="en-US" w:eastAsia="zh-CN" w:bidi="ar"/>
              </w:rPr>
              <w:t>；掉粉率为0</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cs="宋体"/>
                <w:b/>
                <w:bCs/>
                <w:i w:val="0"/>
                <w:iCs w:val="0"/>
                <w:color w:val="auto"/>
                <w:kern w:val="0"/>
                <w:sz w:val="24"/>
                <w:szCs w:val="24"/>
                <w:highlight w:val="none"/>
                <w:u w:val="none"/>
                <w:lang w:val="en-US" w:eastAsia="zh-CN" w:bidi="ar"/>
              </w:rPr>
              <w:t>以</w:t>
            </w:r>
            <w:r>
              <w:rPr>
                <w:rFonts w:hint="eastAsia" w:ascii="宋体" w:hAnsi="宋体" w:cs="宋体"/>
                <w:b/>
                <w:bCs/>
                <w:i w:val="0"/>
                <w:iCs w:val="0"/>
                <w:color w:val="auto"/>
                <w:kern w:val="0"/>
                <w:sz w:val="24"/>
                <w:szCs w:val="24"/>
                <w:highlight w:val="none"/>
                <w:u w:val="none"/>
                <w:lang w:val="en-US" w:eastAsia="zh-CN" w:bidi="ar"/>
              </w:rPr>
              <w:t>上1-2</w:t>
            </w:r>
            <w:r>
              <w:rPr>
                <w:rFonts w:hint="default" w:ascii="宋体" w:hAnsi="宋体" w:eastAsia="宋体" w:cs="宋体"/>
                <w:b/>
                <w:bCs/>
                <w:i w:val="0"/>
                <w:iCs w:val="0"/>
                <w:color w:val="auto"/>
                <w:kern w:val="0"/>
                <w:sz w:val="24"/>
                <w:szCs w:val="24"/>
                <w:highlight w:val="none"/>
                <w:u w:val="none"/>
                <w:lang w:val="en-US" w:eastAsia="zh-CN" w:bidi="ar"/>
              </w:rPr>
              <w:t>指标提供第三方机构出具的符合GB/T 20810-2018检验报告。</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3.工艺：</w:t>
            </w:r>
            <w:r>
              <w:rPr>
                <w:rFonts w:hint="default" w:ascii="宋体" w:hAnsi="宋体" w:eastAsia="宋体" w:cs="宋体"/>
                <w:i w:val="0"/>
                <w:iCs w:val="0"/>
                <w:color w:val="auto"/>
                <w:kern w:val="0"/>
                <w:sz w:val="24"/>
                <w:szCs w:val="24"/>
                <w:highlight w:val="none"/>
                <w:u w:val="none"/>
                <w:lang w:val="en-US" w:eastAsia="zh-CN" w:bidi="ar"/>
              </w:rPr>
              <w:t>100%</w:t>
            </w:r>
            <w:r>
              <w:rPr>
                <w:rFonts w:hint="eastAsia" w:ascii="宋体" w:hAnsi="宋体" w:eastAsia="宋体" w:cs="宋体"/>
                <w:i w:val="0"/>
                <w:iCs w:val="0"/>
                <w:color w:val="auto"/>
                <w:kern w:val="0"/>
                <w:sz w:val="24"/>
                <w:szCs w:val="24"/>
                <w:highlight w:val="none"/>
                <w:u w:val="none"/>
                <w:lang w:val="en-US" w:eastAsia="zh-CN" w:bidi="ar"/>
              </w:rPr>
              <w:t>原生木浆/加厚/无粉尘；</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4.质量要求：柔软亲肤</w:t>
            </w:r>
            <w:r>
              <w:rPr>
                <w:rFonts w:hint="default" w:ascii="宋体" w:hAnsi="宋体" w:eastAsia="宋体" w:cs="宋体"/>
                <w:i w:val="0"/>
                <w:iCs w:val="0"/>
                <w:color w:val="auto"/>
                <w:kern w:val="0"/>
                <w:sz w:val="24"/>
                <w:szCs w:val="24"/>
                <w:highlight w:val="none"/>
                <w:u w:val="none"/>
                <w:lang w:val="en-US" w:eastAsia="zh-CN" w:bidi="ar"/>
              </w:rPr>
              <w:t>：直接接触皮肤，触感柔软舒适，无摩擦感</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强韧耐用：纸张需有足够的湿强度和干强度，擦拭时不易破裂、不起纸屑、不掉毛絮</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Calibri" w:hAnsi="Calibri" w:eastAsia="宋体" w:cs="黑体"/>
                <w:color w:val="auto"/>
                <w:kern w:val="2"/>
                <w:sz w:val="21"/>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.包装与用量：</w:t>
            </w:r>
            <w:r>
              <w:rPr>
                <w:rFonts w:hint="eastAsia" w:ascii="宋体" w:hAnsi="宋体" w:eastAsia="宋体" w:cs="宋体"/>
                <w:i w:val="0"/>
                <w:iCs w:val="0"/>
                <w:color w:val="auto"/>
                <w:kern w:val="0"/>
                <w:sz w:val="24"/>
                <w:szCs w:val="24"/>
                <w:highlight w:val="none"/>
                <w:u w:val="none"/>
                <w:lang w:val="en-US" w:eastAsia="zh-CN" w:bidi="ar"/>
              </w:rPr>
              <w:t>盒装抽纸</w:t>
            </w:r>
            <w:r>
              <w:rPr>
                <w:rFonts w:hint="default" w:ascii="宋体" w:hAnsi="宋体" w:eastAsia="宋体" w:cs="宋体"/>
                <w:i w:val="0"/>
                <w:iCs w:val="0"/>
                <w:color w:val="auto"/>
                <w:kern w:val="0"/>
                <w:sz w:val="24"/>
                <w:szCs w:val="24"/>
                <w:highlight w:val="none"/>
                <w:u w:val="none"/>
                <w:lang w:val="en-US" w:eastAsia="zh-CN" w:bidi="ar"/>
              </w:rPr>
              <w:t>或软抽纸巾</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带有虚线开口或易撕贴，包装密封性好，抽数足量，抽取方便。</w:t>
            </w:r>
          </w:p>
        </w:tc>
      </w:tr>
    </w:tbl>
    <w:p>
      <w:pPr>
        <w:pStyle w:val="28"/>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投标方所提供的以上产品（包括食品、日用消费品）必须符合中华人民共和国国家强制性标准（GB标准）、推荐性标准（GB/T标准）及其对应的行业标准，确保为合格、安全的全新产品。所有产品均应来源清晰、渠道正规。</w:t>
      </w:r>
    </w:p>
    <w:p>
      <w:pPr>
        <w:pStyle w:val="28"/>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kern w:val="2"/>
          <w:sz w:val="28"/>
          <w:szCs w:val="28"/>
          <w:highlight w:val="yellow"/>
          <w:lang w:val="en-US" w:eastAsia="zh-CN" w:bidi="ar-SA"/>
        </w:rPr>
      </w:pPr>
      <w:r>
        <w:rPr>
          <w:rFonts w:hint="eastAsia" w:ascii="仿宋_GB2312" w:hAnsi="仿宋_GB2312" w:eastAsia="仿宋_GB2312" w:cs="仿宋_GB2312"/>
          <w:kern w:val="2"/>
          <w:sz w:val="28"/>
          <w:szCs w:val="28"/>
          <w:lang w:val="en-US" w:eastAsia="zh-CN" w:bidi="ar-SA"/>
        </w:rPr>
        <w:t>3.供应商提供的单个商品实际售价，不得高于同款（同规格）商品在深圳市主流商场（天虹、沃尔玛、山姆）或京东自营旗舰店的售卖价格。（提供主流平台链接或截图，需显示平台和单价）</w:t>
      </w:r>
    </w:p>
    <w:p>
      <w:pPr>
        <w:pStyle w:val="28"/>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4.送达验收时，产品的剩余保质期不得少于总保质期的</w:t>
      </w:r>
      <w:r>
        <w:rPr>
          <w:rFonts w:hint="default" w:ascii="仿宋_GB2312" w:hAnsi="仿宋_GB2312" w:eastAsia="仿宋_GB2312" w:cs="仿宋_GB2312"/>
          <w:kern w:val="2"/>
          <w:sz w:val="28"/>
          <w:szCs w:val="28"/>
          <w:lang w:val="en-US" w:eastAsia="zh-CN" w:bidi="ar-SA"/>
        </w:rPr>
        <w:t>2/3。</w:t>
      </w:r>
    </w:p>
    <w:p>
      <w:pPr>
        <w:pStyle w:val="28"/>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5.运输与储存</w:t>
      </w:r>
      <w:r>
        <w:rPr>
          <w:rFonts w:hint="default" w:ascii="仿宋_GB2312" w:hAnsi="仿宋_GB2312" w:eastAsia="仿宋_GB2312" w:cs="仿宋_GB2312"/>
          <w:kern w:val="2"/>
          <w:sz w:val="28"/>
          <w:szCs w:val="28"/>
          <w:lang w:val="en-US" w:eastAsia="zh-CN" w:bidi="ar-SA"/>
        </w:rPr>
        <w:t>：投标方需负责安全运输至指定地点，并确保在运输和储存过程中避免日晒、雨淋、高温，防止油脂氧化变质</w:t>
      </w:r>
      <w:r>
        <w:rPr>
          <w:rFonts w:hint="eastAsia" w:ascii="仿宋_GB2312" w:hAnsi="仿宋_GB2312" w:eastAsia="仿宋_GB2312" w:cs="仿宋_GB2312"/>
          <w:kern w:val="2"/>
          <w:sz w:val="28"/>
          <w:szCs w:val="28"/>
          <w:lang w:val="en-US" w:eastAsia="zh-CN" w:bidi="ar-SA"/>
        </w:rPr>
        <w:t>。</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0"/>
          <w:sz w:val="28"/>
          <w:szCs w:val="28"/>
          <w:lang w:val="en-US" w:eastAsia="zh-CN" w:bidi="ar-SA"/>
        </w:rPr>
        <w:t>六、</w:t>
      </w:r>
      <w:r>
        <w:rPr>
          <w:rFonts w:hint="eastAsia" w:ascii="仿宋_GB2312" w:hAnsi="仿宋_GB2312" w:eastAsia="仿宋_GB2312" w:cs="仿宋_GB2312"/>
          <w:b/>
          <w:bCs/>
          <w:sz w:val="28"/>
          <w:szCs w:val="28"/>
        </w:rPr>
        <w:t>验收</w:t>
      </w:r>
      <w:r>
        <w:rPr>
          <w:rFonts w:hint="eastAsia" w:ascii="仿宋_GB2312" w:hAnsi="仿宋_GB2312" w:eastAsia="仿宋_GB2312" w:cs="仿宋_GB2312"/>
          <w:b/>
          <w:bCs/>
          <w:sz w:val="28"/>
          <w:szCs w:val="28"/>
          <w:lang w:val="en-US" w:eastAsia="zh-CN"/>
        </w:rPr>
        <w:t>标准与流程</w:t>
      </w:r>
    </w:p>
    <w:p>
      <w:pPr>
        <w:pStyle w:val="28"/>
        <w:numPr>
          <w:ilvl w:val="0"/>
          <w:numId w:val="0"/>
        </w:numPr>
        <w:spacing w:line="460" w:lineRule="exact"/>
        <w:ind w:left="0" w:leftChars="0" w:firstLine="42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按照采购合同约定的产品名称、规格、数量，并通过快递配送记录等佐证内容，依据国家及行业相关标准，对产品的外观、包装、生产日期、保质期等进行检查，与收货人核实无误后确认签收。</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SA"/>
        </w:rPr>
        <w:t>七、</w:t>
      </w:r>
      <w:r>
        <w:rPr>
          <w:rFonts w:hint="eastAsia" w:ascii="仿宋_GB2312" w:hAnsi="仿宋_GB2312" w:eastAsia="仿宋_GB2312" w:cs="仿宋_GB2312"/>
          <w:b/>
          <w:bCs/>
          <w:sz w:val="28"/>
          <w:szCs w:val="28"/>
        </w:rPr>
        <w:t>报价要求</w:t>
      </w:r>
    </w:p>
    <w:p>
      <w:pPr>
        <w:pStyle w:val="28"/>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本项目最高支付限价为18.85万元，预计采购数量为377份，若采购人采购数量需要调整，最终采购金额按实际采购数量*每份组合套餐费用结算。</w:t>
      </w:r>
    </w:p>
    <w:p>
      <w:pPr>
        <w:pStyle w:val="28"/>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每份组合套餐金额为500元，要求每份组合套餐总价值不得低于500元，投标报价须是包括设备费、运输费、装卸费、保险费、设备安装费、调试费、售后服务费、国家规定的各项税费等费用。</w:t>
      </w:r>
    </w:p>
    <w:p>
      <w:pPr>
        <w:pStyle w:val="28"/>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报价比率=500/组合套餐总价值，满足采购文件要求且组合套餐投标价格（报价比率）最低的投标报价为评标基准价，其分项价格分为满分。其他投标人的价格分统一按照下列公式计算：</w:t>
      </w:r>
    </w:p>
    <w:p>
      <w:pPr>
        <w:pStyle w:val="28"/>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组合套餐的投标报价得分=(评标基准价／投标报价)×分值。</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0"/>
          <w:sz w:val="28"/>
          <w:szCs w:val="28"/>
          <w:lang w:val="en-US" w:eastAsia="zh-CN" w:bidi="ar-SA"/>
        </w:rPr>
        <w:t>八、</w:t>
      </w:r>
      <w:r>
        <w:rPr>
          <w:rFonts w:hint="eastAsia" w:ascii="仿宋_GB2312" w:hAnsi="仿宋_GB2312" w:eastAsia="仿宋_GB2312" w:cs="仿宋_GB2312"/>
          <w:b/>
          <w:bCs/>
          <w:sz w:val="28"/>
          <w:szCs w:val="28"/>
          <w:lang w:val="en-US" w:eastAsia="zh-CN"/>
        </w:rPr>
        <w:t>付款方式</w:t>
      </w:r>
    </w:p>
    <w:p>
      <w:pPr>
        <w:pStyle w:val="28"/>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合同签订并货物验收合格后15日内中标人需向采购人提供合法、有效的发票，采购人在收到中标人提供的合法、有效的发票10个工作日内应以转账方式一次性支付本合同全部价款到中标人指定账户。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lef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九、项目地点：深圳市龙岗区第七人</w:t>
      </w:r>
      <w:r>
        <w:rPr>
          <w:rFonts w:hint="eastAsia" w:ascii="仿宋_GB2312" w:hAnsi="仿宋_GB2312" w:eastAsia="仿宋_GB2312" w:cs="仿宋_GB2312"/>
          <w:b/>
          <w:bCs/>
          <w:sz w:val="28"/>
          <w:szCs w:val="28"/>
        </w:rPr>
        <w:t>民医院指定地点。</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十、评标标准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评标方法：综合评分法。按照招标文件中规定的各项因素进行量化打分，以评标总得分的平均分最高的投标人为中标候选供应商；采购人根据评标委员会评审结果确定中标候选供应商为中标人。</w:t>
      </w:r>
    </w:p>
    <w:tbl>
      <w:tblPr>
        <w:tblStyle w:val="21"/>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960"/>
        <w:gridCol w:w="825"/>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6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分类</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63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869"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商务部分（25）</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3" w:firstLineChars="6"/>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cs="宋体"/>
                <w:sz w:val="22"/>
                <w:szCs w:val="22"/>
                <w:lang w:val="en-US" w:eastAsia="zh-CN"/>
              </w:rPr>
              <w:t>技术</w:t>
            </w:r>
            <w:r>
              <w:rPr>
                <w:rFonts w:hint="eastAsia" w:ascii="宋体" w:hAnsi="宋体" w:cs="宋体"/>
                <w:sz w:val="22"/>
                <w:szCs w:val="22"/>
              </w:rPr>
              <w:t>要求响应情况</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rPr>
              <w:t>15</w:t>
            </w:r>
          </w:p>
        </w:tc>
        <w:tc>
          <w:tcPr>
            <w:tcW w:w="7631" w:type="dxa"/>
            <w:noWrap w:val="0"/>
            <w:vAlign w:val="center"/>
          </w:tcPr>
          <w:p>
            <w:pPr>
              <w:widowControl/>
              <w:spacing w:line="360" w:lineRule="exact"/>
              <w:jc w:val="left"/>
              <w:rPr>
                <w:rFonts w:ascii="宋体" w:hAnsi="宋体" w:cs="宋体"/>
                <w:b/>
                <w:bCs/>
                <w:sz w:val="22"/>
                <w:szCs w:val="22"/>
              </w:rPr>
            </w:pPr>
            <w:r>
              <w:rPr>
                <w:rFonts w:hint="eastAsia" w:ascii="宋体" w:hAnsi="宋体" w:cs="宋体"/>
                <w:b/>
                <w:bCs/>
                <w:sz w:val="22"/>
                <w:szCs w:val="22"/>
              </w:rPr>
              <w:t>（一）评分内容</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投标人应如实填写《技术要求响应表》，评审委员会根据响应情况进行打分，5类货物共28条技术要求，其中注有▲的重要技术要求每1项负偏离，扣1分；其他一般服务要求每1项负偏离，扣0.5分；扣完为止。</w:t>
            </w:r>
          </w:p>
          <w:p>
            <w:pPr>
              <w:widowControl/>
              <w:spacing w:line="360" w:lineRule="exact"/>
              <w:jc w:val="left"/>
              <w:rPr>
                <w:rFonts w:ascii="宋体" w:hAnsi="宋体" w:cs="宋体"/>
                <w:b/>
                <w:bCs/>
                <w:sz w:val="22"/>
                <w:szCs w:val="22"/>
              </w:rPr>
            </w:pPr>
            <w:r>
              <w:rPr>
                <w:rFonts w:hint="eastAsia" w:ascii="宋体" w:hAnsi="宋体" w:cs="宋体"/>
                <w:b/>
                <w:bCs/>
                <w:sz w:val="22"/>
                <w:szCs w:val="22"/>
              </w:rPr>
              <w:t>（二）评分依据</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投标人需提供《技术要求响应表》，未响应或按要求提供相关证明材料或者提供的证明材料不符合要求的或提供的证明材料不清晰评审专家无法辨认的，该项要求按照负偏离处理，扣除相应分值，原件备查。服务要求未要求提供证明材料的，则无需提供材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86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同类项目业绩</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rPr>
              <w:t>5</w:t>
            </w:r>
          </w:p>
        </w:tc>
        <w:tc>
          <w:tcPr>
            <w:tcW w:w="7631" w:type="dxa"/>
            <w:noWrap w:val="0"/>
            <w:vAlign w:val="center"/>
          </w:tcPr>
          <w:p>
            <w:pPr>
              <w:widowControl/>
              <w:spacing w:line="360" w:lineRule="exact"/>
              <w:jc w:val="left"/>
              <w:rPr>
                <w:rFonts w:ascii="宋体" w:hAnsi="宋体" w:cs="宋体"/>
                <w:b/>
                <w:bCs/>
                <w:sz w:val="22"/>
                <w:szCs w:val="22"/>
              </w:rPr>
            </w:pPr>
            <w:r>
              <w:rPr>
                <w:rFonts w:hint="eastAsia" w:ascii="宋体" w:hAnsi="宋体" w:cs="宋体"/>
                <w:b/>
                <w:bCs/>
                <w:sz w:val="22"/>
                <w:szCs w:val="22"/>
              </w:rPr>
              <w:t>（一）评分内容</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投标人2022年9月1日至本项目投标截止日（以合同签订时间为准）已完成的同类项目情况。</w:t>
            </w:r>
          </w:p>
          <w:p>
            <w:pPr>
              <w:widowControl/>
              <w:spacing w:line="360" w:lineRule="exact"/>
              <w:jc w:val="left"/>
              <w:rPr>
                <w:rFonts w:ascii="宋体" w:hAnsi="宋体" w:cs="宋体"/>
                <w:b/>
                <w:bCs/>
                <w:sz w:val="22"/>
                <w:szCs w:val="22"/>
              </w:rPr>
            </w:pPr>
            <w:r>
              <w:rPr>
                <w:rFonts w:hint="eastAsia" w:ascii="宋体" w:hAnsi="宋体" w:cs="宋体"/>
                <w:b/>
                <w:bCs/>
                <w:sz w:val="22"/>
                <w:szCs w:val="22"/>
              </w:rPr>
              <w:t>（二）评分依据</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每提供1项同类项目业绩证明得1分，最高得</w:t>
            </w: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分。提供合同关键页（关键信息包括但不仅限于合同的项目名称、项目内容、合同签订日期或能体现服务时间、甲乙双方签字盖章页）</w:t>
            </w:r>
            <w:r>
              <w:rPr>
                <w:rFonts w:hint="eastAsia" w:ascii="宋体" w:hAnsi="宋体" w:cs="宋体"/>
                <w:bCs/>
                <w:color w:val="auto"/>
                <w:kern w:val="0"/>
                <w:sz w:val="24"/>
                <w:szCs w:val="24"/>
                <w:lang w:val="en-US" w:eastAsia="zh-CN"/>
              </w:rPr>
              <w:t>复印件</w:t>
            </w:r>
            <w:r>
              <w:rPr>
                <w:rFonts w:hint="eastAsia" w:ascii="宋体" w:hAnsi="宋体" w:eastAsia="宋体" w:cs="宋体"/>
                <w:bCs/>
                <w:color w:val="auto"/>
                <w:kern w:val="0"/>
                <w:sz w:val="24"/>
                <w:szCs w:val="24"/>
                <w:lang w:val="en-US" w:eastAsia="zh-CN"/>
              </w:rPr>
              <w:t>扫描件，未提供或所提供的材料不符合得分条件的不计分。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869"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tc>
        <w:tc>
          <w:tcPr>
            <w:tcW w:w="96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企业诚信</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5</w:t>
            </w:r>
          </w:p>
        </w:tc>
        <w:tc>
          <w:tcPr>
            <w:tcW w:w="763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投标人存在《深圳市财政局政府采购供应商信用信息管理办法》（深财规〔2023〕3号）列明的一般行政处罚信息、一般违法失信记录信息的，本项不得分，不存在上述情形的本项得5分。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查询渠道：通过“信用中国”（下载信用信息报告）、“中国政府采购网”，以及“深圳市政府采购监管网”查询供应商信用信息，信用信息以开标当日的查询结果为准。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0" w:hRule="atLeast"/>
          <w:jc w:val="center"/>
        </w:trPr>
        <w:tc>
          <w:tcPr>
            <w:tcW w:w="8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技术得分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w:t>
            </w: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货物配送方案</w:t>
            </w:r>
          </w:p>
        </w:tc>
        <w:tc>
          <w:tcPr>
            <w:tcW w:w="82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10</w:t>
            </w:r>
          </w:p>
        </w:tc>
        <w:tc>
          <w:tcPr>
            <w:tcW w:w="7631" w:type="dxa"/>
            <w:noWrap w:val="0"/>
            <w:vAlign w:val="center"/>
          </w:tcPr>
          <w:p>
            <w:pPr>
              <w:widowControl/>
              <w:spacing w:line="360" w:lineRule="exact"/>
              <w:jc w:val="left"/>
              <w:rPr>
                <w:rFonts w:ascii="宋体" w:hAnsi="宋体" w:cs="宋体"/>
                <w:b/>
                <w:bCs/>
                <w:sz w:val="22"/>
                <w:szCs w:val="22"/>
              </w:rPr>
            </w:pPr>
            <w:r>
              <w:rPr>
                <w:rFonts w:hint="eastAsia" w:ascii="宋体" w:hAnsi="宋体" w:cs="宋体"/>
                <w:b/>
                <w:bCs/>
                <w:sz w:val="22"/>
                <w:szCs w:val="22"/>
              </w:rPr>
              <w:t>（一）评分内容</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在文件中详细说明对于本项目的货物配送方案，评审专家根据响应情况进行评审：</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1.快递方式；</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2.配送流程及保障措施；</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3.应急备用方案。</w:t>
            </w:r>
          </w:p>
          <w:p>
            <w:pPr>
              <w:widowControl/>
              <w:spacing w:line="360" w:lineRule="exact"/>
              <w:jc w:val="left"/>
              <w:rPr>
                <w:rFonts w:ascii="宋体" w:hAnsi="宋体" w:cs="宋体"/>
                <w:b/>
                <w:bCs/>
                <w:sz w:val="22"/>
                <w:szCs w:val="22"/>
              </w:rPr>
            </w:pPr>
            <w:r>
              <w:rPr>
                <w:rFonts w:hint="eastAsia" w:ascii="宋体" w:hAnsi="宋体" w:cs="宋体"/>
                <w:b/>
                <w:bCs/>
                <w:sz w:val="22"/>
                <w:szCs w:val="22"/>
              </w:rPr>
              <w:t>（二）评分依据</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1.满足以上一项要求得1分，任意二项要求得2分，全部满足得3分，其它情况不得分。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2.在此基础上，专家根据各供应商的具体响应内容进一步评审：</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（1）评审为优（方案具体全面、周到合理，针对性、操作性强）的，加7分；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（2）评审为良（方案较具体全面、周到合理，针对性、操作性较强）的，加4分；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（3）评审为中（方案具体全面性、周到合理性一般，针对性、操作性一般）的，加2分；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（4）评价为差（方案不具体全面，工作内容和安排考虑不周到合理，针对性、操作性不强）的，不加分。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jc w:val="center"/>
        </w:trPr>
        <w:tc>
          <w:tcPr>
            <w:tcW w:w="8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项目服务方案</w:t>
            </w:r>
          </w:p>
        </w:tc>
        <w:tc>
          <w:tcPr>
            <w:tcW w:w="82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w:t>
            </w:r>
            <w:r>
              <w:rPr>
                <w:rFonts w:hint="eastAsia" w:ascii="宋体" w:hAnsi="宋体" w:cs="宋体"/>
                <w:bCs/>
                <w:color w:val="auto"/>
                <w:kern w:val="0"/>
                <w:sz w:val="24"/>
                <w:szCs w:val="24"/>
                <w:lang w:val="en-US" w:eastAsia="zh-CN"/>
              </w:rPr>
              <w:t>0</w:t>
            </w:r>
          </w:p>
        </w:tc>
        <w:tc>
          <w:tcPr>
            <w:tcW w:w="7631" w:type="dxa"/>
            <w:noWrap w:val="0"/>
            <w:vAlign w:val="center"/>
          </w:tcPr>
          <w:p>
            <w:pPr>
              <w:widowControl/>
              <w:spacing w:line="360" w:lineRule="exact"/>
              <w:jc w:val="left"/>
              <w:rPr>
                <w:rFonts w:ascii="宋体" w:hAnsi="宋体" w:cs="宋体"/>
                <w:b/>
                <w:bCs/>
                <w:sz w:val="22"/>
                <w:szCs w:val="22"/>
              </w:rPr>
            </w:pPr>
            <w:r>
              <w:rPr>
                <w:rFonts w:hint="eastAsia" w:ascii="宋体" w:hAnsi="宋体" w:cs="宋体"/>
                <w:b/>
                <w:bCs/>
                <w:sz w:val="22"/>
                <w:szCs w:val="22"/>
              </w:rPr>
              <w:t>（一）评分内容</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在文件中详细说明对于本项目的整体设想及规划方案，评审专家根据响应情况进行评审：</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评分标准：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采购渠道；</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供货保障；</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highlight w:val="yellow"/>
                <w:lang w:val="en-US" w:eastAsia="zh-CN"/>
              </w:rPr>
            </w:pPr>
            <w:r>
              <w:rPr>
                <w:rFonts w:hint="eastAsia" w:ascii="宋体" w:hAnsi="宋体" w:eastAsia="宋体" w:cs="宋体"/>
                <w:bCs/>
                <w:color w:val="auto"/>
                <w:kern w:val="0"/>
                <w:sz w:val="24"/>
                <w:szCs w:val="24"/>
                <w:lang w:val="en-US" w:eastAsia="zh-CN"/>
              </w:rPr>
              <w:t>3</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品质保障</w:t>
            </w:r>
            <w:r>
              <w:rPr>
                <w:rFonts w:hint="eastAsia" w:ascii="宋体" w:hAnsi="宋体" w:cs="宋体"/>
                <w:bCs/>
                <w:color w:val="auto"/>
                <w:kern w:val="0"/>
                <w:sz w:val="24"/>
                <w:szCs w:val="24"/>
                <w:lang w:val="en-US" w:eastAsia="zh-CN"/>
              </w:rPr>
              <w:t>。</w:t>
            </w:r>
          </w:p>
          <w:p>
            <w:pPr>
              <w:widowControl/>
              <w:spacing w:line="360" w:lineRule="exact"/>
              <w:jc w:val="left"/>
              <w:rPr>
                <w:rFonts w:ascii="宋体" w:hAnsi="宋体" w:cs="宋体"/>
                <w:b/>
                <w:bCs/>
                <w:sz w:val="22"/>
                <w:szCs w:val="22"/>
              </w:rPr>
            </w:pPr>
            <w:r>
              <w:rPr>
                <w:rFonts w:hint="eastAsia" w:ascii="宋体" w:hAnsi="宋体" w:cs="宋体"/>
                <w:b/>
                <w:bCs/>
                <w:sz w:val="22"/>
                <w:szCs w:val="22"/>
              </w:rPr>
              <w:t>（二）评分依据</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1.</w:t>
            </w:r>
            <w:r>
              <w:rPr>
                <w:rFonts w:hint="eastAsia" w:ascii="宋体" w:hAnsi="宋体" w:eastAsia="宋体" w:cs="宋体"/>
                <w:bCs/>
                <w:color w:val="auto"/>
                <w:kern w:val="0"/>
                <w:sz w:val="24"/>
                <w:szCs w:val="24"/>
                <w:lang w:val="en-US" w:eastAsia="zh-CN"/>
              </w:rPr>
              <w:t>满足以上一项要求得1分，全部满足得</w:t>
            </w:r>
            <w:r>
              <w:rPr>
                <w:rFonts w:hint="eastAsia" w:ascii="宋体" w:hAnsi="宋体" w:cs="宋体"/>
                <w:bCs/>
                <w:color w:val="auto"/>
                <w:kern w:val="0"/>
                <w:sz w:val="24"/>
                <w:szCs w:val="24"/>
                <w:lang w:val="en-US" w:eastAsia="zh-CN"/>
              </w:rPr>
              <w:t>3</w:t>
            </w:r>
            <w:r>
              <w:rPr>
                <w:rFonts w:hint="eastAsia" w:ascii="宋体" w:hAnsi="宋体" w:eastAsia="宋体" w:cs="宋体"/>
                <w:bCs/>
                <w:color w:val="auto"/>
                <w:kern w:val="0"/>
                <w:sz w:val="24"/>
                <w:szCs w:val="24"/>
                <w:lang w:val="en-US" w:eastAsia="zh-CN"/>
              </w:rPr>
              <w:t>分，其它情况不得分。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lang w:val="en-US" w:eastAsia="zh-CN"/>
              </w:rPr>
              <w:t>在此基础上，专家根据各供应商的具体响应内容进一步评审：</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（1）评审为优（服务方案具体全面，工作内容和安排考虑周到合理，针对性、操作性强）的，加</w:t>
            </w:r>
            <w:r>
              <w:rPr>
                <w:rFonts w:hint="eastAsia" w:ascii="宋体" w:hAnsi="宋体" w:cs="宋体"/>
                <w:bCs/>
                <w:color w:val="auto"/>
                <w:kern w:val="0"/>
                <w:sz w:val="24"/>
                <w:szCs w:val="24"/>
                <w:lang w:val="en-US" w:eastAsia="zh-CN"/>
              </w:rPr>
              <w:t>7</w:t>
            </w:r>
            <w:r>
              <w:rPr>
                <w:rFonts w:hint="eastAsia" w:ascii="宋体" w:hAnsi="宋体" w:eastAsia="宋体" w:cs="宋体"/>
                <w:bCs/>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（2）评审为良（服务方案较具体全面，工作内容和安排考虑较周到合理，针对性、操作性较强）的，加</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（3）评审为中（服务方案具体全面性一般，工作内容和安排考虑周到合理性一般，针对性、操作性一般）的，加</w:t>
            </w: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（4）评价为差（服务方案不具体全面，工作内容和安排考虑不周到合理，针对性、操作性不强）的，不加分。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提供项目服务方案，并承诺中标后提供一致的保障服务。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0" w:hRule="atLeast"/>
          <w:jc w:val="center"/>
        </w:trPr>
        <w:tc>
          <w:tcPr>
            <w:tcW w:w="869"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技术部分（45）</w:t>
            </w:r>
          </w:p>
        </w:tc>
        <w:tc>
          <w:tcPr>
            <w:tcW w:w="96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售后服务</w:t>
            </w:r>
            <w:r>
              <w:rPr>
                <w:rFonts w:hint="eastAsia" w:ascii="宋体" w:hAnsi="宋体" w:cs="宋体"/>
                <w:bCs/>
                <w:color w:val="auto"/>
                <w:kern w:val="0"/>
                <w:sz w:val="24"/>
                <w:szCs w:val="24"/>
                <w:lang w:val="en-US" w:eastAsia="zh-CN"/>
              </w:rPr>
              <w:t>方案</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7</w:t>
            </w:r>
          </w:p>
        </w:tc>
        <w:tc>
          <w:tcPr>
            <w:tcW w:w="7631" w:type="dxa"/>
            <w:noWrap w:val="0"/>
            <w:vAlign w:val="center"/>
          </w:tcPr>
          <w:p>
            <w:pPr>
              <w:widowControl/>
              <w:spacing w:line="360" w:lineRule="exact"/>
              <w:jc w:val="left"/>
              <w:rPr>
                <w:rFonts w:ascii="宋体" w:hAnsi="宋体" w:cs="宋体"/>
                <w:b/>
                <w:bCs/>
                <w:sz w:val="22"/>
                <w:szCs w:val="22"/>
              </w:rPr>
            </w:pPr>
            <w:r>
              <w:rPr>
                <w:rFonts w:hint="eastAsia" w:ascii="宋体" w:hAnsi="宋体" w:cs="宋体"/>
                <w:b/>
                <w:bCs/>
                <w:sz w:val="22"/>
                <w:szCs w:val="22"/>
              </w:rPr>
              <w:t>（一）评分内容</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在文件中详细说明对于本项目的售后服务方案，评审专家根据响应情况进行评审：</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人员配置；</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响应时间；</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用户投诉响应措施。</w:t>
            </w:r>
          </w:p>
          <w:p>
            <w:pPr>
              <w:widowControl/>
              <w:spacing w:line="360" w:lineRule="exact"/>
              <w:jc w:val="left"/>
              <w:rPr>
                <w:rFonts w:ascii="宋体" w:hAnsi="宋体" w:cs="宋体"/>
                <w:b/>
                <w:bCs/>
                <w:sz w:val="22"/>
                <w:szCs w:val="22"/>
              </w:rPr>
            </w:pPr>
            <w:r>
              <w:rPr>
                <w:rFonts w:hint="eastAsia" w:ascii="宋体" w:hAnsi="宋体" w:cs="宋体"/>
                <w:b/>
                <w:bCs/>
                <w:sz w:val="22"/>
                <w:szCs w:val="22"/>
              </w:rPr>
              <w:t>（二）评分依据</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满足以上一项要求得1分，任意二项要求得2分，全部满足得3分，其它情况不得分。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在此基础上，专家根据各供应商的具体响应内容进一步评审：</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（1）评审为优（售后服务内容具体全面、周到合理，针对性、操作性强）的，加</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（2）评审为良（售后服务内容较具体全面、周到合理，针对性、操作性较强）的，加</w:t>
            </w: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（3）评审为中（售后服务内容具体全面性、周到合理性一般，针对性、操作性一般）的，加</w:t>
            </w:r>
            <w:r>
              <w:rPr>
                <w:rFonts w:hint="eastAsia" w:ascii="宋体" w:hAnsi="宋体" w:cs="宋体"/>
                <w:bCs/>
                <w:color w:val="auto"/>
                <w:kern w:val="0"/>
                <w:sz w:val="24"/>
                <w:szCs w:val="24"/>
                <w:lang w:val="en-US" w:eastAsia="zh-CN"/>
              </w:rPr>
              <w:t>1</w:t>
            </w:r>
            <w:r>
              <w:rPr>
                <w:rFonts w:hint="eastAsia" w:ascii="宋体" w:hAnsi="宋体" w:eastAsia="宋体" w:cs="宋体"/>
                <w:bCs/>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zh-CN" w:eastAsia="zh-CN"/>
              </w:rPr>
            </w:pPr>
            <w:r>
              <w:rPr>
                <w:rFonts w:hint="eastAsia" w:ascii="宋体" w:hAnsi="宋体" w:eastAsia="宋体" w:cs="宋体"/>
                <w:bCs/>
                <w:color w:val="auto"/>
                <w:kern w:val="0"/>
                <w:sz w:val="24"/>
                <w:szCs w:val="24"/>
                <w:lang w:val="en-US" w:eastAsia="zh-CN"/>
              </w:rPr>
              <w:t>（4）评价为差（售后服务内容不具体全面，工作内容和安排考虑不周到合理，针对性、操作性不强）的，不加分。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86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配送</w:t>
            </w:r>
            <w:r>
              <w:rPr>
                <w:rFonts w:hint="eastAsia" w:ascii="宋体" w:hAnsi="宋体" w:cs="宋体"/>
                <w:bCs/>
                <w:color w:val="auto"/>
                <w:kern w:val="0"/>
                <w:sz w:val="24"/>
                <w:szCs w:val="24"/>
                <w:lang w:val="en-US" w:eastAsia="zh-CN"/>
              </w:rPr>
              <w:t>承诺</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rPr>
              <w:t>6</w:t>
            </w:r>
          </w:p>
        </w:tc>
        <w:tc>
          <w:tcPr>
            <w:tcW w:w="7631" w:type="dxa"/>
            <w:noWrap w:val="0"/>
            <w:vAlign w:val="center"/>
          </w:tcPr>
          <w:p>
            <w:pPr>
              <w:widowControl/>
              <w:spacing w:line="360" w:lineRule="exact"/>
              <w:jc w:val="left"/>
              <w:rPr>
                <w:rFonts w:ascii="宋体" w:hAnsi="宋体" w:cs="宋体"/>
                <w:b/>
                <w:bCs/>
                <w:sz w:val="22"/>
                <w:szCs w:val="22"/>
              </w:rPr>
            </w:pPr>
            <w:r>
              <w:rPr>
                <w:rFonts w:hint="eastAsia" w:ascii="宋体" w:hAnsi="宋体" w:cs="宋体"/>
                <w:b/>
                <w:bCs/>
                <w:sz w:val="22"/>
                <w:szCs w:val="22"/>
              </w:rPr>
              <w:t>（一）评分内容</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投标人采用快递包邮方式送至员工指定地点（全国包邮），其他方式不得分。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1.货物快递深圳市内2天内到达；深圳市外广东省内3天内到达；广东省外4天内到达员工指定地点得</w:t>
            </w:r>
            <w:r>
              <w:rPr>
                <w:rFonts w:hint="eastAsia" w:ascii="宋体" w:hAnsi="宋体" w:cs="宋体"/>
                <w:bCs/>
                <w:color w:val="auto"/>
                <w:kern w:val="0"/>
                <w:sz w:val="24"/>
                <w:szCs w:val="24"/>
                <w:lang w:val="en-US" w:eastAsia="zh-CN"/>
              </w:rPr>
              <w:t>6</w:t>
            </w:r>
            <w:r>
              <w:rPr>
                <w:rFonts w:hint="eastAsia" w:ascii="宋体" w:hAnsi="宋体" w:eastAsia="宋体" w:cs="宋体"/>
                <w:bCs/>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2.货物快递深圳市内3天内到达；深圳市外广东省内4天到达；广东省外5天内到达员工指定地点得</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3.货物快递深圳市内4天内到达；深圳市外广东省内5天到达；广东省外7天内到达员工指定地点得</w:t>
            </w: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其他情况不得分。</w:t>
            </w:r>
          </w:p>
          <w:p>
            <w:pPr>
              <w:widowControl/>
              <w:spacing w:line="360" w:lineRule="exact"/>
              <w:jc w:val="left"/>
              <w:rPr>
                <w:rFonts w:ascii="宋体" w:hAnsi="宋体" w:cs="宋体"/>
                <w:b/>
                <w:bCs/>
                <w:sz w:val="22"/>
                <w:szCs w:val="22"/>
              </w:rPr>
            </w:pPr>
            <w:r>
              <w:rPr>
                <w:rFonts w:hint="eastAsia" w:ascii="宋体" w:hAnsi="宋体" w:cs="宋体"/>
                <w:b/>
                <w:bCs/>
                <w:sz w:val="22"/>
                <w:szCs w:val="22"/>
              </w:rPr>
              <w:t>（二）评分依据</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提供承诺函</w:t>
            </w:r>
            <w:r>
              <w:rPr>
                <w:rFonts w:hint="eastAsia" w:ascii="宋体" w:hAnsi="宋体" w:cs="宋体"/>
                <w:bCs/>
                <w:color w:val="auto"/>
                <w:kern w:val="0"/>
                <w:sz w:val="24"/>
                <w:szCs w:val="24"/>
                <w:lang w:val="en-US" w:eastAsia="zh-CN"/>
              </w:rPr>
              <w:t>（格式自拟），</w:t>
            </w:r>
            <w:r>
              <w:rPr>
                <w:rFonts w:hint="eastAsia" w:ascii="宋体" w:hAnsi="宋体" w:eastAsia="宋体" w:cs="宋体"/>
                <w:bCs/>
                <w:color w:val="auto"/>
                <w:kern w:val="0"/>
                <w:sz w:val="24"/>
                <w:szCs w:val="24"/>
                <w:lang w:val="en-US" w:eastAsia="zh-CN"/>
              </w:rPr>
              <w:t>未提供或所提供的材料不符合得分条件的不计分。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货物产品规格及性价比评价</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12</w:t>
            </w:r>
          </w:p>
        </w:tc>
        <w:tc>
          <w:tcPr>
            <w:tcW w:w="7631" w:type="dxa"/>
            <w:noWrap w:val="0"/>
            <w:vAlign w:val="center"/>
          </w:tcPr>
          <w:p>
            <w:pPr>
              <w:widowControl/>
              <w:spacing w:line="360" w:lineRule="exact"/>
              <w:jc w:val="left"/>
              <w:rPr>
                <w:rFonts w:ascii="宋体" w:hAnsi="宋体" w:cs="宋体"/>
                <w:b/>
                <w:bCs/>
                <w:sz w:val="22"/>
                <w:szCs w:val="22"/>
              </w:rPr>
            </w:pPr>
            <w:r>
              <w:rPr>
                <w:rFonts w:hint="eastAsia" w:ascii="宋体" w:hAnsi="宋体" w:cs="宋体"/>
                <w:b/>
                <w:bCs/>
                <w:sz w:val="22"/>
                <w:szCs w:val="22"/>
              </w:rPr>
              <w:t>（一）评分内容</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根据供应商提供的样品，评审专家根据响应情况进行评审：</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1.产品知名度、品牌美誉度；</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2.产品质量及安全性；</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3.外观（色泽、包装设计）。</w:t>
            </w:r>
          </w:p>
          <w:p>
            <w:pPr>
              <w:widowControl/>
              <w:spacing w:line="360" w:lineRule="exact"/>
              <w:jc w:val="left"/>
              <w:rPr>
                <w:rFonts w:ascii="宋体" w:hAnsi="宋体" w:cs="宋体"/>
                <w:b/>
                <w:bCs/>
                <w:sz w:val="22"/>
                <w:szCs w:val="22"/>
              </w:rPr>
            </w:pPr>
            <w:r>
              <w:rPr>
                <w:rFonts w:hint="eastAsia" w:ascii="宋体" w:hAnsi="宋体" w:cs="宋体"/>
                <w:b/>
                <w:bCs/>
                <w:sz w:val="22"/>
                <w:szCs w:val="22"/>
              </w:rPr>
              <w:t>（二）评分依据</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1.满足以上任意一项要求得1分，最高得3分。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2.在此基础上，专家根据各供应商的具体响应内容进一步评审：</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（1）评价为优（产品知名度、品牌美誉度高，产品质量及安全性好，色泽、包装设计、手感好）的得9分；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（2）评审为良（产品知名度、品牌美誉度较高，产品质量及安全性较好，色泽、包装设计、手感较好）的得5分；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（3）评审为中（产品知名度、品牌美誉度一般，产品质量及安全性一般，色泽、包装设计、手感一般）的得3分；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（4）评审为差（产品知名度、品牌美誉度差，产品质量及安全性差，色泽、包装设计、手感差）的不得分。</w:t>
            </w:r>
          </w:p>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both"/>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评审依据：</w:t>
            </w:r>
          </w:p>
          <w:p>
            <w:pPr>
              <w:keepNext w:val="0"/>
              <w:keepLines w:val="0"/>
              <w:pageBreakBefore w:val="0"/>
              <w:widowControl w:val="0"/>
              <w:kinsoku/>
              <w:wordWrap/>
              <w:overflowPunct/>
              <w:topLinePunct w:val="0"/>
              <w:autoSpaceDE/>
              <w:autoSpaceDN/>
              <w:bidi w:val="0"/>
              <w:adjustRightInd/>
              <w:snapToGrid/>
              <w:spacing w:line="340" w:lineRule="exact"/>
              <w:ind w:firstLine="489" w:firstLineChars="204"/>
              <w:jc w:val="both"/>
              <w:textAlignment w:val="auto"/>
              <w:rPr>
                <w:rFonts w:hint="eastAsia"/>
                <w:lang w:val="en-US" w:eastAsia="zh-CN"/>
              </w:rPr>
            </w:pPr>
            <w:r>
              <w:rPr>
                <w:rFonts w:hint="eastAsia" w:ascii="宋体" w:hAnsi="宋体" w:eastAsia="宋体" w:cs="宋体"/>
                <w:bCs/>
                <w:color w:val="auto"/>
                <w:kern w:val="0"/>
                <w:sz w:val="24"/>
                <w:szCs w:val="24"/>
                <w:lang w:val="en-US" w:eastAsia="zh-CN"/>
              </w:rPr>
              <w:t>提供完整包装的样品</w:t>
            </w:r>
            <w:r>
              <w:rPr>
                <w:rFonts w:hint="eastAsia" w:ascii="宋体" w:hAnsi="宋体" w:cs="宋体"/>
                <w:bCs/>
                <w:color w:val="auto"/>
                <w:kern w:val="0"/>
                <w:sz w:val="24"/>
                <w:szCs w:val="24"/>
                <w:lang w:val="en-US" w:eastAsia="zh-CN"/>
              </w:rPr>
              <w:t>（一式一样）</w:t>
            </w:r>
            <w:r>
              <w:rPr>
                <w:rFonts w:hint="eastAsia" w:ascii="宋体" w:hAnsi="宋体" w:eastAsia="宋体" w:cs="宋体"/>
                <w:bCs/>
                <w:color w:val="auto"/>
                <w:kern w:val="0"/>
                <w:sz w:val="24"/>
                <w:szCs w:val="24"/>
                <w:lang w:val="en-US" w:eastAsia="zh-CN"/>
              </w:rPr>
              <w:t>、货品实物彩页介绍，并承诺中标产品与样品一致（提供承诺函）。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价格部分（30分）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价格分</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14" w:firstLineChars="6"/>
              <w:jc w:val="center"/>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30</w:t>
            </w:r>
          </w:p>
        </w:tc>
        <w:tc>
          <w:tcPr>
            <w:tcW w:w="7631" w:type="dxa"/>
            <w:noWrap w:val="0"/>
            <w:vAlign w:val="center"/>
          </w:tcPr>
          <w:p>
            <w:pPr>
              <w:widowControl/>
              <w:spacing w:line="360" w:lineRule="exact"/>
              <w:jc w:val="left"/>
              <w:rPr>
                <w:rFonts w:ascii="宋体" w:hAnsi="宋体" w:cs="宋体"/>
                <w:b/>
                <w:bCs/>
                <w:sz w:val="22"/>
                <w:szCs w:val="22"/>
              </w:rPr>
            </w:pPr>
            <w:r>
              <w:rPr>
                <w:rFonts w:hint="eastAsia" w:ascii="宋体" w:hAnsi="宋体" w:cs="宋体"/>
                <w:b/>
                <w:bCs/>
                <w:sz w:val="22"/>
                <w:szCs w:val="22"/>
              </w:rPr>
              <w:t>（一）评分内容</w:t>
            </w:r>
          </w:p>
          <w:p>
            <w:pPr>
              <w:pStyle w:val="28"/>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综合评分法中的价格分统一采用低价优先法计算。即满足采购文件要求且组合套餐投标价格（报价比率）最低的投标报价为评标基准价，其分项价格分为满分。其他投标人的价格分统一按照下列公式计算：</w:t>
            </w:r>
          </w:p>
          <w:p>
            <w:pPr>
              <w:pStyle w:val="28"/>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组合套餐的投标报价得分=(评标基准价／投标报价)×分值。</w:t>
            </w:r>
          </w:p>
          <w:p>
            <w:pPr>
              <w:widowControl/>
              <w:spacing w:line="360" w:lineRule="exact"/>
              <w:jc w:val="left"/>
              <w:rPr>
                <w:rFonts w:ascii="宋体" w:hAnsi="宋体" w:cs="宋体"/>
                <w:b/>
                <w:bCs/>
                <w:sz w:val="22"/>
                <w:szCs w:val="22"/>
              </w:rPr>
            </w:pPr>
            <w:r>
              <w:rPr>
                <w:rFonts w:hint="eastAsia" w:ascii="宋体" w:hAnsi="宋体" w:cs="宋体"/>
                <w:b/>
                <w:bCs/>
                <w:sz w:val="22"/>
                <w:szCs w:val="22"/>
              </w:rPr>
              <w:t>（二）评分依据</w:t>
            </w:r>
          </w:p>
          <w:p>
            <w:pPr>
              <w:adjustRightInd w:val="0"/>
              <w:jc w:val="both"/>
              <w:textAlignment w:val="baseline"/>
              <w:outlineLvl w:val="9"/>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bidi="ar-SA"/>
              </w:rPr>
              <w:t>提供主流平台链接或截图（需显示</w:t>
            </w:r>
            <w:r>
              <w:rPr>
                <w:rFonts w:hint="eastAsia" w:ascii="宋体" w:hAnsi="宋体" w:cs="宋体"/>
                <w:bCs/>
                <w:color w:val="auto"/>
                <w:kern w:val="0"/>
                <w:sz w:val="24"/>
                <w:szCs w:val="24"/>
                <w:lang w:val="en-US" w:eastAsia="zh-CN" w:bidi="ar-SA"/>
              </w:rPr>
              <w:t>平台和</w:t>
            </w:r>
            <w:r>
              <w:rPr>
                <w:rFonts w:hint="eastAsia" w:ascii="宋体" w:hAnsi="宋体" w:eastAsia="宋体" w:cs="宋体"/>
                <w:bCs/>
                <w:color w:val="auto"/>
                <w:kern w:val="0"/>
                <w:sz w:val="24"/>
                <w:szCs w:val="24"/>
                <w:lang w:val="en-US" w:eastAsia="zh-CN" w:bidi="ar-SA"/>
              </w:rPr>
              <w:t>单价）。未提供或所提供的材料不符合得分条件的不计分。</w:t>
            </w:r>
          </w:p>
        </w:tc>
      </w:tr>
    </w:tbl>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十一、政策导向</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（1）投标人提供的服务</w:t>
      </w:r>
      <w:r>
        <w:rPr>
          <w:rFonts w:hint="eastAsia" w:ascii="仿宋_GB2312" w:hAnsi="仿宋_GB2312" w:eastAsia="仿宋_GB2312" w:cs="仿宋_GB2312"/>
          <w:bCs/>
          <w:kern w:val="0"/>
          <w:sz w:val="28"/>
          <w:szCs w:val="28"/>
          <w:lang w:eastAsia="zh-CN"/>
        </w:rPr>
        <w:t>全部</w:t>
      </w:r>
      <w:r>
        <w:rPr>
          <w:rFonts w:hint="eastAsia" w:ascii="仿宋_GB2312" w:hAnsi="仿宋_GB2312" w:eastAsia="仿宋_GB2312" w:cs="仿宋_GB2312"/>
          <w:bCs/>
          <w:kern w:val="0"/>
          <w:sz w:val="28"/>
          <w:szCs w:val="28"/>
        </w:rPr>
        <w:t>由优惠主体承接，则对其投标总价给予</w:t>
      </w:r>
      <w:r>
        <w:rPr>
          <w:rFonts w:hint="eastAsia" w:ascii="仿宋_GB2312" w:hAnsi="仿宋_GB2312" w:eastAsia="仿宋_GB2312" w:cs="仿宋_GB2312"/>
          <w:b/>
          <w:kern w:val="0"/>
          <w:sz w:val="28"/>
          <w:szCs w:val="28"/>
          <w:u w:val="single"/>
        </w:rPr>
        <w:t>10%</w:t>
      </w:r>
      <w:r>
        <w:rPr>
          <w:rFonts w:hint="eastAsia" w:ascii="仿宋_GB2312" w:hAnsi="仿宋_GB2312" w:eastAsia="仿宋_GB2312" w:cs="仿宋_GB2312"/>
          <w:bCs/>
          <w:kern w:val="0"/>
          <w:sz w:val="28"/>
          <w:szCs w:val="28"/>
        </w:rPr>
        <w:t>的扣除，用扣除后的价格参与评审。满足多项优惠政策的企业，不重复享受多项价格扣除政策。</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根据《工业和信息化部、国家统计局、国家发展和改革委员会、财政部关于印发中小企业划型标准规定的通知》（工信部联企业〔2011〕300号），本项目采购标的（项目需求）对应的中小企业划分标准所属行业为</w:t>
      </w:r>
      <w:r>
        <w:rPr>
          <w:rStyle w:val="24"/>
          <w:rFonts w:hint="eastAsia" w:ascii="Segoe UI" w:hAnsi="Segoe UI" w:eastAsia="Segoe UI" w:cs="Segoe UI"/>
          <w:bCs/>
          <w:color w:val="404040"/>
          <w:sz w:val="24"/>
          <w:u w:val="single"/>
          <w:shd w:val="clear" w:color="auto" w:fill="FFFFFF"/>
          <w:lang w:val="en-US" w:eastAsia="zh-CN"/>
        </w:rPr>
        <w:t>零售</w:t>
      </w:r>
      <w:r>
        <w:rPr>
          <w:rStyle w:val="24"/>
          <w:rFonts w:ascii="Segoe UI" w:hAnsi="Segoe UI" w:eastAsia="Segoe UI" w:cs="Segoe UI"/>
          <w:bCs/>
          <w:color w:val="404040"/>
          <w:sz w:val="24"/>
          <w:u w:val="single"/>
          <w:shd w:val="clear" w:color="auto" w:fill="FFFFFF"/>
        </w:rPr>
        <w:t>业</w:t>
      </w:r>
      <w:bookmarkStart w:id="23" w:name="_GoBack"/>
      <w:bookmarkEnd w:id="23"/>
      <w:r>
        <w:rPr>
          <w:rFonts w:hint="eastAsia" w:ascii="仿宋_GB2312" w:hAnsi="仿宋_GB2312" w:eastAsia="仿宋_GB2312" w:cs="仿宋_GB2312"/>
          <w:bCs/>
          <w:kern w:val="0"/>
          <w:sz w:val="28"/>
          <w:szCs w:val="28"/>
        </w:rPr>
        <w:t>。</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小型企业、微型企业、残疾人福利性单位作为优惠主体的认定资料为《中小企业声明函》《残疾人福利性单位声明函》；监狱企业作为优惠主体的认定资料为省级以上监狱管理局、戒毒管理局出具的监狱企业证明文件。监狱企业或者代理提供监狱企业货物的供应商如须享受优惠政策，除上述资料外，还须提供省级以上监狱管理局、戒毒管理局出具的监狱企业证明文件。</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（4）享受价格扣除获得政府采购合同的，小微企业不得将合同分包给大中型企业。</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both"/>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第三章</w:t>
      </w:r>
      <w:r>
        <w:rPr>
          <w:rFonts w:hint="eastAsia" w:ascii="仿宋_GB2312" w:hAnsi="仿宋_GB2312" w:eastAsia="仿宋_GB2312" w:cs="仿宋_GB2312"/>
          <w:b/>
          <w:bCs/>
          <w:sz w:val="36"/>
          <w:szCs w:val="36"/>
        </w:rPr>
        <w:t xml:space="preserve"> </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投标文件初审表</w:t>
      </w:r>
    </w:p>
    <w:p>
      <w:pPr>
        <w:jc w:val="center"/>
        <w:rPr>
          <w:rFonts w:asciiTheme="majorEastAsia" w:hAnsiTheme="majorEastAsia" w:eastAsiaTheme="majorEastAsia"/>
          <w:sz w:val="30"/>
          <w:szCs w:val="30"/>
        </w:rPr>
      </w:pPr>
      <w:r>
        <w:rPr>
          <w:rFonts w:hint="eastAsia" w:ascii="仿宋" w:hAnsi="仿宋" w:eastAsia="仿宋" w:cs="仿宋"/>
          <w:b/>
          <w:sz w:val="22"/>
          <w:szCs w:val="28"/>
        </w:rPr>
        <w:t>（凡未满足下列情形的，投标文件无效，投标作废标处理）</w:t>
      </w:r>
    </w:p>
    <w:p>
      <w:pPr>
        <w:pStyle w:val="4"/>
        <w:spacing w:line="4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（一）资格性审查表</w:t>
      </w:r>
    </w:p>
    <w:tbl>
      <w:tblPr>
        <w:tblStyle w:val="21"/>
        <w:tblW w:w="94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720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0" w:type="auto"/>
            <w:vAlign w:val="center"/>
          </w:tcPr>
          <w:p>
            <w:pPr>
              <w:jc w:val="center"/>
              <w:rPr>
                <w:rFonts w:ascii="宋体" w:cs="宋体"/>
                <w:b/>
              </w:rPr>
            </w:pPr>
            <w:r>
              <w:rPr>
                <w:rFonts w:hint="eastAsia" w:ascii="宋体" w:cs="宋体"/>
                <w:b/>
              </w:rPr>
              <w:t>序号</w:t>
            </w:r>
          </w:p>
        </w:tc>
        <w:tc>
          <w:tcPr>
            <w:tcW w:w="7204" w:type="dxa"/>
            <w:vAlign w:val="center"/>
          </w:tcPr>
          <w:p>
            <w:pPr>
              <w:jc w:val="center"/>
              <w:rPr>
                <w:rFonts w:ascii="宋体" w:cs="宋体"/>
                <w:b/>
              </w:rPr>
            </w:pPr>
            <w:r>
              <w:rPr>
                <w:rFonts w:hint="eastAsia" w:ascii="宋体" w:hAnsi="宋体" w:cs="宋体"/>
                <w:b/>
              </w:rPr>
              <w:t>评 审 内 容</w:t>
            </w:r>
          </w:p>
        </w:tc>
        <w:tc>
          <w:tcPr>
            <w:tcW w:w="1740" w:type="dxa"/>
            <w:vAlign w:val="center"/>
          </w:tcPr>
          <w:p>
            <w:pPr>
              <w:spacing w:line="360" w:lineRule="exact"/>
              <w:jc w:val="center"/>
              <w:rPr>
                <w:rFonts w:hint="eastAsia" w:ascii="宋体" w:hAnsi="宋体"/>
                <w:color w:val="auto"/>
                <w:szCs w:val="21"/>
                <w:lang w:eastAsia="zh-CN"/>
              </w:rPr>
            </w:pPr>
            <w:r>
              <w:rPr>
                <w:rFonts w:hint="eastAsia" w:ascii="宋体" w:hAnsi="宋体"/>
                <w:color w:val="auto"/>
                <w:szCs w:val="21"/>
                <w:lang w:eastAsia="zh-CN"/>
              </w:rPr>
              <w:t>自查情况</w:t>
            </w:r>
          </w:p>
          <w:p>
            <w:pPr>
              <w:jc w:val="center"/>
              <w:rPr>
                <w:rFonts w:hint="eastAsia" w:ascii="宋体" w:hAnsi="宋体" w:cs="宋体"/>
                <w:b/>
              </w:rPr>
            </w:pPr>
            <w:r>
              <w:rPr>
                <w:rFonts w:hint="eastAsia" w:ascii="宋体" w:hAnsi="宋体"/>
                <w:color w:val="auto"/>
                <w:szCs w:val="21"/>
                <w:lang w:eastAsia="zh-CN"/>
              </w:rPr>
              <w:t>（填写“</w:t>
            </w:r>
            <w:r>
              <w:rPr>
                <w:rFonts w:hint="eastAsia" w:ascii="宋体" w:hAnsi="宋体"/>
                <w:color w:val="auto"/>
                <w:szCs w:val="21"/>
                <w:lang w:val="en-US" w:eastAsia="zh-CN"/>
              </w:rPr>
              <w:t>满足</w:t>
            </w:r>
            <w:r>
              <w:rPr>
                <w:rFonts w:hint="eastAsia" w:ascii="宋体" w:hAnsi="宋体"/>
                <w:color w:val="auto"/>
                <w:szCs w:val="21"/>
                <w:lang w:eastAsia="zh-CN"/>
              </w:rPr>
              <w:t>”或“</w:t>
            </w:r>
            <w:r>
              <w:rPr>
                <w:rFonts w:hint="eastAsia" w:ascii="宋体" w:hAnsi="宋体"/>
                <w:color w:val="auto"/>
                <w:szCs w:val="21"/>
                <w:lang w:val="en-US" w:eastAsia="zh-CN"/>
              </w:rPr>
              <w:t>不满足</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0" w:type="auto"/>
            <w:vAlign w:val="center"/>
          </w:tcPr>
          <w:p>
            <w:pPr>
              <w:numPr>
                <w:ilvl w:val="0"/>
                <w:numId w:val="1"/>
              </w:numPr>
              <w:tabs>
                <w:tab w:val="left" w:pos="176"/>
                <w:tab w:val="left" w:pos="612"/>
              </w:tabs>
              <w:ind w:left="342"/>
              <w:jc w:val="center"/>
              <w:rPr>
                <w:rFonts w:ascii="宋体" w:hAnsi="宋体" w:cs="宋体"/>
              </w:rPr>
            </w:pPr>
          </w:p>
        </w:tc>
        <w:tc>
          <w:tcPr>
            <w:tcW w:w="7204" w:type="dxa"/>
            <w:vAlign w:val="center"/>
          </w:tcPr>
          <w:p>
            <w:pP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具备招标文件中规定要求的资格，且资格证明文件齐全</w:t>
            </w:r>
            <w:r>
              <w:rPr>
                <w:rFonts w:hint="eastAsia" w:ascii="宋体" w:hAnsi="宋体" w:cs="宋体"/>
                <w:color w:val="000000" w:themeColor="text1"/>
                <w:sz w:val="22"/>
                <w:szCs w:val="22"/>
                <w:lang w:eastAsia="zh-CN"/>
                <w14:textFill>
                  <w14:solidFill>
                    <w14:schemeClr w14:val="tx1"/>
                  </w14:solidFill>
                </w14:textFill>
              </w:rPr>
              <w:t>。</w:t>
            </w:r>
          </w:p>
        </w:tc>
        <w:tc>
          <w:tcPr>
            <w:tcW w:w="1740" w:type="dxa"/>
            <w:vAlign w:val="center"/>
          </w:tcPr>
          <w:p>
            <w:pPr>
              <w:rPr>
                <w:rFonts w:hint="eastAsia"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0" w:type="auto"/>
            <w:vAlign w:val="center"/>
          </w:tcPr>
          <w:p>
            <w:pPr>
              <w:numPr>
                <w:ilvl w:val="0"/>
                <w:numId w:val="1"/>
              </w:numPr>
              <w:tabs>
                <w:tab w:val="left" w:pos="176"/>
                <w:tab w:val="left" w:pos="612"/>
              </w:tabs>
              <w:ind w:left="342"/>
              <w:jc w:val="center"/>
              <w:rPr>
                <w:rFonts w:ascii="宋体" w:hAnsi="宋体" w:cs="宋体"/>
              </w:rPr>
            </w:pPr>
          </w:p>
        </w:tc>
        <w:tc>
          <w:tcPr>
            <w:tcW w:w="7204" w:type="dxa"/>
            <w:vAlign w:val="center"/>
          </w:tcPr>
          <w:p>
            <w:pP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投标及履约承诺函已提交并符合招标文件要求的</w:t>
            </w:r>
            <w:r>
              <w:rPr>
                <w:rFonts w:hint="eastAsia" w:ascii="宋体" w:hAnsi="宋体" w:cs="宋体"/>
                <w:color w:val="000000" w:themeColor="text1"/>
                <w:sz w:val="22"/>
                <w:szCs w:val="22"/>
                <w:lang w:eastAsia="zh-CN"/>
                <w14:textFill>
                  <w14:solidFill>
                    <w14:schemeClr w14:val="tx1"/>
                  </w14:solidFill>
                </w14:textFill>
              </w:rPr>
              <w:t>。</w:t>
            </w:r>
          </w:p>
        </w:tc>
        <w:tc>
          <w:tcPr>
            <w:tcW w:w="1740" w:type="dxa"/>
            <w:vAlign w:val="center"/>
          </w:tcPr>
          <w:p>
            <w:pPr>
              <w:rPr>
                <w:rFonts w:hint="eastAsia"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0" w:type="auto"/>
            <w:vAlign w:val="center"/>
          </w:tcPr>
          <w:p>
            <w:pPr>
              <w:numPr>
                <w:ilvl w:val="0"/>
                <w:numId w:val="1"/>
              </w:numPr>
              <w:tabs>
                <w:tab w:val="left" w:pos="176"/>
                <w:tab w:val="left" w:pos="612"/>
              </w:tabs>
              <w:ind w:left="342"/>
              <w:jc w:val="center"/>
              <w:rPr>
                <w:rFonts w:ascii="宋体" w:hAnsi="宋体" w:cs="宋体"/>
              </w:rPr>
            </w:pPr>
            <w:bookmarkStart w:id="0" w:name="_Toc15975"/>
          </w:p>
        </w:tc>
        <w:tc>
          <w:tcPr>
            <w:tcW w:w="720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供应商基本情况表已提交，提供法定代表人、主要经营负责人、项目投标授权代表人、项目负责人</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如有</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、主要技术人员</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如有</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最近一个月的社会保险证明。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1.法定代表人、主要经营负责人、项目投标授权代表人的社会保险未由投标人单位缴纳，亦须提供相应单位为其缴纳的社会保险证明。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2.项目负责人和主要技术人员的社会保险须由投标人单位缴纳。</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3.投标人为新成立企业且成立时间不足一个月可提供加盖投标人公章的情况说明或者证明材料亦视为符合。</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4.若为退休人员，提供退休证明。如依法不需要缴纳社会保险的，应提供相应文件证明。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5.若因社保部门原因无法提供的，需提供劳动合同及社保部门官方通知证明</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或官网公告截图</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6.如本项目未安排项目负责人、主要技术人员的，无需提供项目负责人、主要技术人员的社保。</w:t>
            </w:r>
          </w:p>
        </w:tc>
        <w:tc>
          <w:tcPr>
            <w:tcW w:w="1740" w:type="dxa"/>
            <w:vAlign w:val="center"/>
          </w:tcPr>
          <w:p>
            <w:pPr>
              <w:rPr>
                <w:rFonts w:hint="eastAsia"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0" w:type="auto"/>
            <w:vAlign w:val="center"/>
          </w:tcPr>
          <w:p>
            <w:pPr>
              <w:numPr>
                <w:ilvl w:val="0"/>
                <w:numId w:val="1"/>
              </w:numPr>
              <w:tabs>
                <w:tab w:val="left" w:pos="176"/>
                <w:tab w:val="left" w:pos="612"/>
              </w:tabs>
              <w:ind w:left="342"/>
              <w:jc w:val="center"/>
              <w:rPr>
                <w:rFonts w:ascii="宋体" w:hAnsi="宋体" w:cs="宋体"/>
              </w:rPr>
            </w:pPr>
          </w:p>
        </w:tc>
        <w:tc>
          <w:tcPr>
            <w:tcW w:w="720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不同供应商的法定代表人、主要经营负责人、项目投标授权代表人、项目负责人</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如有</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、主要技术人员</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如有</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不存在为同一人或在同一单位缴纳社会保险；或者不存在直接控股、管理关系；不存在因违法行为而被禁止参加政府采购活动等情形。</w:t>
            </w:r>
          </w:p>
        </w:tc>
        <w:tc>
          <w:tcPr>
            <w:tcW w:w="1740" w:type="dxa"/>
            <w:vAlign w:val="center"/>
          </w:tcPr>
          <w:p>
            <w:pPr>
              <w:rPr>
                <w:rFonts w:hint="eastAsia" w:ascii="宋体" w:hAnsi="宋体" w:cs="宋体"/>
                <w:color w:val="000000" w:themeColor="text1"/>
                <w:sz w:val="22"/>
                <w:szCs w:val="22"/>
                <w14:textFill>
                  <w14:solidFill>
                    <w14:schemeClr w14:val="tx1"/>
                  </w14:solidFill>
                </w14:textFill>
              </w:rPr>
            </w:pPr>
          </w:p>
        </w:tc>
      </w:tr>
    </w:tbl>
    <w:p>
      <w:pPr>
        <w:adjustRightInd w:val="0"/>
        <w:snapToGrid w:val="0"/>
        <w:spacing w:line="360" w:lineRule="auto"/>
        <w:jc w:val="left"/>
        <w:rPr>
          <w:rFonts w:ascii="宋体" w:hAnsi="宋体" w:cs="宋体"/>
        </w:rPr>
      </w:pPr>
    </w:p>
    <w:bookmarkEnd w:id="0"/>
    <w:p/>
    <w:p>
      <w:pPr>
        <w:pStyle w:val="9"/>
      </w:pPr>
    </w:p>
    <w:p>
      <w:pPr>
        <w:pStyle w:val="18"/>
      </w:pPr>
    </w:p>
    <w:p>
      <w:pPr>
        <w:pStyle w:val="18"/>
      </w:pPr>
    </w:p>
    <w:p>
      <w:pPr>
        <w:pStyle w:val="18"/>
      </w:pPr>
    </w:p>
    <w:p>
      <w:pPr>
        <w:pStyle w:val="18"/>
      </w:pPr>
    </w:p>
    <w:p>
      <w:pPr>
        <w:pStyle w:val="18"/>
      </w:pPr>
    </w:p>
    <w:p>
      <w:pPr>
        <w:pStyle w:val="18"/>
      </w:pPr>
    </w:p>
    <w:p>
      <w:pPr>
        <w:pStyle w:val="18"/>
      </w:pPr>
    </w:p>
    <w:p>
      <w:pPr>
        <w:pStyle w:val="18"/>
      </w:pPr>
    </w:p>
    <w:p>
      <w:pPr>
        <w:pStyle w:val="4"/>
        <w:spacing w:line="4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（二）符合性检查表</w:t>
      </w:r>
    </w:p>
    <w:tbl>
      <w:tblPr>
        <w:tblStyle w:val="21"/>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740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3" w:type="dxa"/>
            <w:noWrap/>
            <w:vAlign w:val="center"/>
          </w:tcPr>
          <w:p>
            <w:pPr>
              <w:jc w:val="center"/>
              <w:rPr>
                <w:rFonts w:ascii="宋体" w:hAnsi="宋体" w:cs="宋体"/>
                <w:b/>
              </w:rPr>
            </w:pPr>
            <w:r>
              <w:rPr>
                <w:rFonts w:hint="eastAsia" w:ascii="宋体" w:hAnsi="宋体" w:cs="宋体"/>
                <w:b/>
              </w:rPr>
              <w:t>序号</w:t>
            </w:r>
          </w:p>
        </w:tc>
        <w:tc>
          <w:tcPr>
            <w:tcW w:w="7402" w:type="dxa"/>
            <w:noWrap/>
            <w:vAlign w:val="center"/>
          </w:tcPr>
          <w:p>
            <w:pPr>
              <w:jc w:val="center"/>
              <w:rPr>
                <w:rFonts w:ascii="宋体" w:hAnsi="宋体" w:cs="宋体"/>
                <w:b/>
              </w:rPr>
            </w:pPr>
            <w:r>
              <w:rPr>
                <w:rFonts w:hint="eastAsia" w:ascii="宋体" w:hAnsi="宋体" w:cs="宋体"/>
                <w:b/>
              </w:rPr>
              <w:t>评审内容</w:t>
            </w:r>
          </w:p>
        </w:tc>
        <w:tc>
          <w:tcPr>
            <w:tcW w:w="1697" w:type="dxa"/>
            <w:noWrap/>
            <w:vAlign w:val="center"/>
          </w:tcPr>
          <w:p>
            <w:pPr>
              <w:spacing w:line="360" w:lineRule="exact"/>
              <w:jc w:val="center"/>
              <w:rPr>
                <w:rFonts w:hint="eastAsia" w:ascii="宋体" w:hAnsi="宋体"/>
                <w:color w:val="auto"/>
                <w:szCs w:val="21"/>
                <w:lang w:eastAsia="zh-CN"/>
              </w:rPr>
            </w:pPr>
            <w:r>
              <w:rPr>
                <w:rFonts w:hint="eastAsia" w:ascii="宋体" w:hAnsi="宋体"/>
                <w:color w:val="auto"/>
                <w:szCs w:val="21"/>
                <w:lang w:eastAsia="zh-CN"/>
              </w:rPr>
              <w:t>自查情况</w:t>
            </w:r>
          </w:p>
          <w:p>
            <w:pPr>
              <w:jc w:val="center"/>
              <w:rPr>
                <w:rFonts w:hint="eastAsia" w:ascii="宋体" w:hAnsi="宋体" w:cs="宋体"/>
                <w:b/>
              </w:rPr>
            </w:pPr>
            <w:r>
              <w:rPr>
                <w:rFonts w:hint="eastAsia" w:ascii="宋体" w:hAnsi="宋体"/>
                <w:color w:val="auto"/>
                <w:szCs w:val="21"/>
                <w:lang w:eastAsia="zh-CN"/>
              </w:rPr>
              <w:t>（填写“</w:t>
            </w:r>
            <w:r>
              <w:rPr>
                <w:rFonts w:hint="eastAsia" w:ascii="宋体" w:hAnsi="宋体"/>
                <w:color w:val="auto"/>
                <w:szCs w:val="21"/>
                <w:lang w:val="en-US" w:eastAsia="zh-CN"/>
              </w:rPr>
              <w:t>满足</w:t>
            </w:r>
            <w:r>
              <w:rPr>
                <w:rFonts w:hint="eastAsia" w:ascii="宋体" w:hAnsi="宋体"/>
                <w:color w:val="auto"/>
                <w:szCs w:val="21"/>
                <w:lang w:eastAsia="zh-CN"/>
              </w:rPr>
              <w:t>”或“</w:t>
            </w:r>
            <w:r>
              <w:rPr>
                <w:rFonts w:hint="eastAsia" w:ascii="宋体" w:hAnsi="宋体"/>
                <w:color w:val="auto"/>
                <w:szCs w:val="21"/>
                <w:lang w:val="en-US" w:eastAsia="zh-CN"/>
              </w:rPr>
              <w:t>不满足</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1</w:t>
            </w:r>
          </w:p>
        </w:tc>
        <w:tc>
          <w:tcPr>
            <w:tcW w:w="7402" w:type="dxa"/>
            <w:noWrap/>
            <w:vAlign w:val="center"/>
          </w:tcPr>
          <w:p>
            <w:pPr>
              <w:rPr>
                <w:rFonts w:ascii="宋体" w:hAnsi="宋体" w:cs="宋体"/>
                <w:bCs/>
                <w:sz w:val="22"/>
                <w:szCs w:val="22"/>
              </w:rPr>
            </w:pPr>
            <w:r>
              <w:rPr>
                <w:rFonts w:hint="eastAsia"/>
              </w:rPr>
              <w:t>未</w:t>
            </w:r>
            <w:r>
              <w:rPr>
                <w:rFonts w:hint="eastAsia" w:ascii="宋体" w:hAnsi="宋体" w:cs="宋体"/>
                <w:bCs/>
                <w:sz w:val="22"/>
                <w:szCs w:val="22"/>
              </w:rPr>
              <w:t>将一个包中的内容拆开投标。</w:t>
            </w:r>
          </w:p>
        </w:tc>
        <w:tc>
          <w:tcPr>
            <w:tcW w:w="1697" w:type="dxa"/>
            <w:noWrap/>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2</w:t>
            </w:r>
          </w:p>
        </w:tc>
        <w:tc>
          <w:tcPr>
            <w:tcW w:w="7402"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w:t>
            </w:r>
            <w:r>
              <w:rPr>
                <w:rFonts w:hint="eastAsia"/>
              </w:rPr>
              <w:t>未</w:t>
            </w:r>
            <w:r>
              <w:rPr>
                <w:rFonts w:hint="eastAsia" w:ascii="宋体" w:hAnsi="宋体" w:cs="宋体"/>
                <w:bCs/>
                <w:sz w:val="22"/>
                <w:szCs w:val="22"/>
              </w:rPr>
              <w:t>同时提供两套或两套以上的投标方案。</w:t>
            </w:r>
          </w:p>
        </w:tc>
        <w:tc>
          <w:tcPr>
            <w:tcW w:w="1697" w:type="dxa"/>
            <w:noWrap/>
            <w:vAlign w:val="center"/>
          </w:tcPr>
          <w:p>
            <w:pPr>
              <w:rPr>
                <w:rFonts w:hint="eastAsia"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3</w:t>
            </w:r>
          </w:p>
        </w:tc>
        <w:tc>
          <w:tcPr>
            <w:tcW w:w="7402" w:type="dxa"/>
            <w:noWrap/>
            <w:vAlign w:val="center"/>
          </w:tcPr>
          <w:p>
            <w:pPr>
              <w:rPr>
                <w:rFonts w:ascii="宋体" w:hAnsi="宋体" w:cs="宋体"/>
                <w:bCs/>
                <w:sz w:val="22"/>
                <w:szCs w:val="22"/>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bCs/>
                <w:sz w:val="22"/>
                <w:szCs w:val="22"/>
              </w:rPr>
              <w:t>投标总价或分项报价</w:t>
            </w:r>
            <w:r>
              <w:rPr>
                <w:rFonts w:hint="eastAsia"/>
              </w:rPr>
              <w:t>未</w:t>
            </w:r>
            <w:r>
              <w:rPr>
                <w:rFonts w:hint="eastAsia" w:ascii="宋体" w:hAnsi="宋体" w:cs="宋体"/>
                <w:bCs/>
                <w:sz w:val="22"/>
                <w:szCs w:val="22"/>
              </w:rPr>
              <w:t>高于项目预算限额。</w:t>
            </w:r>
          </w:p>
        </w:tc>
        <w:tc>
          <w:tcPr>
            <w:tcW w:w="1697" w:type="dxa"/>
            <w:noWrap/>
            <w:vAlign w:val="center"/>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4</w:t>
            </w:r>
          </w:p>
        </w:tc>
        <w:tc>
          <w:tcPr>
            <w:tcW w:w="7402" w:type="dxa"/>
            <w:noWrap/>
            <w:vAlign w:val="center"/>
          </w:tcPr>
          <w:p>
            <w:pPr>
              <w:rPr>
                <w:rFonts w:ascii="宋体" w:hAnsi="宋体" w:cs="宋体"/>
                <w:bCs/>
                <w:sz w:val="22"/>
                <w:szCs w:val="22"/>
              </w:rPr>
            </w:pPr>
            <w:r>
              <w:rPr>
                <w:rFonts w:hint="eastAsia" w:ascii="宋体" w:hAnsi="宋体" w:cs="宋体"/>
                <w:bCs/>
                <w:sz w:val="22"/>
                <w:szCs w:val="22"/>
              </w:rPr>
              <w:t>投标人的报价未明显低于其他通过符合性审查投标人的报价，不会影响产品质量或者诚信履约。评委会有权要求投标供应商在规定时间内提供书面说明以及必要的证明材料，投标供应商不能证明其报价合理性的，评标委员会应当将其作为无效投标处理。</w:t>
            </w:r>
          </w:p>
        </w:tc>
        <w:tc>
          <w:tcPr>
            <w:tcW w:w="1697" w:type="dxa"/>
            <w:noWrap/>
            <w:vAlign w:val="center"/>
          </w:tcPr>
          <w:p>
            <w:pPr>
              <w:rPr>
                <w:rFonts w:hint="eastAsia"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5</w:t>
            </w:r>
          </w:p>
        </w:tc>
        <w:tc>
          <w:tcPr>
            <w:tcW w:w="7402" w:type="dxa"/>
            <w:noWrap/>
            <w:vAlign w:val="center"/>
          </w:tcPr>
          <w:p>
            <w:pPr>
              <w:rPr>
                <w:rFonts w:ascii="宋体" w:hAnsi="宋体" w:cs="宋体"/>
                <w:bCs/>
                <w:sz w:val="22"/>
                <w:szCs w:val="22"/>
              </w:rPr>
            </w:pPr>
            <w:r>
              <w:rPr>
                <w:rFonts w:hint="eastAsia" w:ascii="宋体" w:hAnsi="宋体" w:cs="宋体"/>
                <w:bCs/>
                <w:sz w:val="22"/>
                <w:szCs w:val="22"/>
              </w:rPr>
              <w:t>同一项目未出现两个或以上报价、单价汇总与总价不符的情况。评委会有权要求投标供应商在规定时间内进行书面澄清说明，投标供应商不能及时进行澄清说明的，评标委员会应当将其作为无效投标处理。</w:t>
            </w:r>
          </w:p>
        </w:tc>
        <w:tc>
          <w:tcPr>
            <w:tcW w:w="1697" w:type="dxa"/>
            <w:noWrap/>
            <w:vAlign w:val="center"/>
          </w:tcPr>
          <w:p>
            <w:pPr>
              <w:rPr>
                <w:rFonts w:hint="eastAsia"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6</w:t>
            </w:r>
          </w:p>
        </w:tc>
        <w:tc>
          <w:tcPr>
            <w:tcW w:w="7402" w:type="dxa"/>
            <w:noWrap/>
            <w:vAlign w:val="center"/>
          </w:tcPr>
          <w:p>
            <w:pPr>
              <w:rPr>
                <w:rFonts w:ascii="宋体" w:hAnsi="宋体" w:cs="宋体"/>
                <w:bCs/>
                <w:sz w:val="22"/>
                <w:szCs w:val="22"/>
              </w:rPr>
            </w:pPr>
            <w:r>
              <w:rPr>
                <w:rFonts w:hint="eastAsia" w:ascii="宋体" w:hAnsi="宋体" w:cs="宋体"/>
                <w:bCs/>
                <w:sz w:val="22"/>
                <w:szCs w:val="22"/>
              </w:rPr>
              <w:t>投标报价无缺漏项目或未对采购文件规定的服务清单项目及数量进行修改。</w:t>
            </w:r>
          </w:p>
        </w:tc>
        <w:tc>
          <w:tcPr>
            <w:tcW w:w="1697" w:type="dxa"/>
            <w:noWrap/>
            <w:vAlign w:val="center"/>
          </w:tcPr>
          <w:p>
            <w:pPr>
              <w:rPr>
                <w:rFonts w:hint="eastAsia"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7</w:t>
            </w:r>
          </w:p>
        </w:tc>
        <w:tc>
          <w:tcPr>
            <w:tcW w:w="7402"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所投产品、工程、服务在质量、技术、方案等方面实质性满足采购文件要求，本项目实质性条款以标注“★”条款为准（是否实质性满足招标文件要求，由评审委员会根据《实质性条款响应情况表》作出评判）。</w:t>
            </w:r>
          </w:p>
        </w:tc>
        <w:tc>
          <w:tcPr>
            <w:tcW w:w="1697" w:type="dxa"/>
            <w:noWrap/>
            <w:vAlign w:val="center"/>
          </w:tcPr>
          <w:p>
            <w:pPr>
              <w:rPr>
                <w:rFonts w:hint="eastAsia"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8</w:t>
            </w:r>
          </w:p>
        </w:tc>
        <w:tc>
          <w:tcPr>
            <w:tcW w:w="7402" w:type="dxa"/>
            <w:noWrap/>
            <w:vAlign w:val="center"/>
          </w:tcPr>
          <w:p>
            <w:pPr>
              <w:rPr>
                <w:rFonts w:ascii="宋体" w:hAnsi="宋体" w:cs="宋体"/>
                <w:bCs/>
                <w:sz w:val="22"/>
                <w:szCs w:val="22"/>
              </w:rPr>
            </w:pPr>
            <w:r>
              <w:rPr>
                <w:rFonts w:hint="eastAsia" w:ascii="宋体" w:hAnsi="宋体" w:cs="宋体"/>
                <w:bCs/>
                <w:sz w:val="22"/>
                <w:szCs w:val="22"/>
              </w:rPr>
              <w:t>《开标一览表》《投标及履约承诺函》按采购文件规定的格式和内容响应；按采购文件对投标文件组成的要求提供投标文件的（投标文件组成完整）；按照招标文件要求提供密封投标文件；投标文件的数量、密封、签字盖章符合采购文件要求，提供投标文件电子文档；按照采购文件规定的样式及要求填写“法定代表人资格证明书”或“</w:t>
            </w:r>
            <w:r>
              <w:rPr>
                <w:rFonts w:hint="eastAsia" w:ascii="宋体" w:hAnsi="宋体" w:cs="宋体"/>
                <w:bCs/>
                <w:sz w:val="22"/>
                <w:szCs w:val="22"/>
                <w:lang w:bidi="ar"/>
              </w:rPr>
              <w:t>法定代表人授权书</w:t>
            </w:r>
            <w:r>
              <w:rPr>
                <w:rFonts w:hint="eastAsia" w:ascii="宋体" w:hAnsi="宋体" w:cs="宋体"/>
                <w:bCs/>
                <w:sz w:val="22"/>
                <w:szCs w:val="22"/>
              </w:rPr>
              <w:t>”或“分项报价表”。</w:t>
            </w:r>
          </w:p>
        </w:tc>
        <w:tc>
          <w:tcPr>
            <w:tcW w:w="1697" w:type="dxa"/>
            <w:noWrap/>
            <w:vAlign w:val="center"/>
          </w:tcPr>
          <w:p>
            <w:pPr>
              <w:rPr>
                <w:rFonts w:hint="eastAsia"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9</w:t>
            </w:r>
          </w:p>
        </w:tc>
        <w:tc>
          <w:tcPr>
            <w:tcW w:w="7402"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与其他投标供应商的投标文件未存在异常雷同现象的。</w:t>
            </w:r>
          </w:p>
        </w:tc>
        <w:tc>
          <w:tcPr>
            <w:tcW w:w="1697" w:type="dxa"/>
            <w:noWrap/>
            <w:vAlign w:val="center"/>
          </w:tcPr>
          <w:p>
            <w:pPr>
              <w:rPr>
                <w:rFonts w:hint="eastAsia"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10</w:t>
            </w:r>
          </w:p>
        </w:tc>
        <w:tc>
          <w:tcPr>
            <w:tcW w:w="7402" w:type="dxa"/>
            <w:noWrap/>
            <w:vAlign w:val="center"/>
          </w:tcPr>
          <w:p>
            <w:pPr>
              <w:rPr>
                <w:rFonts w:ascii="宋体" w:hAnsi="宋体" w:cs="宋体"/>
                <w:bCs/>
                <w:sz w:val="22"/>
                <w:szCs w:val="22"/>
              </w:rPr>
            </w:pPr>
            <w:r>
              <w:rPr>
                <w:rFonts w:hint="eastAsia" w:ascii="宋体" w:hAnsi="宋体" w:cs="宋体"/>
                <w:bCs/>
                <w:sz w:val="22"/>
                <w:szCs w:val="22"/>
              </w:rPr>
              <w:t>未存在招标文件规定的其他投标无效情形。</w:t>
            </w:r>
          </w:p>
        </w:tc>
        <w:tc>
          <w:tcPr>
            <w:tcW w:w="1697" w:type="dxa"/>
            <w:noWrap/>
            <w:vAlign w:val="center"/>
          </w:tcPr>
          <w:p>
            <w:pPr>
              <w:rPr>
                <w:rFonts w:hint="eastAsia"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23" w:type="dxa"/>
            <w:noWrap/>
            <w:vAlign w:val="center"/>
          </w:tcPr>
          <w:p>
            <w:pPr>
              <w:jc w:val="center"/>
              <w:rPr>
                <w:rFonts w:ascii="宋体" w:hAnsi="宋体" w:cs="宋体"/>
                <w:sz w:val="20"/>
                <w:szCs w:val="20"/>
              </w:rPr>
            </w:pPr>
            <w:r>
              <w:rPr>
                <w:rFonts w:hint="eastAsia" w:ascii="宋体" w:hAnsi="宋体" w:cs="宋体"/>
                <w:sz w:val="20"/>
                <w:szCs w:val="20"/>
              </w:rPr>
              <w:t>11</w:t>
            </w:r>
          </w:p>
        </w:tc>
        <w:tc>
          <w:tcPr>
            <w:tcW w:w="7402"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c>
          <w:tcPr>
            <w:tcW w:w="1697" w:type="dxa"/>
            <w:noWrap/>
            <w:vAlign w:val="center"/>
          </w:tcPr>
          <w:p>
            <w:pPr>
              <w:rPr>
                <w:rFonts w:hint="eastAsia" w:ascii="宋体" w:hAnsi="宋体" w:cs="宋体"/>
                <w:bCs/>
                <w:sz w:val="22"/>
                <w:szCs w:val="22"/>
              </w:rPr>
            </w:pPr>
          </w:p>
        </w:tc>
      </w:tr>
    </w:tbl>
    <w:p>
      <w:pPr>
        <w:adjustRightInd w:val="0"/>
        <w:snapToGrid w:val="0"/>
        <w:spacing w:line="360" w:lineRule="auto"/>
        <w:jc w:val="left"/>
        <w:rPr>
          <w:rFonts w:hint="eastAsia" w:ascii="宋体" w:hAnsi="宋体" w:cs="宋体"/>
        </w:rPr>
      </w:pPr>
    </w:p>
    <w:p>
      <w:pPr>
        <w:adjustRightInd w:val="0"/>
        <w:snapToGrid w:val="0"/>
        <w:spacing w:line="360" w:lineRule="auto"/>
        <w:jc w:val="left"/>
        <w:rPr>
          <w:rFonts w:hint="eastAsia" w:ascii="宋体" w:cs="宋体"/>
          <w:szCs w:val="21"/>
        </w:rPr>
      </w:pPr>
      <w:r>
        <w:rPr>
          <w:rFonts w:hint="eastAsia" w:ascii="宋体" w:hAnsi="宋体" w:cs="宋体"/>
        </w:rPr>
        <w:t>说明：</w:t>
      </w:r>
      <w:r>
        <w:rPr>
          <w:rFonts w:hint="eastAsia" w:ascii="宋体" w:hAnsi="宋体"/>
        </w:rPr>
        <w:t>投标人必须严格按照《资格性审查表》《符合性检查表》的评审内容的要求如实提供材料</w:t>
      </w:r>
      <w:r>
        <w:rPr>
          <w:rFonts w:hint="eastAsia" w:ascii="宋体" w:hAnsi="宋体"/>
          <w:bCs/>
        </w:rPr>
        <w:t>并应加盖投标人公章</w:t>
      </w:r>
      <w:r>
        <w:rPr>
          <w:rFonts w:hint="eastAsia" w:ascii="宋体" w:hAnsi="宋体"/>
          <w:bCs/>
          <w:lang w:eastAsia="zh-CN"/>
        </w:rPr>
        <w:t>，</w:t>
      </w:r>
      <w:r>
        <w:rPr>
          <w:rFonts w:hint="eastAsia" w:ascii="宋体" w:hAnsi="宋体"/>
        </w:rPr>
        <w:t>对缺漏或不符合项将直接导致无效投标</w:t>
      </w:r>
      <w:r>
        <w:rPr>
          <w:rFonts w:hint="eastAsia" w:ascii="宋体" w:cs="宋体"/>
          <w:szCs w:val="21"/>
        </w:rPr>
        <w:t>。</w:t>
      </w: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Pr>
        <w:pStyle w:val="4"/>
        <w:spacing w:line="400" w:lineRule="exact"/>
        <w:jc w:val="center"/>
        <w:rPr>
          <w:rFonts w:hint="eastAsia" w:ascii="宋体" w:hAnsi="宋体" w:eastAsia="宋体" w:cs="宋体"/>
          <w:b/>
          <w:bCs/>
          <w:color w:val="auto"/>
          <w:sz w:val="32"/>
          <w:szCs w:val="32"/>
        </w:rPr>
      </w:pPr>
      <w:bookmarkStart w:id="1" w:name="_Toc20190"/>
      <w:bookmarkStart w:id="2" w:name="_Toc417"/>
      <w:bookmarkStart w:id="3" w:name="_Toc24877"/>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）供应商自查</w:t>
      </w:r>
      <w:r>
        <w:rPr>
          <w:rFonts w:hint="eastAsia" w:ascii="宋体" w:hAnsi="宋体" w:eastAsia="宋体" w:cs="宋体"/>
          <w:b/>
          <w:bCs/>
          <w:color w:val="auto"/>
          <w:sz w:val="28"/>
          <w:szCs w:val="28"/>
        </w:rPr>
        <w:t>表</w:t>
      </w:r>
      <w:bookmarkEnd w:id="1"/>
      <w:bookmarkEnd w:id="2"/>
      <w:bookmarkEnd w:id="3"/>
    </w:p>
    <w:p>
      <w:pPr>
        <w:spacing w:before="157" w:line="198" w:lineRule="auto"/>
        <w:ind w:left="126" w:right="-21" w:rightChars="-10"/>
        <w:jc w:val="center"/>
        <w:rPr>
          <w:color w:val="auto"/>
        </w:rPr>
      </w:pPr>
      <w:r>
        <w:rPr>
          <w:rFonts w:hint="eastAsia" w:ascii="宋体" w:hAnsi="宋体" w:eastAsia="宋体" w:cs="宋体"/>
          <w:color w:val="auto"/>
          <w:sz w:val="21"/>
          <w:szCs w:val="21"/>
        </w:rPr>
        <w:t>填表单位：（加盖单位公章）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z w:val="21"/>
          <w:szCs w:val="21"/>
        </w:rPr>
        <w:t>填表日期：</w:t>
      </w:r>
      <w:r>
        <w:rPr>
          <w:rFonts w:hint="eastAsia" w:ascii="宋体" w:hAnsi="宋体" w:eastAsia="宋体" w:cs="宋体"/>
          <w:color w:val="auto"/>
          <w:spacing w:val="13"/>
          <w:sz w:val="21"/>
          <w:szCs w:val="21"/>
        </w:rPr>
        <w:t xml:space="preserve">   </w:t>
      </w:r>
      <w:r>
        <w:rPr>
          <w:rFonts w:hint="eastAsia" w:ascii="宋体" w:hAnsi="宋体" w:eastAsia="宋体" w:cs="宋体"/>
          <w:color w:val="auto"/>
          <w:sz w:val="21"/>
          <w:szCs w:val="21"/>
        </w:rPr>
        <w:t xml:space="preserve">年   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bl>
      <w:tblPr>
        <w:tblStyle w:val="21"/>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95"/>
        <w:gridCol w:w="270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7"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序号</w:t>
            </w:r>
          </w:p>
        </w:tc>
        <w:tc>
          <w:tcPr>
            <w:tcW w:w="5995"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eastAsia="宋体"/>
                <w:color w:val="auto"/>
                <w:szCs w:val="21"/>
                <w:lang w:eastAsia="zh-CN"/>
              </w:rPr>
              <w:t>是否存在以下投标违规行为</w:t>
            </w:r>
          </w:p>
        </w:tc>
        <w:tc>
          <w:tcPr>
            <w:tcW w:w="2701" w:type="dxa"/>
            <w:noWrap w:val="0"/>
            <w:vAlign w:val="center"/>
          </w:tcPr>
          <w:p>
            <w:pPr>
              <w:spacing w:line="360" w:lineRule="exact"/>
              <w:jc w:val="center"/>
              <w:rPr>
                <w:rFonts w:hint="eastAsia" w:ascii="宋体" w:hAnsi="宋体"/>
                <w:color w:val="auto"/>
                <w:szCs w:val="21"/>
                <w:lang w:eastAsia="zh-CN"/>
              </w:rPr>
            </w:pPr>
            <w:r>
              <w:rPr>
                <w:rFonts w:hint="eastAsia" w:ascii="宋体" w:hAnsi="宋体"/>
                <w:color w:val="auto"/>
                <w:szCs w:val="21"/>
                <w:lang w:eastAsia="zh-CN"/>
              </w:rPr>
              <w:t>自查情况</w:t>
            </w:r>
          </w:p>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（填写“不存在”或“存在”）</w:t>
            </w:r>
          </w:p>
        </w:tc>
        <w:tc>
          <w:tcPr>
            <w:tcW w:w="735" w:type="dxa"/>
            <w:noWrap w:val="0"/>
            <w:vAlign w:val="center"/>
          </w:tcPr>
          <w:p>
            <w:pPr>
              <w:spacing w:line="360" w:lineRule="exac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57"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1</w:t>
            </w:r>
          </w:p>
        </w:tc>
        <w:tc>
          <w:tcPr>
            <w:tcW w:w="5995" w:type="dxa"/>
            <w:noWrap w:val="0"/>
            <w:vAlign w:val="center"/>
          </w:tcPr>
          <w:p>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2</w:t>
            </w:r>
          </w:p>
        </w:tc>
        <w:tc>
          <w:tcPr>
            <w:tcW w:w="5995"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w:t>
            </w:r>
            <w:r>
              <w:rPr>
                <w:rFonts w:hint="eastAsia" w:ascii="宋体" w:hAnsi="宋体" w:cs="宋体"/>
                <w:snapToGrid w:val="0"/>
                <w:color w:val="auto"/>
                <w:kern w:val="0"/>
                <w:szCs w:val="21"/>
                <w:lang w:eastAsia="zh-CN"/>
              </w:rPr>
              <w:t>属于</w:t>
            </w:r>
            <w:r>
              <w:rPr>
                <w:rFonts w:hint="eastAsia" w:ascii="宋体" w:hAnsi="宋体" w:eastAsia="宋体" w:cs="宋体"/>
                <w:snapToGrid w:val="0"/>
                <w:color w:val="auto"/>
                <w:kern w:val="0"/>
                <w:szCs w:val="21"/>
              </w:rPr>
              <w:t>同一单位或者在同一单位缴纳社会保险。</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3</w:t>
            </w:r>
          </w:p>
        </w:tc>
        <w:tc>
          <w:tcPr>
            <w:tcW w:w="5995"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5995"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5995" w:type="dxa"/>
            <w:noWrap w:val="0"/>
            <w:vAlign w:val="center"/>
          </w:tcPr>
          <w:p>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5995"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7</w:t>
            </w:r>
          </w:p>
        </w:tc>
        <w:tc>
          <w:tcPr>
            <w:tcW w:w="5995" w:type="dxa"/>
            <w:noWrap w:val="0"/>
            <w:vAlign w:val="center"/>
          </w:tcPr>
          <w:p>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8</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10</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olor w:val="auto"/>
                <w:sz w:val="21"/>
                <w:szCs w:val="21"/>
              </w:rPr>
              <w:t>投标人之间协商投标报价等投标文件的实质性内容</w:t>
            </w:r>
            <w:r>
              <w:rPr>
                <w:rFonts w:hint="eastAsia" w:ascii="宋体" w:hAnsi="宋体" w:eastAsia="宋体"/>
                <w:color w:val="auto"/>
                <w:sz w:val="21"/>
                <w:szCs w:val="21"/>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11</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olor w:val="auto"/>
                <w:sz w:val="21"/>
                <w:szCs w:val="21"/>
              </w:rPr>
              <w:t>投标人之间约定中标人</w:t>
            </w:r>
            <w:r>
              <w:rPr>
                <w:rFonts w:hint="eastAsia" w:ascii="宋体" w:hAnsi="宋体" w:eastAsia="宋体"/>
                <w:color w:val="auto"/>
                <w:sz w:val="21"/>
                <w:szCs w:val="21"/>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12</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olor w:val="auto"/>
                <w:sz w:val="21"/>
                <w:szCs w:val="21"/>
              </w:rPr>
              <w:t>投标人之间约定部分投标人放弃投标或者中标</w:t>
            </w:r>
            <w:r>
              <w:rPr>
                <w:rFonts w:hint="eastAsia" w:ascii="宋体" w:hAnsi="宋体" w:eastAsia="宋体"/>
                <w:color w:val="auto"/>
                <w:sz w:val="21"/>
                <w:szCs w:val="21"/>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13</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olor w:val="auto"/>
                <w:sz w:val="21"/>
                <w:szCs w:val="21"/>
              </w:rPr>
              <w:t>属于同一集团、协会、商会等组织成员的投标人按照该组织要求协同投标</w:t>
            </w:r>
            <w:r>
              <w:rPr>
                <w:rFonts w:hint="eastAsia" w:ascii="宋体" w:hAnsi="宋体" w:eastAsia="宋体"/>
                <w:color w:val="auto"/>
                <w:sz w:val="21"/>
                <w:szCs w:val="21"/>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14</w:t>
            </w:r>
          </w:p>
        </w:tc>
        <w:tc>
          <w:tcPr>
            <w:tcW w:w="5995" w:type="dxa"/>
            <w:noWrap w:val="0"/>
            <w:vAlign w:val="center"/>
          </w:tcPr>
          <w:p>
            <w:pPr>
              <w:jc w:val="left"/>
              <w:rPr>
                <w:rFonts w:hint="eastAsia" w:ascii="宋体" w:hAnsi="宋体" w:eastAsia="宋体" w:cs="宋体"/>
                <w:color w:val="auto"/>
                <w:sz w:val="21"/>
                <w:szCs w:val="21"/>
              </w:rPr>
            </w:pPr>
            <w:r>
              <w:rPr>
                <w:rFonts w:hint="eastAsia" w:ascii="宋体" w:hAnsi="宋体" w:eastAsia="宋体"/>
                <w:color w:val="auto"/>
                <w:sz w:val="21"/>
                <w:szCs w:val="21"/>
              </w:rPr>
              <w:t>投标人之间为谋取中标或者排斥特定投标人而采取的其他联合行动。</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15</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16</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17</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18</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19</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20</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701" w:type="dxa"/>
            <w:noWrap w:val="0"/>
            <w:vAlign w:val="center"/>
          </w:tcPr>
          <w:p>
            <w:pPr>
              <w:spacing w:line="360" w:lineRule="exact"/>
              <w:jc w:val="center"/>
              <w:rPr>
                <w:rFonts w:ascii="宋体" w:hAnsi="宋体"/>
                <w:b/>
                <w:color w:val="auto"/>
                <w:szCs w:val="21"/>
              </w:rPr>
            </w:pPr>
          </w:p>
        </w:tc>
        <w:tc>
          <w:tcPr>
            <w:tcW w:w="735" w:type="dxa"/>
            <w:noWrap w:val="0"/>
            <w:vAlign w:val="center"/>
          </w:tcPr>
          <w:p>
            <w:pPr>
              <w:spacing w:line="360" w:lineRule="exact"/>
              <w:jc w:val="center"/>
              <w:rPr>
                <w:rFonts w:ascii="宋体" w:hAnsi="宋体"/>
                <w:b/>
                <w:color w:val="auto"/>
                <w:szCs w:val="21"/>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w:t>
      </w:r>
      <w:r>
        <w:rPr>
          <w:rFonts w:hint="eastAsia" w:cs="宋体"/>
          <w:color w:val="auto"/>
          <w:sz w:val="21"/>
          <w:szCs w:val="21"/>
          <w:lang w:eastAsia="zh-CN"/>
        </w:rPr>
        <w:t>或者</w:t>
      </w:r>
      <w:r>
        <w:rPr>
          <w:rFonts w:hint="eastAsia" w:ascii="宋体" w:hAnsi="宋体" w:eastAsia="宋体" w:cs="宋体"/>
          <w:color w:val="auto"/>
          <w:sz w:val="21"/>
          <w:szCs w:val="21"/>
          <w:lang w:eastAsia="zh-CN"/>
        </w:rPr>
        <w:t>提供虚假资料行为的，将依法承担法律责任。</w:t>
      </w:r>
    </w:p>
    <w:p>
      <w:pPr>
        <w:pStyle w:val="27"/>
      </w:pPr>
    </w:p>
    <w:p>
      <w:pPr>
        <w:pStyle w:val="27"/>
        <w:ind w:firstLine="0" w:firstLineChars="0"/>
      </w:pP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第四章</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投标须知</w:t>
      </w:r>
    </w:p>
    <w:p>
      <w:pPr>
        <w:pStyle w:val="4"/>
      </w:pP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（一）本项目的潜在供应商应在递交投标文件截止日之前到医院招采办报名投标。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b/>
          <w:bCs/>
          <w:sz w:val="28"/>
          <w:szCs w:val="28"/>
        </w:rPr>
      </w:pPr>
      <w:r>
        <w:rPr>
          <w:rFonts w:hint="eastAsia" w:ascii="仿宋" w:hAnsi="仿宋" w:eastAsia="仿宋" w:cs="仿宋"/>
          <w:sz w:val="28"/>
          <w:szCs w:val="28"/>
        </w:rPr>
        <w:t>（二）符合条件的供应商严格按照采购单位提供的招标文件，认真填写投标资料，并在规定时间内将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送达指定地点。投标单位法定代表人或授权代表人在规定的时间内未递交投标资料的，视为自动放弃。</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（三）院内公开招标有效投标的供应商不足三家，不得开标。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（四）存在下列情形的，应予废标：</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（五）投标文件有效期</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1.所有资料要有封面、目录、页码、装订成册。</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2.所有资料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3.所有资料须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w:t>
      </w:r>
      <w:r>
        <w:rPr>
          <w:rFonts w:hint="eastAsia" w:ascii="仿宋_GB2312" w:hAnsi="仿宋_GB2312" w:eastAsia="仿宋_GB2312" w:cs="仿宋_GB2312"/>
          <w:snapToGrid w:val="0"/>
          <w:kern w:val="144"/>
          <w:sz w:val="28"/>
          <w:szCs w:val="28"/>
          <w:lang w:val="en-US" w:eastAsia="zh-CN"/>
        </w:rPr>
        <w:t>院</w:t>
      </w:r>
      <w:r>
        <w:rPr>
          <w:rFonts w:hint="eastAsia" w:ascii="仿宋_GB2312" w:hAnsi="仿宋_GB2312" w:eastAsia="仿宋_GB2312" w:cs="仿宋_GB2312"/>
          <w:snapToGrid w:val="0"/>
          <w:kern w:val="144"/>
          <w:sz w:val="28"/>
          <w:szCs w:val="28"/>
        </w:rPr>
        <w:t>内公开采购活动。</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（六）投标人的产品质量及服务承诺书不能严重低于招标文件中的服务要求标准作出响应，允许出现负偏差，但不得出现严重负偏差。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（七）评审结束，中标结果公示3天，中标供应商须在收到我院中标通知书后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三、招标文件的澄清</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投标人在收到招标文件后，可以对已发出的招标文件进行必要的澄清或者修改。澄清或者修改应当在原公告发布媒体上发布澄清（更正/变更）公告。</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采购人发出的澄清或修改（更正/变更）的内容为招标文件的组成部分，并对供应商具有约束力。</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四、招标文件的补充和修正</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采购人可以对已发出的招标文件进行必要的澄清或者修改。澄清或者修改应当在原公告发布媒体上发布澄清（更正/变更）公告。</w:t>
      </w:r>
    </w:p>
    <w:p>
      <w:pPr>
        <w:pStyle w:val="4"/>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五、投标文件有效期</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在递交投标文件截止日期之后的60天内有效。</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在原定投标文件有效期满之前，如果出现特殊情况，招采办可以书面形式向投标人提出延长投标文件有效期的要求。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招采办将作出澄清和解答，逾期未提交质疑文件的视同无问题。</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sectPr>
          <w:footerReference r:id="rId3" w:type="default"/>
          <w:pgSz w:w="11906" w:h="16838"/>
          <w:pgMar w:top="1417" w:right="1474" w:bottom="1417" w:left="1587" w:header="851" w:footer="992" w:gutter="0"/>
          <w:pgNumType w:fmt="numberInDash"/>
          <w:cols w:space="425" w:num="1"/>
          <w:docGrid w:type="lines" w:linePitch="312" w:charSpace="0"/>
        </w:sectPr>
      </w:pPr>
    </w:p>
    <w:p>
      <w:pPr>
        <w:jc w:val="center"/>
        <w:outlineLvl w:val="0"/>
        <w:rPr>
          <w:rFonts w:ascii="宋体" w:hAnsi="宋体"/>
          <w:color w:val="auto"/>
          <w:sz w:val="24"/>
        </w:rPr>
      </w:pPr>
      <w:bookmarkStart w:id="4" w:name="_Toc20472"/>
      <w:r>
        <w:rPr>
          <w:rFonts w:hint="eastAsia" w:asciiTheme="minorEastAsia" w:hAnsiTheme="minorEastAsia" w:eastAsiaTheme="minorEastAsia"/>
          <w:b/>
          <w:bCs/>
          <w:color w:val="auto"/>
          <w:sz w:val="44"/>
          <w:szCs w:val="44"/>
        </w:rPr>
        <w:t>特别警示条款</w:t>
      </w:r>
      <w:bookmarkEnd w:id="4"/>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bookmarkStart w:id="5" w:name="_Toc16742"/>
      <w:bookmarkStart w:id="6" w:name="_Toc4719"/>
      <w:bookmarkStart w:id="7" w:name="_Toc28128"/>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一、《深圳经济特区政府采购条例》</w:t>
      </w:r>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第五十七条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（一）在采购活动中应当回避而未回避的；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（二）未按本条例规定签订、履行采购合同，造成严重后果的；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（三）隐瞒真实情况，提供虚假资料的；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（四）以非法手段排斥其他供应商参与竞争的；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（五）与其他采购参加人串通投标的；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（六）恶意投诉的；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（七）向采购项目相关人行贿或者提供其他不当利益的；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（八）阻碍、抗拒主管部门监督检查的；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olor w:val="auto"/>
          <w:sz w:val="28"/>
          <w:szCs w:val="28"/>
        </w:rPr>
      </w:pPr>
      <w:r>
        <w:rPr>
          <w:rFonts w:hint="eastAsia" w:ascii="仿宋" w:hAnsi="仿宋" w:eastAsia="仿宋" w:cs="仿宋"/>
          <w:sz w:val="28"/>
          <w:szCs w:val="28"/>
        </w:rPr>
        <w:t>（九）其他违反本条例规定的行为。</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bookmarkStart w:id="8" w:name="_Toc6288"/>
      <w:bookmarkStart w:id="9" w:name="_Toc4026"/>
      <w:bookmarkStart w:id="10" w:name="_Toc17680"/>
      <w:r>
        <w:rPr>
          <w:rFonts w:hint="eastAsia" w:ascii="仿宋" w:hAnsi="仿宋" w:eastAsia="仿宋" w:cs="仿宋"/>
          <w:sz w:val="28"/>
          <w:szCs w:val="28"/>
        </w:rPr>
        <w:t>二、《深圳经济特区政府采购条例实施细则》</w:t>
      </w:r>
      <w:bookmarkEnd w:id="8"/>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第七十五条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供应商有下列情形的，属于采购条例所称的串通投标行为，按照采购条例第五十七条有关规定处理：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（一）投标供应商之间相互约定给予未中标的供应商利益补偿；</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w:t>
      </w:r>
      <w:r>
        <w:rPr>
          <w:rFonts w:hint="eastAsia" w:ascii="仿宋" w:hAnsi="仿宋" w:eastAsia="仿宋" w:cs="仿宋"/>
          <w:sz w:val="28"/>
          <w:szCs w:val="28"/>
          <w:lang w:eastAsia="zh-CN"/>
        </w:rPr>
        <w:t>属于</w:t>
      </w:r>
      <w:r>
        <w:rPr>
          <w:rFonts w:hint="eastAsia" w:ascii="仿宋" w:hAnsi="仿宋" w:eastAsia="仿宋" w:cs="仿宋"/>
          <w:sz w:val="28"/>
          <w:szCs w:val="28"/>
        </w:rPr>
        <w:t>同一单位或者在同一单位缴纳社会保险；</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（五）不同投标供应商的投标文件内容存在非正常一致；</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（七）主管部门依照</w:t>
      </w:r>
      <w:r>
        <w:rPr>
          <w:rFonts w:hint="eastAsia" w:ascii="仿宋" w:hAnsi="仿宋" w:eastAsia="仿宋" w:cs="仿宋"/>
          <w:sz w:val="28"/>
          <w:szCs w:val="28"/>
          <w:lang w:eastAsia="zh-CN"/>
        </w:rPr>
        <w:t>法律法规</w:t>
      </w:r>
      <w:r>
        <w:rPr>
          <w:rFonts w:hint="eastAsia" w:ascii="仿宋" w:hAnsi="仿宋" w:eastAsia="仿宋" w:cs="仿宋"/>
          <w:sz w:val="28"/>
          <w:szCs w:val="28"/>
        </w:rPr>
        <w:t>认定的其他情形。</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第七十七条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供应商有下列情形之一的，属于隐瞒真实情况，提供虚假资料，按照采购条例第五十</w:t>
      </w:r>
      <w:r>
        <w:rPr>
          <w:rFonts w:hint="eastAsia" w:ascii="仿宋" w:hAnsi="仿宋" w:eastAsia="仿宋" w:cs="仿宋"/>
          <w:sz w:val="28"/>
          <w:szCs w:val="28"/>
          <w:lang w:eastAsia="zh-CN"/>
        </w:rPr>
        <w:t>七条</w:t>
      </w:r>
      <w:r>
        <w:rPr>
          <w:rFonts w:hint="eastAsia" w:ascii="仿宋" w:hAnsi="仿宋" w:eastAsia="仿宋" w:cs="仿宋"/>
          <w:sz w:val="28"/>
          <w:szCs w:val="28"/>
        </w:rPr>
        <w:t>的有关规定处理：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（三）项目负责人或者主要技术人员不是本单位人员的；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（四）投标保证金不是从投标供应商基本账户转出的；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（五）其他隐瞒真实情况、提供虚假资料的行为。</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投标供应商不能提供项目负责人或者主要技术人员的劳动合同、社会保险等劳动关系证明材料的，视为存在前款第（三）项规定的情形。</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bookmarkStart w:id="11" w:name="_Toc5544"/>
      <w:bookmarkStart w:id="12" w:name="_Toc13409"/>
      <w:bookmarkStart w:id="13" w:name="_Toc12769"/>
      <w:r>
        <w:rPr>
          <w:rFonts w:hint="eastAsia" w:ascii="仿宋" w:hAnsi="仿宋" w:eastAsia="仿宋" w:cs="仿宋"/>
          <w:sz w:val="28"/>
          <w:szCs w:val="28"/>
        </w:rPr>
        <w:t>三、《中华人民共和国政府采购法实施条例》</w:t>
      </w:r>
      <w:bookmarkEnd w:id="11"/>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第十八条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单位负责人为同一人或者存在直接控股、管理关系的不同供应商，不得参加同一合同项下的政府采购活动。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val="0"/>
        <w:autoSpaceDN w:val="0"/>
        <w:bidi w:val="0"/>
        <w:adjustRightInd/>
        <w:snapToGrid/>
        <w:spacing w:line="320" w:lineRule="exact"/>
        <w:ind w:firstLine="498" w:firstLineChars="177"/>
        <w:textAlignment w:val="auto"/>
        <w:rPr>
          <w:rFonts w:ascii="仿宋_GB2312" w:eastAsia="仿宋_GB2312" w:hAnsiTheme="minorEastAsia"/>
          <w:b/>
          <w:color w:val="auto"/>
          <w:sz w:val="28"/>
          <w:szCs w:val="24"/>
        </w:rPr>
      </w:pPr>
      <w:r>
        <w:rPr>
          <w:rFonts w:hint="eastAsia" w:ascii="仿宋_GB2312" w:eastAsia="仿宋_GB2312" w:hAnsiTheme="minorEastAsia"/>
          <w:b/>
          <w:color w:val="auto"/>
          <w:sz w:val="28"/>
          <w:szCs w:val="28"/>
        </w:rPr>
        <w:t>投标供应商涉嫌存在串通投标等违法行为的，将书面报告财政主管部门依法处理。</w:t>
      </w: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rPr>
          <w:rFonts w:hint="eastAsia" w:ascii="仿宋" w:hAnsi="仿宋" w:eastAsia="仿宋" w:cs="仿宋"/>
          <w:sz w:val="44"/>
          <w:szCs w:val="44"/>
        </w:rPr>
      </w:pPr>
    </w:p>
    <w:p>
      <w:pPr>
        <w:spacing w:line="560" w:lineRule="exact"/>
        <w:ind w:left="2882"/>
      </w:pPr>
      <w:r>
        <w:rPr>
          <w:rFonts w:hint="eastAsia" w:ascii="仿宋" w:hAnsi="仿宋" w:eastAsia="仿宋" w:cs="仿宋"/>
          <w:sz w:val="44"/>
          <w:szCs w:val="44"/>
        </w:rPr>
        <w:t xml:space="preserve">第五章 </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供应商标书</w:t>
      </w:r>
    </w:p>
    <w:tbl>
      <w:tblPr>
        <w:tblStyle w:val="21"/>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pStyle w:val="28"/>
              <w:spacing w:line="460" w:lineRule="exact"/>
              <w:ind w:left="2200" w:hanging="2200" w:hangingChars="500"/>
              <w:jc w:val="both"/>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rPr>
              <w:t>项目名称</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深圳市龙岗区第七人民医院2025</w:t>
            </w:r>
          </w:p>
          <w:p>
            <w:pPr>
              <w:pStyle w:val="28"/>
              <w:spacing w:line="460" w:lineRule="exact"/>
              <w:ind w:left="2200" w:hanging="2200" w:hangingChars="500"/>
              <w:jc w:val="both"/>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年在职工会会员、退休员工中秋节慰问品采购</w:t>
            </w:r>
          </w:p>
          <w:p>
            <w:pPr>
              <w:pStyle w:val="28"/>
              <w:spacing w:line="460" w:lineRule="exact"/>
              <w:ind w:left="2200" w:hanging="2200" w:hangingChars="500"/>
              <w:jc w:val="both"/>
              <w:rPr>
                <w:rFonts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项目</w:t>
            </w:r>
          </w:p>
          <w:p>
            <w:pPr>
              <w:snapToGrid w:val="0"/>
              <w:spacing w:line="360" w:lineRule="auto"/>
              <w:rPr>
                <w:rFonts w:ascii="仿宋_GB2312" w:hAnsi="仿宋_GB2312" w:eastAsia="仿宋_GB2312" w:cs="仿宋_GB2312"/>
                <w:sz w:val="44"/>
                <w:szCs w:val="44"/>
              </w:rPr>
            </w:pPr>
          </w:p>
          <w:p>
            <w:pPr>
              <w:snapToGrid w:val="0"/>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rPr>
              <w:t>深龙七</w:t>
            </w:r>
            <w:r>
              <w:rPr>
                <w:rFonts w:hint="eastAsia" w:ascii="仿宋_GB2312" w:hAnsi="仿宋_GB2312" w:eastAsia="仿宋_GB2312" w:cs="仿宋_GB2312"/>
                <w:sz w:val="36"/>
                <w:szCs w:val="36"/>
                <w:lang w:val="en-US" w:eastAsia="zh-CN"/>
              </w:rPr>
              <w:t>医采[LGQY2025GH001]</w:t>
            </w:r>
            <w:r>
              <w:rPr>
                <w:rFonts w:hint="eastAsia" w:ascii="仿宋_GB2312" w:hAnsi="仿宋_GB2312" w:eastAsia="仿宋_GB2312" w:cs="仿宋_GB2312"/>
                <w:sz w:val="36"/>
                <w:szCs w:val="36"/>
              </w:rPr>
              <w:t>）</w:t>
            </w:r>
          </w:p>
          <w:p>
            <w:pPr>
              <w:pStyle w:val="29"/>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2025年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both"/>
        <w:rPr>
          <w:rFonts w:ascii="宋体" w:hAnsi="宋体" w:cs="宋体"/>
          <w:b/>
          <w:bCs/>
          <w:sz w:val="44"/>
          <w:szCs w:val="44"/>
        </w:rPr>
      </w:pPr>
    </w:p>
    <w:p>
      <w:pPr>
        <w:jc w:val="center"/>
        <w:rPr>
          <w:rFonts w:ascii="仿宋_GB2312" w:hAnsi="仿宋_GB2312" w:eastAsia="仿宋_GB2312" w:cs="仿宋_GB2312"/>
          <w:sz w:val="28"/>
          <w:szCs w:val="28"/>
        </w:rPr>
      </w:pPr>
      <w:r>
        <w:rPr>
          <w:rFonts w:hint="eastAsia" w:ascii="宋体" w:hAnsi="宋体" w:cs="宋体"/>
          <w:b/>
          <w:bCs/>
          <w:sz w:val="44"/>
          <w:szCs w:val="44"/>
        </w:rPr>
        <w:t>目录</w:t>
      </w:r>
      <w:r>
        <w:rPr>
          <w:rFonts w:hint="eastAsia" w:ascii="宋体" w:hAnsi="宋体" w:cs="宋体"/>
          <w:b/>
          <w:bCs/>
          <w:sz w:val="28"/>
          <w:szCs w:val="28"/>
          <w:lang w:eastAsia="zh-CN"/>
        </w:rPr>
        <w:t>（</w:t>
      </w:r>
      <w:r>
        <w:rPr>
          <w:rFonts w:hint="eastAsia" w:ascii="宋体" w:hAnsi="宋体" w:cs="宋体"/>
          <w:b/>
          <w:bCs/>
          <w:sz w:val="28"/>
          <w:szCs w:val="28"/>
          <w:lang w:val="en-US" w:eastAsia="zh-CN"/>
        </w:rPr>
        <w:t>附页码</w:t>
      </w:r>
      <w:r>
        <w:rPr>
          <w:rFonts w:hint="eastAsia" w:ascii="宋体" w:hAnsi="宋体" w:cs="宋体"/>
          <w:b/>
          <w:bCs/>
          <w:sz w:val="28"/>
          <w:szCs w:val="28"/>
          <w:lang w:eastAsia="zh-CN"/>
        </w:rPr>
        <w:t>）</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3.法定代表人资格证明书及身份证复印件</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法定代表人授权书</w:t>
      </w:r>
      <w:r>
        <w:rPr>
          <w:rFonts w:hint="eastAsia" w:ascii="仿宋_GB2312" w:hAnsi="仿宋_GB2312" w:eastAsia="仿宋_GB2312" w:cs="仿宋_GB2312"/>
          <w:sz w:val="28"/>
          <w:szCs w:val="28"/>
        </w:rPr>
        <w:t>及授权代表人身份证复印件（如有）</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5.独立承担民事责任能力的法人或其他组织或个体工商户的营业执照或法人证书等证明材料复印件或扫描件</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6.投标文件初审表</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7.供应商自查表</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8.投标函</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9.投标及履约承诺函</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10.供应商基本情况表</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11.社会保险证明</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12.开标一览表</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13.组合套餐分项报价表（每份）</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14.实质性条款响应情况表</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15.技术要求响应情况</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16.同类项目业绩</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17.企业诚信</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18.货物配送方案</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19.项目服务方案</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20.售后服务方案</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21.配送承诺</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22.货物产品规格及性价比评价</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23.主流平台链接或截图（需显示平台和单价）</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24.其他证明材料</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b/>
          <w:bCs/>
          <w:sz w:val="44"/>
          <w:szCs w:val="44"/>
        </w:rPr>
      </w:pPr>
      <w:r>
        <w:rPr>
          <w:rFonts w:hint="eastAsia" w:ascii="宋体" w:hAnsi="宋体" w:cs="宋体"/>
          <w:b/>
          <w:bCs/>
          <w:sz w:val="44"/>
          <w:szCs w:val="44"/>
        </w:rPr>
        <w:t>投标函</w:t>
      </w:r>
    </w:p>
    <w:p>
      <w:pPr>
        <w:keepNext w:val="0"/>
        <w:keepLines w:val="0"/>
        <w:pageBreakBefore w:val="0"/>
        <w:widowControl w:val="0"/>
        <w:kinsoku/>
        <w:wordWrap/>
        <w:overflowPunct/>
        <w:topLinePunct w:val="0"/>
        <w:bidi w:val="0"/>
        <w:adjustRightInd/>
        <w:snapToGrid/>
        <w:spacing w:line="460" w:lineRule="exact"/>
        <w:jc w:val="center"/>
        <w:textAlignment w:val="auto"/>
        <w:rPr>
          <w:rFonts w:ascii="仿宋" w:hAnsi="仿宋" w:eastAsia="仿宋" w:cs="仿宋"/>
          <w:b/>
          <w:bCs/>
          <w:sz w:val="36"/>
          <w:szCs w:val="44"/>
        </w:rPr>
      </w:pPr>
    </w:p>
    <w:p>
      <w:pPr>
        <w:keepNext w:val="0"/>
        <w:keepLines w:val="0"/>
        <w:pageBreakBefore w:val="0"/>
        <w:widowControl w:val="0"/>
        <w:kinsoku/>
        <w:wordWrap/>
        <w:overflowPunct/>
        <w:topLinePunct w:val="0"/>
        <w:bidi w:val="0"/>
        <w:adjustRightInd/>
        <w:snapToGrid/>
        <w:spacing w:line="48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我司已经认真仔细阅读了贵单位关于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项目的招标文件，完全同意招标文件中的所有条款，愿意按招标文件要求，决定以</w:t>
      </w:r>
      <w:r>
        <w:rPr>
          <w:rFonts w:hint="eastAsia" w:ascii="仿宋_GB2312" w:hAnsi="仿宋_GB2312" w:eastAsia="仿宋_GB2312" w:cs="仿宋_GB2312"/>
          <w:sz w:val="28"/>
          <w:szCs w:val="28"/>
          <w:lang w:val="en-US" w:eastAsia="zh-CN"/>
        </w:rPr>
        <w:t>报价比率</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参与投标并按招标文件要求承包上述项目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并许以如下承诺：</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1.我方愿意向招标人提供与本次招标的相关资料，并对其真实性、合法性、有效性负责。</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2.我方将严格履行本投标文件中的全部承诺和责任，并遵守招标文件中对投标人的所有规定。</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3.我方完全理解招标人有保留在授标之前，任何时候根据评标委员会的意见接受或拒绝任何投标的权利，并完全理解招标人对此无解释的义务。</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4.我方完全理解招标人不保证投标价最低的投标人中标。</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5.我方承诺在此次招标过程中涉及的一切应当保密的事项，不向任何第三方泄露，否则承担一切法律责任。</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我方如果中标，我方承诺中标后按照采购相关规定与采购人签订合同，将保证履行我方投标文件所响</w:t>
      </w:r>
      <w:r>
        <w:rPr>
          <w:rFonts w:hint="eastAsia" w:ascii="仿宋_GB2312" w:hAnsi="仿宋_GB2312" w:eastAsia="仿宋_GB2312" w:cs="仿宋_GB2312"/>
          <w:sz w:val="28"/>
          <w:szCs w:val="28"/>
          <w:lang w:eastAsia="zh-CN"/>
        </w:rPr>
        <w:t>应的</w:t>
      </w:r>
      <w:r>
        <w:rPr>
          <w:rFonts w:hint="eastAsia" w:ascii="仿宋_GB2312" w:hAnsi="仿宋_GB2312" w:eastAsia="仿宋_GB2312" w:cs="仿宋_GB2312"/>
          <w:sz w:val="28"/>
          <w:szCs w:val="28"/>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9"/>
        <w:keepNext w:val="0"/>
        <w:keepLines w:val="0"/>
        <w:pageBreakBefore w:val="0"/>
        <w:widowControl w:val="0"/>
        <w:kinsoku/>
        <w:wordWrap/>
        <w:overflowPunct/>
        <w:topLinePunct w:val="0"/>
        <w:bidi w:val="0"/>
        <w:adjustRightInd/>
        <w:snapToGrid/>
        <w:spacing w:line="480" w:lineRule="exact"/>
        <w:textAlignment w:val="auto"/>
        <w:rPr>
          <w:sz w:val="28"/>
          <w:szCs w:val="28"/>
        </w:rPr>
      </w:pPr>
    </w:p>
    <w:p>
      <w:pPr>
        <w:keepNext w:val="0"/>
        <w:keepLines w:val="0"/>
        <w:pageBreakBefore w:val="0"/>
        <w:widowControl w:val="0"/>
        <w:kinsoku/>
        <w:wordWrap/>
        <w:overflowPunct/>
        <w:topLinePunct w:val="0"/>
        <w:bidi w:val="0"/>
        <w:adjustRightInd/>
        <w:snapToGrid/>
        <w:spacing w:line="480" w:lineRule="exact"/>
        <w:textAlignment w:val="auto"/>
        <w:rPr>
          <w:sz w:val="28"/>
          <w:szCs w:val="28"/>
        </w:rPr>
      </w:pPr>
    </w:p>
    <w:p>
      <w:pPr>
        <w:keepNext w:val="0"/>
        <w:keepLines w:val="0"/>
        <w:pageBreakBefore w:val="0"/>
        <w:widowControl w:val="0"/>
        <w:kinsoku/>
        <w:wordWrap/>
        <w:overflowPunct/>
        <w:topLinePunct w:val="0"/>
        <w:bidi w:val="0"/>
        <w:adjustRightInd/>
        <w:snapToGrid/>
        <w:spacing w:line="48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法定代表人或其授权代表人（签字）：</w:t>
      </w:r>
    </w:p>
    <w:p>
      <w:pPr>
        <w:keepNext w:val="0"/>
        <w:keepLines w:val="0"/>
        <w:pageBreakBefore w:val="0"/>
        <w:widowControl w:val="0"/>
        <w:kinsoku/>
        <w:wordWrap/>
        <w:overflowPunct/>
        <w:topLinePunct w:val="0"/>
        <w:bidi w:val="0"/>
        <w:adjustRightInd/>
        <w:snapToGrid/>
        <w:spacing w:line="480" w:lineRule="exact"/>
        <w:textAlignment w:val="auto"/>
        <w:rPr>
          <w:rFonts w:ascii="宋体" w:hAnsi="宋体" w:cs="宋体"/>
          <w:b/>
          <w:bCs/>
          <w:sz w:val="28"/>
          <w:szCs w:val="28"/>
        </w:rPr>
      </w:pPr>
      <w:r>
        <w:rPr>
          <w:rFonts w:hint="eastAsia" w:ascii="仿宋_GB2312" w:hAnsi="仿宋_GB2312" w:eastAsia="仿宋_GB2312" w:cs="仿宋_GB2312"/>
          <w:sz w:val="28"/>
          <w:szCs w:val="28"/>
        </w:rPr>
        <w:t xml:space="preserve">                投标单位全称（加盖公章）：</w:t>
      </w:r>
    </w:p>
    <w:p>
      <w:pPr>
        <w:spacing w:line="440" w:lineRule="exact"/>
        <w:jc w:val="center"/>
        <w:rPr>
          <w:rFonts w:ascii="宋体" w:hAnsi="宋体" w:cs="宋体"/>
          <w:b/>
          <w:bCs/>
          <w:sz w:val="28"/>
          <w:szCs w:val="28"/>
        </w:rPr>
      </w:pPr>
    </w:p>
    <w:p>
      <w:pPr>
        <w:spacing w:line="440" w:lineRule="exact"/>
        <w:jc w:val="center"/>
        <w:rPr>
          <w:rFonts w:hint="eastAsia" w:ascii="宋体" w:hAnsi="宋体" w:cs="宋体"/>
          <w:b/>
          <w:bCs/>
          <w:sz w:val="44"/>
          <w:szCs w:val="44"/>
        </w:rPr>
      </w:pPr>
    </w:p>
    <w:p>
      <w:pPr>
        <w:pStyle w:val="16"/>
        <w:rPr>
          <w:rFonts w:hint="eastAsia"/>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，编号：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院内</w:t>
      </w:r>
      <w:r>
        <w:rPr>
          <w:rFonts w:hint="eastAsia" w:ascii="仿宋_GB2312" w:hAnsi="仿宋_GB2312" w:eastAsia="仿宋_GB2312" w:cs="仿宋_GB2312"/>
          <w:sz w:val="28"/>
          <w:szCs w:val="28"/>
        </w:rPr>
        <w:t>采购活动，承诺：</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公司参与本项目所提供的货物或服务未侵犯知识产权。我公司具备《中华人民共和国政府采购法》第二十二条第一款规定的六项条件具有独立承担民事责任的能力；具有良好的商业信誉和健全的财务会计制度；具有履行合同所必需的设备和专业技术能力</w:t>
      </w:r>
      <w:r>
        <w:rPr>
          <w:rFonts w:hint="eastAsia" w:ascii="仿宋_GB2312" w:hAnsi="仿宋_GB2312" w:eastAsia="仿宋_GB2312" w:cs="仿宋_GB2312"/>
          <w:sz w:val="28"/>
          <w:szCs w:val="28"/>
          <w:lang w:eastAsia="zh-CN"/>
        </w:rPr>
        <w:t>；具</w:t>
      </w:r>
      <w:r>
        <w:rPr>
          <w:rFonts w:hint="eastAsia" w:ascii="仿宋_GB2312" w:hAnsi="仿宋_GB2312" w:eastAsia="仿宋_GB2312" w:cs="仿宋_GB2312"/>
          <w:sz w:val="28"/>
          <w:szCs w:val="28"/>
        </w:rPr>
        <w:t>有依法缴纳税收和社会保障资金的良好记录；参加采购活动前三年内，在经营活动中没有重大违法记录；法律、行政法规规定的其他条件。</w:t>
      </w:r>
      <w:r>
        <w:rPr>
          <w:rFonts w:hint="eastAsia" w:ascii="仿宋_GB2312" w:hAnsi="仿宋_GB2312" w:eastAsia="仿宋_GB2312" w:cs="仿宋_GB2312"/>
          <w:sz w:val="28"/>
          <w:szCs w:val="28"/>
          <w:lang w:eastAsia="zh-CN"/>
        </w:rPr>
        <w:t>包括</w:t>
      </w:r>
      <w:r>
        <w:rPr>
          <w:rFonts w:hint="eastAsia" w:ascii="仿宋_GB2312" w:hAnsi="仿宋_GB2312" w:eastAsia="仿宋_GB2312" w:cs="仿宋_GB2312"/>
          <w:sz w:val="28"/>
          <w:szCs w:val="28"/>
        </w:rPr>
        <w:t>法律、行政法规和国家有关规定对供应商从事特定经营活动有资质、资格规定的，</w:t>
      </w:r>
      <w:r>
        <w:rPr>
          <w:rFonts w:hint="eastAsia" w:ascii="仿宋_GB2312" w:hAnsi="仿宋_GB2312" w:eastAsia="仿宋_GB2312" w:cs="仿宋_GB2312"/>
          <w:sz w:val="28"/>
          <w:szCs w:val="28"/>
          <w:lang w:eastAsia="zh-CN"/>
        </w:rPr>
        <w:t>本公司</w:t>
      </w:r>
      <w:r>
        <w:rPr>
          <w:rFonts w:hint="eastAsia" w:ascii="仿宋_GB2312" w:hAnsi="仿宋_GB2312" w:eastAsia="仿宋_GB2312" w:cs="仿宋_GB2312"/>
          <w:sz w:val="28"/>
          <w:szCs w:val="28"/>
        </w:rPr>
        <w:t>具备相应条件</w:t>
      </w:r>
      <w:r>
        <w:rPr>
          <w:rFonts w:hint="eastAsia" w:ascii="仿宋_GB2312" w:hAnsi="仿宋_GB2312" w:eastAsia="仿宋_GB2312" w:cs="仿宋_GB2312"/>
          <w:sz w:val="28"/>
          <w:szCs w:val="28"/>
          <w:lang w:eastAsia="zh-CN"/>
        </w:rPr>
        <w:t>。</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我公司参与本项目政府采购活动前三年内，在经营活动中没有《中华人民共和国政府采购法实施条例》第十九条规定的重大违法记录。</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我公司参与本项目政府采购活动时不存在被有关部门禁止参与政府采购活动且在有效期内的情况。</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除单一来源采购项目外，为采购项目提供整体设计、规范编制或者项目管理、监理、检测等服务的供应商，不得再参加该采购项目的其他采购活动</w:t>
      </w:r>
      <w:r>
        <w:rPr>
          <w:rFonts w:hint="eastAsia" w:ascii="仿宋_GB2312" w:hAnsi="仿宋_GB2312" w:eastAsia="仿宋_GB2312" w:cs="仿宋_GB2312"/>
          <w:sz w:val="28"/>
          <w:szCs w:val="28"/>
          <w:lang w:eastAsia="zh-CN"/>
        </w:rPr>
        <w:t>。</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我公司参加本项</w:t>
      </w:r>
      <w:r>
        <w:rPr>
          <w:rFonts w:hint="eastAsia" w:ascii="仿宋_GB2312" w:hAnsi="仿宋_GB2312" w:eastAsia="仿宋_GB2312" w:cs="仿宋_GB2312"/>
          <w:sz w:val="28"/>
          <w:szCs w:val="28"/>
          <w:lang w:eastAsia="zh-CN"/>
        </w:rPr>
        <w:t>目的</w:t>
      </w:r>
      <w:r>
        <w:rPr>
          <w:rFonts w:hint="eastAsia" w:ascii="仿宋_GB2312" w:hAnsi="仿宋_GB2312" w:eastAsia="仿宋_GB2312" w:cs="仿宋_GB2312"/>
          <w:sz w:val="28"/>
          <w:szCs w:val="28"/>
        </w:rPr>
        <w:t>政府采购活动时，不存在《中华人民共和国政府采购法实施条例》第十八条规定的与参加同一项目的其他供应商“单位负责人为同一人或者存在直接控股、管理关系”的情形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不存在《深圳经济特区政府采购条例实施细则》第七十五条规定的与参加同一项目的其他供应商“法定代表人、主要经营负责人、项目投标授权代表人、项目负责人、主要技术人员为同一人、</w:t>
      </w:r>
      <w:r>
        <w:rPr>
          <w:rFonts w:hint="eastAsia" w:ascii="仿宋_GB2312" w:hAnsi="仿宋_GB2312" w:eastAsia="仿宋_GB2312" w:cs="仿宋_GB2312"/>
          <w:sz w:val="28"/>
          <w:szCs w:val="28"/>
          <w:lang w:eastAsia="zh-CN"/>
        </w:rPr>
        <w:t>属于</w:t>
      </w:r>
      <w:r>
        <w:rPr>
          <w:rFonts w:hint="eastAsia" w:ascii="仿宋_GB2312" w:hAnsi="仿宋_GB2312" w:eastAsia="仿宋_GB2312" w:cs="仿宋_GB2312"/>
          <w:sz w:val="28"/>
          <w:szCs w:val="28"/>
        </w:rPr>
        <w:t>同一单位或者在同一单位缴纳社会保险</w:t>
      </w:r>
      <w:r>
        <w:rPr>
          <w:rFonts w:hint="eastAsia" w:ascii="仿宋_GB2312" w:hAnsi="仿宋_GB2312" w:eastAsia="仿宋_GB2312" w:cs="仿宋_GB2312"/>
          <w:sz w:val="28"/>
          <w:szCs w:val="28"/>
          <w:lang w:eastAsia="zh-CN"/>
        </w:rPr>
        <w:t>，参加同一项目的不同供应商之间不存在直接控股或管理关系</w:t>
      </w:r>
      <w:r>
        <w:rPr>
          <w:rFonts w:hint="eastAsia" w:ascii="仿宋_GB2312" w:hAnsi="仿宋_GB2312" w:eastAsia="仿宋_GB2312" w:cs="仿宋_GB2312"/>
          <w:sz w:val="28"/>
          <w:szCs w:val="28"/>
        </w:rPr>
        <w:t>”的情形。</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按本项目投标文件格式要求提供《供应商基本情况表》相关信息</w:t>
      </w:r>
      <w:r>
        <w:rPr>
          <w:rFonts w:hint="eastAsia" w:ascii="仿宋_GB2312" w:hAnsi="仿宋_GB2312" w:eastAsia="仿宋_GB2312" w:cs="仿宋_GB2312"/>
          <w:sz w:val="28"/>
          <w:szCs w:val="28"/>
          <w:lang w:eastAsia="zh-CN"/>
        </w:rPr>
        <w:t>。</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我公司未被列入失信被执行人、重大税收违法案件当事人名单、政府采购严重违法失信行为记录名单（信用中国网“信用服务”栏的“重大税收违法失信主体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失信被执行人”，中国政府采购网“政府采购严重违法失信行为记录名单”，深圳信用网以及深圳市政府采购监管网为投标人信用信息查询渠道）</w:t>
      </w:r>
      <w:r>
        <w:rPr>
          <w:rFonts w:hint="eastAsia" w:ascii="仿宋_GB2312" w:hAnsi="仿宋_GB2312" w:eastAsia="仿宋_GB2312" w:cs="仿宋_GB2312"/>
          <w:sz w:val="28"/>
          <w:szCs w:val="28"/>
          <w:lang w:eastAsia="zh-CN"/>
        </w:rPr>
        <w:t>。</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lang w:eastAsia="zh-CN"/>
        </w:rPr>
        <w:t>符合</w:t>
      </w:r>
      <w:r>
        <w:rPr>
          <w:rFonts w:hint="eastAsia" w:ascii="仿宋_GB2312" w:hAnsi="仿宋_GB2312" w:eastAsia="仿宋_GB2312" w:cs="仿宋_GB2312"/>
          <w:sz w:val="28"/>
          <w:szCs w:val="28"/>
        </w:rPr>
        <w:t>法律、行政法规和国家有关规定对</w:t>
      </w:r>
      <w:r>
        <w:rPr>
          <w:rFonts w:hint="eastAsia" w:ascii="仿宋_GB2312" w:hAnsi="仿宋_GB2312" w:eastAsia="仿宋_GB2312" w:cs="仿宋_GB2312"/>
          <w:sz w:val="28"/>
          <w:szCs w:val="28"/>
          <w:lang w:eastAsia="zh-CN"/>
        </w:rPr>
        <w:t>本项目</w:t>
      </w:r>
      <w:r>
        <w:rPr>
          <w:rFonts w:hint="eastAsia" w:ascii="仿宋_GB2312" w:hAnsi="仿宋_GB2312" w:eastAsia="仿宋_GB2312" w:cs="仿宋_GB2312"/>
          <w:sz w:val="28"/>
          <w:szCs w:val="28"/>
        </w:rPr>
        <w:t>从事特定经营活动有资质、资格规定的，供应商应当</w:t>
      </w:r>
      <w:r>
        <w:rPr>
          <w:rFonts w:hint="eastAsia" w:ascii="仿宋_GB2312" w:hAnsi="仿宋_GB2312" w:eastAsia="仿宋_GB2312" w:cs="仿宋_GB2312"/>
          <w:sz w:val="28"/>
          <w:szCs w:val="28"/>
          <w:lang w:eastAsia="zh-CN"/>
        </w:rPr>
        <w:t>具备</w:t>
      </w:r>
      <w:r>
        <w:rPr>
          <w:rFonts w:hint="eastAsia" w:ascii="仿宋_GB2312" w:hAnsi="仿宋_GB2312" w:eastAsia="仿宋_GB2312" w:cs="仿宋_GB2312"/>
          <w:sz w:val="28"/>
          <w:szCs w:val="28"/>
        </w:rPr>
        <w:t>相应条件</w:t>
      </w:r>
      <w:r>
        <w:rPr>
          <w:rFonts w:hint="eastAsia" w:ascii="仿宋_GB2312" w:hAnsi="仿宋_GB2312" w:eastAsia="仿宋_GB2312" w:cs="仿宋_GB2312"/>
          <w:sz w:val="28"/>
          <w:szCs w:val="28"/>
          <w:lang w:eastAsia="zh-CN"/>
        </w:rPr>
        <w:t>的要求。</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我公司承诺不</w:t>
      </w:r>
      <w:r>
        <w:rPr>
          <w:rFonts w:hint="eastAsia" w:ascii="仿宋_GB2312" w:hAnsi="仿宋_GB2312" w:eastAsia="仿宋_GB2312" w:cs="仿宋_GB2312"/>
          <w:sz w:val="28"/>
          <w:szCs w:val="28"/>
          <w:lang w:eastAsia="zh-CN"/>
        </w:rPr>
        <w:t>存在</w:t>
      </w:r>
      <w:r>
        <w:rPr>
          <w:rFonts w:hint="eastAsia" w:ascii="仿宋_GB2312" w:hAnsi="仿宋_GB2312" w:eastAsia="仿宋_GB2312" w:cs="仿宋_GB2312"/>
          <w:sz w:val="28"/>
          <w:szCs w:val="28"/>
        </w:rPr>
        <w:t>联合体投标，不非法分包、转包。</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以上承诺，如有违反，愿依照国家相关法律法规处理，并承担由此给采购人带来的损失。</w:t>
      </w: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投标人（公章）：</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法定代表人或其授权代表签名：</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jc w:val="center"/>
        <w:textAlignment w:val="center"/>
        <w:rPr>
          <w:rFonts w:ascii="宋体" w:hAnsi="宋体" w:cs="宋体"/>
          <w:color w:val="000000"/>
          <w:kern w:val="0"/>
          <w:sz w:val="44"/>
          <w:szCs w:val="44"/>
          <w:lang w:bidi="ar"/>
        </w:rPr>
      </w:pPr>
      <w:bookmarkStart w:id="14" w:name="_Toc24111"/>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先生/小姐，现任我单位职务，为法定代表人，特此证明。</w:t>
      </w:r>
    </w:p>
    <w:p>
      <w:pPr>
        <w:spacing w:line="560" w:lineRule="exact"/>
        <w:ind w:firstLine="560" w:firstLineChars="200"/>
        <w:rPr>
          <w:rFonts w:ascii="仿宋" w:hAnsi="仿宋" w:eastAsia="仿宋" w:cs="仿宋"/>
          <w:color w:val="000000"/>
          <w:sz w:val="28"/>
          <w:szCs w:val="28"/>
        </w:rPr>
      </w:pP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有效日期：               签发日期：  </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单位：                   （盖章）</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代表人性别：        年龄：       身份证号码：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营业执照号码：                   经济性质：</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进口物品经营许可证号码：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ascii="仿宋" w:hAnsi="仿宋" w:eastAsia="仿宋" w:cs="仿宋"/>
          <w:color w:val="000000"/>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身份证复印件：</w:t>
      </w:r>
    </w:p>
    <w:tbl>
      <w:tblPr>
        <w:tblStyle w:val="21"/>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9"/>
            </w:pPr>
          </w:p>
          <w:p>
            <w:pPr>
              <w:ind w:firstLine="2100" w:firstLineChars="1000"/>
            </w:pPr>
            <w:r>
              <w:rPr>
                <w:rFonts w:hint="eastAsia"/>
              </w:rPr>
              <w:t>正反面</w:t>
            </w:r>
          </w:p>
        </w:tc>
      </w:tr>
    </w:tbl>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本授权书于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日签字生效，有效期至</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特此声明。</w:t>
      </w:r>
    </w:p>
    <w:p>
      <w:pPr>
        <w:spacing w:line="440" w:lineRule="exact"/>
        <w:ind w:firstLine="560" w:firstLineChars="200"/>
        <w:rPr>
          <w:rFonts w:ascii="仿宋" w:hAnsi="仿宋" w:eastAsia="仿宋" w:cs="仿宋"/>
          <w:color w:val="000000"/>
          <w:sz w:val="28"/>
          <w:szCs w:val="28"/>
        </w:rPr>
      </w:pP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被授权人签字：　</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单位盖章：　</w:t>
      </w:r>
    </w:p>
    <w:p>
      <w:pPr>
        <w:spacing w:line="440" w:lineRule="exact"/>
        <w:rPr>
          <w:rFonts w:ascii="仿宋" w:hAnsi="仿宋" w:eastAsia="仿宋" w:cs="仿宋"/>
          <w:color w:val="000000"/>
          <w:sz w:val="28"/>
          <w:szCs w:val="28"/>
        </w:rPr>
      </w:pP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附：</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被授权人姓名：                       身份证号：</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职务：</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详细通信地址：</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邮政编码：</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移动电话：</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传真：</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身份证复印件：</w:t>
      </w:r>
    </w:p>
    <w:tbl>
      <w:tblPr>
        <w:tblStyle w:val="21"/>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4"/>
        <w:ind w:left="420" w:hanging="420"/>
        <w:jc w:val="center"/>
        <w:rPr>
          <w:rFonts w:ascii="宋体" w:hAnsi="宋体" w:cs="宋体"/>
          <w:b/>
          <w:bCs/>
          <w:sz w:val="44"/>
          <w:szCs w:val="44"/>
        </w:rPr>
      </w:pPr>
    </w:p>
    <w:p/>
    <w:p>
      <w:pPr>
        <w:pStyle w:val="4"/>
        <w:ind w:left="420" w:hanging="420"/>
        <w:jc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供应商基本情况表</w:t>
      </w:r>
      <w:bookmarkEnd w:id="14"/>
    </w:p>
    <w:p>
      <w:pPr>
        <w:rPr>
          <w:u w:val="single"/>
        </w:rPr>
      </w:pPr>
      <w:r>
        <w:rPr>
          <w:rFonts w:hint="eastAsia"/>
        </w:rPr>
        <w:t>填表单位：</w:t>
      </w:r>
      <w:r>
        <w:rPr>
          <w:rFonts w:hint="eastAsia"/>
          <w:u w:val="single"/>
        </w:rPr>
        <w:t xml:space="preserve">           </w:t>
      </w:r>
      <w:r>
        <w:rPr>
          <w:rFonts w:hint="eastAsia"/>
        </w:rPr>
        <w:t xml:space="preserve"> （加盖单位公章）                       填表日期：      年  月  日</w:t>
      </w:r>
    </w:p>
    <w:tbl>
      <w:tblPr>
        <w:tblStyle w:val="2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采购</w:t>
            </w:r>
            <w:r>
              <w:rPr>
                <w:rFonts w:hint="eastAsia" w:ascii="宋体" w:hAnsi="宋体" w:cs="宋体"/>
                <w:szCs w:val="21"/>
                <w:lang w:val="en-US" w:eastAsia="zh-CN"/>
              </w:rPr>
              <w:t>单位</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投标（响应）供应商</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供应商统一社会信用代码</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职务</w:t>
            </w:r>
          </w:p>
        </w:tc>
        <w:tc>
          <w:tcPr>
            <w:tcW w:w="142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身份证号码</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劳动合同</w:t>
            </w:r>
          </w:p>
          <w:p>
            <w:pPr>
              <w:spacing w:line="360" w:lineRule="auto"/>
              <w:jc w:val="center"/>
              <w:rPr>
                <w:rFonts w:ascii="宋体" w:hAnsi="宋体" w:cs="宋体"/>
                <w:szCs w:val="21"/>
              </w:rPr>
            </w:pPr>
            <w:r>
              <w:rPr>
                <w:rFonts w:hint="eastAsia" w:ascii="宋体" w:hAnsi="宋体" w:cs="宋体"/>
                <w:szCs w:val="21"/>
              </w:rPr>
              <w:t>关系单位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缴纳社会</w:t>
            </w:r>
          </w:p>
          <w:p>
            <w:pPr>
              <w:spacing w:line="360" w:lineRule="auto"/>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法定代表人/单位负责人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主要经营负责人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项目投标授权代表人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主要技术人员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投标文件编制人员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关联关系类型</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关联主体名称</w:t>
            </w: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控股股东</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管理关系</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rPr>
                <w:rFonts w:ascii="宋体" w:hAnsi="宋体" w:cs="宋体"/>
                <w:szCs w:val="21"/>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说明：同一关联关系类型有多个主体的，应分行填写。</w:t>
            </w:r>
          </w:p>
        </w:tc>
      </w:tr>
    </w:tbl>
    <w:p>
      <w:pPr>
        <w:spacing w:line="360" w:lineRule="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备注：</w:t>
      </w:r>
    </w:p>
    <w:p>
      <w:pPr>
        <w:spacing w:line="360" w:lineRule="auto"/>
        <w:rPr>
          <w:rFonts w:ascii="宋体" w:hAnsi="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本表中填报的人员姓名、身份证号码、缴纳社会保险单位应与社保证明材料中显示的信息相同。</w:t>
      </w:r>
    </w:p>
    <w:p>
      <w:pPr>
        <w:spacing w:line="360" w:lineRule="auto"/>
        <w:rPr>
          <w:rFonts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投标（响应）供应商未按要求填报《供应商基本情况表》或未加盖公章或未按要求提供证明材料的，将按投标（响应）无效处理。</w:t>
      </w:r>
    </w:p>
    <w:p>
      <w:pPr>
        <w:rPr>
          <w:rFonts w:ascii="宋体" w:hAnsi="宋体" w:cs="宋体"/>
          <w:sz w:val="30"/>
          <w:szCs w:val="30"/>
        </w:rPr>
      </w:pPr>
      <w:r>
        <w:rPr>
          <w:rFonts w:hint="eastAsia" w:ascii="宋体" w:hAnsi="宋体" w:cs="宋体"/>
          <w:sz w:val="30"/>
          <w:szCs w:val="30"/>
        </w:rPr>
        <w:br w:type="page"/>
      </w:r>
    </w:p>
    <w:p>
      <w:pPr>
        <w:pStyle w:val="4"/>
        <w:ind w:left="420" w:hanging="420"/>
        <w:jc w:val="center"/>
        <w:rPr>
          <w:rFonts w:ascii="宋体" w:hAnsi="宋体" w:cs="宋体"/>
          <w:color w:val="000000"/>
          <w:kern w:val="0"/>
          <w:sz w:val="44"/>
          <w:szCs w:val="44"/>
          <w:lang w:bidi="ar"/>
        </w:rPr>
      </w:pPr>
      <w:bookmarkStart w:id="15" w:name="_Toc14311"/>
      <w:bookmarkStart w:id="16" w:name="_Toc17532"/>
      <w:r>
        <w:rPr>
          <w:rFonts w:hint="eastAsia" w:ascii="宋体" w:hAnsi="宋体" w:cs="宋体"/>
          <w:color w:val="000000"/>
          <w:kern w:val="0"/>
          <w:sz w:val="44"/>
          <w:szCs w:val="44"/>
          <w:lang w:bidi="ar"/>
        </w:rPr>
        <w:t>提供社会保险证明</w:t>
      </w:r>
      <w:bookmarkEnd w:id="15"/>
      <w:bookmarkEnd w:id="16"/>
    </w:p>
    <w:p>
      <w:pPr>
        <w:pStyle w:val="44"/>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提供法定代表人最近一个月的社保证明：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提供主要经营负责人最近一个月的社保证明：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项目投标授权代表人最近一个月的社保证明：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提供项目负责人最近一个月的社保证明（如有）：</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提供主要技术人员最近一个月的社保证明（如有）：</w:t>
      </w:r>
    </w:p>
    <w:p>
      <w:pPr>
        <w:spacing w:line="500" w:lineRule="exact"/>
        <w:rPr>
          <w:rFonts w:ascii="宋体" w:hAnsi="宋体"/>
          <w:sz w:val="28"/>
          <w:szCs w:val="28"/>
        </w:rPr>
      </w:pPr>
    </w:p>
    <w:p>
      <w:pPr>
        <w:pStyle w:val="9"/>
        <w:ind w:firstLine="560" w:firstLineChars="200"/>
        <w:rPr>
          <w:sz w:val="28"/>
          <w:szCs w:val="28"/>
        </w:rPr>
      </w:pPr>
      <w:r>
        <w:rPr>
          <w:rFonts w:hint="eastAsia"/>
          <w:sz w:val="28"/>
          <w:szCs w:val="28"/>
        </w:rPr>
        <w:t>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1.法定代表人、主要经营负责人、项目投标授权代表人的社会保险未由投标人单位缴纳，亦须提供相应单位为其缴纳的社会保险证明</w:t>
      </w:r>
      <w:r>
        <w:rPr>
          <w:rFonts w:hint="eastAsia" w:ascii="仿宋_GB2312" w:hAnsi="仿宋_GB2312" w:eastAsia="仿宋_GB2312" w:cs="仿宋_GB2312"/>
          <w:sz w:val="28"/>
          <w:szCs w:val="28"/>
          <w:lang w:val="en-US" w:eastAsia="zh-CN"/>
        </w:rPr>
        <w:t>（须体现投标人的单位信息）</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2.项目负责人和主要技术人员的社会保险须由投标人单位缴纳</w:t>
      </w:r>
      <w:r>
        <w:rPr>
          <w:rFonts w:hint="eastAsia" w:ascii="仿宋_GB2312" w:hAnsi="仿宋_GB2312" w:eastAsia="仿宋_GB2312" w:cs="仿宋_GB2312"/>
          <w:sz w:val="28"/>
          <w:szCs w:val="28"/>
          <w:lang w:val="en-US" w:eastAsia="zh-CN"/>
        </w:rPr>
        <w:t>（须体现投标人的单位信息）</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3.投标人为新成立企业且成立时间不足一个月可提供加盖投标人公章的情况说明或者证明材料亦视为符合。</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4.由于社保部门或税务部门的原因最近一个月的社保证明无法提供的可往前顺延一个月。</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5.如依法不需要缴纳社会保险的，应提供相应文件证明；如为退休返聘人员提供退休证明和聘用合同。</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6.若因社保部门原因无法提供的，需提供劳动合同及社保部门官方通知证明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或官网公告截图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7.如本项目未安排项目负责人、主要技术人员的，无需提供项目负责人、主要技术人员的社会保险证明。</w:t>
      </w: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3"/>
        <w:spacing w:beforeAutospacing="0" w:afterAutospacing="0" w:line="500" w:lineRule="exact"/>
        <w:jc w:val="center"/>
        <w:rPr>
          <w:rFonts w:hint="default" w:ascii="黑体"/>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firstLineChars="200"/>
        <w:jc w:val="both"/>
        <w:textAlignment w:val="auto"/>
        <w:rPr>
          <w:rFonts w:hint="default" w:ascii="黑体" w:hAnsi="黑体" w:eastAsia="黑体" w:cs="黑体"/>
          <w:bCs/>
          <w:sz w:val="28"/>
          <w:szCs w:val="28"/>
        </w:rPr>
      </w:pPr>
      <w:r>
        <w:rPr>
          <w:rFonts w:ascii="黑体" w:hAnsi="黑体" w:eastAsia="黑体" w:cs="黑体"/>
          <w:sz w:val="28"/>
          <w:szCs w:val="28"/>
        </w:rPr>
        <w:t>一、投标人情况及资格证明文件</w:t>
      </w:r>
      <w:bookmarkStart w:id="17" w:name="_Hlk72257590"/>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3"/>
        <w:rPr>
          <w:rFonts w:ascii="楷体" w:hAnsi="楷体" w:eastAsia="楷体" w:cs="楷体"/>
          <w:bCs/>
          <w:sz w:val="28"/>
          <w:szCs w:val="28"/>
        </w:rPr>
      </w:pPr>
      <w:r>
        <w:rPr>
          <w:rFonts w:hint="eastAsia" w:ascii="楷体" w:hAnsi="楷体" w:eastAsia="楷体" w:cs="楷体"/>
          <w:bCs/>
          <w:sz w:val="28"/>
          <w:szCs w:val="28"/>
        </w:rPr>
        <w:t>（一）投标人资格证明文件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eastAsia="仿宋_GB2312"/>
          <w:b/>
          <w:bCs/>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特别提示：投标人须按本招标文件第一册第一章招标公告“申请人的资格要求”（即投标人资格要求）提供相关的资格证明资料，未提供或提供不完整、不符合要求的，将作投标无效处理</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3"/>
        <w:rPr>
          <w:rFonts w:ascii="楷体" w:hAnsi="楷体" w:eastAsia="楷体" w:cs="楷体"/>
          <w:bCs/>
          <w:sz w:val="28"/>
          <w:szCs w:val="28"/>
        </w:rPr>
      </w:pPr>
      <w:r>
        <w:rPr>
          <w:rFonts w:hint="eastAsia" w:ascii="楷体" w:hAnsi="楷体" w:eastAsia="楷体" w:cs="楷体"/>
          <w:bCs/>
          <w:sz w:val="28"/>
          <w:szCs w:val="28"/>
        </w:rPr>
        <w:t>（二）中小企业声明函、残疾人福利性单位声明函及监狱企业声明函</w:t>
      </w:r>
      <w:bookmarkEnd w:id="17"/>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填写指引：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2.该部分内容填写需要参考的相关文件：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bookmarkStart w:id="18" w:name="_Hlk71925120"/>
      <w:r>
        <w:rPr>
          <w:rFonts w:hint="eastAsia" w:ascii="仿宋_GB2312" w:hAnsi="仿宋_GB2312" w:eastAsia="仿宋_GB2312" w:cs="仿宋_GB2312"/>
          <w:sz w:val="28"/>
          <w:szCs w:val="28"/>
        </w:rPr>
        <w:t>《工业和信息化部、国家统计局、国家发展和改革委员会、财政部关于印发中小企业划型标准规定的通知》（工信部联企业〔2011〕300号</w:t>
      </w:r>
      <w:bookmarkEnd w:id="18"/>
      <w:r>
        <w:rPr>
          <w:rFonts w:hint="eastAsia" w:ascii="仿宋_GB2312" w:hAnsi="仿宋_GB2312" w:eastAsia="仿宋_GB2312" w:cs="仿宋_GB2312"/>
          <w:sz w:val="28"/>
          <w:szCs w:val="28"/>
        </w:rPr>
        <w:t>，以下简称300号文）；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rPr>
        <w:t>《关于印发中小企业划型标准规定的通知》（工信部联企业〔2011〕300号）；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sz w:val="28"/>
          <w:szCs w:val="28"/>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《统计上大中小微型企业划分办法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2017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》（国统字〔2017〕213号）；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（6）</w:t>
      </w:r>
      <w:r>
        <w:rPr>
          <w:rFonts w:hint="eastAsia" w:ascii="仿宋_GB2312" w:hAnsi="仿宋_GB2312" w:eastAsia="仿宋_GB2312" w:cs="仿宋_GB2312"/>
          <w:sz w:val="28"/>
          <w:szCs w:val="28"/>
        </w:rPr>
        <w:t>《关于促进残疾人就业政府采购政策的通知》（财库〔2017〕141号）；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rPr>
        <w:t>《关于政府采购支持监狱企业发展有关问题的通知》（财库〔2014〕68号）。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声明函具体填写要求：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第一处，在“单位名称”下划线处如实填写采购人名称（深圳公共资源交易中心不是本项目的采购人，而是组织实施机构）；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第三处，在“标的名称”下划线处填写所采购货物（标的）的具体名称；如果涉及多项货物（标的）为同一企业制造，“标的名称”下划线处可以如实填写多项货物；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第四处，在“招标文件中明确的所属行业”下划线处填写采购标的对应的中小企业划分标准所属行业；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（2）声明：残疾人福利性单位须填写《残疾人福利性单位声明函》的相关内容，具体参照以上《中小企业声明函》填写要求执行。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（3）声明：监狱企业须填写《监狱企业声明函》的三项内容（填写位置的字体已加粗），具体参照以上《中小企业声明函》填写要求执行。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声明函的有效性最终由评审委员会判定；如评审委员会判定声明函无效，相关供应商不享受价格扣除（但不作投标无效处理）。</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firstLineChars="200"/>
        <w:jc w:val="both"/>
        <w:textAlignment w:val="auto"/>
        <w:rPr>
          <w:rFonts w:hint="default"/>
          <w:b/>
          <w:sz w:val="28"/>
          <w:szCs w:val="28"/>
        </w:rPr>
      </w:pPr>
      <w:r>
        <w:rPr>
          <w:rFonts w:ascii="黑体" w:hAnsi="黑体" w:eastAsia="黑体" w:cs="黑体"/>
          <w:sz w:val="28"/>
          <w:szCs w:val="28"/>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9"/>
        <w:rPr>
          <w:b/>
          <w:sz w:val="36"/>
          <w:szCs w:val="36"/>
        </w:rPr>
      </w:pPr>
    </w:p>
    <w:p>
      <w:pPr>
        <w:rPr>
          <w:b/>
          <w:sz w:val="36"/>
          <w:szCs w:val="36"/>
        </w:rPr>
      </w:pPr>
    </w:p>
    <w:p>
      <w:pPr>
        <w:pStyle w:val="9"/>
        <w:rPr>
          <w:b/>
          <w:sz w:val="36"/>
          <w:szCs w:val="36"/>
        </w:rPr>
      </w:pPr>
    </w:p>
    <w:p>
      <w:pPr>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本企业对上述声明内容的真实性负责。如有虚假，将依法承担相应责任。</w:t>
      </w:r>
    </w:p>
    <w:p>
      <w:pPr>
        <w:pStyle w:val="9"/>
        <w:rPr>
          <w:sz w:val="28"/>
          <w:szCs w:val="28"/>
        </w:rPr>
      </w:pPr>
    </w:p>
    <w:p>
      <w:pPr>
        <w:spacing w:line="440" w:lineRule="exact"/>
        <w:ind w:firstLine="560" w:firstLineChars="200"/>
        <w:rPr>
          <w:rFonts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企业名称（盖章）：</w:t>
      </w:r>
    </w:p>
    <w:p>
      <w:pPr>
        <w:spacing w:line="440" w:lineRule="exact"/>
        <w:ind w:firstLine="560" w:firstLineChars="200"/>
        <w:rPr>
          <w:b/>
          <w:sz w:val="36"/>
          <w:szCs w:val="36"/>
        </w:rPr>
      </w:pPr>
      <w:r>
        <w:rPr>
          <w:rFonts w:hint="eastAsia" w:ascii="仿宋_GB2312" w:hAnsi="仿宋_GB2312" w:eastAsia="仿宋_GB2312" w:cs="仿宋_GB2312"/>
          <w:sz w:val="28"/>
          <w:szCs w:val="28"/>
        </w:rPr>
        <w:t xml:space="preserve">                       日期：</w:t>
      </w:r>
      <w:r>
        <w:rPr>
          <w:rFonts w:hint="eastAsia" w:ascii="仿宋_GB2312" w:hAnsi="仿宋_GB2312" w:eastAsia="仿宋_GB2312" w:cs="仿宋_GB2312"/>
          <w:sz w:val="32"/>
          <w:szCs w:val="32"/>
        </w:rPr>
        <w:t xml:space="preserve"> </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9"/>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本单位知悉《促进残疾人就业政府采购政策的通知》（财库〔2017〕141号）的规定，承诺提供的声明函内容是真实的，如提供声明函内容不实，则依法追究相关法律责任。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pStyle w:val="9"/>
        <w:tabs>
          <w:tab w:val="left" w:pos="562"/>
          <w:tab w:val="left" w:pos="3372"/>
          <w:tab w:val="left" w:pos="3653"/>
        </w:tabs>
        <w:spacing w:line="560" w:lineRule="exact"/>
        <w:rPr>
          <w:rFonts w:ascii="仿宋_GB2312" w:hAnsi="仿宋_GB2312" w:eastAsia="仿宋_GB2312" w:cs="仿宋_GB2312"/>
          <w:sz w:val="28"/>
          <w:szCs w:val="28"/>
        </w:rPr>
      </w:pPr>
    </w:p>
    <w:p>
      <w:pPr>
        <w:spacing w:line="560" w:lineRule="exact"/>
        <w:rPr>
          <w:sz w:val="28"/>
          <w:szCs w:val="28"/>
        </w:rPr>
      </w:pPr>
    </w:p>
    <w:p>
      <w:pPr>
        <w:spacing w:line="560" w:lineRule="exact"/>
        <w:ind w:firstLine="3920" w:firstLineChars="1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3920" w:firstLineChars="1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pStyle w:val="9"/>
        <w:rPr>
          <w:rFonts w:ascii="仿宋_GB2312" w:hAnsi="仿宋_GB2312" w:eastAsia="仿宋_GB2312" w:cs="仿宋_GB2312"/>
        </w:rPr>
      </w:pPr>
    </w:p>
    <w:p>
      <w:pPr>
        <w:pStyle w:val="9"/>
        <w:rPr>
          <w:rFonts w:ascii="仿宋_GB2312" w:hAnsi="仿宋_GB2312" w:eastAsia="仿宋_GB2312" w:cs="仿宋_GB231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7"/>
      </w:pPr>
    </w:p>
    <w:p/>
    <w:p/>
    <w:p/>
    <w:p>
      <w:pPr>
        <w:numPr>
          <w:ilvl w:val="0"/>
          <w:numId w:val="2"/>
        </w:numPr>
        <w:spacing w:line="500" w:lineRule="exact"/>
        <w:jc w:val="center"/>
        <w:rPr>
          <w:b/>
          <w:sz w:val="36"/>
          <w:szCs w:val="36"/>
        </w:rPr>
      </w:pPr>
      <w:r>
        <w:rPr>
          <w:rFonts w:hint="eastAsia"/>
          <w:b/>
          <w:sz w:val="36"/>
          <w:szCs w:val="36"/>
        </w:rPr>
        <w:t>监狱企业声明函</w:t>
      </w:r>
    </w:p>
    <w:p>
      <w:pPr>
        <w:pStyle w:val="9"/>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本单位郑重声明，根据《财政部司法部关于政府采购支持监狱企业发展有关问题的通知》（财库〔2014〕68号）的规定，本单位为符合条件的监狱企业，且本单位参加（采购单位名称） 单位的（采购项目名称）项目采购活动，并提供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□本单位制造的货物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□由本单位承担的工程、提供服务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□提供其他监狱企业制造的货物（承诺人在□处打√）。本条所称货物是指单一产品采购项目中的货物，或者非单一产品采购项目中的核心产品（货物）。</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附：省级以上监狱管理局、戒毒管理局（含新疆生产建设兵团）出具的监狱企业证明文件。</w:t>
      </w:r>
    </w:p>
    <w:p>
      <w:pPr>
        <w:spacing w:line="560" w:lineRule="exact"/>
        <w:ind w:firstLine="560" w:firstLineChars="200"/>
        <w:jc w:val="left"/>
        <w:rPr>
          <w:rFonts w:ascii="仿宋_GB2312" w:hAnsi="仿宋_GB2312" w:eastAsia="仿宋_GB2312" w:cs="仿宋_GB2312"/>
          <w:sz w:val="28"/>
          <w:szCs w:val="28"/>
        </w:rPr>
      </w:pPr>
    </w:p>
    <w:p>
      <w:pPr>
        <w:pStyle w:val="9"/>
        <w:rPr>
          <w:sz w:val="28"/>
          <w:szCs w:val="28"/>
        </w:rPr>
      </w:pPr>
    </w:p>
    <w:p>
      <w:pPr>
        <w:spacing w:line="560" w:lineRule="exact"/>
        <w:ind w:firstLine="4480" w:firstLineChars="1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4480" w:firstLineChars="1600"/>
        <w:jc w:val="left"/>
        <w:rPr>
          <w:b/>
          <w:sz w:val="28"/>
          <w:szCs w:val="28"/>
        </w:rPr>
      </w:pPr>
      <w:r>
        <w:rPr>
          <w:rFonts w:hint="eastAsia" w:ascii="仿宋_GB2312" w:hAnsi="仿宋_GB2312" w:eastAsia="仿宋_GB2312" w:cs="仿宋_GB2312"/>
          <w:sz w:val="28"/>
          <w:szCs w:val="28"/>
        </w:rPr>
        <w:t>日  期：</w:t>
      </w:r>
    </w:p>
    <w:p>
      <w:pPr>
        <w:pStyle w:val="3"/>
        <w:spacing w:beforeAutospacing="0" w:afterAutospacing="0" w:line="500" w:lineRule="exact"/>
        <w:ind w:firstLine="643" w:firstLineChars="200"/>
        <w:jc w:val="both"/>
        <w:rPr>
          <w:rFonts w:hint="default" w:ascii="Calibri" w:hAnsi="Calibri" w:cs="黑体"/>
          <w:b/>
          <w:kern w:val="2"/>
          <w:sz w:val="32"/>
          <w:szCs w:val="32"/>
        </w:rPr>
      </w:pPr>
    </w:p>
    <w:p>
      <w:pPr>
        <w:pStyle w:val="3"/>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21"/>
        <w:tblW w:w="5613" w:type="pct"/>
        <w:tblInd w:w="0" w:type="dxa"/>
        <w:tblLayout w:type="fixed"/>
        <w:tblCellMar>
          <w:top w:w="15" w:type="dxa"/>
          <w:left w:w="15" w:type="dxa"/>
          <w:bottom w:w="15" w:type="dxa"/>
          <w:right w:w="15" w:type="dxa"/>
        </w:tblCellMar>
      </w:tblPr>
      <w:tblGrid>
        <w:gridCol w:w="4891"/>
        <w:gridCol w:w="1634"/>
        <w:gridCol w:w="3240"/>
        <w:gridCol w:w="2850"/>
        <w:gridCol w:w="1740"/>
      </w:tblGrid>
      <w:tr>
        <w:tblPrEx>
          <w:tblCellMar>
            <w:top w:w="15" w:type="dxa"/>
            <w:left w:w="15" w:type="dxa"/>
            <w:bottom w:w="15" w:type="dxa"/>
            <w:right w:w="15" w:type="dxa"/>
          </w:tblCellMar>
        </w:tblPrEx>
        <w:trPr>
          <w:trHeight w:val="705" w:hRule="atLeast"/>
        </w:trPr>
        <w:tc>
          <w:tcPr>
            <w:tcW w:w="3401" w:type="pct"/>
            <w:gridSpan w:val="3"/>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lang w:val="en-US" w:eastAsia="zh-CN"/>
              </w:rPr>
              <w:t xml:space="preserve">               </w:t>
            </w:r>
            <w:r>
              <w:rPr>
                <w:rFonts w:hint="eastAsia" w:ascii="仿宋" w:hAnsi="仿宋" w:eastAsia="仿宋" w:cs="仿宋"/>
                <w:b/>
                <w:color w:val="000000"/>
                <w:kern w:val="0"/>
                <w:sz w:val="44"/>
                <w:szCs w:val="44"/>
              </w:rPr>
              <w:t>开标一览表</w:t>
            </w:r>
          </w:p>
        </w:tc>
        <w:tc>
          <w:tcPr>
            <w:tcW w:w="992" w:type="pct"/>
            <w:noWrap/>
            <w:vAlign w:val="center"/>
          </w:tcPr>
          <w:p>
            <w:pPr>
              <w:widowControl/>
              <w:jc w:val="center"/>
              <w:textAlignment w:val="center"/>
              <w:rPr>
                <w:rFonts w:hint="eastAsia" w:ascii="仿宋" w:hAnsi="仿宋" w:eastAsia="仿宋" w:cs="仿宋"/>
                <w:b/>
                <w:color w:val="000000"/>
                <w:kern w:val="0"/>
                <w:sz w:val="44"/>
                <w:szCs w:val="44"/>
              </w:rPr>
            </w:pPr>
          </w:p>
        </w:tc>
        <w:tc>
          <w:tcPr>
            <w:tcW w:w="606" w:type="pct"/>
            <w:noWrap/>
            <w:vAlign w:val="center"/>
          </w:tcPr>
          <w:p>
            <w:pPr>
              <w:widowControl/>
              <w:jc w:val="center"/>
              <w:textAlignment w:val="center"/>
              <w:rPr>
                <w:rFonts w:hint="eastAsia" w:ascii="仿宋" w:hAnsi="仿宋" w:eastAsia="仿宋" w:cs="仿宋"/>
                <w:b/>
                <w:color w:val="000000"/>
                <w:kern w:val="0"/>
                <w:sz w:val="44"/>
                <w:szCs w:val="44"/>
              </w:rPr>
            </w:pPr>
          </w:p>
        </w:tc>
      </w:tr>
      <w:tr>
        <w:tblPrEx>
          <w:tblCellMar>
            <w:top w:w="15" w:type="dxa"/>
            <w:left w:w="15" w:type="dxa"/>
            <w:bottom w:w="15" w:type="dxa"/>
            <w:right w:w="15" w:type="dxa"/>
          </w:tblCellMar>
        </w:tblPrEx>
        <w:trPr>
          <w:trHeight w:val="524"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采购项目编号</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深龙七医采[LGQY2025</w:t>
            </w:r>
            <w:r>
              <w:rPr>
                <w:rFonts w:hint="eastAsia" w:ascii="仿宋" w:hAnsi="仿宋" w:eastAsia="仿宋" w:cs="仿宋"/>
                <w:color w:val="000000"/>
                <w:kern w:val="0"/>
                <w:sz w:val="28"/>
                <w:szCs w:val="28"/>
                <w:lang w:val="en-US" w:eastAsia="zh-CN"/>
              </w:rPr>
              <w:t>GH</w:t>
            </w:r>
            <w:r>
              <w:rPr>
                <w:rFonts w:hint="eastAsia" w:ascii="仿宋" w:hAnsi="仿宋" w:eastAsia="仿宋" w:cs="仿宋"/>
                <w:color w:val="000000"/>
                <w:kern w:val="0"/>
                <w:sz w:val="28"/>
                <w:szCs w:val="28"/>
              </w:rPr>
              <w:t>00</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w:t>
            </w:r>
          </w:p>
        </w:tc>
      </w:tr>
      <w:tr>
        <w:tblPrEx>
          <w:tblCellMar>
            <w:top w:w="15" w:type="dxa"/>
            <w:left w:w="15" w:type="dxa"/>
            <w:bottom w:w="15" w:type="dxa"/>
            <w:right w:w="15" w:type="dxa"/>
          </w:tblCellMar>
        </w:tblPrEx>
        <w:trPr>
          <w:trHeight w:val="509" w:hRule="atLeast"/>
        </w:trPr>
        <w:tc>
          <w:tcPr>
            <w:tcW w:w="170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每份组合套餐金额（元）</w:t>
            </w:r>
          </w:p>
        </w:tc>
        <w:tc>
          <w:tcPr>
            <w:tcW w:w="11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每份组合套餐总价值</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元</w:t>
            </w:r>
            <w:r>
              <w:rPr>
                <w:rFonts w:hint="eastAsia" w:ascii="仿宋" w:hAnsi="仿宋" w:eastAsia="仿宋" w:cs="仿宋"/>
                <w:color w:val="000000"/>
                <w:sz w:val="24"/>
                <w:lang w:eastAsia="zh-CN"/>
              </w:rPr>
              <w:t>）</w:t>
            </w:r>
          </w:p>
        </w:tc>
        <w:tc>
          <w:tcPr>
            <w:tcW w:w="9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报价比率</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（500/组合套餐总价值）</w:t>
            </w:r>
          </w:p>
        </w:tc>
        <w:tc>
          <w:tcPr>
            <w:tcW w:w="6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备注</w:t>
            </w:r>
          </w:p>
        </w:tc>
      </w:tr>
      <w:tr>
        <w:tblPrEx>
          <w:tblCellMar>
            <w:top w:w="15" w:type="dxa"/>
            <w:left w:w="15" w:type="dxa"/>
            <w:bottom w:w="15" w:type="dxa"/>
            <w:right w:w="15" w:type="dxa"/>
          </w:tblCellMar>
        </w:tblPrEx>
        <w:trPr>
          <w:trHeight w:val="655" w:hRule="atLeast"/>
        </w:trPr>
        <w:tc>
          <w:tcPr>
            <w:tcW w:w="1703" w:type="pct"/>
            <w:tcBorders>
              <w:top w:val="single" w:color="000000" w:sz="4" w:space="0"/>
              <w:left w:val="single" w:color="000000" w:sz="4" w:space="0"/>
              <w:bottom w:val="single" w:color="000000" w:sz="4" w:space="0"/>
              <w:right w:val="single" w:color="000000" w:sz="4" w:space="0"/>
            </w:tcBorders>
            <w:noWrap/>
            <w:vAlign w:val="center"/>
          </w:tcPr>
          <w:p>
            <w:pPr>
              <w:pStyle w:val="28"/>
              <w:spacing w:line="460" w:lineRule="exact"/>
              <w:ind w:left="2200" w:hanging="1200" w:hangingChars="5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深圳市龙岗区第七人民医院2025年在职工会</w:t>
            </w:r>
          </w:p>
          <w:p>
            <w:pPr>
              <w:pStyle w:val="28"/>
              <w:spacing w:line="460" w:lineRule="exact"/>
              <w:ind w:left="2200" w:hanging="1200" w:hangingChars="500"/>
              <w:jc w:val="both"/>
            </w:pPr>
            <w:r>
              <w:rPr>
                <w:rFonts w:hint="eastAsia" w:ascii="仿宋" w:hAnsi="仿宋" w:eastAsia="仿宋" w:cs="仿宋"/>
                <w:color w:val="000000"/>
                <w:kern w:val="2"/>
                <w:sz w:val="24"/>
                <w:szCs w:val="24"/>
                <w:lang w:val="en-US" w:eastAsia="zh-CN" w:bidi="ar-SA"/>
              </w:rPr>
              <w:t>会员、退休员工中秋节慰问品采购项目</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pStyle w:val="16"/>
              <w:jc w:val="center"/>
              <w:rPr>
                <w:rFonts w:hint="default" w:ascii="Calibri" w:hAnsi="Calibri" w:eastAsia="宋体" w:cs="黑体"/>
                <w:kern w:val="2"/>
                <w:sz w:val="21"/>
                <w:szCs w:val="24"/>
                <w:lang w:val="en-US" w:eastAsia="zh-CN" w:bidi="ar-SA"/>
              </w:rPr>
            </w:pPr>
            <w:r>
              <w:rPr>
                <w:rFonts w:hint="eastAsia" w:ascii="仿宋" w:hAnsi="仿宋" w:eastAsia="仿宋" w:cs="仿宋"/>
                <w:color w:val="000000"/>
                <w:kern w:val="2"/>
                <w:sz w:val="24"/>
                <w:szCs w:val="24"/>
                <w:lang w:val="en-US" w:eastAsia="zh-CN" w:bidi="ar-SA"/>
              </w:rPr>
              <w:t>500</w:t>
            </w:r>
          </w:p>
        </w:tc>
        <w:tc>
          <w:tcPr>
            <w:tcW w:w="1128" w:type="pct"/>
            <w:tcBorders>
              <w:top w:val="single" w:color="000000" w:sz="4" w:space="0"/>
              <w:left w:val="single" w:color="000000" w:sz="4" w:space="0"/>
              <w:bottom w:val="single" w:color="000000" w:sz="4" w:space="0"/>
              <w:right w:val="single" w:color="000000" w:sz="4" w:space="0"/>
            </w:tcBorders>
            <w:noWrap/>
            <w:vAlign w:val="center"/>
          </w:tcPr>
          <w:p>
            <w:pPr>
              <w:pStyle w:val="16"/>
              <w:jc w:val="center"/>
              <w:rPr>
                <w:rFonts w:hint="default"/>
                <w:lang w:val="en-US" w:eastAsia="zh-CN"/>
              </w:rPr>
            </w:pPr>
          </w:p>
        </w:tc>
        <w:tc>
          <w:tcPr>
            <w:tcW w:w="992" w:type="pct"/>
            <w:tcBorders>
              <w:top w:val="single" w:color="000000" w:sz="4" w:space="0"/>
              <w:left w:val="single" w:color="000000" w:sz="4" w:space="0"/>
              <w:bottom w:val="single" w:color="000000" w:sz="4" w:space="0"/>
              <w:right w:val="single" w:color="000000" w:sz="4" w:space="0"/>
            </w:tcBorders>
            <w:noWrap/>
            <w:vAlign w:val="center"/>
          </w:tcPr>
          <w:p>
            <w:pPr>
              <w:pStyle w:val="16"/>
              <w:rPr>
                <w:rFonts w:hint="eastAsia" w:ascii="仿宋" w:hAnsi="仿宋" w:eastAsia="仿宋" w:cs="仿宋"/>
                <w:color w:val="000000"/>
                <w:sz w:val="22"/>
                <w:szCs w:val="22"/>
                <w:lang w:val="en-US" w:eastAsia="zh-CN"/>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pStyle w:val="16"/>
              <w:rPr>
                <w:rFonts w:hint="eastAsia" w:ascii="仿宋" w:hAnsi="仿宋" w:eastAsia="仿宋" w:cs="仿宋"/>
                <w:color w:val="000000"/>
                <w:sz w:val="22"/>
                <w:szCs w:val="22"/>
                <w:lang w:val="en-US" w:eastAsia="zh-CN"/>
              </w:rPr>
            </w:pPr>
          </w:p>
        </w:tc>
      </w:tr>
    </w:tbl>
    <w:p>
      <w:pPr>
        <w:widowControl/>
        <w:snapToGrid w:val="0"/>
        <w:spacing w:line="360" w:lineRule="auto"/>
        <w:ind w:left="420" w:leftChars="200" w:right="0" w:rightChars="0" w:firstLine="0" w:firstLineChars="0"/>
        <w:jc w:val="both"/>
        <w:rPr>
          <w:rFonts w:hint="eastAsia" w:ascii="宋体" w:hAnsi="宋体" w:cs="宋体"/>
          <w:b/>
          <w:bCs/>
          <w:sz w:val="24"/>
          <w:highlight w:val="yellow"/>
          <w:lang w:val="en-US" w:eastAsia="zh-CN"/>
        </w:rPr>
      </w:pPr>
    </w:p>
    <w:p>
      <w:pPr>
        <w:numPr>
          <w:ilvl w:val="0"/>
          <w:numId w:val="0"/>
        </w:numPr>
        <w:spacing w:line="500" w:lineRule="exact"/>
        <w:ind w:left="425" w:leftChars="0" w:hanging="425" w:firstLineChars="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lang w:val="en-US" w:eastAsia="zh-CN"/>
        </w:rPr>
        <w:t>报价比率=实付金额500元÷</w:t>
      </w:r>
      <w:r>
        <w:rPr>
          <w:rFonts w:hint="eastAsia" w:ascii="仿宋_GB2312" w:hAnsi="仿宋_GB2312" w:eastAsia="仿宋_GB2312" w:cs="仿宋_GB2312"/>
          <w:kern w:val="2"/>
          <w:sz w:val="28"/>
          <w:szCs w:val="28"/>
          <w:lang w:val="en-US" w:eastAsia="zh-CN" w:bidi="ar-SA"/>
        </w:rPr>
        <w:t>组合套餐</w:t>
      </w:r>
      <w:r>
        <w:rPr>
          <w:rFonts w:hint="eastAsia" w:ascii="仿宋" w:hAnsi="仿宋" w:eastAsia="仿宋" w:cs="仿宋"/>
          <w:sz w:val="28"/>
          <w:szCs w:val="28"/>
          <w:lang w:val="en-US" w:eastAsia="zh-CN"/>
        </w:rPr>
        <w:t>总</w:t>
      </w:r>
      <w:r>
        <w:rPr>
          <w:rFonts w:hint="eastAsia" w:ascii="仿宋_GB2312" w:hAnsi="仿宋_GB2312" w:eastAsia="仿宋_GB2312" w:cs="仿宋_GB2312"/>
          <w:kern w:val="2"/>
          <w:sz w:val="28"/>
          <w:szCs w:val="28"/>
          <w:lang w:val="en-US" w:eastAsia="zh-CN" w:bidi="ar-SA"/>
        </w:rPr>
        <w:t>价</w:t>
      </w:r>
      <w:r>
        <w:rPr>
          <w:rFonts w:hint="eastAsia" w:ascii="仿宋" w:hAnsi="仿宋" w:eastAsia="仿宋" w:cs="仿宋"/>
          <w:sz w:val="28"/>
          <w:szCs w:val="28"/>
          <w:lang w:val="en-US" w:eastAsia="zh-CN"/>
        </w:rPr>
        <w:t>值，以上内容计算步骤均四舍五入保留2位小数。合计</w:t>
      </w:r>
    </w:p>
    <w:p>
      <w:pPr>
        <w:numPr>
          <w:ilvl w:val="0"/>
          <w:numId w:val="0"/>
        </w:numPr>
        <w:spacing w:line="500" w:lineRule="exact"/>
        <w:ind w:left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套餐价值应与后附套餐表格中的金额一致。</w:t>
      </w:r>
    </w:p>
    <w:p>
      <w:pPr>
        <w:numPr>
          <w:ilvl w:val="0"/>
          <w:numId w:val="0"/>
        </w:numPr>
        <w:spacing w:line="500" w:lineRule="exact"/>
        <w:ind w:left="425" w:leftChars="0" w:hanging="425"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w:t>
      </w:r>
      <w:r>
        <w:rPr>
          <w:rFonts w:hint="eastAsia" w:ascii="仿宋" w:hAnsi="仿宋" w:eastAsia="仿宋" w:cs="仿宋"/>
          <w:sz w:val="28"/>
          <w:szCs w:val="28"/>
        </w:rPr>
        <w:t>开标一览表格式不得自行改动。</w:t>
      </w:r>
    </w:p>
    <w:p>
      <w:pPr>
        <w:numPr>
          <w:ilvl w:val="0"/>
          <w:numId w:val="0"/>
        </w:numPr>
        <w:spacing w:line="500" w:lineRule="exact"/>
        <w:ind w:left="425" w:leftChars="0" w:hanging="425" w:firstLineChars="0"/>
        <w:jc w:val="left"/>
        <w:rPr>
          <w:rFonts w:ascii="仿宋" w:hAnsi="仿宋" w:eastAsia="仿宋" w:cs="仿宋"/>
          <w:sz w:val="28"/>
          <w:szCs w:val="28"/>
        </w:rPr>
      </w:pPr>
      <w:r>
        <w:rPr>
          <w:rFonts w:hint="eastAsia" w:ascii="仿宋" w:hAnsi="仿宋" w:eastAsia="仿宋" w:cs="仿宋"/>
          <w:kern w:val="2"/>
          <w:sz w:val="28"/>
          <w:szCs w:val="28"/>
          <w:lang w:val="en-US" w:eastAsia="zh-CN" w:bidi="ar-SA"/>
        </w:rPr>
        <w:t>3</w:t>
      </w:r>
      <w:r>
        <w:rPr>
          <w:rFonts w:hint="default" w:ascii="仿宋" w:hAnsi="仿宋" w:eastAsia="仿宋" w:cs="仿宋"/>
          <w:kern w:val="2"/>
          <w:sz w:val="28"/>
          <w:szCs w:val="28"/>
          <w:lang w:val="en-US" w:eastAsia="zh-CN" w:bidi="ar-SA"/>
        </w:rPr>
        <w:t>.</w:t>
      </w:r>
      <w:r>
        <w:rPr>
          <w:rFonts w:hint="eastAsia" w:ascii="仿宋" w:hAnsi="仿宋" w:eastAsia="仿宋" w:cs="仿宋"/>
          <w:sz w:val="28"/>
          <w:szCs w:val="28"/>
        </w:rPr>
        <w:t>价格条件为能否满足标书要求的投标报价。</w:t>
      </w:r>
    </w:p>
    <w:p>
      <w:pPr>
        <w:numPr>
          <w:ilvl w:val="0"/>
          <w:numId w:val="0"/>
        </w:numPr>
        <w:spacing w:line="500" w:lineRule="exact"/>
        <w:ind w:left="425" w:leftChars="0" w:hanging="425" w:firstLineChars="0"/>
        <w:jc w:val="left"/>
        <w:rPr>
          <w:rFonts w:ascii="仿宋" w:hAnsi="仿宋" w:eastAsia="仿宋" w:cs="仿宋"/>
          <w:sz w:val="28"/>
          <w:szCs w:val="36"/>
        </w:rPr>
      </w:pPr>
      <w:r>
        <w:rPr>
          <w:rFonts w:hint="eastAsia" w:ascii="仿宋" w:hAnsi="仿宋" w:eastAsia="仿宋" w:cs="仿宋"/>
          <w:kern w:val="2"/>
          <w:sz w:val="28"/>
          <w:szCs w:val="36"/>
          <w:lang w:val="en-US" w:eastAsia="zh-CN" w:bidi="ar-SA"/>
        </w:rPr>
        <w:t>4</w:t>
      </w:r>
      <w:r>
        <w:rPr>
          <w:rFonts w:hint="default" w:ascii="仿宋" w:hAnsi="仿宋" w:eastAsia="仿宋" w:cs="仿宋"/>
          <w:kern w:val="2"/>
          <w:sz w:val="28"/>
          <w:szCs w:val="36"/>
          <w:lang w:val="en-US" w:eastAsia="zh-CN" w:bidi="ar-SA"/>
        </w:rPr>
        <w:t>.</w:t>
      </w:r>
      <w:r>
        <w:rPr>
          <w:rFonts w:hint="eastAsia" w:ascii="仿宋" w:hAnsi="仿宋" w:eastAsia="仿宋" w:cs="仿宋"/>
          <w:sz w:val="28"/>
          <w:szCs w:val="28"/>
        </w:rPr>
        <w:t>无内容空格填“</w:t>
      </w:r>
      <w:r>
        <w:rPr>
          <w:rFonts w:hint="eastAsia" w:ascii="仿宋" w:hAnsi="仿宋" w:eastAsia="仿宋" w:cs="仿宋"/>
          <w:sz w:val="28"/>
          <w:szCs w:val="28"/>
          <w:lang w:eastAsia="zh-CN"/>
        </w:rPr>
        <w:t>－</w:t>
      </w:r>
      <w:r>
        <w:rPr>
          <w:rFonts w:hint="eastAsia" w:ascii="仿宋" w:hAnsi="仿宋" w:eastAsia="仿宋" w:cs="仿宋"/>
          <w:sz w:val="28"/>
          <w:szCs w:val="28"/>
        </w:rPr>
        <w:t>”。</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法定代表人或其授权代表人（签字）：</w:t>
      </w:r>
    </w:p>
    <w:p>
      <w:pPr>
        <w:rPr>
          <w:rFonts w:hint="eastAsia" w:ascii="仿宋" w:hAnsi="仿宋" w:eastAsia="仿宋" w:cs="仿宋"/>
          <w:sz w:val="28"/>
          <w:szCs w:val="28"/>
        </w:rPr>
      </w:pPr>
      <w:r>
        <w:rPr>
          <w:rFonts w:hint="eastAsia" w:ascii="仿宋" w:hAnsi="仿宋" w:eastAsia="仿宋" w:cs="仿宋"/>
          <w:sz w:val="28"/>
          <w:szCs w:val="28"/>
        </w:rPr>
        <w:t>投标单位全称（加盖公章）：</w:t>
      </w:r>
    </w:p>
    <w:p>
      <w:pPr>
        <w:numPr>
          <w:ilvl w:val="0"/>
          <w:numId w:val="0"/>
        </w:numPr>
        <w:ind w:left="0" w:leftChars="0" w:firstLine="0" w:firstLineChars="0"/>
        <w:outlineLvl w:val="1"/>
        <w:rPr>
          <w:rFonts w:hint="eastAsia" w:asciiTheme="minorEastAsia" w:hAnsiTheme="minorEastAsia" w:eastAsiaTheme="minorEastAsia" w:cstheme="minorEastAsia"/>
          <w:b/>
          <w:color w:val="auto"/>
          <w:sz w:val="21"/>
          <w:szCs w:val="21"/>
          <w:highlight w:val="none"/>
          <w:lang w:eastAsia="zh-CN"/>
        </w:rPr>
      </w:pPr>
      <w:bookmarkStart w:id="19" w:name="_Toc8113"/>
      <w:bookmarkStart w:id="20" w:name="_Toc22449"/>
      <w:bookmarkStart w:id="21" w:name="_Toc27871"/>
    </w:p>
    <w:p>
      <w:pPr>
        <w:rPr>
          <w:rFonts w:hint="eastAsia" w:asciiTheme="minorEastAsia" w:hAnsiTheme="minorEastAsia" w:eastAsiaTheme="minorEastAsia" w:cstheme="minorEastAsia"/>
          <w:b/>
          <w:color w:val="auto"/>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center"/>
        <w:rPr>
          <w:rFonts w:hint="eastAsia" w:ascii="仿宋" w:hAnsi="仿宋" w:eastAsia="仿宋" w:cs="仿宋"/>
          <w:b/>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center"/>
        <w:rPr>
          <w:rFonts w:hint="eastAsia" w:ascii="仿宋" w:hAnsi="仿宋" w:eastAsia="仿宋" w:cs="仿宋"/>
          <w:b/>
          <w:color w:val="000000"/>
          <w:kern w:val="0"/>
          <w:sz w:val="44"/>
          <w:szCs w:val="44"/>
          <w:lang w:val="en-US" w:eastAsia="zh-CN"/>
        </w:rPr>
      </w:pPr>
      <w:r>
        <w:rPr>
          <w:rFonts w:hint="eastAsia" w:ascii="仿宋" w:hAnsi="仿宋" w:eastAsia="仿宋" w:cs="仿宋"/>
          <w:b/>
          <w:color w:val="000000"/>
          <w:kern w:val="0"/>
          <w:sz w:val="44"/>
          <w:szCs w:val="44"/>
          <w:lang w:val="en-US" w:eastAsia="zh-CN"/>
        </w:rPr>
        <w:t>（每份）组合套餐分项报价表</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center"/>
        <w:rPr>
          <w:rFonts w:hint="default" w:ascii="仿宋" w:hAnsi="仿宋" w:eastAsia="仿宋" w:cs="仿宋"/>
          <w:b/>
          <w:color w:val="000000"/>
          <w:kern w:val="0"/>
          <w:sz w:val="44"/>
          <w:szCs w:val="44"/>
          <w:lang w:val="en-US" w:eastAsia="zh-CN"/>
        </w:rP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519"/>
        <w:gridCol w:w="1176"/>
        <w:gridCol w:w="1291"/>
        <w:gridCol w:w="964"/>
        <w:gridCol w:w="1074"/>
        <w:gridCol w:w="1502"/>
        <w:gridCol w:w="1559"/>
        <w:gridCol w:w="141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10"/>
            <w:shd w:val="clear" w:color="auto" w:fill="auto"/>
            <w:vAlign w:val="center"/>
          </w:tcPr>
          <w:p>
            <w:pPr>
              <w:widowControl/>
              <w:numPr>
                <w:ilvl w:val="0"/>
                <w:numId w:val="0"/>
              </w:numPr>
              <w:ind w:left="0" w:leftChars="0" w:firstLine="0" w:firstLineChars="0"/>
              <w:jc w:val="left"/>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项目名称：深圳市龙岗区第七人民医院2025年在职工会会员、退休员工中秋节慰问品采购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75" w:type="pct"/>
            <w:shd w:val="clear" w:color="auto" w:fill="auto"/>
            <w:vAlign w:val="center"/>
          </w:tcPr>
          <w:p>
            <w:pPr>
              <w:keepNext w:val="0"/>
              <w:keepLines w:val="0"/>
              <w:widowControl/>
              <w:suppressLineNumbers w:val="0"/>
              <w:jc w:val="center"/>
              <w:textAlignment w:val="center"/>
              <w:rPr>
                <w:rFonts w:ascii="宋体" w:hAnsi="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序号</w:t>
            </w:r>
          </w:p>
        </w:tc>
        <w:tc>
          <w:tcPr>
            <w:tcW w:w="5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tc>
        <w:tc>
          <w:tcPr>
            <w:tcW w:w="454" w:type="pct"/>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规格</w:t>
            </w:r>
          </w:p>
        </w:tc>
        <w:tc>
          <w:tcPr>
            <w:tcW w:w="498" w:type="pct"/>
            <w:shd w:val="clear" w:color="auto" w:fill="auto"/>
            <w:vAlign w:val="center"/>
          </w:tcPr>
          <w:p>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4"/>
                <w:szCs w:val="24"/>
                <w:u w:val="none"/>
                <w:lang w:val="en-US" w:eastAsia="zh-CN" w:bidi="ar"/>
              </w:rPr>
              <w:t>品牌</w:t>
            </w:r>
          </w:p>
        </w:tc>
        <w:tc>
          <w:tcPr>
            <w:tcW w:w="372" w:type="pct"/>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数量</w:t>
            </w:r>
          </w:p>
        </w:tc>
        <w:tc>
          <w:tcPr>
            <w:tcW w:w="414" w:type="pct"/>
            <w:shd w:val="clear" w:color="auto" w:fill="auto"/>
            <w:vAlign w:val="center"/>
          </w:tcPr>
          <w:p>
            <w:pPr>
              <w:keepNext w:val="0"/>
              <w:keepLines w:val="0"/>
              <w:widowControl/>
              <w:suppressLineNumbers w:val="0"/>
              <w:jc w:val="center"/>
              <w:textAlignment w:val="center"/>
              <w:rPr>
                <w:rFonts w:hint="eastAsia" w:ascii="Calibri" w:hAnsi="Calibri" w:eastAsia="宋体" w:cs="黑体"/>
                <w:kern w:val="2"/>
                <w:sz w:val="21"/>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579"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u w:val="none"/>
                <w:lang w:val="en-US" w:eastAsia="zh-CN" w:bidi="ar"/>
              </w:rPr>
              <w:t>原价值</w:t>
            </w:r>
            <w:r>
              <w:rPr>
                <w:rFonts w:hint="eastAsia" w:ascii="宋体" w:hAnsi="宋体" w:eastAsia="宋体" w:cs="宋体"/>
                <w:i w:val="0"/>
                <w:iCs w:val="0"/>
                <w:color w:val="000000"/>
                <w:kern w:val="0"/>
                <w:sz w:val="24"/>
                <w:szCs w:val="24"/>
                <w:u w:val="none"/>
                <w:lang w:val="en-US" w:eastAsia="zh-CN" w:bidi="ar"/>
              </w:rPr>
              <w:t>（元）</w:t>
            </w:r>
          </w:p>
        </w:tc>
        <w:tc>
          <w:tcPr>
            <w:tcW w:w="601"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u w:val="none"/>
                <w:lang w:val="en-US" w:eastAsia="zh-CN" w:bidi="ar"/>
              </w:rPr>
              <w:t>投标单价</w:t>
            </w:r>
            <w:r>
              <w:rPr>
                <w:rFonts w:hint="eastAsia" w:ascii="宋体" w:hAnsi="宋体" w:eastAsia="宋体" w:cs="宋体"/>
                <w:i w:val="0"/>
                <w:iCs w:val="0"/>
                <w:color w:val="000000"/>
                <w:kern w:val="0"/>
                <w:sz w:val="24"/>
                <w:szCs w:val="24"/>
                <w:u w:val="none"/>
                <w:lang w:val="en-US" w:eastAsia="zh-CN" w:bidi="ar"/>
              </w:rPr>
              <w:t>（元）</w:t>
            </w:r>
          </w:p>
        </w:tc>
        <w:tc>
          <w:tcPr>
            <w:tcW w:w="544" w:type="pct"/>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单项总</w:t>
            </w:r>
            <w:r>
              <w:rPr>
                <w:rFonts w:hint="eastAsia" w:ascii="宋体" w:hAnsi="宋体" w:eastAsia="宋体" w:cs="宋体"/>
                <w:i w:val="0"/>
                <w:iCs w:val="0"/>
                <w:color w:val="000000"/>
                <w:kern w:val="0"/>
                <w:sz w:val="24"/>
                <w:szCs w:val="24"/>
                <w:u w:val="none"/>
                <w:lang w:val="en-US" w:eastAsia="zh-CN" w:bidi="ar"/>
              </w:rPr>
              <w:t>价（元）</w:t>
            </w:r>
          </w:p>
        </w:tc>
        <w:tc>
          <w:tcPr>
            <w:tcW w:w="771"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5" w:type="pct"/>
            <w:shd w:val="clear" w:color="auto" w:fill="auto"/>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1</w:t>
            </w:r>
          </w:p>
        </w:tc>
        <w:tc>
          <w:tcPr>
            <w:tcW w:w="5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压榨花生油</w:t>
            </w:r>
          </w:p>
        </w:tc>
        <w:tc>
          <w:tcPr>
            <w:tcW w:w="454"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p>
        </w:tc>
        <w:tc>
          <w:tcPr>
            <w:tcW w:w="498" w:type="pct"/>
            <w:shd w:val="clear" w:color="auto" w:fill="auto"/>
            <w:vAlign w:val="center"/>
          </w:tcPr>
          <w:p>
            <w:pPr>
              <w:widowControl/>
              <w:jc w:val="center"/>
              <w:rPr>
                <w:rFonts w:hint="default"/>
                <w:highlight w:val="none"/>
                <w:lang w:val="en-US" w:eastAsia="zh-CN"/>
              </w:rPr>
            </w:pPr>
          </w:p>
        </w:tc>
        <w:tc>
          <w:tcPr>
            <w:tcW w:w="372" w:type="pct"/>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414" w:type="pct"/>
            <w:shd w:val="clear" w:color="auto" w:fill="auto"/>
            <w:vAlign w:val="center"/>
          </w:tcPr>
          <w:p>
            <w:pPr>
              <w:widowControl/>
              <w:numPr>
                <w:ilvl w:val="0"/>
                <w:numId w:val="0"/>
              </w:numPr>
              <w:ind w:left="0" w:leftChars="0" w:firstLine="0" w:firstLineChars="0"/>
              <w:jc w:val="left"/>
              <w:rPr>
                <w:rFonts w:hint="eastAsia" w:ascii="Calibri" w:hAnsi="Calibri" w:eastAsia="宋体" w:cs="黑体"/>
                <w:kern w:val="2"/>
                <w:sz w:val="21"/>
                <w:szCs w:val="24"/>
                <w:highlight w:val="none"/>
                <w:lang w:val="en-US" w:eastAsia="zh-CN" w:bidi="ar-SA"/>
              </w:rPr>
            </w:pPr>
          </w:p>
        </w:tc>
        <w:tc>
          <w:tcPr>
            <w:tcW w:w="579" w:type="pct"/>
            <w:shd w:val="clear" w:color="auto" w:fill="auto"/>
            <w:vAlign w:val="center"/>
          </w:tcPr>
          <w:p>
            <w:pPr>
              <w:widowControl/>
              <w:numPr>
                <w:ilvl w:val="0"/>
                <w:numId w:val="0"/>
              </w:numPr>
              <w:ind w:left="0" w:leftChars="0" w:firstLine="0" w:firstLineChars="0"/>
              <w:jc w:val="left"/>
              <w:rPr>
                <w:rFonts w:hint="eastAsia" w:ascii="宋体" w:hAnsi="宋体" w:cs="宋体"/>
                <w:i w:val="0"/>
                <w:iCs w:val="0"/>
                <w:color w:val="000000"/>
                <w:kern w:val="0"/>
                <w:sz w:val="24"/>
                <w:szCs w:val="24"/>
                <w:highlight w:val="none"/>
                <w:u w:val="none"/>
                <w:lang w:val="en-US" w:eastAsia="zh-CN" w:bidi="ar"/>
              </w:rPr>
            </w:pPr>
          </w:p>
        </w:tc>
        <w:tc>
          <w:tcPr>
            <w:tcW w:w="601" w:type="pct"/>
            <w:shd w:val="clear" w:color="auto" w:fill="auto"/>
            <w:vAlign w:val="center"/>
          </w:tcPr>
          <w:p>
            <w:pPr>
              <w:widowControl/>
              <w:numPr>
                <w:ilvl w:val="0"/>
                <w:numId w:val="0"/>
              </w:numPr>
              <w:ind w:left="0" w:leftChars="0" w:firstLine="0" w:firstLineChars="0"/>
              <w:jc w:val="left"/>
              <w:rPr>
                <w:rFonts w:hint="eastAsia" w:ascii="宋体" w:hAnsi="宋体" w:cs="宋体"/>
                <w:i w:val="0"/>
                <w:iCs w:val="0"/>
                <w:color w:val="000000"/>
                <w:kern w:val="0"/>
                <w:sz w:val="24"/>
                <w:szCs w:val="24"/>
                <w:highlight w:val="none"/>
                <w:u w:val="none"/>
                <w:lang w:val="en-US" w:eastAsia="zh-CN" w:bidi="ar"/>
              </w:rPr>
            </w:pPr>
          </w:p>
        </w:tc>
        <w:tc>
          <w:tcPr>
            <w:tcW w:w="544" w:type="pct"/>
            <w:shd w:val="clear" w:color="auto" w:fill="auto"/>
            <w:vAlign w:val="center"/>
          </w:tcPr>
          <w:p>
            <w:pPr>
              <w:widowControl/>
              <w:numPr>
                <w:ilvl w:val="0"/>
                <w:numId w:val="0"/>
              </w:numPr>
              <w:ind w:left="0" w:leftChars="0" w:firstLine="0" w:firstLineChars="0"/>
              <w:jc w:val="left"/>
              <w:rPr>
                <w:rFonts w:hint="eastAsia" w:ascii="宋体" w:hAnsi="宋体" w:cs="宋体"/>
                <w:i w:val="0"/>
                <w:iCs w:val="0"/>
                <w:color w:val="000000"/>
                <w:kern w:val="0"/>
                <w:sz w:val="24"/>
                <w:szCs w:val="24"/>
                <w:highlight w:val="none"/>
                <w:u w:val="none"/>
                <w:lang w:val="en-US" w:eastAsia="zh-CN" w:bidi="ar"/>
              </w:rPr>
            </w:pPr>
          </w:p>
        </w:tc>
        <w:tc>
          <w:tcPr>
            <w:tcW w:w="771" w:type="pct"/>
            <w:vMerge w:val="restart"/>
            <w:shd w:val="clear" w:color="auto" w:fill="auto"/>
            <w:vAlign w:val="center"/>
          </w:tcPr>
          <w:p>
            <w:pPr>
              <w:widowControl/>
              <w:numPr>
                <w:ilvl w:val="0"/>
                <w:numId w:val="0"/>
              </w:numPr>
              <w:ind w:left="0" w:leftChars="0" w:firstLine="0" w:firstLineChars="0"/>
              <w:jc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5" w:type="pct"/>
            <w:shd w:val="clear" w:color="auto" w:fill="auto"/>
            <w:vAlign w:val="center"/>
          </w:tcPr>
          <w:p>
            <w:pPr>
              <w:widowControl/>
              <w:jc w:val="center"/>
              <w:rPr>
                <w:rFonts w:hint="default" w:ascii="宋体" w:hAnsi="宋体" w:eastAsia="宋体" w:cs="宋体"/>
                <w:color w:val="auto"/>
                <w:kern w:val="0"/>
                <w:sz w:val="28"/>
                <w:szCs w:val="28"/>
                <w:lang w:val="en-US" w:eastAsia="zh-CN" w:bidi="ar-SA"/>
              </w:rPr>
            </w:pPr>
            <w:r>
              <w:rPr>
                <w:rFonts w:hint="eastAsia" w:ascii="宋体" w:hAnsi="宋体" w:cs="宋体"/>
                <w:color w:val="auto"/>
                <w:kern w:val="0"/>
                <w:sz w:val="28"/>
                <w:szCs w:val="28"/>
              </w:rPr>
              <w:t>2</w:t>
            </w:r>
          </w:p>
        </w:tc>
        <w:tc>
          <w:tcPr>
            <w:tcW w:w="5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玉米油</w:t>
            </w:r>
          </w:p>
        </w:tc>
        <w:tc>
          <w:tcPr>
            <w:tcW w:w="454"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p>
        </w:tc>
        <w:tc>
          <w:tcPr>
            <w:tcW w:w="498" w:type="pct"/>
            <w:shd w:val="clear" w:color="auto" w:fill="auto"/>
            <w:vAlign w:val="center"/>
          </w:tcPr>
          <w:p>
            <w:pPr>
              <w:widowControl/>
              <w:jc w:val="center"/>
              <w:rPr>
                <w:rFonts w:hint="default" w:ascii="Calibri" w:hAnsi="Calibri" w:eastAsia="宋体" w:cs="黑体"/>
                <w:kern w:val="2"/>
                <w:sz w:val="21"/>
                <w:szCs w:val="24"/>
                <w:highlight w:val="none"/>
                <w:lang w:val="en-US" w:eastAsia="zh-CN" w:bidi="ar-SA"/>
              </w:rPr>
            </w:pPr>
          </w:p>
        </w:tc>
        <w:tc>
          <w:tcPr>
            <w:tcW w:w="372" w:type="pct"/>
            <w:shd w:val="clear" w:color="auto" w:fill="auto"/>
            <w:vAlign w:val="center"/>
          </w:tcPr>
          <w:p>
            <w:pPr>
              <w:widowControl/>
              <w:jc w:val="center"/>
              <w:rPr>
                <w:rFonts w:hint="default" w:ascii="宋体" w:hAnsi="宋体" w:eastAsia="宋体" w:cs="宋体"/>
                <w:color w:val="auto"/>
                <w:kern w:val="0"/>
                <w:sz w:val="28"/>
                <w:szCs w:val="28"/>
                <w:lang w:val="en-US" w:eastAsia="zh-CN" w:bidi="ar-SA"/>
              </w:rPr>
            </w:pPr>
          </w:p>
        </w:tc>
        <w:tc>
          <w:tcPr>
            <w:tcW w:w="414" w:type="pct"/>
            <w:shd w:val="clear" w:color="auto" w:fill="auto"/>
            <w:vAlign w:val="center"/>
          </w:tcPr>
          <w:p>
            <w:pPr>
              <w:numPr>
                <w:ilvl w:val="0"/>
                <w:numId w:val="0"/>
              </w:numPr>
              <w:ind w:left="0" w:leftChars="0" w:firstLine="0" w:firstLineChars="0"/>
              <w:rPr>
                <w:rFonts w:hint="eastAsia" w:ascii="Calibri" w:hAnsi="Calibri" w:eastAsia="宋体" w:cs="黑体"/>
                <w:kern w:val="2"/>
                <w:sz w:val="21"/>
                <w:szCs w:val="24"/>
                <w:highlight w:val="none"/>
                <w:lang w:val="en-US" w:eastAsia="zh-CN" w:bidi="ar-SA"/>
              </w:rPr>
            </w:pPr>
          </w:p>
        </w:tc>
        <w:tc>
          <w:tcPr>
            <w:tcW w:w="579" w:type="pct"/>
            <w:shd w:val="clear" w:color="auto" w:fill="auto"/>
            <w:vAlign w:val="center"/>
          </w:tcPr>
          <w:p>
            <w:pPr>
              <w:numPr>
                <w:ilvl w:val="0"/>
                <w:numId w:val="0"/>
              </w:numPr>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p>
        </w:tc>
        <w:tc>
          <w:tcPr>
            <w:tcW w:w="601" w:type="pct"/>
            <w:shd w:val="clear" w:color="auto" w:fill="auto"/>
            <w:vAlign w:val="center"/>
          </w:tcPr>
          <w:p>
            <w:pPr>
              <w:numPr>
                <w:ilvl w:val="0"/>
                <w:numId w:val="0"/>
              </w:numPr>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p>
        </w:tc>
        <w:tc>
          <w:tcPr>
            <w:tcW w:w="544" w:type="pct"/>
            <w:shd w:val="clear" w:color="auto" w:fill="auto"/>
            <w:vAlign w:val="center"/>
          </w:tcPr>
          <w:p>
            <w:pPr>
              <w:numPr>
                <w:ilvl w:val="0"/>
                <w:numId w:val="0"/>
              </w:numPr>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p>
        </w:tc>
        <w:tc>
          <w:tcPr>
            <w:tcW w:w="771" w:type="pct"/>
            <w:vMerge w:val="continue"/>
            <w:shd w:val="clear" w:color="auto" w:fill="auto"/>
            <w:vAlign w:val="center"/>
          </w:tcPr>
          <w:p>
            <w:pPr>
              <w:numPr>
                <w:ilvl w:val="0"/>
                <w:numId w:val="0"/>
              </w:numPr>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5" w:type="pct"/>
            <w:shd w:val="clear" w:color="auto" w:fill="auto"/>
            <w:vAlign w:val="center"/>
          </w:tcPr>
          <w:p>
            <w:pPr>
              <w:widowControl/>
              <w:jc w:val="center"/>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3</w:t>
            </w:r>
          </w:p>
        </w:tc>
        <w:tc>
          <w:tcPr>
            <w:tcW w:w="5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五常大米</w:t>
            </w:r>
          </w:p>
        </w:tc>
        <w:tc>
          <w:tcPr>
            <w:tcW w:w="454"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p>
        </w:tc>
        <w:tc>
          <w:tcPr>
            <w:tcW w:w="498" w:type="pct"/>
            <w:shd w:val="clear" w:color="auto" w:fill="auto"/>
            <w:vAlign w:val="center"/>
          </w:tcPr>
          <w:p>
            <w:pPr>
              <w:widowControl/>
              <w:jc w:val="center"/>
              <w:rPr>
                <w:rFonts w:hint="default" w:ascii="Calibri" w:hAnsi="Calibri" w:eastAsia="宋体" w:cs="黑体"/>
                <w:kern w:val="2"/>
                <w:sz w:val="21"/>
                <w:szCs w:val="24"/>
                <w:highlight w:val="none"/>
                <w:lang w:val="en-US" w:eastAsia="zh-CN" w:bidi="ar-SA"/>
              </w:rPr>
            </w:pPr>
          </w:p>
        </w:tc>
        <w:tc>
          <w:tcPr>
            <w:tcW w:w="372" w:type="pct"/>
            <w:shd w:val="clear" w:color="auto" w:fill="auto"/>
            <w:vAlign w:val="center"/>
          </w:tcPr>
          <w:p>
            <w:pPr>
              <w:widowControl/>
              <w:jc w:val="center"/>
              <w:rPr>
                <w:rFonts w:hint="default" w:ascii="宋体" w:hAnsi="宋体" w:eastAsia="宋体" w:cs="宋体"/>
                <w:color w:val="auto"/>
                <w:kern w:val="0"/>
                <w:sz w:val="28"/>
                <w:szCs w:val="28"/>
                <w:lang w:val="en-US" w:eastAsia="zh-CN" w:bidi="ar-SA"/>
              </w:rPr>
            </w:pPr>
          </w:p>
        </w:tc>
        <w:tc>
          <w:tcPr>
            <w:tcW w:w="414" w:type="pct"/>
            <w:shd w:val="clear" w:color="auto" w:fill="auto"/>
            <w:vAlign w:val="center"/>
          </w:tcPr>
          <w:p>
            <w:pPr>
              <w:widowControl/>
              <w:jc w:val="left"/>
              <w:rPr>
                <w:rFonts w:hint="eastAsia" w:ascii="Calibri" w:hAnsi="Calibri" w:eastAsia="宋体" w:cs="黑体"/>
                <w:kern w:val="2"/>
                <w:sz w:val="21"/>
                <w:szCs w:val="24"/>
                <w:highlight w:val="none"/>
                <w:lang w:val="en-US" w:eastAsia="zh-CN" w:bidi="ar-SA"/>
              </w:rPr>
            </w:pPr>
          </w:p>
        </w:tc>
        <w:tc>
          <w:tcPr>
            <w:tcW w:w="579"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601"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544"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771" w:type="pct"/>
            <w:vMerge w:val="continue"/>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5" w:type="pct"/>
            <w:shd w:val="clear" w:color="auto" w:fill="auto"/>
            <w:vAlign w:val="center"/>
          </w:tcPr>
          <w:p>
            <w:pPr>
              <w:widowControl/>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4</w:t>
            </w:r>
          </w:p>
        </w:tc>
        <w:tc>
          <w:tcPr>
            <w:tcW w:w="5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厨房湿巾</w:t>
            </w:r>
          </w:p>
        </w:tc>
        <w:tc>
          <w:tcPr>
            <w:tcW w:w="454"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p>
        </w:tc>
        <w:tc>
          <w:tcPr>
            <w:tcW w:w="498" w:type="pct"/>
            <w:shd w:val="clear" w:color="auto" w:fill="auto"/>
            <w:vAlign w:val="center"/>
          </w:tcPr>
          <w:p>
            <w:pPr>
              <w:widowControl/>
              <w:jc w:val="center"/>
              <w:rPr>
                <w:rFonts w:hint="default" w:ascii="Calibri" w:hAnsi="Calibri" w:eastAsia="宋体" w:cs="黑体"/>
                <w:kern w:val="2"/>
                <w:sz w:val="21"/>
                <w:szCs w:val="24"/>
                <w:highlight w:val="none"/>
                <w:lang w:val="en-US" w:eastAsia="zh-CN" w:bidi="ar-SA"/>
              </w:rPr>
            </w:pPr>
          </w:p>
        </w:tc>
        <w:tc>
          <w:tcPr>
            <w:tcW w:w="372" w:type="pct"/>
            <w:shd w:val="clear" w:color="auto" w:fill="auto"/>
            <w:vAlign w:val="center"/>
          </w:tcPr>
          <w:p>
            <w:pPr>
              <w:widowControl/>
              <w:jc w:val="center"/>
              <w:rPr>
                <w:rFonts w:hint="default" w:ascii="宋体" w:hAnsi="宋体" w:eastAsia="宋体" w:cs="宋体"/>
                <w:color w:val="auto"/>
                <w:kern w:val="0"/>
                <w:sz w:val="28"/>
                <w:szCs w:val="28"/>
                <w:lang w:val="en-US" w:eastAsia="zh-CN" w:bidi="ar-SA"/>
              </w:rPr>
            </w:pPr>
          </w:p>
        </w:tc>
        <w:tc>
          <w:tcPr>
            <w:tcW w:w="414" w:type="pct"/>
            <w:shd w:val="clear" w:color="auto" w:fill="auto"/>
            <w:vAlign w:val="center"/>
          </w:tcPr>
          <w:p>
            <w:pPr>
              <w:widowControl/>
              <w:jc w:val="left"/>
              <w:rPr>
                <w:rFonts w:hint="eastAsia" w:ascii="Calibri" w:hAnsi="Calibri" w:eastAsia="宋体" w:cs="黑体"/>
                <w:kern w:val="2"/>
                <w:sz w:val="21"/>
                <w:szCs w:val="24"/>
                <w:highlight w:val="none"/>
                <w:lang w:val="en-US" w:eastAsia="zh-CN" w:bidi="ar-SA"/>
              </w:rPr>
            </w:pPr>
          </w:p>
        </w:tc>
        <w:tc>
          <w:tcPr>
            <w:tcW w:w="579"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601"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544"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771" w:type="pct"/>
            <w:vMerge w:val="continue"/>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5" w:type="pct"/>
            <w:shd w:val="clear" w:color="auto" w:fill="auto"/>
            <w:vAlign w:val="center"/>
          </w:tcPr>
          <w:p>
            <w:pPr>
              <w:widowControl/>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5</w:t>
            </w:r>
          </w:p>
        </w:tc>
        <w:tc>
          <w:tcPr>
            <w:tcW w:w="5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抽纸</w:t>
            </w:r>
          </w:p>
        </w:tc>
        <w:tc>
          <w:tcPr>
            <w:tcW w:w="454" w:type="pct"/>
            <w:shd w:val="clear" w:color="auto" w:fill="auto"/>
            <w:vAlign w:val="center"/>
          </w:tcPr>
          <w:p>
            <w:pPr>
              <w:pStyle w:val="19"/>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8"/>
                <w:szCs w:val="28"/>
                <w:u w:val="none"/>
                <w:lang w:val="en-US" w:eastAsia="zh-CN" w:bidi="ar"/>
              </w:rPr>
            </w:pPr>
          </w:p>
        </w:tc>
        <w:tc>
          <w:tcPr>
            <w:tcW w:w="498" w:type="pct"/>
            <w:shd w:val="clear" w:color="auto" w:fill="auto"/>
            <w:vAlign w:val="center"/>
          </w:tcPr>
          <w:p>
            <w:pPr>
              <w:widowControl/>
              <w:jc w:val="center"/>
              <w:rPr>
                <w:rFonts w:hint="default" w:ascii="Calibri" w:hAnsi="Calibri" w:eastAsia="宋体" w:cs="黑体"/>
                <w:kern w:val="2"/>
                <w:sz w:val="21"/>
                <w:szCs w:val="24"/>
                <w:highlight w:val="none"/>
                <w:lang w:val="en-US" w:eastAsia="zh-CN" w:bidi="ar-SA"/>
              </w:rPr>
            </w:pPr>
          </w:p>
        </w:tc>
        <w:tc>
          <w:tcPr>
            <w:tcW w:w="372" w:type="pct"/>
            <w:shd w:val="clear" w:color="auto" w:fill="auto"/>
            <w:vAlign w:val="center"/>
          </w:tcPr>
          <w:p>
            <w:pPr>
              <w:widowControl/>
              <w:jc w:val="center"/>
              <w:rPr>
                <w:rFonts w:hint="default" w:ascii="宋体" w:hAnsi="宋体" w:eastAsia="宋体" w:cs="宋体"/>
                <w:color w:val="auto"/>
                <w:kern w:val="0"/>
                <w:sz w:val="28"/>
                <w:szCs w:val="28"/>
                <w:lang w:val="en-US" w:eastAsia="zh-CN" w:bidi="ar-SA"/>
              </w:rPr>
            </w:pPr>
          </w:p>
        </w:tc>
        <w:tc>
          <w:tcPr>
            <w:tcW w:w="414" w:type="pct"/>
            <w:shd w:val="clear" w:color="auto" w:fill="auto"/>
            <w:vAlign w:val="center"/>
          </w:tcPr>
          <w:p>
            <w:pPr>
              <w:widowControl/>
              <w:jc w:val="left"/>
              <w:rPr>
                <w:rFonts w:hint="eastAsia" w:ascii="Calibri" w:hAnsi="Calibri" w:eastAsia="宋体" w:cs="黑体"/>
                <w:kern w:val="2"/>
                <w:sz w:val="21"/>
                <w:szCs w:val="24"/>
                <w:highlight w:val="none"/>
                <w:lang w:val="en-US" w:eastAsia="zh-CN" w:bidi="ar-SA"/>
              </w:rPr>
            </w:pPr>
          </w:p>
        </w:tc>
        <w:tc>
          <w:tcPr>
            <w:tcW w:w="579"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601"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544"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771" w:type="pct"/>
            <w:vMerge w:val="continue"/>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r>
    </w:tbl>
    <w:p>
      <w:pPr>
        <w:rPr>
          <w:rFonts w:hint="eastAsia"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法定代表人或其授权代表人（签字）：</w:t>
      </w:r>
    </w:p>
    <w:p>
      <w:pPr>
        <w:rPr>
          <w:rFonts w:hint="eastAsia" w:ascii="仿宋" w:hAnsi="仿宋" w:eastAsia="仿宋" w:cs="仿宋"/>
          <w:sz w:val="28"/>
          <w:szCs w:val="28"/>
        </w:rPr>
      </w:pPr>
      <w:r>
        <w:rPr>
          <w:rFonts w:hint="eastAsia" w:ascii="仿宋" w:hAnsi="仿宋" w:eastAsia="仿宋" w:cs="仿宋"/>
          <w:sz w:val="28"/>
          <w:szCs w:val="28"/>
        </w:rPr>
        <w:t>投标单位全称（加盖公章）：</w:t>
      </w:r>
    </w:p>
    <w:p>
      <w:pPr>
        <w:rPr>
          <w:rFonts w:hint="eastAsia"/>
          <w:lang w:val="en-US" w:eastAsia="zh-CN"/>
        </w:rPr>
      </w:pPr>
    </w:p>
    <w:p>
      <w:pPr>
        <w:rPr>
          <w:rFonts w:hint="eastAsia"/>
          <w:lang w:val="en-US" w:eastAsia="zh-CN"/>
        </w:rPr>
      </w:pPr>
    </w:p>
    <w:p>
      <w:pPr>
        <w:widowControl/>
        <w:jc w:val="center"/>
        <w:textAlignment w:val="center"/>
        <w:rPr>
          <w:rFonts w:hint="eastAsia" w:ascii="仿宋" w:hAnsi="仿宋" w:eastAsia="仿宋" w:cs="仿宋"/>
          <w:b/>
          <w:color w:val="000000"/>
          <w:kern w:val="0"/>
          <w:sz w:val="44"/>
          <w:szCs w:val="44"/>
          <w:lang w:val="en-US" w:eastAsia="zh-CN"/>
        </w:rPr>
      </w:pPr>
      <w:r>
        <w:rPr>
          <w:rFonts w:hint="eastAsia" w:ascii="仿宋" w:hAnsi="仿宋" w:eastAsia="仿宋" w:cs="仿宋"/>
          <w:b/>
          <w:color w:val="000000"/>
          <w:kern w:val="0"/>
          <w:sz w:val="44"/>
          <w:szCs w:val="44"/>
          <w:lang w:val="en-US" w:eastAsia="zh-CN"/>
        </w:rPr>
        <w:t>实质性条款响应情况表</w:t>
      </w:r>
      <w:bookmarkEnd w:id="19"/>
      <w:bookmarkEnd w:id="20"/>
      <w:bookmarkEnd w:id="21"/>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206"/>
        <w:gridCol w:w="2507"/>
        <w:gridCol w:w="290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62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实质性条款具体内容</w:t>
            </w:r>
          </w:p>
        </w:tc>
        <w:tc>
          <w:tcPr>
            <w:tcW w:w="96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投标响应</w:t>
            </w:r>
          </w:p>
        </w:tc>
        <w:tc>
          <w:tcPr>
            <w:tcW w:w="112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偏离情况</w:t>
            </w:r>
          </w:p>
        </w:tc>
        <w:tc>
          <w:tcPr>
            <w:tcW w:w="86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21" w:type="pct"/>
            <w:vAlign w:val="center"/>
          </w:tcPr>
          <w:p>
            <w:pPr>
              <w:keepNext w:val="0"/>
              <w:keepLines w:val="0"/>
              <w:suppressLineNumbers w:val="0"/>
              <w:spacing w:before="0" w:beforeAutospacing="0" w:after="0" w:afterAutospacing="0"/>
              <w:ind w:left="0" w:right="0"/>
              <w:jc w:val="left"/>
              <w:rPr>
                <w:rFonts w:hint="default" w:hAnsi="宋体"/>
                <w:color w:val="auto"/>
                <w:kern w:val="0"/>
                <w:sz w:val="24"/>
                <w:szCs w:val="24"/>
                <w:highlight w:val="none"/>
              </w:rPr>
            </w:pPr>
            <w:r>
              <w:rPr>
                <w:rFonts w:hint="default" w:hAnsi="宋体"/>
                <w:color w:val="auto"/>
                <w:kern w:val="0"/>
                <w:sz w:val="24"/>
                <w:szCs w:val="24"/>
                <w:highlight w:val="none"/>
              </w:rPr>
              <w:t>★产品名称</w:t>
            </w:r>
            <w:r>
              <w:rPr>
                <w:rFonts w:hint="default" w:hAnsi="宋体"/>
                <w:color w:val="auto"/>
                <w:kern w:val="0"/>
                <w:sz w:val="24"/>
                <w:szCs w:val="24"/>
                <w:highlight w:val="none"/>
              </w:rPr>
              <w:tab/>
            </w:r>
            <w:r>
              <w:rPr>
                <w:rFonts w:hint="default" w:hAnsi="宋体"/>
                <w:color w:val="auto"/>
                <w:kern w:val="0"/>
                <w:sz w:val="24"/>
                <w:szCs w:val="24"/>
                <w:highlight w:val="none"/>
              </w:rPr>
              <w:t>★规格</w:t>
            </w:r>
            <w:r>
              <w:rPr>
                <w:rFonts w:hint="default" w:hAnsi="宋体"/>
                <w:color w:val="auto"/>
                <w:kern w:val="0"/>
                <w:sz w:val="24"/>
                <w:szCs w:val="24"/>
                <w:highlight w:val="none"/>
              </w:rPr>
              <w:tab/>
            </w:r>
            <w:r>
              <w:rPr>
                <w:rFonts w:hint="default" w:hAnsi="宋体"/>
                <w:color w:val="auto"/>
                <w:kern w:val="0"/>
                <w:sz w:val="24"/>
                <w:szCs w:val="24"/>
                <w:highlight w:val="none"/>
              </w:rPr>
              <w:t>★数量</w:t>
            </w:r>
          </w:p>
        </w:tc>
        <w:tc>
          <w:tcPr>
            <w:tcW w:w="966" w:type="pct"/>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kern w:val="0"/>
                <w:sz w:val="24"/>
                <w:szCs w:val="24"/>
                <w:highlight w:val="none"/>
              </w:rPr>
            </w:pPr>
          </w:p>
        </w:tc>
        <w:tc>
          <w:tcPr>
            <w:tcW w:w="1120" w:type="pct"/>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kern w:val="0"/>
                <w:sz w:val="24"/>
                <w:szCs w:val="24"/>
                <w:highlight w:val="none"/>
              </w:rPr>
            </w:pPr>
          </w:p>
        </w:tc>
        <w:tc>
          <w:tcPr>
            <w:tcW w:w="862" w:type="pct"/>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kern w:val="0"/>
                <w:sz w:val="24"/>
                <w:szCs w:val="24"/>
                <w:highlight w:val="none"/>
              </w:rPr>
            </w:pPr>
          </w:p>
        </w:tc>
      </w:tr>
    </w:tbl>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注：1.上表所列各项均为不可负偏离条款。</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2.“投标响应”一栏应当详细填写投标人自身响应情况。</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4.评审委员会有权对投标响应情况作出判断（作出评审结论）。</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5.实质性响应条款“投标响应情况”与遴选响应文件其他内容冲突的，以实质性响应条款“投标响应情况”为准。</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6.要求提供证明资料，在“说明”一栏中列明证明资料的位置，以便评审；未要求提供证明材料的，投标人可以不提供。</w:t>
      </w:r>
    </w:p>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p>
    <w:p>
      <w:pPr>
        <w:pStyle w:val="4"/>
        <w:numPr>
          <w:ilvl w:val="0"/>
          <w:numId w:val="0"/>
        </w:numPr>
        <w:spacing w:line="240" w:lineRule="auto"/>
        <w:ind w:left="420" w:hanging="420"/>
        <w:jc w:val="center"/>
        <w:rPr>
          <w:rFonts w:hint="eastAsia" w:ascii="宋体" w:hAnsi="宋体" w:eastAsia="宋体" w:cs="Times New Roman"/>
          <w:sz w:val="30"/>
          <w:szCs w:val="30"/>
        </w:rPr>
      </w:pPr>
      <w:r>
        <w:rPr>
          <w:rFonts w:hint="eastAsia" w:ascii="仿宋" w:hAnsi="仿宋" w:eastAsia="仿宋" w:cs="仿宋"/>
          <w:b/>
          <w:color w:val="000000"/>
          <w:kern w:val="0"/>
          <w:sz w:val="44"/>
          <w:szCs w:val="44"/>
          <w:lang w:val="en-US" w:eastAsia="zh-CN" w:bidi="ar-SA"/>
        </w:rPr>
        <w:t>技术要求响应表</w:t>
      </w:r>
    </w:p>
    <w:p>
      <w:pPr>
        <w:spacing w:line="400" w:lineRule="exact"/>
        <w:rPr>
          <w:rFonts w:hint="eastAsia" w:asciiTheme="minorEastAsia" w:hAnsiTheme="minorEastAsia" w:eastAsiaTheme="minorEastAsia" w:cstheme="minorEastAsia"/>
          <w:b/>
          <w:color w:val="auto"/>
          <w:sz w:val="28"/>
          <w:szCs w:val="28"/>
          <w:highlight w:val="none"/>
          <w:lang w:eastAsia="zh-CN"/>
        </w:rPr>
      </w:pPr>
      <w:r>
        <w:rPr>
          <w:rFonts w:hint="eastAsia" w:ascii="宋体" w:hAnsi="宋体"/>
          <w:sz w:val="28"/>
          <w:szCs w:val="36"/>
        </w:rPr>
        <w:t>说明：投标人必须对应招标文件</w:t>
      </w:r>
      <w:r>
        <w:rPr>
          <w:rFonts w:hint="eastAsia" w:ascii="宋体" w:hAnsi="宋体" w:eastAsia="宋体" w:cs="Times New Roman"/>
          <w:color w:val="auto"/>
          <w:sz w:val="28"/>
          <w:szCs w:val="28"/>
          <w:lang w:val="en-US" w:eastAsia="zh-CN"/>
        </w:rPr>
        <w:t>要求</w:t>
      </w:r>
      <w:r>
        <w:rPr>
          <w:rFonts w:hint="eastAsia" w:ascii="宋体" w:hAnsi="宋体"/>
          <w:sz w:val="28"/>
          <w:szCs w:val="36"/>
        </w:rPr>
        <w:t>逐条应答并按要求填写下表。</w:t>
      </w:r>
    </w:p>
    <w:tbl>
      <w:tblPr>
        <w:tblStyle w:val="21"/>
        <w:tblpPr w:leftFromText="180" w:rightFromText="180" w:vertAnchor="text" w:horzAnchor="page" w:tblpX="529" w:tblpY="820"/>
        <w:tblOverlap w:val="never"/>
        <w:tblW w:w="57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65"/>
        <w:gridCol w:w="898"/>
        <w:gridCol w:w="928"/>
        <w:gridCol w:w="577"/>
        <w:gridCol w:w="5937"/>
        <w:gridCol w:w="2316"/>
        <w:gridCol w:w="162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5" w:type="pct"/>
            <w:shd w:val="clear" w:color="000000" w:fill="C0C0C0"/>
            <w:vAlign w:val="center"/>
          </w:tcPr>
          <w:p>
            <w:pPr>
              <w:pStyle w:val="37"/>
              <w:jc w:val="center"/>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序号</w:t>
            </w:r>
          </w:p>
        </w:tc>
        <w:tc>
          <w:tcPr>
            <w:tcW w:w="291" w:type="pct"/>
            <w:shd w:val="clear" w:color="000000" w:fill="C0C0C0"/>
            <w:vAlign w:val="center"/>
          </w:tcPr>
          <w:p>
            <w:pPr>
              <w:widowControl/>
              <w:jc w:val="center"/>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★产品名称</w:t>
            </w:r>
          </w:p>
        </w:tc>
        <w:tc>
          <w:tcPr>
            <w:tcW w:w="302" w:type="pct"/>
            <w:shd w:val="clear" w:color="000000" w:fill="C0C0C0"/>
            <w:vAlign w:val="center"/>
          </w:tcPr>
          <w:p>
            <w:pPr>
              <w:widowControl/>
              <w:jc w:val="center"/>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★规格</w:t>
            </w:r>
          </w:p>
        </w:tc>
        <w:tc>
          <w:tcPr>
            <w:tcW w:w="312" w:type="pct"/>
            <w:shd w:val="clear" w:color="000000" w:fill="C0C0C0"/>
            <w:vAlign w:val="center"/>
          </w:tcPr>
          <w:p>
            <w:pPr>
              <w:widowControl/>
              <w:jc w:val="center"/>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★数量</w:t>
            </w:r>
          </w:p>
        </w:tc>
        <w:tc>
          <w:tcPr>
            <w:tcW w:w="194" w:type="pct"/>
            <w:shd w:val="clear" w:color="000000" w:fill="C0C0C0"/>
            <w:vAlign w:val="center"/>
          </w:tcPr>
          <w:p>
            <w:pPr>
              <w:widowControl/>
              <w:jc w:val="center"/>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单位</w:t>
            </w:r>
          </w:p>
        </w:tc>
        <w:tc>
          <w:tcPr>
            <w:tcW w:w="1999" w:type="pct"/>
            <w:shd w:val="clear" w:color="000000" w:fill="C0C0C0"/>
            <w:vAlign w:val="center"/>
          </w:tcPr>
          <w:p>
            <w:pPr>
              <w:widowControl/>
              <w:jc w:val="center"/>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招标条款要求</w:t>
            </w:r>
          </w:p>
        </w:tc>
        <w:tc>
          <w:tcPr>
            <w:tcW w:w="779" w:type="pct"/>
            <w:shd w:val="clear" w:color="000000" w:fill="C0C0C0"/>
            <w:vAlign w:val="center"/>
          </w:tcPr>
          <w:p>
            <w:pPr>
              <w:widowControl/>
              <w:jc w:val="center"/>
              <w:rPr>
                <w:rFonts w:hint="eastAsia" w:ascii="宋体" w:hAnsi="宋体" w:eastAsia="宋体" w:cs="宋体"/>
                <w:b/>
                <w:bCs/>
                <w:color w:val="auto"/>
                <w:kern w:val="0"/>
                <w:sz w:val="28"/>
                <w:szCs w:val="28"/>
                <w:lang w:val="en-US" w:eastAsia="zh-CN"/>
              </w:rPr>
            </w:pPr>
            <w:r>
              <w:rPr>
                <w:rFonts w:hint="eastAsia" w:ascii="宋体" w:hAnsi="宋体" w:eastAsia="宋体"/>
                <w:szCs w:val="21"/>
              </w:rPr>
              <w:t>投标条款</w:t>
            </w:r>
            <w:r>
              <w:rPr>
                <w:rFonts w:hint="eastAsia" w:ascii="宋体" w:hAnsi="宋体" w:eastAsia="宋体"/>
                <w:szCs w:val="21"/>
                <w:lang w:val="en-US" w:eastAsia="zh-CN"/>
              </w:rPr>
              <w:t>响应</w:t>
            </w:r>
          </w:p>
        </w:tc>
        <w:tc>
          <w:tcPr>
            <w:tcW w:w="545" w:type="pct"/>
            <w:shd w:val="clear" w:color="000000" w:fill="C0C0C0"/>
            <w:vAlign w:val="center"/>
          </w:tcPr>
          <w:p>
            <w:pPr>
              <w:widowControl/>
              <w:jc w:val="center"/>
              <w:rPr>
                <w:rFonts w:hint="eastAsia" w:ascii="宋体" w:hAnsi="宋体" w:cs="宋体"/>
                <w:b/>
                <w:bCs/>
                <w:color w:val="auto"/>
                <w:kern w:val="0"/>
                <w:sz w:val="28"/>
                <w:szCs w:val="28"/>
                <w:lang w:val="en-US" w:eastAsia="zh-CN"/>
              </w:rPr>
            </w:pPr>
            <w:r>
              <w:rPr>
                <w:rFonts w:hint="eastAsia" w:ascii="宋体" w:hAnsi="宋体" w:eastAsia="宋体"/>
                <w:szCs w:val="21"/>
              </w:rPr>
              <w:t>偏离情况（填写“正偏离、</w:t>
            </w:r>
            <w:r>
              <w:rPr>
                <w:rFonts w:hint="eastAsia" w:ascii="宋体" w:hAnsi="宋体"/>
                <w:szCs w:val="21"/>
                <w:lang w:val="en-US" w:eastAsia="zh-CN"/>
              </w:rPr>
              <w:t>无偏离</w:t>
            </w:r>
            <w:r>
              <w:rPr>
                <w:rFonts w:hint="eastAsia" w:ascii="宋体" w:hAnsi="宋体" w:eastAsia="宋体"/>
                <w:szCs w:val="21"/>
              </w:rPr>
              <w:t>或负偏离”）</w:t>
            </w:r>
          </w:p>
        </w:tc>
        <w:tc>
          <w:tcPr>
            <w:tcW w:w="339" w:type="pct"/>
            <w:shd w:val="clear" w:color="000000" w:fill="C0C0C0"/>
            <w:vAlign w:val="center"/>
          </w:tcPr>
          <w:p>
            <w:pPr>
              <w:widowControl/>
              <w:jc w:val="center"/>
              <w:rPr>
                <w:rFonts w:hint="eastAsia" w:ascii="宋体" w:hAnsi="宋体" w:eastAsia="宋体"/>
                <w:szCs w:val="21"/>
              </w:rPr>
            </w:pPr>
            <w:r>
              <w:rPr>
                <w:rFonts w:hint="eastAsia" w:ascii="宋体" w:hAnsi="宋体" w:eastAsia="宋体"/>
                <w:szCs w:val="21"/>
              </w:rPr>
              <w:t>说明或佐证材料页码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35" w:type="pct"/>
            <w:shd w:val="clear" w:color="auto" w:fill="auto"/>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2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压榨花生油</w:t>
            </w:r>
          </w:p>
        </w:tc>
        <w:tc>
          <w:tcPr>
            <w:tcW w:w="302" w:type="pct"/>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8"/>
                <w:szCs w:val="28"/>
                <w:lang w:val="en-US" w:eastAsia="zh-CN" w:bidi="ar-SA"/>
              </w:rPr>
            </w:pPr>
          </w:p>
        </w:tc>
        <w:tc>
          <w:tcPr>
            <w:tcW w:w="312" w:type="pct"/>
            <w:shd w:val="clear" w:color="auto" w:fill="auto"/>
            <w:vAlign w:val="center"/>
          </w:tcPr>
          <w:p>
            <w:pPr>
              <w:widowControl/>
              <w:jc w:val="center"/>
              <w:rPr>
                <w:rFonts w:hint="eastAsia" w:ascii="Calibri" w:hAnsi="Calibri" w:eastAsia="宋体" w:cs="黑体"/>
                <w:kern w:val="2"/>
                <w:sz w:val="21"/>
                <w:szCs w:val="24"/>
                <w:highlight w:val="none"/>
                <w:lang w:val="en-US" w:eastAsia="zh-CN" w:bidi="ar-SA"/>
              </w:rPr>
            </w:pPr>
          </w:p>
        </w:tc>
        <w:tc>
          <w:tcPr>
            <w:tcW w:w="194" w:type="pct"/>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5937" w:type="dxa"/>
            <w:shd w:val="clear" w:color="auto" w:fill="auto"/>
            <w:vAlign w:val="center"/>
          </w:tcPr>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工艺：一级压榨；</w:t>
            </w:r>
          </w:p>
          <w:p>
            <w:pPr>
              <w:widowControl/>
              <w:numPr>
                <w:ilvl w:val="0"/>
                <w:numId w:val="0"/>
              </w:numPr>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质量与技术标准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不低于国家标准：GB/T 1534、GB 2716、GB 2718、GB 28050</w:t>
            </w:r>
            <w:r>
              <w:rPr>
                <w:rFonts w:hint="eastAsia" w:ascii="宋体" w:hAnsi="宋体" w:cs="宋体"/>
                <w:i w:val="0"/>
                <w:iCs w:val="0"/>
                <w:color w:val="auto"/>
                <w:kern w:val="0"/>
                <w:sz w:val="24"/>
                <w:szCs w:val="24"/>
                <w:highlight w:val="none"/>
                <w:u w:val="none"/>
                <w:lang w:val="en-US" w:eastAsia="zh-CN" w:bidi="ar"/>
              </w:rPr>
              <w:t>；</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u w:val="none"/>
                <w:lang w:val="en-US" w:eastAsia="zh-CN" w:bidi="ar"/>
              </w:rPr>
              <w:t>3.质量指标要求：</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黄曲霉毒素B1：≤</w:t>
            </w:r>
            <w:r>
              <w:rPr>
                <w:rFonts w:hint="eastAsia" w:ascii="宋体" w:hAnsi="宋体" w:cs="宋体"/>
                <w:i w:val="0"/>
                <w:iCs w:val="0"/>
                <w:color w:val="auto"/>
                <w:kern w:val="0"/>
                <w:sz w:val="24"/>
                <w:szCs w:val="24"/>
                <w:highlight w:val="none"/>
                <w:u w:val="none"/>
                <w:lang w:val="en-US" w:eastAsia="zh-CN" w:bidi="ar"/>
              </w:rPr>
              <w:t>20</w:t>
            </w:r>
            <w:r>
              <w:rPr>
                <w:rFonts w:hint="default" w:ascii="宋体" w:hAnsi="宋体" w:eastAsia="宋体" w:cs="宋体"/>
                <w:i w:val="0"/>
                <w:iCs w:val="0"/>
                <w:color w:val="auto"/>
                <w:kern w:val="0"/>
                <w:sz w:val="24"/>
                <w:szCs w:val="24"/>
                <w:highlight w:val="none"/>
                <w:u w:val="none"/>
                <w:lang w:val="en-US" w:eastAsia="zh-CN" w:bidi="ar"/>
              </w:rPr>
              <w:t>μg/kg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酸价（KOH）：≤1.</w:t>
            </w: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mg/g</w:t>
            </w:r>
            <w:r>
              <w:rPr>
                <w:rFonts w:hint="eastAsia" w:ascii="宋体" w:hAnsi="宋体" w:cs="宋体"/>
                <w:i w:val="0"/>
                <w:iCs w:val="0"/>
                <w:color w:val="auto"/>
                <w:kern w:val="0"/>
                <w:sz w:val="24"/>
                <w:szCs w:val="24"/>
                <w:highlight w:val="none"/>
                <w:u w:val="none"/>
                <w:lang w:val="en-US" w:eastAsia="zh-CN" w:bidi="ar"/>
              </w:rPr>
              <w:t>；</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过氧化值：≤6.0mmol/kg</w:t>
            </w:r>
            <w:r>
              <w:rPr>
                <w:rFonts w:hint="eastAsia" w:ascii="宋体" w:hAnsi="宋体" w:eastAsia="宋体" w:cs="宋体"/>
                <w:i w:val="0"/>
                <w:iCs w:val="0"/>
                <w:color w:val="auto"/>
                <w:kern w:val="0"/>
                <w:sz w:val="24"/>
                <w:szCs w:val="24"/>
                <w:highlight w:val="none"/>
                <w:u w:val="none"/>
                <w:lang w:val="en-US" w:eastAsia="zh-CN" w:bidi="ar"/>
              </w:rPr>
              <w:t>；</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溶剂残留量：不得检出（检出限≤</w:t>
            </w:r>
            <w:r>
              <w:rPr>
                <w:rFonts w:hint="eastAsia" w:ascii="宋体" w:hAnsi="宋体" w:eastAsia="宋体" w:cs="宋体"/>
                <w:i w:val="0"/>
                <w:iCs w:val="0"/>
                <w:color w:val="auto"/>
                <w:kern w:val="0"/>
                <w:sz w:val="24"/>
                <w:szCs w:val="24"/>
                <w:highlight w:val="none"/>
                <w:u w:val="none"/>
                <w:lang w:val="en-US" w:eastAsia="zh-CN" w:bidi="ar"/>
              </w:rPr>
              <w:t>10</w:t>
            </w:r>
            <w:r>
              <w:rPr>
                <w:rFonts w:hint="default" w:ascii="宋体" w:hAnsi="宋体" w:eastAsia="宋体" w:cs="宋体"/>
                <w:i w:val="0"/>
                <w:iCs w:val="0"/>
                <w:color w:val="auto"/>
                <w:kern w:val="0"/>
                <w:sz w:val="24"/>
                <w:szCs w:val="24"/>
                <w:highlight w:val="none"/>
                <w:u w:val="none"/>
                <w:lang w:val="en-US" w:eastAsia="zh-CN" w:bidi="ar"/>
              </w:rPr>
              <w:t>mg/kg）</w:t>
            </w:r>
            <w:r>
              <w:rPr>
                <w:rFonts w:hint="eastAsia" w:ascii="宋体" w:hAnsi="宋体" w:eastAsia="宋体" w:cs="宋体"/>
                <w:i w:val="0"/>
                <w:iCs w:val="0"/>
                <w:color w:val="auto"/>
                <w:kern w:val="0"/>
                <w:sz w:val="24"/>
                <w:szCs w:val="24"/>
                <w:highlight w:val="none"/>
                <w:u w:val="none"/>
                <w:lang w:val="en-US" w:eastAsia="zh-CN" w:bidi="ar"/>
              </w:rPr>
              <w:t>；</w:t>
            </w:r>
          </w:p>
          <w:p>
            <w:pPr>
              <w:widowControl/>
              <w:numPr>
                <w:ilvl w:val="0"/>
                <w:numId w:val="0"/>
              </w:numPr>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苯并[a]芘：≤</w:t>
            </w:r>
            <w:r>
              <w:rPr>
                <w:rFonts w:hint="eastAsia" w:ascii="宋体" w:hAnsi="宋体" w:eastAsia="宋体" w:cs="宋体"/>
                <w:i w:val="0"/>
                <w:iCs w:val="0"/>
                <w:color w:val="auto"/>
                <w:kern w:val="0"/>
                <w:sz w:val="24"/>
                <w:szCs w:val="24"/>
                <w:highlight w:val="none"/>
                <w:u w:val="none"/>
                <w:lang w:val="en-US" w:eastAsia="zh-CN" w:bidi="ar"/>
              </w:rPr>
              <w:t>10</w:t>
            </w:r>
            <w:r>
              <w:rPr>
                <w:rFonts w:hint="default" w:ascii="宋体" w:hAnsi="宋体" w:eastAsia="宋体" w:cs="宋体"/>
                <w:i w:val="0"/>
                <w:iCs w:val="0"/>
                <w:color w:val="auto"/>
                <w:kern w:val="0"/>
                <w:sz w:val="24"/>
                <w:szCs w:val="24"/>
                <w:highlight w:val="none"/>
                <w:u w:val="none"/>
                <w:lang w:val="en-US" w:eastAsia="zh-CN" w:bidi="ar"/>
              </w:rPr>
              <w:t>μg/kg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十七烷一烯酸（C17:1）：</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0.1%；</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铅（以Pb计）：</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0.08mg/kg；</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总砷（以As计）：</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0.1mg/kg；</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以上</w:t>
            </w:r>
            <w:r>
              <w:rPr>
                <w:rFonts w:hint="eastAsia" w:ascii="宋体" w:hAnsi="宋体" w:cs="宋体"/>
                <w:b/>
                <w:bCs/>
                <w:i w:val="0"/>
                <w:iCs w:val="0"/>
                <w:color w:val="auto"/>
                <w:kern w:val="0"/>
                <w:sz w:val="24"/>
                <w:szCs w:val="24"/>
                <w:highlight w:val="none"/>
                <w:u w:val="none"/>
                <w:lang w:val="en-US" w:eastAsia="zh-CN" w:bidi="ar"/>
              </w:rPr>
              <w:t>1-3</w:t>
            </w:r>
            <w:r>
              <w:rPr>
                <w:rFonts w:hint="default" w:ascii="宋体" w:hAnsi="宋体" w:eastAsia="宋体" w:cs="宋体"/>
                <w:b/>
                <w:bCs/>
                <w:i w:val="0"/>
                <w:iCs w:val="0"/>
                <w:color w:val="auto"/>
                <w:kern w:val="0"/>
                <w:sz w:val="24"/>
                <w:szCs w:val="24"/>
                <w:highlight w:val="none"/>
                <w:u w:val="none"/>
                <w:lang w:val="en-US" w:eastAsia="zh-CN" w:bidi="ar"/>
              </w:rPr>
              <w:t>指标需提供有资质的第三方检验机构（CNAS/CMA认证）出具的近一年内的型式检验报告作为证明，并在中标后</w:t>
            </w:r>
            <w:r>
              <w:rPr>
                <w:rFonts w:hint="eastAsia" w:ascii="宋体" w:hAnsi="宋体" w:eastAsia="宋体" w:cs="宋体"/>
                <w:b/>
                <w:bCs/>
                <w:i w:val="0"/>
                <w:iCs w:val="0"/>
                <w:color w:val="auto"/>
                <w:kern w:val="0"/>
                <w:sz w:val="24"/>
                <w:szCs w:val="24"/>
                <w:highlight w:val="none"/>
                <w:u w:val="none"/>
                <w:lang w:val="en-US" w:eastAsia="zh-CN" w:bidi="ar"/>
              </w:rPr>
              <w:t>交货前</w:t>
            </w:r>
            <w:r>
              <w:rPr>
                <w:rFonts w:hint="default" w:ascii="宋体" w:hAnsi="宋体" w:eastAsia="宋体" w:cs="宋体"/>
                <w:b/>
                <w:bCs/>
                <w:i w:val="0"/>
                <w:iCs w:val="0"/>
                <w:color w:val="auto"/>
                <w:kern w:val="0"/>
                <w:sz w:val="24"/>
                <w:szCs w:val="24"/>
                <w:highlight w:val="none"/>
                <w:u w:val="none"/>
                <w:lang w:val="en-US" w:eastAsia="zh-CN" w:bidi="ar"/>
              </w:rPr>
              <w:t>提供当批次产品的合格检验报告。</w:t>
            </w:r>
          </w:p>
          <w:p>
            <w:pPr>
              <w:widowControl/>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hint="default" w:ascii="宋体" w:hAnsi="宋体" w:eastAsia="宋体" w:cs="宋体"/>
                <w:i w:val="0"/>
                <w:iCs w:val="0"/>
                <w:color w:val="auto"/>
                <w:kern w:val="0"/>
                <w:sz w:val="24"/>
                <w:szCs w:val="24"/>
                <w:highlight w:val="none"/>
                <w:u w:val="none"/>
                <w:lang w:val="en-US" w:eastAsia="zh-CN" w:bidi="ar"/>
              </w:rPr>
              <w:t>容器应为食品级、避光、密封性良好的PET材质或马口铁罐，确保运输和储存中不漏油、不变质</w:t>
            </w:r>
            <w:r>
              <w:rPr>
                <w:rFonts w:hint="eastAsia" w:ascii="宋体" w:hAnsi="宋体" w:eastAsia="宋体" w:cs="宋体"/>
                <w:i w:val="0"/>
                <w:iCs w:val="0"/>
                <w:color w:val="auto"/>
                <w:kern w:val="0"/>
                <w:sz w:val="24"/>
                <w:szCs w:val="24"/>
                <w:highlight w:val="none"/>
                <w:u w:val="none"/>
                <w:lang w:val="en-US" w:eastAsia="zh-CN" w:bidi="ar"/>
              </w:rPr>
              <w:t>；</w:t>
            </w:r>
          </w:p>
          <w:p>
            <w:pPr>
              <w:widowControl/>
              <w:numPr>
                <w:ilvl w:val="0"/>
                <w:numId w:val="0"/>
              </w:numPr>
              <w:ind w:left="0" w:leftChars="0" w:firstLine="0" w:firstLineChars="0"/>
              <w:jc w:val="left"/>
              <w:rPr>
                <w:rFonts w:hint="eastAsia" w:ascii="Calibri" w:hAnsi="Calibri" w:eastAsia="宋体" w:cs="黑体"/>
                <w:color w:val="auto"/>
                <w:kern w:val="2"/>
                <w:sz w:val="21"/>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标签标识：在标签上显著标注“压榨”</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产品名称、配料、质量等级、生产日期、保质期、贮存条件、生产商、生产许可证编号（SC标志）等</w:t>
            </w:r>
            <w:r>
              <w:rPr>
                <w:rFonts w:hint="eastAsia" w:ascii="宋体" w:hAnsi="宋体" w:eastAsia="宋体" w:cs="宋体"/>
                <w:i w:val="0"/>
                <w:iCs w:val="0"/>
                <w:color w:val="auto"/>
                <w:kern w:val="0"/>
                <w:sz w:val="24"/>
                <w:szCs w:val="24"/>
                <w:highlight w:val="none"/>
                <w:u w:val="none"/>
                <w:lang w:val="en-US" w:eastAsia="zh-CN" w:bidi="ar"/>
              </w:rPr>
              <w:t>内容</w:t>
            </w:r>
            <w:r>
              <w:rPr>
                <w:rFonts w:hint="eastAsia" w:ascii="宋体" w:hAnsi="宋体" w:cs="宋体"/>
                <w:i w:val="0"/>
                <w:iCs w:val="0"/>
                <w:color w:val="auto"/>
                <w:kern w:val="0"/>
                <w:sz w:val="24"/>
                <w:szCs w:val="24"/>
                <w:highlight w:val="none"/>
                <w:u w:val="none"/>
                <w:lang w:val="en-US" w:eastAsia="zh-CN" w:bidi="ar"/>
              </w:rPr>
              <w:t>。</w:t>
            </w:r>
          </w:p>
        </w:tc>
        <w:tc>
          <w:tcPr>
            <w:tcW w:w="779" w:type="pct"/>
            <w:shd w:val="clear" w:color="auto" w:fill="auto"/>
            <w:vAlign w:val="center"/>
          </w:tcPr>
          <w:p>
            <w:pPr>
              <w:widowControl/>
              <w:numPr>
                <w:ilvl w:val="0"/>
                <w:numId w:val="0"/>
              </w:numPr>
              <w:ind w:left="0" w:leftChars="0" w:firstLine="0" w:firstLineChars="0"/>
              <w:jc w:val="left"/>
              <w:rPr>
                <w:rFonts w:hint="eastAsia" w:ascii="宋体" w:hAnsi="宋体" w:eastAsia="宋体" w:cs="宋体"/>
                <w:i w:val="0"/>
                <w:iCs w:val="0"/>
                <w:color w:val="000000"/>
                <w:kern w:val="0"/>
                <w:sz w:val="24"/>
                <w:szCs w:val="24"/>
                <w:highlight w:val="none"/>
                <w:u w:val="none"/>
                <w:lang w:val="en-US" w:eastAsia="zh-CN" w:bidi="ar"/>
              </w:rPr>
            </w:pPr>
          </w:p>
        </w:tc>
        <w:tc>
          <w:tcPr>
            <w:tcW w:w="545" w:type="pct"/>
            <w:shd w:val="clear" w:color="auto" w:fill="auto"/>
            <w:vAlign w:val="center"/>
          </w:tcPr>
          <w:p>
            <w:pPr>
              <w:widowControl/>
              <w:numPr>
                <w:ilvl w:val="0"/>
                <w:numId w:val="0"/>
              </w:numPr>
              <w:ind w:left="0" w:leftChars="0" w:firstLine="0" w:firstLineChars="0"/>
              <w:jc w:val="left"/>
              <w:rPr>
                <w:rFonts w:hint="eastAsia" w:ascii="宋体" w:hAnsi="宋体" w:eastAsia="宋体" w:cs="宋体"/>
                <w:i w:val="0"/>
                <w:iCs w:val="0"/>
                <w:color w:val="000000"/>
                <w:kern w:val="0"/>
                <w:sz w:val="24"/>
                <w:szCs w:val="24"/>
                <w:highlight w:val="none"/>
                <w:u w:val="none"/>
                <w:lang w:val="en-US" w:eastAsia="zh-CN" w:bidi="ar"/>
              </w:rPr>
            </w:pPr>
          </w:p>
        </w:tc>
        <w:tc>
          <w:tcPr>
            <w:tcW w:w="339" w:type="pct"/>
            <w:shd w:val="clear" w:color="auto" w:fill="auto"/>
            <w:vAlign w:val="center"/>
          </w:tcPr>
          <w:p>
            <w:pPr>
              <w:widowControl/>
              <w:numPr>
                <w:ilvl w:val="0"/>
                <w:numId w:val="0"/>
              </w:numPr>
              <w:ind w:left="0" w:leftChars="0" w:firstLine="0" w:firstLineChars="0"/>
              <w:jc w:val="left"/>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5" w:type="pct"/>
            <w:shd w:val="clear" w:color="auto" w:fill="auto"/>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2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玉米油</w:t>
            </w:r>
          </w:p>
        </w:tc>
        <w:tc>
          <w:tcPr>
            <w:tcW w:w="302" w:type="pct"/>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0"/>
                <w:sz w:val="28"/>
                <w:szCs w:val="28"/>
                <w:lang w:val="en-US" w:eastAsia="zh-CN" w:bidi="ar-SA"/>
              </w:rPr>
            </w:pPr>
          </w:p>
        </w:tc>
        <w:tc>
          <w:tcPr>
            <w:tcW w:w="312" w:type="pct"/>
            <w:shd w:val="clear" w:color="auto" w:fill="auto"/>
            <w:vAlign w:val="center"/>
          </w:tcPr>
          <w:p>
            <w:pPr>
              <w:widowControl/>
              <w:jc w:val="center"/>
              <w:rPr>
                <w:rFonts w:hint="default" w:ascii="Calibri" w:hAnsi="Calibri" w:eastAsia="宋体" w:cs="黑体"/>
                <w:kern w:val="2"/>
                <w:sz w:val="21"/>
                <w:szCs w:val="24"/>
                <w:highlight w:val="none"/>
                <w:lang w:val="en-US" w:eastAsia="zh-CN" w:bidi="ar-SA"/>
              </w:rPr>
            </w:pPr>
          </w:p>
        </w:tc>
        <w:tc>
          <w:tcPr>
            <w:tcW w:w="194" w:type="pct"/>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5937" w:type="dxa"/>
            <w:shd w:val="clear" w:color="auto" w:fill="auto"/>
            <w:vAlign w:val="center"/>
          </w:tcPr>
          <w:p>
            <w:pPr>
              <w:widowControl/>
              <w:numPr>
                <w:ilvl w:val="0"/>
                <w:numId w:val="0"/>
              </w:numPr>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default"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工艺：</w:t>
            </w:r>
            <w:r>
              <w:rPr>
                <w:rFonts w:hint="default" w:ascii="宋体" w:hAnsi="宋体" w:eastAsia="宋体" w:cs="宋体"/>
                <w:i w:val="0"/>
                <w:iCs w:val="0"/>
                <w:color w:val="auto"/>
                <w:kern w:val="0"/>
                <w:sz w:val="24"/>
                <w:szCs w:val="24"/>
                <w:highlight w:val="none"/>
                <w:u w:val="none"/>
                <w:lang w:val="en-US" w:eastAsia="zh-CN" w:bidi="ar"/>
              </w:rPr>
              <w:t>一级压榨法</w:t>
            </w:r>
            <w:r>
              <w:rPr>
                <w:rFonts w:hint="eastAsia" w:ascii="宋体" w:hAnsi="宋体" w:cs="宋体"/>
                <w:i w:val="0"/>
                <w:iCs w:val="0"/>
                <w:color w:val="auto"/>
                <w:kern w:val="0"/>
                <w:sz w:val="24"/>
                <w:szCs w:val="24"/>
                <w:highlight w:val="none"/>
                <w:u w:val="none"/>
                <w:lang w:val="en-US" w:eastAsia="zh-CN" w:bidi="ar"/>
              </w:rPr>
              <w:t>；</w:t>
            </w:r>
          </w:p>
          <w:p>
            <w:pPr>
              <w:widowControl/>
              <w:numPr>
                <w:ilvl w:val="0"/>
                <w:numId w:val="0"/>
              </w:numPr>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eastAsia="宋体" w:cs="宋体"/>
                <w:i w:val="0"/>
                <w:iCs w:val="0"/>
                <w:color w:val="auto"/>
                <w:kern w:val="0"/>
                <w:sz w:val="24"/>
                <w:szCs w:val="24"/>
                <w:highlight w:val="none"/>
                <w:u w:val="none"/>
                <w:lang w:val="en-US" w:eastAsia="zh-CN" w:bidi="ar"/>
              </w:rPr>
              <w:t>2.</w:t>
            </w:r>
            <w:r>
              <w:rPr>
                <w:rFonts w:hint="default" w:ascii="宋体" w:hAnsi="宋体" w:eastAsia="宋体" w:cs="宋体"/>
                <w:i w:val="0"/>
                <w:iCs w:val="0"/>
                <w:color w:val="auto"/>
                <w:kern w:val="0"/>
                <w:sz w:val="24"/>
                <w:szCs w:val="24"/>
                <w:highlight w:val="none"/>
                <w:u w:val="none"/>
                <w:lang w:val="en-US" w:eastAsia="zh-CN" w:bidi="ar"/>
              </w:rPr>
              <w:t>质量与技术标准</w:t>
            </w:r>
            <w:r>
              <w:rPr>
                <w:rFonts w:hint="eastAsia" w:ascii="宋体" w:hAnsi="宋体" w:eastAsia="宋体" w:cs="宋体"/>
                <w:i w:val="0"/>
                <w:iCs w:val="0"/>
                <w:color w:val="auto"/>
                <w:kern w:val="0"/>
                <w:sz w:val="24"/>
                <w:szCs w:val="24"/>
                <w:highlight w:val="none"/>
                <w:u w:val="none"/>
                <w:lang w:val="en-US" w:eastAsia="zh-CN" w:bidi="ar"/>
              </w:rPr>
              <w:t>：不低于国家标准GB/T 19111、</w:t>
            </w:r>
            <w:r>
              <w:rPr>
                <w:rFonts w:hint="default" w:ascii="宋体" w:hAnsi="宋体" w:eastAsia="宋体" w:cs="宋体"/>
                <w:i w:val="0"/>
                <w:iCs w:val="0"/>
                <w:color w:val="auto"/>
                <w:kern w:val="0"/>
                <w:sz w:val="24"/>
                <w:szCs w:val="24"/>
                <w:highlight w:val="none"/>
                <w:u w:val="none"/>
                <w:lang w:val="en-US" w:eastAsia="zh-CN" w:bidi="ar"/>
              </w:rPr>
              <w:t>GB 2716</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GB 2</w:t>
            </w:r>
            <w:r>
              <w:rPr>
                <w:rFonts w:hint="eastAsia" w:ascii="宋体" w:hAnsi="宋体" w:cs="宋体"/>
                <w:i w:val="0"/>
                <w:iCs w:val="0"/>
                <w:color w:val="auto"/>
                <w:kern w:val="0"/>
                <w:sz w:val="24"/>
                <w:szCs w:val="24"/>
                <w:highlight w:val="none"/>
                <w:u w:val="none"/>
                <w:lang w:val="en-US" w:eastAsia="zh-CN" w:bidi="ar"/>
              </w:rPr>
              <w:t>8050</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eastAsia="宋体" w:cs="宋体"/>
                <w:i w:val="0"/>
                <w:iCs w:val="0"/>
                <w:color w:val="auto"/>
                <w:kern w:val="0"/>
                <w:sz w:val="24"/>
                <w:szCs w:val="24"/>
                <w:highlight w:val="none"/>
                <w:u w:val="none"/>
                <w:lang w:val="en-US" w:eastAsia="zh-CN" w:bidi="ar"/>
              </w:rPr>
              <w:t>3.质量指标要求：</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黄曲霉毒素B1：≤</w:t>
            </w:r>
            <w:r>
              <w:rPr>
                <w:rFonts w:hint="eastAsia" w:ascii="宋体" w:hAnsi="宋体" w:cs="宋体"/>
                <w:i w:val="0"/>
                <w:iCs w:val="0"/>
                <w:color w:val="auto"/>
                <w:kern w:val="0"/>
                <w:sz w:val="24"/>
                <w:szCs w:val="24"/>
                <w:highlight w:val="none"/>
                <w:u w:val="none"/>
                <w:lang w:val="en-US" w:eastAsia="zh-CN" w:bidi="ar"/>
              </w:rPr>
              <w:t>20</w:t>
            </w:r>
            <w:r>
              <w:rPr>
                <w:rFonts w:hint="default" w:ascii="宋体" w:hAnsi="宋体" w:eastAsia="宋体" w:cs="宋体"/>
                <w:i w:val="0"/>
                <w:iCs w:val="0"/>
                <w:color w:val="auto"/>
                <w:kern w:val="0"/>
                <w:sz w:val="24"/>
                <w:szCs w:val="24"/>
                <w:highlight w:val="none"/>
                <w:u w:val="none"/>
                <w:lang w:val="en-US" w:eastAsia="zh-CN" w:bidi="ar"/>
              </w:rPr>
              <w:t>μg/kg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酸价（KOH）：≤0.</w:t>
            </w:r>
            <w:r>
              <w:rPr>
                <w:rFonts w:hint="eastAsia" w:ascii="宋体" w:hAnsi="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0mg/g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过氧化值：≤</w:t>
            </w:r>
            <w:r>
              <w:rPr>
                <w:rFonts w:hint="eastAsia" w:ascii="宋体" w:hAnsi="宋体" w:cs="宋体"/>
                <w:i w:val="0"/>
                <w:iCs w:val="0"/>
                <w:color w:val="auto"/>
                <w:kern w:val="0"/>
                <w:sz w:val="24"/>
                <w:szCs w:val="24"/>
                <w:highlight w:val="none"/>
                <w:u w:val="none"/>
                <w:lang w:val="en-US" w:eastAsia="zh-CN" w:bidi="ar"/>
              </w:rPr>
              <w:t>0.25g</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100</w:t>
            </w:r>
            <w:r>
              <w:rPr>
                <w:rFonts w:hint="default" w:ascii="宋体" w:hAnsi="宋体" w:eastAsia="宋体" w:cs="宋体"/>
                <w:i w:val="0"/>
                <w:iCs w:val="0"/>
                <w:color w:val="auto"/>
                <w:kern w:val="0"/>
                <w:sz w:val="24"/>
                <w:szCs w:val="24"/>
                <w:highlight w:val="none"/>
                <w:u w:val="none"/>
                <w:lang w:val="en-US" w:eastAsia="zh-CN" w:bidi="ar"/>
              </w:rPr>
              <w:t>g</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溶剂残留量：不得检出</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苯并[a]芘：≤</w:t>
            </w:r>
            <w:r>
              <w:rPr>
                <w:rFonts w:hint="eastAsia" w:ascii="宋体" w:hAnsi="宋体" w:cs="宋体"/>
                <w:i w:val="0"/>
                <w:iCs w:val="0"/>
                <w:color w:val="auto"/>
                <w:kern w:val="0"/>
                <w:sz w:val="24"/>
                <w:szCs w:val="24"/>
                <w:highlight w:val="none"/>
                <w:u w:val="none"/>
                <w:lang w:val="en-US" w:eastAsia="zh-CN" w:bidi="ar"/>
              </w:rPr>
              <w:t>10</w:t>
            </w:r>
            <w:r>
              <w:rPr>
                <w:rFonts w:hint="default" w:ascii="宋体" w:hAnsi="宋体" w:eastAsia="宋体" w:cs="宋体"/>
                <w:i w:val="0"/>
                <w:iCs w:val="0"/>
                <w:color w:val="auto"/>
                <w:kern w:val="0"/>
                <w:sz w:val="24"/>
                <w:szCs w:val="24"/>
                <w:highlight w:val="none"/>
                <w:u w:val="none"/>
                <w:lang w:val="en-US" w:eastAsia="zh-CN" w:bidi="ar"/>
              </w:rPr>
              <w:t>μg/kg</w:t>
            </w:r>
            <w:r>
              <w:rPr>
                <w:rFonts w:hint="eastAsia" w:ascii="宋体" w:hAnsi="宋体" w:cs="宋体"/>
                <w:i w:val="0"/>
                <w:iCs w:val="0"/>
                <w:color w:val="auto"/>
                <w:kern w:val="0"/>
                <w:sz w:val="24"/>
                <w:szCs w:val="24"/>
                <w:highlight w:val="none"/>
                <w:u w:val="none"/>
                <w:lang w:val="en-US" w:eastAsia="zh-CN" w:bidi="ar"/>
              </w:rPr>
              <w:t>；</w:t>
            </w:r>
          </w:p>
          <w:p>
            <w:pPr>
              <w:widowControl/>
              <w:numPr>
                <w:ilvl w:val="0"/>
                <w:numId w:val="0"/>
              </w:numPr>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铅</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以Pb计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0.08mg/kg；</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以As计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0.1mg/kg</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suppressLineNumbers w:val="0"/>
              <w:jc w:val="left"/>
              <w:rPr>
                <w:highlight w:val="none"/>
              </w:rPr>
            </w:pPr>
            <w:r>
              <w:rPr>
                <w:rFonts w:hint="eastAsia" w:ascii="宋体" w:hAnsi="宋体" w:eastAsia="宋体" w:cs="宋体"/>
                <w:i w:val="0"/>
                <w:iCs w:val="0"/>
                <w:color w:val="auto"/>
                <w:kern w:val="0"/>
                <w:sz w:val="24"/>
                <w:szCs w:val="24"/>
                <w:highlight w:val="none"/>
                <w:u w:val="none"/>
                <w:lang w:val="en-US" w:eastAsia="zh-CN" w:bidi="ar"/>
              </w:rPr>
              <w:t>特丁基对苯二酚</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TBHQ</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g/kg</w:t>
            </w:r>
            <w:r>
              <w:rPr>
                <w:rFonts w:hint="eastAsia" w:ascii="宋体" w:hAnsi="宋体" w:cs="宋体"/>
                <w:i w:val="0"/>
                <w:iCs w:val="0"/>
                <w:color w:val="auto"/>
                <w:kern w:val="0"/>
                <w:sz w:val="24"/>
                <w:szCs w:val="24"/>
                <w:highlight w:val="none"/>
                <w:u w:val="none"/>
                <w:lang w:val="en-US" w:eastAsia="zh-CN" w:bidi="ar"/>
              </w:rPr>
              <w:t>；</w:t>
            </w:r>
          </w:p>
          <w:p>
            <w:pPr>
              <w:pStyle w:val="9"/>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以</w:t>
            </w:r>
            <w:r>
              <w:rPr>
                <w:rFonts w:hint="eastAsia" w:cs="宋体"/>
                <w:b/>
                <w:bCs/>
                <w:i w:val="0"/>
                <w:iCs w:val="0"/>
                <w:color w:val="auto"/>
                <w:kern w:val="0"/>
                <w:sz w:val="24"/>
                <w:szCs w:val="24"/>
                <w:highlight w:val="none"/>
                <w:u w:val="none"/>
                <w:lang w:val="en-US" w:eastAsia="zh-CN" w:bidi="ar"/>
              </w:rPr>
              <w:t>上1-3</w:t>
            </w:r>
            <w:r>
              <w:rPr>
                <w:rFonts w:hint="default" w:ascii="宋体" w:hAnsi="宋体" w:eastAsia="宋体" w:cs="宋体"/>
                <w:b/>
                <w:bCs/>
                <w:i w:val="0"/>
                <w:iCs w:val="0"/>
                <w:color w:val="auto"/>
                <w:kern w:val="0"/>
                <w:sz w:val="24"/>
                <w:szCs w:val="24"/>
                <w:highlight w:val="none"/>
                <w:u w:val="none"/>
                <w:lang w:val="en-US" w:eastAsia="zh-CN" w:bidi="ar"/>
              </w:rPr>
              <w:t>指标需提供有资质的第三方检验机构（CNAS/CMA认证）出具的近一年内的型式检验报告作为证明，并在中标后提供当批次产品的合格检验报告。</w:t>
            </w:r>
          </w:p>
          <w:p>
            <w:pPr>
              <w:numPr>
                <w:ilvl w:val="0"/>
                <w:numId w:val="0"/>
              </w:numPr>
              <w:ind w:left="0" w:leftChars="0" w:firstLine="0" w:firstLineChars="0"/>
              <w:rPr>
                <w:rFonts w:hint="eastAsia" w:ascii="Calibri" w:hAnsi="Calibri" w:eastAsia="宋体" w:cs="黑体"/>
                <w:color w:val="auto"/>
                <w:kern w:val="2"/>
                <w:sz w:val="21"/>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4.</w:t>
            </w:r>
            <w:r>
              <w:rPr>
                <w:rFonts w:hint="default" w:ascii="宋体" w:hAnsi="宋体" w:eastAsia="宋体" w:cs="宋体"/>
                <w:i w:val="0"/>
                <w:iCs w:val="0"/>
                <w:color w:val="auto"/>
                <w:kern w:val="0"/>
                <w:sz w:val="24"/>
                <w:szCs w:val="24"/>
                <w:highlight w:val="none"/>
                <w:u w:val="none"/>
                <w:lang w:val="en-US" w:eastAsia="zh-CN" w:bidi="ar"/>
              </w:rPr>
              <w:t>配料表应为“玉米油”或“玉米胚芽油”</w:t>
            </w:r>
            <w:r>
              <w:rPr>
                <w:rFonts w:hint="eastAsia" w:ascii="宋体" w:hAnsi="宋体" w:cs="宋体"/>
                <w:i w:val="0"/>
                <w:iCs w:val="0"/>
                <w:color w:val="auto"/>
                <w:kern w:val="0"/>
                <w:sz w:val="24"/>
                <w:szCs w:val="24"/>
                <w:highlight w:val="none"/>
                <w:u w:val="none"/>
                <w:lang w:val="en-US" w:eastAsia="zh-CN" w:bidi="ar"/>
              </w:rPr>
              <w:t>。</w:t>
            </w:r>
          </w:p>
        </w:tc>
        <w:tc>
          <w:tcPr>
            <w:tcW w:w="779" w:type="pct"/>
            <w:shd w:val="clear" w:color="auto" w:fill="auto"/>
            <w:vAlign w:val="center"/>
          </w:tcPr>
          <w:p>
            <w:pPr>
              <w:numPr>
                <w:ilvl w:val="0"/>
                <w:numId w:val="0"/>
              </w:numPr>
              <w:ind w:left="0" w:leftChars="0" w:firstLine="0" w:firstLineChars="0"/>
              <w:rPr>
                <w:rFonts w:hint="eastAsia" w:ascii="宋体" w:hAnsi="宋体" w:cs="宋体"/>
                <w:i w:val="0"/>
                <w:iCs w:val="0"/>
                <w:color w:val="000000"/>
                <w:kern w:val="0"/>
                <w:sz w:val="24"/>
                <w:szCs w:val="24"/>
                <w:highlight w:val="none"/>
                <w:u w:val="none"/>
                <w:lang w:val="en-US" w:eastAsia="zh-CN" w:bidi="ar"/>
              </w:rPr>
            </w:pPr>
          </w:p>
        </w:tc>
        <w:tc>
          <w:tcPr>
            <w:tcW w:w="545" w:type="pct"/>
            <w:shd w:val="clear" w:color="auto" w:fill="auto"/>
            <w:vAlign w:val="center"/>
          </w:tcPr>
          <w:p>
            <w:pPr>
              <w:numPr>
                <w:ilvl w:val="0"/>
                <w:numId w:val="0"/>
              </w:numPr>
              <w:ind w:left="0" w:leftChars="0" w:firstLine="0" w:firstLineChars="0"/>
              <w:rPr>
                <w:rFonts w:hint="eastAsia" w:ascii="宋体" w:hAnsi="宋体" w:cs="宋体"/>
                <w:i w:val="0"/>
                <w:iCs w:val="0"/>
                <w:color w:val="000000"/>
                <w:kern w:val="0"/>
                <w:sz w:val="24"/>
                <w:szCs w:val="24"/>
                <w:highlight w:val="none"/>
                <w:u w:val="none"/>
                <w:lang w:val="en-US" w:eastAsia="zh-CN" w:bidi="ar"/>
              </w:rPr>
            </w:pPr>
          </w:p>
        </w:tc>
        <w:tc>
          <w:tcPr>
            <w:tcW w:w="339" w:type="pct"/>
            <w:shd w:val="clear" w:color="auto" w:fill="auto"/>
            <w:vAlign w:val="center"/>
          </w:tcPr>
          <w:p>
            <w:pPr>
              <w:numPr>
                <w:ilvl w:val="0"/>
                <w:numId w:val="0"/>
              </w:numPr>
              <w:ind w:left="0" w:leftChars="0" w:firstLine="0" w:firstLineChars="0"/>
              <w:rPr>
                <w:rFonts w:hint="eastAsia" w:ascii="宋体" w:hAnsi="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35" w:type="pct"/>
            <w:shd w:val="clear" w:color="auto" w:fill="auto"/>
            <w:vAlign w:val="center"/>
          </w:tcPr>
          <w:p>
            <w:pPr>
              <w:widowControl/>
              <w:jc w:val="center"/>
              <w:rPr>
                <w:rFonts w:hint="eastAsia" w:ascii="宋体" w:hAnsi="宋体" w:cs="宋体"/>
                <w:color w:val="auto"/>
                <w:kern w:val="0"/>
                <w:sz w:val="28"/>
                <w:szCs w:val="28"/>
                <w:lang w:eastAsia="zh-CN"/>
              </w:rPr>
            </w:pPr>
            <w:r>
              <w:rPr>
                <w:rFonts w:hint="eastAsia" w:ascii="宋体" w:hAnsi="宋体" w:cs="宋体"/>
                <w:color w:val="auto"/>
                <w:kern w:val="0"/>
                <w:sz w:val="28"/>
                <w:szCs w:val="28"/>
                <w:lang w:val="en-US" w:eastAsia="zh-CN"/>
              </w:rPr>
              <w:t>3</w:t>
            </w:r>
          </w:p>
        </w:tc>
        <w:tc>
          <w:tcPr>
            <w:tcW w:w="2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五常大米</w:t>
            </w:r>
          </w:p>
        </w:tc>
        <w:tc>
          <w:tcPr>
            <w:tcW w:w="302"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p>
        </w:tc>
        <w:tc>
          <w:tcPr>
            <w:tcW w:w="312" w:type="pct"/>
            <w:shd w:val="clear" w:color="auto" w:fill="auto"/>
            <w:vAlign w:val="center"/>
          </w:tcPr>
          <w:p>
            <w:pPr>
              <w:widowControl/>
              <w:jc w:val="center"/>
              <w:rPr>
                <w:rFonts w:hint="default" w:ascii="Calibri" w:hAnsi="Calibri" w:eastAsia="宋体" w:cs="黑体"/>
                <w:kern w:val="2"/>
                <w:sz w:val="21"/>
                <w:szCs w:val="24"/>
                <w:highlight w:val="none"/>
                <w:lang w:val="en-US" w:eastAsia="zh-CN" w:bidi="ar-SA"/>
              </w:rPr>
            </w:pPr>
          </w:p>
        </w:tc>
        <w:tc>
          <w:tcPr>
            <w:tcW w:w="194" w:type="pct"/>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5937" w:type="dxa"/>
            <w:shd w:val="clear" w:color="auto" w:fill="auto"/>
            <w:vAlign w:val="center"/>
          </w:tcPr>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质量与技术标准</w:t>
            </w:r>
            <w:r>
              <w:rPr>
                <w:rFonts w:hint="eastAsia" w:ascii="宋体" w:hAnsi="宋体" w:eastAsia="宋体" w:cs="宋体"/>
                <w:i w:val="0"/>
                <w:iCs w:val="0"/>
                <w:color w:val="auto"/>
                <w:kern w:val="0"/>
                <w:sz w:val="24"/>
                <w:szCs w:val="24"/>
                <w:highlight w:val="none"/>
                <w:u w:val="none"/>
                <w:lang w:val="en-US" w:eastAsia="zh-CN" w:bidi="ar"/>
              </w:rPr>
              <w:t>：不低于国家标准GB/T19266；</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.质量指标要求</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加工精度：精碾（GB/T</w:t>
            </w:r>
            <w:r>
              <w:rPr>
                <w:rFonts w:hint="eastAsia" w:ascii="宋体" w:hAnsi="宋体" w:cs="宋体"/>
                <w:i w:val="0"/>
                <w:iCs w:val="0"/>
                <w:color w:val="auto"/>
                <w:kern w:val="0"/>
                <w:sz w:val="24"/>
                <w:szCs w:val="24"/>
                <w:highlight w:val="none"/>
                <w:u w:val="none"/>
                <w:lang w:val="en-US" w:eastAsia="zh-CN" w:bidi="ar"/>
              </w:rPr>
              <w:t xml:space="preserve"> </w:t>
            </w:r>
            <w:r>
              <w:rPr>
                <w:rFonts w:hint="default" w:ascii="宋体" w:hAnsi="宋体" w:eastAsia="宋体" w:cs="宋体"/>
                <w:i w:val="0"/>
                <w:iCs w:val="0"/>
                <w:color w:val="auto"/>
                <w:kern w:val="0"/>
                <w:sz w:val="24"/>
                <w:szCs w:val="24"/>
                <w:highlight w:val="none"/>
                <w:u w:val="none"/>
                <w:lang w:val="en-US" w:eastAsia="zh-CN" w:bidi="ar"/>
              </w:rPr>
              <w:t>5502-2018要求）</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霉变粒率</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2</w:t>
            </w:r>
            <w:r>
              <w:rPr>
                <w:rFonts w:hint="default" w:ascii="宋体" w:hAnsi="宋体" w:eastAsia="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直链淀粉含量（干基）：15.0%</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20.0%</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胶稠度：≥70mm</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黄曲霉毒素B1：不得检出</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赭曲霉毒素</w:t>
            </w:r>
            <w:r>
              <w:rPr>
                <w:rFonts w:hint="eastAsia" w:ascii="宋体" w:hAnsi="宋体" w:cs="宋体"/>
                <w:i w:val="0"/>
                <w:iCs w:val="0"/>
                <w:color w:val="auto"/>
                <w:kern w:val="0"/>
                <w:sz w:val="24"/>
                <w:szCs w:val="24"/>
                <w:highlight w:val="none"/>
                <w:u w:val="none"/>
                <w:lang w:val="en-US" w:eastAsia="zh-CN" w:bidi="ar"/>
              </w:rPr>
              <w:t>A：</w:t>
            </w:r>
            <w:r>
              <w:rPr>
                <w:rFonts w:hint="default" w:ascii="宋体" w:hAnsi="宋体" w:eastAsia="宋体" w:cs="宋体"/>
                <w:i w:val="0"/>
                <w:iCs w:val="0"/>
                <w:color w:val="auto"/>
                <w:kern w:val="0"/>
                <w:sz w:val="24"/>
                <w:szCs w:val="24"/>
                <w:highlight w:val="none"/>
                <w:u w:val="none"/>
                <w:lang w:val="en-US" w:eastAsia="zh-CN" w:bidi="ar"/>
              </w:rPr>
              <w:t>不得检出</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丁草胺：</w:t>
            </w:r>
            <w:r>
              <w:rPr>
                <w:rFonts w:hint="default" w:ascii="宋体" w:hAnsi="宋体" w:eastAsia="宋体" w:cs="宋体"/>
                <w:i w:val="0"/>
                <w:iCs w:val="0"/>
                <w:color w:val="auto"/>
                <w:kern w:val="0"/>
                <w:sz w:val="24"/>
                <w:szCs w:val="24"/>
                <w:highlight w:val="none"/>
                <w:u w:val="none"/>
                <w:lang w:val="en-US" w:eastAsia="zh-CN" w:bidi="ar"/>
              </w:rPr>
              <w:t>不得检出</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溴氰菊酯</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不得检出</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重金属（镉Cd）：≤0.</w:t>
            </w:r>
            <w:r>
              <w:rPr>
                <w:rFonts w:hint="eastAsia" w:ascii="宋体" w:hAnsi="宋体" w:eastAsia="宋体" w:cs="宋体"/>
                <w:i w:val="0"/>
                <w:iCs w:val="0"/>
                <w:color w:val="auto"/>
                <w:kern w:val="0"/>
                <w:sz w:val="24"/>
                <w:szCs w:val="24"/>
                <w:highlight w:val="none"/>
                <w:u w:val="none"/>
                <w:lang w:val="en-US" w:eastAsia="zh-CN" w:bidi="ar"/>
              </w:rPr>
              <w:t>2</w:t>
            </w:r>
            <w:r>
              <w:rPr>
                <w:rFonts w:hint="default" w:ascii="宋体" w:hAnsi="宋体" w:eastAsia="宋体" w:cs="宋体"/>
                <w:i w:val="0"/>
                <w:iCs w:val="0"/>
                <w:color w:val="auto"/>
                <w:kern w:val="0"/>
                <w:sz w:val="24"/>
                <w:szCs w:val="24"/>
                <w:highlight w:val="none"/>
                <w:u w:val="none"/>
                <w:lang w:val="en-US" w:eastAsia="zh-CN" w:bidi="ar"/>
              </w:rPr>
              <w:t>mg/kg</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重金属（</w:t>
            </w:r>
            <w:r>
              <w:rPr>
                <w:rFonts w:hint="eastAsia" w:ascii="宋体" w:hAnsi="宋体" w:cs="宋体"/>
                <w:i w:val="0"/>
                <w:iCs w:val="0"/>
                <w:color w:val="auto"/>
                <w:kern w:val="0"/>
                <w:sz w:val="24"/>
                <w:szCs w:val="24"/>
                <w:highlight w:val="none"/>
                <w:u w:val="none"/>
                <w:lang w:val="en-US" w:eastAsia="zh-CN" w:bidi="ar"/>
              </w:rPr>
              <w:t>总汞Hg</w:t>
            </w:r>
            <w:r>
              <w:rPr>
                <w:rFonts w:hint="default"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2</w:t>
            </w:r>
            <w:r>
              <w:rPr>
                <w:rFonts w:hint="default" w:ascii="宋体" w:hAnsi="宋体" w:eastAsia="宋体" w:cs="宋体"/>
                <w:i w:val="0"/>
                <w:iCs w:val="0"/>
                <w:color w:val="auto"/>
                <w:kern w:val="0"/>
                <w:sz w:val="24"/>
                <w:szCs w:val="24"/>
                <w:highlight w:val="none"/>
                <w:u w:val="none"/>
                <w:lang w:val="en-US" w:eastAsia="zh-CN" w:bidi="ar"/>
              </w:rPr>
              <w:t>mg/kg</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农药残留：农药残留</w:t>
            </w:r>
            <w:r>
              <w:rPr>
                <w:rFonts w:hint="eastAsia" w:ascii="宋体" w:hAnsi="宋体" w:cs="宋体"/>
                <w:i w:val="0"/>
                <w:iCs w:val="0"/>
                <w:color w:val="auto"/>
                <w:kern w:val="0"/>
                <w:sz w:val="24"/>
                <w:szCs w:val="24"/>
                <w:highlight w:val="none"/>
                <w:u w:val="none"/>
                <w:lang w:val="en-US" w:eastAsia="zh-CN" w:bidi="ar"/>
              </w:rPr>
              <w:t>物的检测</w:t>
            </w:r>
            <w:r>
              <w:rPr>
                <w:rFonts w:hint="default" w:ascii="宋体" w:hAnsi="宋体" w:eastAsia="宋体" w:cs="宋体"/>
                <w:i w:val="0"/>
                <w:iCs w:val="0"/>
                <w:color w:val="auto"/>
                <w:kern w:val="0"/>
                <w:sz w:val="24"/>
                <w:szCs w:val="24"/>
                <w:highlight w:val="none"/>
                <w:u w:val="none"/>
                <w:lang w:val="en-US" w:eastAsia="zh-CN" w:bidi="ar"/>
              </w:rPr>
              <w:t>必须符合GB</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default" w:ascii="宋体" w:hAnsi="宋体" w:eastAsia="宋体" w:cs="宋体"/>
                <w:i w:val="0"/>
                <w:iCs w:val="0"/>
                <w:color w:val="auto"/>
                <w:kern w:val="0"/>
                <w:sz w:val="24"/>
                <w:szCs w:val="24"/>
                <w:highlight w:val="none"/>
                <w:u w:val="none"/>
                <w:lang w:val="en-US" w:eastAsia="zh-CN" w:bidi="ar"/>
              </w:rPr>
              <w:t>2763</w:t>
            </w:r>
            <w:r>
              <w:rPr>
                <w:rFonts w:hint="eastAsia" w:ascii="宋体" w:hAnsi="宋体" w:cs="宋体"/>
                <w:i w:val="0"/>
                <w:iCs w:val="0"/>
                <w:color w:val="auto"/>
                <w:kern w:val="0"/>
                <w:sz w:val="24"/>
                <w:szCs w:val="24"/>
                <w:highlight w:val="none"/>
                <w:u w:val="none"/>
                <w:lang w:val="en-US" w:eastAsia="zh-CN" w:bidi="ar"/>
              </w:rPr>
              <w:t>食品中农药最大残留量限量要求；</w:t>
            </w:r>
          </w:p>
          <w:p>
            <w:pPr>
              <w:widowControl/>
              <w:jc w:val="left"/>
              <w:rPr>
                <w:rFonts w:hint="eastAsia" w:ascii="宋体" w:hAnsi="宋体" w:cs="宋体"/>
                <w:b/>
                <w:bCs/>
                <w:i w:val="0"/>
                <w:iCs w:val="0"/>
                <w:color w:val="auto"/>
                <w:kern w:val="0"/>
                <w:sz w:val="24"/>
                <w:szCs w:val="24"/>
                <w:highlight w:val="none"/>
                <w:u w:val="none"/>
                <w:lang w:val="en-US" w:eastAsia="zh-CN" w:bidi="ar"/>
              </w:rPr>
            </w:pPr>
            <w:r>
              <w:rPr>
                <w:rFonts w:hint="eastAsia" w:cs="宋体"/>
                <w:b/>
                <w:bCs/>
                <w:i w:val="0"/>
                <w:iCs w:val="0"/>
                <w:color w:val="auto"/>
                <w:kern w:val="0"/>
                <w:sz w:val="24"/>
                <w:szCs w:val="24"/>
                <w:highlight w:val="none"/>
                <w:u w:val="none"/>
                <w:lang w:val="en-US" w:eastAsia="zh-CN" w:bidi="ar"/>
              </w:rPr>
              <w:t>以</w:t>
            </w:r>
            <w:r>
              <w:rPr>
                <w:rFonts w:hint="eastAsia" w:ascii="宋体" w:hAnsi="宋体" w:cs="宋体"/>
                <w:b/>
                <w:bCs/>
                <w:i w:val="0"/>
                <w:iCs w:val="0"/>
                <w:color w:val="auto"/>
                <w:kern w:val="0"/>
                <w:sz w:val="24"/>
                <w:szCs w:val="24"/>
                <w:highlight w:val="none"/>
                <w:u w:val="none"/>
                <w:lang w:val="en-US" w:eastAsia="zh-CN" w:bidi="ar"/>
              </w:rPr>
              <w:t>上1-2</w:t>
            </w:r>
            <w:r>
              <w:rPr>
                <w:rFonts w:hint="default" w:ascii="宋体" w:hAnsi="宋体" w:eastAsia="宋体" w:cs="宋体"/>
                <w:b/>
                <w:bCs/>
                <w:i w:val="0"/>
                <w:iCs w:val="0"/>
                <w:color w:val="auto"/>
                <w:kern w:val="0"/>
                <w:sz w:val="24"/>
                <w:szCs w:val="24"/>
                <w:highlight w:val="none"/>
                <w:u w:val="none"/>
                <w:lang w:val="en-US" w:eastAsia="zh-CN" w:bidi="ar"/>
              </w:rPr>
              <w:t>指标需提供有资质的第三方检验机构（CNAS/CMA认证）出具的近一年内的型式检验报告作为证明，并在中标后提供当批次产品的合格检验报告</w:t>
            </w:r>
            <w:r>
              <w:rPr>
                <w:rFonts w:hint="eastAsia" w:ascii="宋体" w:hAnsi="宋体" w:cs="宋体"/>
                <w:b/>
                <w:bCs/>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default" w:ascii="宋体" w:hAnsi="宋体" w:eastAsia="宋体" w:cs="宋体"/>
                <w:i w:val="0"/>
                <w:iCs w:val="0"/>
                <w:color w:val="auto"/>
                <w:kern w:val="0"/>
                <w:sz w:val="24"/>
                <w:szCs w:val="24"/>
                <w:highlight w:val="none"/>
                <w:u w:val="none"/>
                <w:lang w:val="en-US" w:eastAsia="zh-CN" w:bidi="ar"/>
              </w:rPr>
              <w:t>色泽：清白透明，富有光泽</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default" w:ascii="宋体" w:hAnsi="宋体" w:eastAsia="宋体" w:cs="宋体"/>
                <w:i w:val="0"/>
                <w:iCs w:val="0"/>
                <w:color w:val="auto"/>
                <w:kern w:val="0"/>
                <w:sz w:val="24"/>
                <w:szCs w:val="24"/>
                <w:highlight w:val="none"/>
                <w:u w:val="none"/>
                <w:lang w:val="en-US" w:eastAsia="zh-CN" w:bidi="ar"/>
              </w:rPr>
              <w:t>气味：具有五常大米固有的自然清香，不应有陈米味、霉味或其他异味</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口感：润滑、软硬适中有弹性</w:t>
            </w:r>
            <w:r>
              <w:rPr>
                <w:rFonts w:hint="eastAsia" w:ascii="宋体" w:hAnsi="宋体" w:cs="宋体"/>
                <w:i w:val="0"/>
                <w:iCs w:val="0"/>
                <w:color w:val="auto"/>
                <w:kern w:val="0"/>
                <w:sz w:val="24"/>
                <w:szCs w:val="24"/>
                <w:highlight w:val="none"/>
                <w:u w:val="none"/>
                <w:lang w:val="en-US" w:eastAsia="zh-CN" w:bidi="ar"/>
              </w:rPr>
              <w:t>；</w:t>
            </w:r>
          </w:p>
          <w:p>
            <w:pPr>
              <w:pStyle w:val="9"/>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工艺：真空双层包装，</w:t>
            </w:r>
            <w:r>
              <w:rPr>
                <w:rFonts w:hint="default" w:ascii="宋体" w:hAnsi="宋体" w:eastAsia="宋体" w:cs="宋体"/>
                <w:i w:val="0"/>
                <w:iCs w:val="0"/>
                <w:color w:val="auto"/>
                <w:kern w:val="0"/>
                <w:sz w:val="24"/>
                <w:szCs w:val="24"/>
                <w:highlight w:val="none"/>
                <w:u w:val="none"/>
                <w:lang w:val="en-US" w:eastAsia="zh-CN" w:bidi="ar"/>
              </w:rPr>
              <w:t>五常地区优质粳稻品种，并在包装上明确标注品种名称</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Calibri" w:hAnsi="Calibri" w:eastAsia="宋体" w:cs="黑体"/>
                <w:color w:val="auto"/>
                <w:kern w:val="2"/>
                <w:sz w:val="21"/>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7.</w:t>
            </w:r>
            <w:r>
              <w:rPr>
                <w:rFonts w:hint="default" w:ascii="宋体" w:hAnsi="宋体" w:eastAsia="宋体" w:cs="宋体"/>
                <w:i w:val="0"/>
                <w:iCs w:val="0"/>
                <w:color w:val="auto"/>
                <w:kern w:val="0"/>
                <w:sz w:val="24"/>
                <w:szCs w:val="24"/>
                <w:highlight w:val="none"/>
                <w:u w:val="none"/>
                <w:lang w:val="en-US" w:eastAsia="zh-CN" w:bidi="ar"/>
              </w:rPr>
              <w:t>包装袋应为食品级、真空包装或充氮包装，材质厚实，具有良好的防潮、防虫性能</w:t>
            </w:r>
            <w:r>
              <w:rPr>
                <w:rFonts w:hint="eastAsia" w:ascii="宋体" w:hAnsi="宋体" w:cs="宋体"/>
                <w:i w:val="0"/>
                <w:iCs w:val="0"/>
                <w:color w:val="auto"/>
                <w:kern w:val="0"/>
                <w:sz w:val="24"/>
                <w:szCs w:val="24"/>
                <w:highlight w:val="none"/>
                <w:u w:val="none"/>
                <w:lang w:val="en-US" w:eastAsia="zh-CN" w:bidi="ar"/>
              </w:rPr>
              <w:t>。</w:t>
            </w:r>
          </w:p>
        </w:tc>
        <w:tc>
          <w:tcPr>
            <w:tcW w:w="779" w:type="pct"/>
            <w:shd w:val="clear" w:color="auto" w:fill="auto"/>
            <w:vAlign w:val="center"/>
          </w:tcPr>
          <w:p>
            <w:pPr>
              <w:widowControl/>
              <w:jc w:val="left"/>
              <w:rPr>
                <w:rFonts w:hint="eastAsia" w:ascii="宋体" w:hAnsi="宋体" w:cs="宋体"/>
                <w:i w:val="0"/>
                <w:iCs w:val="0"/>
                <w:color w:val="000000"/>
                <w:kern w:val="0"/>
                <w:sz w:val="24"/>
                <w:szCs w:val="24"/>
                <w:highlight w:val="none"/>
                <w:u w:val="none"/>
                <w:lang w:val="en-US" w:eastAsia="zh-CN" w:bidi="ar"/>
              </w:rPr>
            </w:pPr>
          </w:p>
        </w:tc>
        <w:tc>
          <w:tcPr>
            <w:tcW w:w="545" w:type="pct"/>
            <w:shd w:val="clear" w:color="auto" w:fill="auto"/>
            <w:vAlign w:val="center"/>
          </w:tcPr>
          <w:p>
            <w:pPr>
              <w:widowControl/>
              <w:jc w:val="left"/>
              <w:rPr>
                <w:rFonts w:hint="eastAsia" w:ascii="宋体" w:hAnsi="宋体" w:cs="宋体"/>
                <w:i w:val="0"/>
                <w:iCs w:val="0"/>
                <w:color w:val="000000"/>
                <w:kern w:val="0"/>
                <w:sz w:val="24"/>
                <w:szCs w:val="24"/>
                <w:highlight w:val="none"/>
                <w:u w:val="none"/>
                <w:lang w:val="en-US" w:eastAsia="zh-CN" w:bidi="ar"/>
              </w:rPr>
            </w:pPr>
          </w:p>
        </w:tc>
        <w:tc>
          <w:tcPr>
            <w:tcW w:w="339" w:type="pct"/>
            <w:shd w:val="clear" w:color="auto" w:fill="auto"/>
            <w:vAlign w:val="center"/>
          </w:tcPr>
          <w:p>
            <w:pPr>
              <w:widowControl/>
              <w:jc w:val="left"/>
              <w:rPr>
                <w:rFonts w:hint="eastAsia" w:ascii="宋体" w:hAnsi="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5" w:type="pct"/>
            <w:shd w:val="clear" w:color="auto" w:fill="auto"/>
            <w:vAlign w:val="center"/>
          </w:tcPr>
          <w:p>
            <w:pPr>
              <w:widowControl/>
              <w:jc w:val="center"/>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4</w:t>
            </w:r>
          </w:p>
        </w:tc>
        <w:tc>
          <w:tcPr>
            <w:tcW w:w="2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厨房湿巾</w:t>
            </w:r>
          </w:p>
        </w:tc>
        <w:tc>
          <w:tcPr>
            <w:tcW w:w="302"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bidi="ar-SA"/>
              </w:rPr>
            </w:pPr>
          </w:p>
        </w:tc>
        <w:tc>
          <w:tcPr>
            <w:tcW w:w="312" w:type="pct"/>
            <w:shd w:val="clear" w:color="auto" w:fill="auto"/>
            <w:vAlign w:val="center"/>
          </w:tcPr>
          <w:p>
            <w:pPr>
              <w:widowControl/>
              <w:jc w:val="center"/>
              <w:rPr>
                <w:rFonts w:hint="default" w:ascii="Calibri" w:hAnsi="Calibri" w:eastAsia="宋体" w:cs="黑体"/>
                <w:kern w:val="2"/>
                <w:sz w:val="21"/>
                <w:szCs w:val="24"/>
                <w:highlight w:val="none"/>
                <w:lang w:val="en-US" w:eastAsia="zh-CN" w:bidi="ar-SA"/>
              </w:rPr>
            </w:pPr>
          </w:p>
        </w:tc>
        <w:tc>
          <w:tcPr>
            <w:tcW w:w="194" w:type="pct"/>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5937" w:type="dxa"/>
            <w:shd w:val="clear" w:color="auto" w:fill="auto"/>
            <w:vAlign w:val="center"/>
          </w:tcPr>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eastAsia="宋体" w:cs="宋体"/>
                <w:i w:val="0"/>
                <w:iCs w:val="0"/>
                <w:color w:val="auto"/>
                <w:kern w:val="0"/>
                <w:sz w:val="24"/>
                <w:szCs w:val="24"/>
                <w:highlight w:val="none"/>
                <w:u w:val="none"/>
                <w:lang w:val="en-US" w:eastAsia="zh-CN" w:bidi="ar"/>
              </w:rPr>
              <w:t>1.国家标准：符合且不低于国家标准GB 15979、GB 43631；</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highlight w:val="none"/>
              </w:rPr>
              <w:t>▲</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.质量指标要求：</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重金属（铅、砷、镉、汞）：不得检出；</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大肠菌群：不得检出；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甲醛：不得检出；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甲醇：不得检出；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防腐剂：不得检出；</w:t>
            </w:r>
          </w:p>
          <w:p>
            <w:pPr>
              <w:widowControl/>
              <w:jc w:val="left"/>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可迁移性荧光物质：不得检出；</w:t>
            </w:r>
          </w:p>
          <w:p>
            <w:pPr>
              <w:widowControl/>
              <w:jc w:val="left"/>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以</w:t>
            </w:r>
            <w:r>
              <w:rPr>
                <w:rFonts w:hint="eastAsia" w:ascii="宋体" w:hAnsi="宋体" w:eastAsia="宋体" w:cs="宋体"/>
                <w:b/>
                <w:bCs/>
                <w:i w:val="0"/>
                <w:iCs w:val="0"/>
                <w:color w:val="auto"/>
                <w:kern w:val="0"/>
                <w:sz w:val="24"/>
                <w:szCs w:val="24"/>
                <w:highlight w:val="none"/>
                <w:u w:val="none"/>
                <w:lang w:val="en-US" w:eastAsia="zh-CN" w:bidi="ar"/>
              </w:rPr>
              <w:t>上</w:t>
            </w:r>
            <w:r>
              <w:rPr>
                <w:rFonts w:hint="eastAsia" w:ascii="宋体" w:hAnsi="宋体" w:cs="宋体"/>
                <w:b/>
                <w:bCs/>
                <w:i w:val="0"/>
                <w:iCs w:val="0"/>
                <w:color w:val="auto"/>
                <w:kern w:val="0"/>
                <w:sz w:val="24"/>
                <w:szCs w:val="24"/>
                <w:highlight w:val="none"/>
                <w:u w:val="none"/>
                <w:lang w:val="en-US" w:eastAsia="zh-CN" w:bidi="ar"/>
              </w:rPr>
              <w:t>1-2</w:t>
            </w:r>
            <w:r>
              <w:rPr>
                <w:rFonts w:hint="default" w:ascii="宋体" w:hAnsi="宋体" w:eastAsia="宋体" w:cs="宋体"/>
                <w:b/>
                <w:bCs/>
                <w:i w:val="0"/>
                <w:iCs w:val="0"/>
                <w:color w:val="auto"/>
                <w:kern w:val="0"/>
                <w:sz w:val="24"/>
                <w:szCs w:val="24"/>
                <w:highlight w:val="none"/>
                <w:u w:val="none"/>
                <w:lang w:val="en-US" w:eastAsia="zh-CN" w:bidi="ar"/>
              </w:rPr>
              <w:t>指标需提供有资质的第三方检验机构（CNAS/CMA认证）出具的近一年内的有效检测报告作为证明。</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3.工艺：无纺布湿巾，</w:t>
            </w:r>
            <w:r>
              <w:rPr>
                <w:rFonts w:hint="default" w:ascii="宋体" w:hAnsi="宋体" w:eastAsia="宋体" w:cs="宋体"/>
                <w:i w:val="0"/>
                <w:iCs w:val="0"/>
                <w:color w:val="auto"/>
                <w:kern w:val="0"/>
                <w:sz w:val="24"/>
                <w:szCs w:val="24"/>
                <w:highlight w:val="none"/>
                <w:u w:val="none"/>
                <w:lang w:val="en-US" w:eastAsia="zh-CN" w:bidi="ar"/>
              </w:rPr>
              <w:t>含清洁液</w:t>
            </w:r>
            <w:r>
              <w:rPr>
                <w:rFonts w:hint="eastAsia" w:ascii="宋体" w:hAnsi="宋体" w:eastAsia="宋体" w:cs="宋体"/>
                <w:i w:val="0"/>
                <w:iCs w:val="0"/>
                <w:color w:val="auto"/>
                <w:kern w:val="0"/>
                <w:sz w:val="24"/>
                <w:szCs w:val="24"/>
                <w:highlight w:val="none"/>
                <w:u w:val="none"/>
                <w:lang w:val="en-US" w:eastAsia="zh-CN" w:bidi="ar"/>
              </w:rPr>
              <w:t>，去污杀菌二合一；</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hint="default" w:ascii="宋体" w:hAnsi="宋体" w:eastAsia="宋体" w:cs="宋体"/>
                <w:i w:val="0"/>
                <w:iCs w:val="0"/>
                <w:color w:val="auto"/>
                <w:kern w:val="0"/>
                <w:sz w:val="24"/>
                <w:szCs w:val="24"/>
                <w:highlight w:val="none"/>
                <w:u w:val="none"/>
                <w:lang w:val="en-US" w:eastAsia="zh-CN" w:bidi="ar"/>
              </w:rPr>
              <w:t>高效清洁：强力去除油污，清洁能力</w:t>
            </w:r>
            <w:r>
              <w:rPr>
                <w:rFonts w:hint="eastAsia" w:ascii="宋体" w:hAnsi="宋体" w:eastAsia="宋体" w:cs="宋体"/>
                <w:i w:val="0"/>
                <w:iCs w:val="0"/>
                <w:color w:val="auto"/>
                <w:kern w:val="0"/>
                <w:sz w:val="24"/>
                <w:szCs w:val="24"/>
                <w:highlight w:val="none"/>
                <w:u w:val="none"/>
                <w:lang w:val="en-US" w:eastAsia="zh-CN" w:bidi="ar"/>
              </w:rPr>
              <w:t>强；</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气味：气味清新，无刺鼻、令人不悦的化学气味</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r>
              <w:rPr>
                <w:rFonts w:hint="default" w:ascii="宋体" w:hAnsi="宋体" w:eastAsia="宋体" w:cs="宋体"/>
                <w:i w:val="0"/>
                <w:iCs w:val="0"/>
                <w:color w:val="auto"/>
                <w:kern w:val="0"/>
                <w:sz w:val="24"/>
                <w:szCs w:val="24"/>
                <w:highlight w:val="none"/>
                <w:u w:val="none"/>
                <w:lang w:val="en-US" w:eastAsia="zh-CN" w:bidi="ar"/>
              </w:rPr>
              <w:t>耐用厚实：材质应坚韧耐磨，不易撕破，擦拭时不起毛、不掉屑</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Calibri" w:hAnsi="Calibri" w:eastAsia="宋体" w:cs="黑体"/>
                <w:color w:val="auto"/>
                <w:kern w:val="2"/>
                <w:sz w:val="21"/>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r>
              <w:rPr>
                <w:rFonts w:hint="default" w:ascii="宋体" w:hAnsi="宋体" w:eastAsia="宋体" w:cs="宋体"/>
                <w:i w:val="0"/>
                <w:iCs w:val="0"/>
                <w:color w:val="auto"/>
                <w:kern w:val="0"/>
                <w:sz w:val="24"/>
                <w:szCs w:val="24"/>
                <w:highlight w:val="none"/>
                <w:u w:val="none"/>
                <w:lang w:val="en-US" w:eastAsia="zh-CN" w:bidi="ar"/>
              </w:rPr>
              <w:t>包装合理：使用软塑抽口包装或硬质塑料盖抽取式包装，并带有密封贴。包装密封性必须良好，能有效防止液体挥发。</w:t>
            </w:r>
          </w:p>
        </w:tc>
        <w:tc>
          <w:tcPr>
            <w:tcW w:w="779"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545"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339"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5" w:type="pct"/>
            <w:shd w:val="clear" w:color="auto" w:fill="auto"/>
            <w:vAlign w:val="center"/>
          </w:tcPr>
          <w:p>
            <w:pPr>
              <w:widowControl/>
              <w:jc w:val="center"/>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5</w:t>
            </w:r>
          </w:p>
        </w:tc>
        <w:tc>
          <w:tcPr>
            <w:tcW w:w="2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抽纸</w:t>
            </w:r>
          </w:p>
        </w:tc>
        <w:tc>
          <w:tcPr>
            <w:tcW w:w="302" w:type="pct"/>
            <w:shd w:val="clear" w:color="auto" w:fill="auto"/>
            <w:vAlign w:val="center"/>
          </w:tcPr>
          <w:p>
            <w:pPr>
              <w:pStyle w:val="19"/>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8"/>
                <w:szCs w:val="28"/>
                <w:u w:val="none"/>
                <w:lang w:val="en-US" w:eastAsia="zh-CN" w:bidi="ar"/>
              </w:rPr>
            </w:pPr>
          </w:p>
        </w:tc>
        <w:tc>
          <w:tcPr>
            <w:tcW w:w="312" w:type="pct"/>
            <w:shd w:val="clear" w:color="auto" w:fill="auto"/>
            <w:vAlign w:val="center"/>
          </w:tcPr>
          <w:p>
            <w:pPr>
              <w:widowControl/>
              <w:jc w:val="center"/>
              <w:rPr>
                <w:rFonts w:hint="default" w:ascii="Calibri" w:hAnsi="Calibri" w:eastAsia="宋体" w:cs="黑体"/>
                <w:kern w:val="2"/>
                <w:sz w:val="21"/>
                <w:szCs w:val="24"/>
                <w:highlight w:val="none"/>
                <w:lang w:val="en-US" w:eastAsia="zh-CN" w:bidi="ar-SA"/>
              </w:rPr>
            </w:pPr>
          </w:p>
        </w:tc>
        <w:tc>
          <w:tcPr>
            <w:tcW w:w="194" w:type="pct"/>
            <w:shd w:val="clear" w:color="auto" w:fill="auto"/>
            <w:vAlign w:val="center"/>
          </w:tcPr>
          <w:p>
            <w:pPr>
              <w:widowControl/>
              <w:jc w:val="center"/>
              <w:rPr>
                <w:rFonts w:hint="default" w:ascii="宋体" w:hAnsi="宋体" w:cs="宋体"/>
                <w:color w:val="auto"/>
                <w:kern w:val="0"/>
                <w:sz w:val="28"/>
                <w:szCs w:val="28"/>
                <w:lang w:val="en-US" w:eastAsia="zh-CN"/>
              </w:rPr>
            </w:pPr>
          </w:p>
        </w:tc>
        <w:tc>
          <w:tcPr>
            <w:tcW w:w="5937" w:type="dxa"/>
            <w:shd w:val="clear" w:color="auto" w:fill="auto"/>
            <w:vAlign w:val="center"/>
          </w:tcPr>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rPr>
              <w:t>▲</w:t>
            </w:r>
            <w:r>
              <w:rPr>
                <w:rFonts w:hint="eastAsia" w:ascii="宋体" w:hAnsi="宋体" w:eastAsia="宋体" w:cs="宋体"/>
                <w:i w:val="0"/>
                <w:iCs w:val="0"/>
                <w:color w:val="auto"/>
                <w:kern w:val="0"/>
                <w:sz w:val="24"/>
                <w:szCs w:val="24"/>
                <w:highlight w:val="none"/>
                <w:u w:val="none"/>
                <w:lang w:val="en-US" w:eastAsia="zh-CN" w:bidi="ar"/>
              </w:rPr>
              <w:t>1.</w:t>
            </w:r>
            <w:r>
              <w:rPr>
                <w:rFonts w:hint="default" w:ascii="宋体" w:hAnsi="宋体" w:eastAsia="宋体" w:cs="宋体"/>
                <w:i w:val="0"/>
                <w:iCs w:val="0"/>
                <w:color w:val="auto"/>
                <w:kern w:val="0"/>
                <w:sz w:val="24"/>
                <w:szCs w:val="24"/>
                <w:highlight w:val="none"/>
                <w:u w:val="none"/>
                <w:lang w:val="en-US" w:eastAsia="zh-CN" w:bidi="ar"/>
              </w:rPr>
              <w:t>质量与技术标准</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符合或优于</w:t>
            </w:r>
            <w:r>
              <w:rPr>
                <w:rFonts w:hint="eastAsia" w:ascii="宋体" w:hAnsi="宋体" w:eastAsia="宋体" w:cs="宋体"/>
                <w:i w:val="0"/>
                <w:iCs w:val="0"/>
                <w:color w:val="auto"/>
                <w:kern w:val="0"/>
                <w:sz w:val="24"/>
                <w:szCs w:val="24"/>
                <w:highlight w:val="none"/>
                <w:u w:val="none"/>
                <w:lang w:val="en-US" w:eastAsia="zh-CN" w:bidi="ar"/>
              </w:rPr>
              <w:t>国家标准</w:t>
            </w:r>
            <w:r>
              <w:rPr>
                <w:rFonts w:hint="default" w:ascii="宋体" w:hAnsi="宋体" w:eastAsia="宋体" w:cs="宋体"/>
                <w:i w:val="0"/>
                <w:iCs w:val="0"/>
                <w:color w:val="auto"/>
                <w:kern w:val="0"/>
                <w:sz w:val="24"/>
                <w:szCs w:val="24"/>
                <w:highlight w:val="none"/>
                <w:u w:val="none"/>
                <w:lang w:val="en-US" w:eastAsia="zh-CN" w:bidi="ar"/>
              </w:rPr>
              <w:t>GB/T 20810</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Cs/>
                <w:sz w:val="22"/>
                <w:szCs w:val="22"/>
                <w:highlight w:val="none"/>
              </w:rPr>
              <w:t>▲</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.质量指标要求：</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大肠菌群：不得检出；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金黄色葡萄球菌：不得检出；</w:t>
            </w:r>
          </w:p>
          <w:p>
            <w:pPr>
              <w:widowControl/>
              <w:jc w:val="left"/>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可迁移性荧光物质：不得检出；</w:t>
            </w:r>
          </w:p>
          <w:p>
            <w:pPr>
              <w:widowControl/>
              <w:jc w:val="left"/>
              <w:rPr>
                <w:rFonts w:hint="eastAsia" w:ascii="宋体" w:hAnsi="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细菌菌落总数达标</w:t>
            </w:r>
            <w:r>
              <w:rPr>
                <w:rFonts w:hint="eastAsia" w:ascii="宋体" w:hAnsi="宋体" w:cs="宋体"/>
                <w:i w:val="0"/>
                <w:iCs w:val="0"/>
                <w:color w:val="auto"/>
                <w:kern w:val="0"/>
                <w:sz w:val="24"/>
                <w:szCs w:val="24"/>
                <w:highlight w:val="none"/>
                <w:u w:val="none"/>
                <w:lang w:val="en-US" w:eastAsia="zh-CN" w:bidi="ar"/>
              </w:rPr>
              <w:t>（≤600CFU/g）</w:t>
            </w:r>
            <w:r>
              <w:rPr>
                <w:rFonts w:hint="eastAsia" w:ascii="宋体" w:hAnsi="宋体" w:eastAsia="宋体" w:cs="宋体"/>
                <w:i w:val="0"/>
                <w:iCs w:val="0"/>
                <w:color w:val="auto"/>
                <w:kern w:val="0"/>
                <w:sz w:val="24"/>
                <w:szCs w:val="24"/>
                <w:highlight w:val="none"/>
                <w:u w:val="none"/>
                <w:lang w:val="en-US" w:eastAsia="zh-CN" w:bidi="ar"/>
              </w:rPr>
              <w:t>；掉粉率为0</w:t>
            </w:r>
            <w:r>
              <w:rPr>
                <w:rFonts w:hint="eastAsia" w:ascii="宋体" w:hAnsi="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cs="宋体"/>
                <w:b/>
                <w:bCs/>
                <w:i w:val="0"/>
                <w:iCs w:val="0"/>
                <w:color w:val="auto"/>
                <w:kern w:val="0"/>
                <w:sz w:val="24"/>
                <w:szCs w:val="24"/>
                <w:highlight w:val="none"/>
                <w:u w:val="none"/>
                <w:lang w:val="en-US" w:eastAsia="zh-CN" w:bidi="ar"/>
              </w:rPr>
              <w:t>以</w:t>
            </w:r>
            <w:r>
              <w:rPr>
                <w:rFonts w:hint="eastAsia" w:ascii="宋体" w:hAnsi="宋体" w:cs="宋体"/>
                <w:b/>
                <w:bCs/>
                <w:i w:val="0"/>
                <w:iCs w:val="0"/>
                <w:color w:val="auto"/>
                <w:kern w:val="0"/>
                <w:sz w:val="24"/>
                <w:szCs w:val="24"/>
                <w:highlight w:val="none"/>
                <w:u w:val="none"/>
                <w:lang w:val="en-US" w:eastAsia="zh-CN" w:bidi="ar"/>
              </w:rPr>
              <w:t>上1-2</w:t>
            </w:r>
            <w:r>
              <w:rPr>
                <w:rFonts w:hint="default" w:ascii="宋体" w:hAnsi="宋体" w:eastAsia="宋体" w:cs="宋体"/>
                <w:b/>
                <w:bCs/>
                <w:i w:val="0"/>
                <w:iCs w:val="0"/>
                <w:color w:val="auto"/>
                <w:kern w:val="0"/>
                <w:sz w:val="24"/>
                <w:szCs w:val="24"/>
                <w:highlight w:val="none"/>
                <w:u w:val="none"/>
                <w:lang w:val="en-US" w:eastAsia="zh-CN" w:bidi="ar"/>
              </w:rPr>
              <w:t>指标提供第三方机构出具的符合GB/T 20810-2018检验报告。</w:t>
            </w:r>
          </w:p>
          <w:p>
            <w:pPr>
              <w:widowControl/>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3.工艺：</w:t>
            </w:r>
            <w:r>
              <w:rPr>
                <w:rFonts w:hint="default" w:ascii="宋体" w:hAnsi="宋体" w:eastAsia="宋体" w:cs="宋体"/>
                <w:i w:val="0"/>
                <w:iCs w:val="0"/>
                <w:color w:val="auto"/>
                <w:kern w:val="0"/>
                <w:sz w:val="24"/>
                <w:szCs w:val="24"/>
                <w:highlight w:val="none"/>
                <w:u w:val="none"/>
                <w:lang w:val="en-US" w:eastAsia="zh-CN" w:bidi="ar"/>
              </w:rPr>
              <w:t>100%</w:t>
            </w:r>
            <w:r>
              <w:rPr>
                <w:rFonts w:hint="eastAsia" w:ascii="宋体" w:hAnsi="宋体" w:eastAsia="宋体" w:cs="宋体"/>
                <w:i w:val="0"/>
                <w:iCs w:val="0"/>
                <w:color w:val="auto"/>
                <w:kern w:val="0"/>
                <w:sz w:val="24"/>
                <w:szCs w:val="24"/>
                <w:highlight w:val="none"/>
                <w:u w:val="none"/>
                <w:lang w:val="en-US" w:eastAsia="zh-CN" w:bidi="ar"/>
              </w:rPr>
              <w:t>原生木浆/加厚/无粉尘；</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4.质量要求：柔软亲肤</w:t>
            </w:r>
            <w:r>
              <w:rPr>
                <w:rFonts w:hint="default" w:ascii="宋体" w:hAnsi="宋体" w:eastAsia="宋体" w:cs="宋体"/>
                <w:i w:val="0"/>
                <w:iCs w:val="0"/>
                <w:color w:val="auto"/>
                <w:kern w:val="0"/>
                <w:sz w:val="24"/>
                <w:szCs w:val="24"/>
                <w:highlight w:val="none"/>
                <w:u w:val="none"/>
                <w:lang w:val="en-US" w:eastAsia="zh-CN" w:bidi="ar"/>
              </w:rPr>
              <w:t>：直接接触皮肤，触感柔软舒适，无摩擦感</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强韧耐用：纸张需有足够的湿强度和干强度，擦拭时不易破裂、不起纸屑、不掉毛絮</w:t>
            </w:r>
            <w:r>
              <w:rPr>
                <w:rFonts w:hint="eastAsia" w:ascii="宋体" w:hAnsi="宋体" w:eastAsia="宋体" w:cs="宋体"/>
                <w:i w:val="0"/>
                <w:iCs w:val="0"/>
                <w:color w:val="auto"/>
                <w:kern w:val="0"/>
                <w:sz w:val="24"/>
                <w:szCs w:val="24"/>
                <w:highlight w:val="none"/>
                <w:u w:val="none"/>
                <w:lang w:val="en-US" w:eastAsia="zh-CN" w:bidi="ar"/>
              </w:rPr>
              <w:t>；</w:t>
            </w:r>
          </w:p>
          <w:p>
            <w:pPr>
              <w:widowControl/>
              <w:jc w:val="left"/>
              <w:rPr>
                <w:rFonts w:hint="eastAsia" w:ascii="Calibri" w:hAnsi="Calibri" w:eastAsia="宋体" w:cs="黑体"/>
                <w:color w:val="auto"/>
                <w:kern w:val="2"/>
                <w:sz w:val="21"/>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.包装与用量：</w:t>
            </w:r>
            <w:r>
              <w:rPr>
                <w:rFonts w:hint="eastAsia" w:ascii="宋体" w:hAnsi="宋体" w:eastAsia="宋体" w:cs="宋体"/>
                <w:i w:val="0"/>
                <w:iCs w:val="0"/>
                <w:color w:val="auto"/>
                <w:kern w:val="0"/>
                <w:sz w:val="24"/>
                <w:szCs w:val="24"/>
                <w:highlight w:val="none"/>
                <w:u w:val="none"/>
                <w:lang w:val="en-US" w:eastAsia="zh-CN" w:bidi="ar"/>
              </w:rPr>
              <w:t>盒装抽纸</w:t>
            </w:r>
            <w:r>
              <w:rPr>
                <w:rFonts w:hint="default" w:ascii="宋体" w:hAnsi="宋体" w:eastAsia="宋体" w:cs="宋体"/>
                <w:i w:val="0"/>
                <w:iCs w:val="0"/>
                <w:color w:val="auto"/>
                <w:kern w:val="0"/>
                <w:sz w:val="24"/>
                <w:szCs w:val="24"/>
                <w:highlight w:val="none"/>
                <w:u w:val="none"/>
                <w:lang w:val="en-US" w:eastAsia="zh-CN" w:bidi="ar"/>
              </w:rPr>
              <w:t>或软抽纸巾</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带有虚线开口或易撕贴，包装密封性好，抽数足量，抽取方便。</w:t>
            </w:r>
          </w:p>
        </w:tc>
        <w:tc>
          <w:tcPr>
            <w:tcW w:w="779"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545"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c>
          <w:tcPr>
            <w:tcW w:w="339" w:type="pct"/>
            <w:shd w:val="clear" w:color="auto" w:fill="auto"/>
            <w:vAlign w:val="center"/>
          </w:tcPr>
          <w:p>
            <w:pPr>
              <w:widowControl/>
              <w:jc w:val="left"/>
              <w:rPr>
                <w:rFonts w:hint="eastAsia" w:ascii="宋体" w:hAnsi="宋体" w:eastAsia="宋体" w:cs="宋体"/>
                <w:i w:val="0"/>
                <w:iCs w:val="0"/>
                <w:color w:val="000000"/>
                <w:kern w:val="0"/>
                <w:sz w:val="24"/>
                <w:szCs w:val="24"/>
                <w:highlight w:val="none"/>
                <w:u w:val="none"/>
                <w:lang w:val="en-US" w:eastAsia="zh-CN" w:bidi="ar"/>
              </w:rPr>
            </w:pPr>
          </w:p>
        </w:tc>
      </w:tr>
    </w:tbl>
    <w:p>
      <w:pPr>
        <w:rPr>
          <w:rFonts w:hint="eastAsia" w:asciiTheme="minorEastAsia" w:hAnsiTheme="minorEastAsia" w:eastAsiaTheme="minorEastAsia" w:cstheme="minorEastAsia"/>
          <w:b/>
          <w:color w:val="auto"/>
          <w:sz w:val="21"/>
          <w:szCs w:val="21"/>
          <w:highlight w:val="none"/>
          <w:lang w:eastAsia="zh-CN"/>
        </w:rPr>
      </w:pPr>
      <w:r>
        <w:rPr>
          <w:rFonts w:hint="eastAsia" w:ascii="宋体" w:hAnsi="宋体"/>
          <w:sz w:val="28"/>
          <w:szCs w:val="28"/>
        </w:rPr>
        <w:t>备注：</w:t>
      </w:r>
      <w:r>
        <w:rPr>
          <w:rFonts w:hint="eastAsia" w:ascii="宋体" w:hAnsi="宋体"/>
          <w:sz w:val="28"/>
          <w:szCs w:val="28"/>
          <w:lang w:val="en-US" w:eastAsia="zh-CN"/>
        </w:rPr>
        <w:t>如要求提供相关证明文件的，</w:t>
      </w:r>
      <w:r>
        <w:rPr>
          <w:rFonts w:hint="eastAsia" w:ascii="宋体" w:hAnsi="宋体"/>
          <w:sz w:val="28"/>
          <w:szCs w:val="28"/>
        </w:rPr>
        <w:t>投标人须按招标文件要求附相关证明文件，如未提供的视为负偏离。</w:t>
      </w:r>
    </w:p>
    <w:p>
      <w:pPr>
        <w:sectPr>
          <w:pgSz w:w="16838" w:h="11906" w:orient="landscape"/>
          <w:pgMar w:top="1304" w:right="2098" w:bottom="1474" w:left="1984" w:header="851" w:footer="1417" w:gutter="0"/>
          <w:pgNumType w:fmt="numberInDash"/>
          <w:cols w:space="0" w:num="1"/>
          <w:docGrid w:type="lines" w:linePitch="327" w:charSpace="0"/>
        </w:sectPr>
      </w:pPr>
    </w:p>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lang w:val="en-US" w:eastAsia="zh-CN"/>
        </w:rPr>
        <w:t>服务类</w:t>
      </w:r>
      <w:r>
        <w:rPr>
          <w:rFonts w:hint="eastAsia" w:ascii="仿宋" w:hAnsi="仿宋" w:eastAsia="仿宋" w:cs="仿宋"/>
          <w:b/>
          <w:bCs/>
          <w:sz w:val="32"/>
          <w:szCs w:val="32"/>
        </w:rPr>
        <w:t>合同模板</w:t>
      </w:r>
      <w:r>
        <w:rPr>
          <w:rFonts w:hint="eastAsia" w:ascii="仿宋" w:hAnsi="仿宋" w:eastAsia="仿宋" w:cs="仿宋"/>
          <w:b/>
          <w:bCs/>
          <w:sz w:val="32"/>
          <w:szCs w:val="32"/>
          <w:lang w:eastAsia="zh-CN"/>
        </w:rPr>
        <w:t>（</w:t>
      </w:r>
      <w:r>
        <w:rPr>
          <w:rFonts w:hint="eastAsia" w:ascii="仿宋" w:hAnsi="仿宋" w:eastAsia="仿宋" w:cs="仿宋"/>
          <w:b/>
          <w:color w:val="000000"/>
          <w:kern w:val="0"/>
          <w:sz w:val="28"/>
          <w:szCs w:val="28"/>
        </w:rPr>
        <w:t>合同模板仅供参考，中标人根据招投标文件拟定</w:t>
      </w:r>
      <w:r>
        <w:rPr>
          <w:rFonts w:hint="eastAsia" w:ascii="仿宋" w:hAnsi="仿宋" w:eastAsia="仿宋" w:cs="仿宋"/>
          <w:b/>
          <w:color w:val="000000"/>
          <w:kern w:val="0"/>
          <w:sz w:val="28"/>
          <w:szCs w:val="28"/>
          <w:lang w:eastAsia="zh-CN"/>
        </w:rPr>
        <w:t>）</w:t>
      </w:r>
    </w:p>
    <w:p>
      <w:pPr>
        <w:jc w:val="center"/>
        <w:rPr>
          <w:rFonts w:hint="eastAsia"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w:t>
      </w:r>
      <w:r>
        <w:rPr>
          <w:rFonts w:hint="eastAsia" w:ascii="仿宋" w:hAnsi="仿宋" w:eastAsia="仿宋"/>
          <w:b/>
          <w:sz w:val="44"/>
          <w:szCs w:val="44"/>
          <w:lang w:eastAsia="zh-CN"/>
        </w:rPr>
        <w:t>龙岗区第七人民医院</w:t>
      </w:r>
      <w:r>
        <w:rPr>
          <w:rFonts w:hint="eastAsia" w:ascii="仿宋" w:hAnsi="仿宋" w:eastAsia="仿宋"/>
          <w:b/>
          <w:sz w:val="44"/>
          <w:szCs w:val="44"/>
        </w:rPr>
        <w:t>采购合同》</w:t>
      </w:r>
    </w:p>
    <w:p>
      <w:pPr>
        <w:spacing w:line="440" w:lineRule="exact"/>
        <w:ind w:firstLine="560" w:firstLineChars="200"/>
        <w:rPr>
          <w:rFonts w:ascii="仿宋" w:hAnsi="仿宋" w:eastAsia="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宋体"/>
          <w:sz w:val="28"/>
          <w:szCs w:val="28"/>
          <w:u w:val="single"/>
        </w:rPr>
        <w:t xml:space="preserve">                     </w:t>
      </w:r>
    </w:p>
    <w:p>
      <w:pPr>
        <w:spacing w:line="44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项目编号：</w:t>
      </w:r>
      <w:r>
        <w:rPr>
          <w:rFonts w:hint="eastAsia" w:ascii="仿宋" w:hAnsi="仿宋" w:eastAsia="仿宋" w:cs="仿宋_GB2312"/>
          <w:sz w:val="28"/>
          <w:szCs w:val="28"/>
          <w:u w:val="single"/>
          <w:lang w:val="en-US" w:eastAsia="zh-CN"/>
        </w:rPr>
        <w:t xml:space="preserve">                     </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sz w:val="28"/>
          <w:szCs w:val="28"/>
          <w:u w:val="single"/>
        </w:rPr>
        <w:t>服务类</w:t>
      </w:r>
      <w:r>
        <w:rPr>
          <w:rFonts w:hint="eastAsia" w:ascii="仿宋" w:hAnsi="仿宋" w:eastAsia="仿宋" w:cs="仿宋"/>
          <w:sz w:val="28"/>
          <w:szCs w:val="28"/>
          <w:u w:val="single"/>
        </w:rPr>
        <w:t>　</w:t>
      </w:r>
    </w:p>
    <w:p>
      <w:pPr>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采购单位（甲方）：</w:t>
      </w:r>
      <w:r>
        <w:rPr>
          <w:rFonts w:hint="eastAsia" w:ascii="仿宋" w:hAnsi="仿宋" w:eastAsia="仿宋"/>
          <w:sz w:val="28"/>
          <w:szCs w:val="28"/>
          <w:u w:val="single"/>
        </w:rPr>
        <w:t>深圳市</w:t>
      </w:r>
      <w:r>
        <w:rPr>
          <w:rFonts w:hint="eastAsia" w:ascii="仿宋" w:hAnsi="仿宋" w:eastAsia="仿宋"/>
          <w:sz w:val="28"/>
          <w:szCs w:val="28"/>
          <w:u w:val="single"/>
          <w:lang w:eastAsia="zh-CN"/>
        </w:rPr>
        <w:t>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r>
        <w:rPr>
          <w:rFonts w:hint="eastAsia" w:ascii="仿宋" w:hAnsi="仿宋" w:eastAsia="仿宋" w:cs="宋体"/>
          <w:kern w:val="0"/>
          <w:sz w:val="28"/>
          <w:szCs w:val="28"/>
          <w:u w:val="single"/>
        </w:rPr>
        <w:t xml:space="preserve">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
          <w:sz w:val="28"/>
          <w:szCs w:val="28"/>
        </w:rPr>
        <w:t>根据《中华人民共和国政府采购法》《中华人民共和国民法典</w:t>
      </w:r>
      <w:r>
        <w:rPr>
          <w:rFonts w:hint="eastAsia" w:ascii="仿宋" w:hAnsi="仿宋" w:eastAsia="仿宋" w:cs="仿宋"/>
          <w:sz w:val="28"/>
          <w:szCs w:val="28"/>
          <w:lang w:eastAsia="zh-CN"/>
        </w:rPr>
        <w:t>》《</w:t>
      </w:r>
      <w:r>
        <w:rPr>
          <w:rFonts w:hint="eastAsia" w:ascii="仿宋" w:hAnsi="仿宋" w:eastAsia="仿宋" w:cs="仿宋"/>
          <w:sz w:val="28"/>
          <w:szCs w:val="28"/>
        </w:rPr>
        <w:t>深圳经济特区政府采购条例实施细则》《深圳经济特区政府采购条例》等法律法规的规定，甲乙双方按照</w:t>
      </w:r>
      <w:r>
        <w:rPr>
          <w:rFonts w:hint="eastAsia" w:ascii="仿宋" w:hAnsi="仿宋" w:eastAsia="仿宋" w:cs="仿宋"/>
          <w:sz w:val="28"/>
          <w:szCs w:val="28"/>
          <w:u w:val="single"/>
        </w:rPr>
        <w:t xml:space="preserve">                  </w:t>
      </w:r>
      <w:r>
        <w:rPr>
          <w:rFonts w:hint="eastAsia" w:ascii="仿宋" w:hAnsi="仿宋" w:eastAsia="仿宋" w:cs="仿宋"/>
          <w:sz w:val="28"/>
          <w:szCs w:val="28"/>
        </w:rPr>
        <w:t>的招标结果并经双方协商签订本合同。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第一条</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合同标的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项目内容：</w:t>
      </w:r>
      <w:r>
        <w:rPr>
          <w:rFonts w:hint="eastAsia" w:ascii="仿宋" w:hAnsi="仿宋" w:eastAsia="仿宋" w:cs="仿宋_GB2312"/>
          <w:sz w:val="28"/>
          <w:szCs w:val="28"/>
          <w:u w:val="single"/>
        </w:rPr>
        <w:t xml:space="preserve">                        </w:t>
      </w:r>
    </w:p>
    <w:p>
      <w:pPr>
        <w:spacing w:line="480" w:lineRule="exact"/>
        <w:ind w:firstLine="560" w:firstLineChars="200"/>
        <w:rPr>
          <w:rFonts w:hint="eastAsia" w:ascii="仿宋" w:hAnsi="仿宋" w:eastAsia="仿宋" w:cs="仿宋_GB2312"/>
          <w:sz w:val="28"/>
          <w:szCs w:val="28"/>
          <w:u w:val="single"/>
        </w:rPr>
      </w:pPr>
      <w:r>
        <w:rPr>
          <w:rFonts w:hint="eastAsia" w:ascii="仿宋" w:hAnsi="仿宋" w:eastAsia="仿宋" w:cs="仿宋_GB2312"/>
          <w:sz w:val="28"/>
          <w:szCs w:val="28"/>
        </w:rPr>
        <w:t>合同期限为1年，合同有效期自</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一年合同期满后，经履约考核为优或良好的可按原合同条款续签下一年度合同，每次续签期限为1年，最多可续签2次。（是否续约应以公开招标文件</w:t>
      </w:r>
      <w:r>
        <w:rPr>
          <w:rFonts w:hint="eastAsia" w:ascii="仿宋" w:hAnsi="仿宋" w:eastAsia="仿宋" w:cs="仿宋_GB2312"/>
          <w:sz w:val="28"/>
          <w:szCs w:val="28"/>
          <w:lang w:val="en-US" w:eastAsia="zh-CN"/>
        </w:rPr>
        <w:t>或</w:t>
      </w:r>
      <w:r>
        <w:rPr>
          <w:rFonts w:hint="eastAsia" w:ascii="仿宋" w:hAnsi="仿宋" w:eastAsia="仿宋" w:cs="仿宋_GB2312"/>
          <w:sz w:val="28"/>
          <w:szCs w:val="28"/>
        </w:rPr>
        <w:t>中标通知书中有明确约定的可在合同内约定续签事项）。</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第二条  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本合同价款：合同总价为人民币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r>
        <w:rPr>
          <w:rFonts w:hint="eastAsia" w:ascii="仿宋" w:hAnsi="仿宋" w:eastAsia="仿宋" w:cs="仿宋"/>
          <w:sz w:val="28"/>
          <w:szCs w:val="28"/>
        </w:rPr>
        <w:t>（￥</w:t>
      </w:r>
      <w:r>
        <w:rPr>
          <w:rFonts w:hint="eastAsia" w:ascii="仿宋" w:hAnsi="仿宋" w:eastAsia="仿宋" w:cs="宋体"/>
          <w:b/>
          <w:sz w:val="28"/>
          <w:szCs w:val="28"/>
          <w:u w:val="single"/>
        </w:rPr>
        <w:t xml:space="preserve">     </w:t>
      </w:r>
      <w:r>
        <w:rPr>
          <w:rFonts w:hint="eastAsia" w:ascii="仿宋" w:hAnsi="仿宋" w:eastAsia="仿宋" w:cs="仿宋"/>
          <w:sz w:val="28"/>
          <w:szCs w:val="28"/>
        </w:rPr>
        <w:t>）</w:t>
      </w:r>
      <w:r>
        <w:rPr>
          <w:rFonts w:hint="eastAsia" w:ascii="仿宋" w:hAnsi="仿宋" w:eastAsia="仿宋" w:cs="仿宋_GB2312"/>
          <w:sz w:val="28"/>
          <w:szCs w:val="28"/>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人民币报价，</w:t>
      </w:r>
      <w:r>
        <w:rPr>
          <w:rFonts w:hint="eastAsia" w:ascii="仿宋" w:hAnsi="仿宋" w:eastAsia="仿宋" w:cs="仿宋"/>
          <w:sz w:val="28"/>
          <w:szCs w:val="28"/>
        </w:rPr>
        <w:t>总承包报价。报价</w:t>
      </w:r>
      <w:r>
        <w:rPr>
          <w:rFonts w:hint="eastAsia" w:ascii="仿宋" w:hAnsi="仿宋" w:eastAsia="仿宋" w:cs="仿宋_GB2312"/>
          <w:sz w:val="28"/>
          <w:szCs w:val="28"/>
        </w:rPr>
        <w:t>包含税费、人工费、材料费、培训费、维保费等所有费用。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第三条  付款方式</w:t>
      </w:r>
    </w:p>
    <w:p>
      <w:pPr>
        <w:pStyle w:val="7"/>
        <w:spacing w:line="480" w:lineRule="exac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1.详细约定参照招标文件中的约定。</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2.甲乙双方所有款项往来均通过银行转账方式进行，双方指定的收款银行账户信息详见本合同落款处。</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3.乙方应在甲方付款前开具合法有效的发票，甲方收到乙方合法的增值税发票后，根据双方约定时间支付款项。若由于乙方逾期未提供合法有效的增值税发票或者提供发票不齐全，甲方有权拒绝付款，直至票据齐全、合法，且不视为甲方违约。</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4.乙方应向甲方提供真实有效的银行账户，银行账户如有变更，应立即书面通知甲方，如乙方银行账户变更未书面通知甲方，甲方向本合同约定的收款账户付款造成乙方实际未收到款的，该责任由乙方自行承担。未经甲方书面认可，乙方不得将应收款项转让给任何第三方或让任何第三方代收，否则甲方有权拒绝付款。</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5.若本合同付款涉及甲方内部或财政审批迟延的特殊情况，甲方未能按约付款的，乙方对此表示理解，甲方应向乙方进行说明并明确新的付款期限。</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第四条  项目概况</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第五条  服务内容及要求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1.合同签订日起</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天内完成项目实施的准备工作，包括服务内容的大纲及服务团队的组建；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2.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第六条  服务团队</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1.乙方指派</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为负责人（联系方式：</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）的工作团队为甲方提供服务。未经甲方书面同意，乙方不得随意更换团队成员。</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2.必须使用公司直属人员参与本项目服务，不得使用挂靠队伍。</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指派的团队成员资质和能力必须与投标文件中的服务承诺书和服务组织实施方案一致。如甲方对团队成员有异议或要求，乙方保证无条件配合甲方更换团队成员，且更换后人员的资质和能力符合甲方的要求。</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4.自乙方向甲方提供服务之日起，甲乙双方</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举行一次工作例会，由乙方团队主要成员向甲方汇报工作进展和需求，并就服务工作进行沟通和交流。</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第七条  服务资料归属</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1.所有提交给甲方的服务文件及相关的资料的最后文本，包括为履行服务范围所编制的图纸、计划和证明资料等，都属于甲方的财产，乙方在提交给甲方之前应将上述资料进行整理归类和编制索引。</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2.乙方未经甲方的书面同意，不得将上述资料</w:t>
      </w:r>
      <w:r>
        <w:rPr>
          <w:rFonts w:hint="eastAsia" w:ascii="仿宋" w:hAnsi="仿宋" w:eastAsia="仿宋" w:cs="仿宋_GB2312"/>
          <w:sz w:val="28"/>
          <w:szCs w:val="28"/>
          <w:lang w:eastAsia="zh-CN"/>
        </w:rPr>
        <w:t>用于</w:t>
      </w:r>
      <w:r>
        <w:rPr>
          <w:rFonts w:hint="eastAsia" w:ascii="仿宋" w:hAnsi="仿宋" w:eastAsia="仿宋" w:cs="仿宋_GB2312"/>
          <w:sz w:val="28"/>
          <w:szCs w:val="28"/>
        </w:rPr>
        <w:t>本咨询服务项目之外的任何项目。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3.合同履行完毕，未经甲方的书面同意，乙方不得保存在履行合同过程中所获得或</w:t>
      </w:r>
      <w:r>
        <w:rPr>
          <w:rFonts w:hint="eastAsia" w:ascii="仿宋" w:hAnsi="仿宋" w:eastAsia="仿宋" w:cs="仿宋_GB2312"/>
          <w:sz w:val="28"/>
          <w:szCs w:val="28"/>
          <w:lang w:eastAsia="zh-CN"/>
        </w:rPr>
        <w:t>接触</w:t>
      </w:r>
      <w:r>
        <w:rPr>
          <w:rFonts w:hint="eastAsia" w:ascii="仿宋" w:hAnsi="仿宋" w:eastAsia="仿宋" w:cs="仿宋_GB2312"/>
          <w:sz w:val="28"/>
          <w:szCs w:val="28"/>
        </w:rPr>
        <w:t>的任何内部数据资料。</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第八条  甲方的权利与义务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1.甲方有权对乙方的工作进行监督和检查、有权对乙方提出修改意见和建议。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2.甲方有权对乙方提交的服务成果进行验收，验收不合格的有权要求乙方修改，直至甲方验收合格。</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3.对于验收合格后的服务成果，甲方应向乙方支付服务费用。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第九条</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乙方的权利与义务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1.乙方有权要求甲方支付服务费用。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2.对于服务需求不明确的，乙方有权要求甲方明确具体服务需求。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3.乙方应勤勉尽职地为甲方提供服务，并尽最大</w:t>
      </w:r>
      <w:r>
        <w:rPr>
          <w:rFonts w:hint="eastAsia" w:ascii="仿宋" w:hAnsi="仿宋" w:eastAsia="仿宋" w:cs="仿宋_GB2312"/>
          <w:sz w:val="28"/>
          <w:szCs w:val="28"/>
          <w:lang w:eastAsia="zh-CN"/>
        </w:rPr>
        <w:t>努力</w:t>
      </w:r>
      <w:r>
        <w:rPr>
          <w:rFonts w:hint="eastAsia" w:ascii="仿宋" w:hAnsi="仿宋" w:eastAsia="仿宋" w:cs="仿宋_GB2312"/>
          <w:sz w:val="28"/>
          <w:szCs w:val="28"/>
        </w:rPr>
        <w:t>满足甲方对乙方的专业服务需求。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4.乙方应在约定时间内按照甲方要求的形式、数量提交服务成果。</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5.未经甲方书面同意，乙方不得将本合同项下的服务内容全部或部分委托给第三方完成。</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6.如乙方为提供本合同项下的服务而保管甲方交付的设备、物品等，保管期间，乙方应谨慎尽职，不论何种原因包括不可抗力因素，乙方均需确保设备、物品的安全，不遭受损害。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7.乙方应做到合法用工，与工作人员建立合法的劳动/劳务关系，负责工作人员的工资、社会保险及其他保险的购买。乙方与其工作人员发生的一切纠纷均与甲方无关。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8.乙方应按照国家规定为工作人员提供合理的工作条件与保护设施，乙方工作人员在甲方场地内发生的一切意外、事故等均由乙方承担，与甲方无关。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9.乙方在甲方院内提供服务的，应保证其工作人员严格遵守甲方各项管理规定，服务过程中如造成甲方场所及设施损坏、工作人员人身伤害或第三方人身伤害、财产损失，乙方应承担全部赔偿责任。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 xml:space="preserve">第十条 </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保证与承诺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1.乙方保证所提供的产品/服务/成果不侵犯任何第三方的知识产权或其他合法权益。</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2.甲乙双方保证对在本次合作中知悉对方的商业秘密履行保密义务，在与本协议无关的工作中，不泄露、不以任何原因任意使用相关的合同、数据、资料与信息等。</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在向甲方提供服务的过程中，如乙方可能从设备上存取、查看和/或下载包括个人数据、用来直接或间接地识别出个人相关信息等计算机文档。个人数据可能包括个人健康信息和非健康信息（如姓名、出生日期、性别等）。乙方对个人数据等相关文档的使用仅限于履行本合同规定的义务所必</w:t>
      </w:r>
      <w:r>
        <w:rPr>
          <w:rFonts w:hint="eastAsia" w:ascii="仿宋" w:hAnsi="仿宋" w:eastAsia="仿宋" w:cs="仿宋_GB2312"/>
          <w:sz w:val="28"/>
          <w:szCs w:val="28"/>
          <w:lang w:val="en-US" w:eastAsia="zh-CN"/>
        </w:rPr>
        <w:t>需</w:t>
      </w:r>
      <w:r>
        <w:rPr>
          <w:rFonts w:hint="eastAsia" w:ascii="仿宋" w:hAnsi="仿宋" w:eastAsia="仿宋" w:cs="仿宋_GB2312"/>
          <w:sz w:val="28"/>
          <w:szCs w:val="28"/>
        </w:rPr>
        <w:t>的限度内，不得擅自翻阅、复制、传播所接触的用户资料或数据，乙方和相关人员保证不</w:t>
      </w:r>
      <w:r>
        <w:rPr>
          <w:rFonts w:hint="eastAsia" w:ascii="仿宋" w:hAnsi="仿宋" w:eastAsia="仿宋" w:cs="仿宋_GB2312"/>
          <w:sz w:val="28"/>
          <w:szCs w:val="28"/>
          <w:lang w:eastAsia="zh-CN"/>
        </w:rPr>
        <w:t>泄</w:t>
      </w:r>
      <w:r>
        <w:rPr>
          <w:rFonts w:hint="eastAsia" w:ascii="仿宋" w:hAnsi="仿宋" w:eastAsia="仿宋" w:cs="仿宋_GB2312"/>
          <w:sz w:val="28"/>
          <w:szCs w:val="28"/>
          <w:lang w:val="en-US" w:eastAsia="zh-CN"/>
        </w:rPr>
        <w:t>密</w:t>
      </w:r>
      <w:r>
        <w:rPr>
          <w:rFonts w:hint="eastAsia" w:ascii="仿宋" w:hAnsi="仿宋" w:eastAsia="仿宋" w:cs="仿宋_GB2312"/>
          <w:sz w:val="28"/>
          <w:szCs w:val="28"/>
        </w:rPr>
        <w:t>、以任何原因使用或允许他人使用用户设备数据、资料与信息等。乙方对其指派的工作人员的保密义务承担责任。</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保密义务应同样适用于甲乙双方的员工、辅助人员和三方合作者。本条款的效力长期有效，不因合同履行完毕、终止而失效。如因司法机关或政府部门要求，甲方上级检查及同级单位学习而对外披露商业秘密的，不视为违反保密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5.合同履行期间，乙方应主动维护甲方的名誉与利益，不作出任何损害甲方名誉与利益的行为。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6.未经甲方事先书面同意，乙方不得使用甲方名义等对外进行宣传。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7.乙方及乙方参加项目的有关人员均需同甲方签订保密协议。</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免责条款</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违约责任</w:t>
      </w:r>
    </w:p>
    <w:p>
      <w:pPr>
        <w:spacing w:line="480" w:lineRule="exact"/>
        <w:ind w:firstLine="560" w:firstLineChars="200"/>
        <w:rPr>
          <w:rFonts w:hint="eastAsia" w:ascii="仿宋" w:hAnsi="仿宋" w:eastAsia="仿宋" w:cs="仿宋_GB2312"/>
          <w:sz w:val="28"/>
          <w:szCs w:val="28"/>
        </w:rPr>
      </w:pPr>
      <w:bookmarkStart w:id="22" w:name="_Hlk42353112"/>
      <w:r>
        <w:rPr>
          <w:rFonts w:hint="eastAsia" w:ascii="仿宋" w:hAnsi="仿宋" w:eastAsia="仿宋" w:cs="仿宋_GB2312"/>
          <w:sz w:val="28"/>
          <w:szCs w:val="28"/>
        </w:rPr>
        <w:t>1.双方均应忠实履行合同约定的各项内容，任何一方违反本合同，均应承担违约责任。双方约定如一方违反合同约定，则违约方应向守约方支付违约金，违约金的金额为合同总价款的（）%，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22"/>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2.乙方未按照双方约定的时间提交服务成果的，每延迟一天，应该按照服务费用金额的（）%向甲方支付违约金。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3.发生以下情形之一，甲方有权单方解除本合同，乙方应向甲方退回已支付的全部款项，且甲方有权要求乙方按照服务费总金额的（）%支付违约金：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（1）乙方延迟提交服务成果超过</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w:t>
      </w:r>
    </w:p>
    <w:p>
      <w:pPr>
        <w:spacing w:line="48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rPr>
        <w:t>（2）未经甲方书面同意，乙方将本合同项下部分或全部工作委托给第三方承担的</w:t>
      </w:r>
      <w:r>
        <w:rPr>
          <w:rFonts w:hint="eastAsia" w:ascii="仿宋" w:hAnsi="仿宋" w:eastAsia="仿宋" w:cs="仿宋_GB2312"/>
          <w:sz w:val="28"/>
          <w:szCs w:val="28"/>
          <w:lang w:eastAsia="zh-CN"/>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4.如乙方原因导致提供的服务成果存在侵犯第三方知识产权或其他合法权益的情形，乙方除了承担全部赔偿责任之外，还应按照合同总金额（）%向甲方支付违约金。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5.甲方有权自应支付给乙方的服务费用中直接扣除各种索赔款项，包括但不限于赔偿款、违约金、律师费、诉讼费、鉴定费等。</w:t>
      </w:r>
    </w:p>
    <w:p>
      <w:pPr>
        <w:pStyle w:val="34"/>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6.服务期间，若乙方被甲方用户投诉，经确认为有效投诉的每次扣除人民币</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元。</w:t>
      </w:r>
    </w:p>
    <w:p>
      <w:pPr>
        <w:pStyle w:val="34"/>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7.甲方每</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个月组织一次履约评价，总分低</w:t>
      </w:r>
      <w:r>
        <w:rPr>
          <w:rFonts w:hint="eastAsia" w:ascii="仿宋" w:hAnsi="仿宋" w:eastAsia="仿宋" w:cs="仿宋_GB2312"/>
          <w:sz w:val="28"/>
          <w:szCs w:val="28"/>
          <w:u w:val="none"/>
        </w:rPr>
        <w:t>于</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分的根据差额分进行经济处罚。处罚约定根据招标文件中的约定执行。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争议解决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因履行本合同引起的或与本合同有关的争议，甲乙双方应首先通过友好协商解决，如果协商不能解决，则通过向甲方所在地有管辖权的人民法院提起诉讼解决。</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本合同附件</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以下附件及乙方投标时提供的投标文件和其他相关资料作为本合同的补充内容，具有同等法律效力。</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附件1：服务项目清单（加盖公章）；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附件2：深圳市龙岗区第七人民医院廉洁购销合同；</w:t>
      </w:r>
    </w:p>
    <w:p>
      <w:pPr>
        <w:spacing w:line="48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rPr>
        <w:t>附件3：龙岗区进一步规范政商交往行为告知书</w:t>
      </w:r>
      <w:r>
        <w:rPr>
          <w:rFonts w:hint="eastAsia" w:ascii="仿宋" w:hAnsi="仿宋" w:eastAsia="仿宋" w:cs="仿宋_GB2312"/>
          <w:sz w:val="28"/>
          <w:szCs w:val="28"/>
          <w:lang w:eastAsia="zh-CN"/>
        </w:rPr>
        <w:t>；</w:t>
      </w:r>
    </w:p>
    <w:p>
      <w:pPr>
        <w:pStyle w:val="9"/>
        <w:ind w:firstLine="560" w:firstLineChars="200"/>
        <w:rPr>
          <w:rFonts w:hint="default"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附件4：……。</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第十三条  合同生效及其它</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r>
        <w:rPr>
          <w:rFonts w:hint="eastAsia" w:ascii="仿宋" w:hAnsi="仿宋" w:eastAsia="仿宋" w:cs="仿宋"/>
          <w:sz w:val="28"/>
          <w:szCs w:val="28"/>
          <w:u w:val="single"/>
        </w:rPr>
        <w:t xml:space="preserve">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4.本合同正本一式</w:t>
      </w:r>
      <w:r>
        <w:rPr>
          <w:rFonts w:hint="eastAsia" w:ascii="仿宋" w:hAnsi="仿宋" w:eastAsia="仿宋" w:cs="仿宋"/>
          <w:sz w:val="28"/>
          <w:szCs w:val="28"/>
          <w:u w:val="single"/>
          <w:lang w:val="en-US" w:eastAsia="zh-CN"/>
        </w:rPr>
        <w:t>肆</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lang w:val="en-US" w:eastAsia="zh-CN"/>
        </w:rPr>
        <w:t>叁</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p>
      <w:pPr>
        <w:pStyle w:val="7"/>
        <w:spacing w:line="440" w:lineRule="exact"/>
      </w:pPr>
    </w:p>
    <w:tbl>
      <w:tblPr>
        <w:tblStyle w:val="21"/>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hint="eastAsia" w:ascii="仿宋" w:hAnsi="仿宋" w:eastAsia="仿宋" w:cs="仿宋"/>
                <w:b/>
                <w:bCs/>
                <w:kern w:val="0"/>
                <w:sz w:val="24"/>
                <w:lang w:eastAsia="zh-CN"/>
              </w:rPr>
            </w:pPr>
            <w:r>
              <w:rPr>
                <w:rFonts w:hint="eastAsia" w:ascii="仿宋" w:hAnsi="仿宋" w:eastAsia="仿宋" w:cs="仿宋"/>
                <w:b/>
                <w:bCs/>
                <w:kern w:val="0"/>
                <w:sz w:val="24"/>
              </w:rPr>
              <w:t>甲方：深圳市</w:t>
            </w:r>
            <w:r>
              <w:rPr>
                <w:rFonts w:hint="eastAsia" w:ascii="仿宋" w:hAnsi="仿宋" w:eastAsia="仿宋" w:cs="仿宋"/>
                <w:b/>
                <w:bCs/>
                <w:kern w:val="0"/>
                <w:sz w:val="24"/>
                <w:lang w:eastAsia="zh-CN"/>
              </w:rPr>
              <w:t>龙岗区第七人民医院</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纳税人识别号</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12440307</w:t>
            </w:r>
            <w:r>
              <w:rPr>
                <w:rFonts w:hint="eastAsia" w:ascii="仿宋" w:hAnsi="仿宋" w:eastAsia="仿宋" w:cs="仿宋"/>
                <w:b/>
                <w:bCs/>
                <w:color w:val="000000"/>
                <w:sz w:val="24"/>
                <w:lang w:val="en-US" w:eastAsia="zh-CN"/>
              </w:rPr>
              <w:t>G34813567P</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11" w:type="dxa"/>
            <w:noWrap/>
            <w:vAlign w:val="top"/>
          </w:tcPr>
          <w:p>
            <w:pPr>
              <w:spacing w:line="360" w:lineRule="auto"/>
            </w:pPr>
            <w:r>
              <w:rPr>
                <w:rFonts w:hint="eastAsia" w:ascii="仿宋" w:hAnsi="仿宋" w:eastAsia="仿宋" w:cs="仿宋"/>
                <w:b/>
                <w:bCs/>
                <w:kern w:val="0"/>
                <w:sz w:val="24"/>
              </w:rPr>
              <w:t>开户银行：</w:t>
            </w:r>
          </w:p>
        </w:tc>
        <w:tc>
          <w:tcPr>
            <w:tcW w:w="4111" w:type="dxa"/>
            <w:noWrap/>
            <w:vAlign w:val="to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kern w:val="0"/>
                <w:sz w:val="24"/>
              </w:rPr>
            </w:pPr>
            <w:r>
              <w:rPr>
                <w:rFonts w:hint="eastAsia" w:ascii="仿宋" w:hAnsi="仿宋" w:eastAsia="仿宋" w:cs="仿宋"/>
                <w:b/>
                <w:bCs/>
                <w:color w:val="000000"/>
                <w:sz w:val="24"/>
                <w:lang w:eastAsia="zh-CN"/>
              </w:rPr>
              <w:t>账</w:t>
            </w:r>
            <w:r>
              <w:rPr>
                <w:rFonts w:hint="eastAsia" w:ascii="仿宋" w:hAnsi="仿宋" w:eastAsia="仿宋" w:cs="仿宋"/>
                <w:b/>
                <w:bCs/>
                <w:color w:val="000000"/>
                <w:sz w:val="24"/>
              </w:rPr>
              <w:t xml:space="preserve">    号：</w:t>
            </w:r>
          </w:p>
        </w:tc>
        <w:tc>
          <w:tcPr>
            <w:tcW w:w="4111"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lang w:eastAsia="zh-CN"/>
              </w:rPr>
              <w:t>账</w:t>
            </w:r>
            <w:r>
              <w:rPr>
                <w:rFonts w:hint="eastAsia" w:ascii="仿宋" w:hAnsi="仿宋" w:eastAsia="仿宋" w:cs="仿宋"/>
                <w:b/>
                <w:bCs/>
                <w:color w:val="000000"/>
                <w:sz w:val="24"/>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w:t>
            </w:r>
          </w:p>
        </w:tc>
        <w:tc>
          <w:tcPr>
            <w:tcW w:w="4111"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甲方法定代表人或授权人（签字）：</w:t>
            </w:r>
          </w:p>
          <w:p>
            <w:pPr>
              <w:pStyle w:val="7"/>
              <w:ind w:firstLine="0"/>
            </w:pPr>
          </w:p>
          <w:p>
            <w:pPr>
              <w:pStyle w:val="7"/>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分管领导、经办科室负责人（签字）：</w:t>
            </w:r>
          </w:p>
          <w:p>
            <w:pPr>
              <w:pStyle w:val="7"/>
              <w:ind w:firstLine="0"/>
            </w:pPr>
          </w:p>
          <w:p>
            <w:pPr>
              <w:pStyle w:val="7"/>
              <w:ind w:firstLine="0"/>
            </w:pP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乙方法定代表人（签字）：</w:t>
            </w:r>
          </w:p>
          <w:p>
            <w:pPr>
              <w:pStyle w:val="7"/>
              <w:ind w:firstLine="0"/>
            </w:pPr>
          </w:p>
          <w:p>
            <w:pPr>
              <w:pStyle w:val="7"/>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或授权人（签字）：</w:t>
            </w:r>
          </w:p>
          <w:p>
            <w:pPr>
              <w:pStyle w:val="7"/>
              <w:ind w:firstLine="0"/>
            </w:pPr>
          </w:p>
          <w:p>
            <w:pPr>
              <w:pStyle w:val="7"/>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22" w:type="dxa"/>
            <w:gridSpan w:val="2"/>
            <w:noWrap/>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签约时间：    年  月  日</w:t>
            </w:r>
          </w:p>
          <w:p>
            <w:pPr>
              <w:spacing w:line="480" w:lineRule="exact"/>
              <w:jc w:val="center"/>
              <w:rPr>
                <w:rFonts w:hint="eastAsia" w:ascii="宋体" w:hAnsi="宋体" w:eastAsia="仿宋"/>
                <w:kern w:val="0"/>
                <w:sz w:val="24"/>
                <w:lang w:eastAsia="zh-CN"/>
              </w:rPr>
            </w:pPr>
            <w:r>
              <w:rPr>
                <w:rFonts w:hint="eastAsia" w:ascii="仿宋" w:hAnsi="仿宋" w:eastAsia="仿宋" w:cs="仿宋"/>
                <w:b/>
                <w:bCs/>
                <w:color w:val="000000"/>
                <w:sz w:val="28"/>
                <w:szCs w:val="28"/>
              </w:rPr>
              <w:t>签约地址：深圳市</w:t>
            </w:r>
            <w:r>
              <w:rPr>
                <w:rFonts w:hint="eastAsia" w:ascii="仿宋" w:hAnsi="仿宋" w:eastAsia="仿宋" w:cs="仿宋"/>
                <w:b/>
                <w:bCs/>
                <w:color w:val="000000"/>
                <w:sz w:val="28"/>
                <w:szCs w:val="28"/>
                <w:lang w:eastAsia="zh-CN"/>
              </w:rPr>
              <w:t>龙岗区第七人民医院</w:t>
            </w:r>
          </w:p>
        </w:tc>
      </w:tr>
    </w:tbl>
    <w:p>
      <w:pPr>
        <w:spacing w:line="500" w:lineRule="exact"/>
        <w:rPr>
          <w:rFonts w:ascii="仿宋" w:hAnsi="仿宋" w:eastAsia="仿宋" w:cs="仿宋"/>
          <w:sz w:val="28"/>
          <w:szCs w:val="28"/>
        </w:rPr>
      </w:pPr>
    </w:p>
    <w:p>
      <w:pPr>
        <w:pStyle w:val="9"/>
        <w:rPr>
          <w:rFonts w:ascii="仿宋" w:hAnsi="仿宋" w:eastAsia="仿宋" w:cs="仿宋"/>
          <w:sz w:val="28"/>
          <w:szCs w:val="28"/>
        </w:rPr>
      </w:pPr>
    </w:p>
    <w:p>
      <w:pPr>
        <w:rPr>
          <w:rFonts w:ascii="仿宋" w:hAnsi="仿宋" w:eastAsia="仿宋" w:cs="仿宋"/>
          <w:sz w:val="28"/>
          <w:szCs w:val="28"/>
        </w:rPr>
      </w:pPr>
    </w:p>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docGrid w:type="lines" w:linePitch="338"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28"/>
          <w:szCs w:val="28"/>
        </w:rPr>
      </w:pPr>
      <w:r>
        <w:rPr>
          <w:rFonts w:hint="eastAsia" w:ascii="楷体_GB2312" w:hAnsi="ˎ̥" w:eastAsia="楷体_GB2312"/>
          <w:b/>
          <w:sz w:val="28"/>
          <w:szCs w:val="28"/>
        </w:rPr>
        <w:t>甲方</w:t>
      </w:r>
      <w:r>
        <w:rPr>
          <w:rFonts w:hint="eastAsia" w:ascii="仿宋_GB2312" w:hAnsi="ˎ̥" w:eastAsia="仿宋_GB2312"/>
          <w:sz w:val="28"/>
          <w:szCs w:val="28"/>
        </w:rPr>
        <w:t>：深圳市龙岗区第七人民医院</w:t>
      </w:r>
    </w:p>
    <w:p>
      <w:pPr>
        <w:spacing w:line="560" w:lineRule="exact"/>
        <w:rPr>
          <w:rFonts w:ascii="楷体_GB2312" w:hAnsi="ˎ̥" w:eastAsia="楷体_GB2312"/>
          <w:b/>
          <w:sz w:val="28"/>
          <w:szCs w:val="28"/>
        </w:rPr>
      </w:pPr>
      <w:r>
        <w:rPr>
          <w:rFonts w:hint="eastAsia" w:ascii="楷体_GB2312" w:hAnsi="ˎ̥" w:eastAsia="楷体_GB2312"/>
          <w:b/>
          <w:sz w:val="28"/>
          <w:szCs w:val="28"/>
        </w:rPr>
        <w:t>乙方</w:t>
      </w:r>
      <w:r>
        <w:rPr>
          <w:rFonts w:hint="eastAsia" w:ascii="仿宋_GB2312" w:hAnsi="ˎ̥" w:eastAsia="仿宋_GB2312"/>
          <w:sz w:val="28"/>
          <w:szCs w:val="28"/>
        </w:rPr>
        <w:t>：</w:t>
      </w:r>
    </w:p>
    <w:p>
      <w:pPr>
        <w:spacing w:line="560" w:lineRule="exact"/>
        <w:rPr>
          <w:rFonts w:ascii="楷体_GB2312" w:hAnsi="ˎ̥" w:eastAsia="楷体_GB2312"/>
          <w:b/>
          <w:sz w:val="28"/>
          <w:szCs w:val="28"/>
        </w:rPr>
      </w:pPr>
      <w:r>
        <w:rPr>
          <w:rFonts w:hint="eastAsia" w:ascii="楷体_GB2312" w:hAnsi="ˎ̥" w:eastAsia="楷体_GB2312"/>
          <w:b/>
          <w:sz w:val="28"/>
          <w:szCs w:val="28"/>
        </w:rPr>
        <w:t xml:space="preserve">项目名称：            </w:t>
      </w:r>
    </w:p>
    <w:p>
      <w:pPr>
        <w:spacing w:line="560" w:lineRule="exact"/>
        <w:rPr>
          <w:rFonts w:ascii="楷体_GB2312" w:hAnsi="ˎ̥" w:eastAsia="楷体_GB2312"/>
          <w:sz w:val="28"/>
          <w:szCs w:val="28"/>
        </w:rPr>
      </w:pPr>
      <w:r>
        <w:rPr>
          <w:rFonts w:hint="eastAsia" w:ascii="楷体_GB2312" w:hAnsi="ˎ̥" w:eastAsia="楷体_GB2312"/>
          <w:b/>
          <w:sz w:val="28"/>
          <w:szCs w:val="28"/>
        </w:rPr>
        <w:t>合同总价</w:t>
      </w:r>
      <w:r>
        <w:rPr>
          <w:rFonts w:hint="eastAsia" w:ascii="楷体_GB2312" w:hAnsi="ˎ̥" w:eastAsia="楷体_GB2312"/>
          <w:sz w:val="28"/>
          <w:szCs w:val="28"/>
        </w:rPr>
        <w:t>：</w:t>
      </w:r>
    </w:p>
    <w:p>
      <w:pPr>
        <w:spacing w:line="560" w:lineRule="exact"/>
        <w:rPr>
          <w:rFonts w:ascii="楷体_GB2312" w:hAnsi="ˎ̥" w:eastAsia="楷体_GB2312"/>
          <w:b/>
          <w:sz w:val="28"/>
          <w:szCs w:val="28"/>
        </w:rPr>
      </w:pPr>
      <w:r>
        <w:rPr>
          <w:rFonts w:hint="eastAsia" w:ascii="楷体_GB2312" w:hAnsi="ˎ̥" w:eastAsia="楷体_GB2312"/>
          <w:b/>
          <w:sz w:val="28"/>
          <w:szCs w:val="28"/>
        </w:rPr>
        <w:t>主办科室：</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为进一步加强医疗卫生行风建设，规范购销行为，有效防范商业贿赂，营造公平交易、诚实守信的购销环境，经甲、乙双方协商，同意签订本合同，并共同遵守：</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一、甲乙双方按照《中华人民共和国民法典》及产品</w:t>
      </w:r>
      <w:r>
        <w:rPr>
          <w:rFonts w:hint="eastAsia" w:ascii="仿宋_GB2312" w:eastAsia="仿宋_GB2312"/>
          <w:sz w:val="28"/>
          <w:szCs w:val="28"/>
        </w:rPr>
        <w:t>购销合同</w:t>
      </w:r>
      <w:r>
        <w:rPr>
          <w:rFonts w:hint="eastAsia" w:ascii="仿宋_GB2312" w:hAnsi="ˎ̥" w:eastAsia="仿宋_GB2312"/>
          <w:sz w:val="28"/>
          <w:szCs w:val="28"/>
        </w:rPr>
        <w:t>约定实施购销行为。</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二、甲方应当严格执行验收、入库制度，对采购产品及发票进行查验，不得违反有关规定进行合同外采购、违价采购或从非规定渠道采购。</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28"/>
          <w:szCs w:val="28"/>
        </w:rPr>
        <w:t>不得以任何形式向乙方索要现金、有价证券、支付凭证和贵重礼品等</w:t>
      </w:r>
      <w:r>
        <w:rPr>
          <w:rFonts w:hint="eastAsia" w:ascii="仿宋_GB2312" w:hAnsi="ˎ̥" w:eastAsia="仿宋_GB2312"/>
          <w:sz w:val="28"/>
          <w:szCs w:val="28"/>
        </w:rPr>
        <w:t>。被迫接受乙方给予的钱物，应予退还，无法退还的，有责任如实向纪检监察部门反映情况。</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四、严禁甲方工作人员利用任何途径和方式，非法为乙方统计医师个人及临床科室有关医药产品用量信息，或为乙方统方提供便利。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w:t>
      </w:r>
      <w:r>
        <w:rPr>
          <w:rFonts w:hint="eastAsia" w:ascii="仿宋_GB2312" w:hAnsi="ˎ̥" w:eastAsia="仿宋_GB2312"/>
          <w:sz w:val="28"/>
          <w:szCs w:val="28"/>
        </w:rPr>
        <w:t>乙方不得以回扣、</w:t>
      </w:r>
      <w:r>
        <w:rPr>
          <w:rFonts w:hint="eastAsia" w:ascii="仿宋_GB2312" w:eastAsia="仿宋_GB2312"/>
          <w:sz w:val="28"/>
          <w:szCs w:val="28"/>
        </w:rPr>
        <w:t>宴请等方式影响甲方工作人员采购或使用医药产品的选择权，不得在学术活动中提供旅游、超标准支付食宿费用，以及其他任何形式的利益输送。</w:t>
      </w:r>
    </w:p>
    <w:p>
      <w:pPr>
        <w:spacing w:line="560" w:lineRule="exact"/>
        <w:ind w:firstLine="560" w:firstLineChars="200"/>
        <w:rPr>
          <w:rFonts w:ascii="仿宋_GB2312" w:hAnsi="ˎ̥" w:eastAsia="仿宋_GB2312"/>
          <w:sz w:val="28"/>
          <w:szCs w:val="28"/>
        </w:rPr>
      </w:pPr>
      <w:r>
        <w:rPr>
          <w:rFonts w:hint="eastAsia" w:ascii="仿宋_GB2312" w:eastAsia="仿宋_GB2312"/>
          <w:sz w:val="28"/>
          <w:szCs w:val="28"/>
        </w:rPr>
        <w:t>六、乙方指定</w:t>
      </w:r>
      <w:r>
        <w:rPr>
          <w:rFonts w:hint="eastAsia" w:ascii="仿宋_GB2312" w:eastAsia="仿宋_GB2312"/>
          <w:sz w:val="28"/>
          <w:szCs w:val="28"/>
          <w:u w:val="single"/>
        </w:rPr>
        <w:t xml:space="preserve">        </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28"/>
          <w:szCs w:val="28"/>
        </w:rPr>
        <w:t>负责人及相关工作人员家中访谈并提供任何好处费。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w:t>
      </w:r>
      <w:r>
        <w:rPr>
          <w:rFonts w:hint="eastAsia" w:ascii="仿宋_GB2312" w:hAnsi="ˎ̥" w:eastAsia="仿宋_GB2312"/>
          <w:sz w:val="28"/>
          <w:szCs w:val="28"/>
        </w:rPr>
        <w:t>乙方如违反本合同，一经发现，</w:t>
      </w:r>
      <w:r>
        <w:rPr>
          <w:rFonts w:hint="eastAsia" w:ascii="仿宋_GB2312" w:eastAsia="仿宋_GB2312"/>
          <w:sz w:val="28"/>
          <w:szCs w:val="28"/>
        </w:rPr>
        <w:t>甲方有权终止产品购销合同，并向有关部门报告。如乙方被列入商业贿赂不良记录，则严格按照《国家</w:t>
      </w:r>
      <w:r>
        <w:rPr>
          <w:rFonts w:ascii="仿宋_GB2312" w:eastAsia="仿宋_GB2312"/>
          <w:sz w:val="28"/>
          <w:szCs w:val="28"/>
        </w:rPr>
        <w:t>卫生计生委关于建立医药购销领域商业贿赂不良记录的规定</w:t>
      </w:r>
      <w:r>
        <w:rPr>
          <w:rFonts w:hint="eastAsia" w:ascii="仿宋_GB2312" w:eastAsia="仿宋_GB2312"/>
          <w:sz w:val="28"/>
          <w:szCs w:val="28"/>
        </w:rPr>
        <w:t>》</w:t>
      </w:r>
      <w:r>
        <w:rPr>
          <w:rFonts w:eastAsia="仿宋_GB2312"/>
          <w:color w:val="000000"/>
          <w:sz w:val="28"/>
          <w:szCs w:val="28"/>
          <w:shd w:val="clear" w:color="auto" w:fill="FFFFFF"/>
        </w:rPr>
        <w:t>（国卫法制发〔2013〕50号）</w:t>
      </w:r>
      <w:r>
        <w:rPr>
          <w:rFonts w:hint="eastAsia" w:ascii="仿宋_GB2312" w:eastAsia="仿宋_GB2312"/>
          <w:sz w:val="28"/>
          <w:szCs w:val="28"/>
        </w:rPr>
        <w:t>相关规定处理。</w:t>
      </w:r>
    </w:p>
    <w:p>
      <w:pPr>
        <w:spacing w:line="560" w:lineRule="exact"/>
        <w:ind w:firstLine="560" w:firstLineChars="200"/>
        <w:rPr>
          <w:rFonts w:ascii="仿宋_GB2312" w:eastAsia="仿宋_GB2312"/>
          <w:sz w:val="28"/>
          <w:szCs w:val="28"/>
        </w:rPr>
      </w:pPr>
      <w:r>
        <w:rPr>
          <w:rFonts w:hint="eastAsia" w:ascii="仿宋_GB2312" w:hAnsi="ˎ̥" w:eastAsia="仿宋_GB2312"/>
          <w:sz w:val="28"/>
          <w:szCs w:val="28"/>
        </w:rPr>
        <w:t>八、</w:t>
      </w:r>
      <w:r>
        <w:rPr>
          <w:rFonts w:hint="eastAsia" w:ascii="仿宋_GB2312" w:eastAsia="仿宋_GB2312"/>
          <w:sz w:val="28"/>
          <w:szCs w:val="28"/>
        </w:rPr>
        <w:t>本合同作为产品购销合同的组成部分，与购销合同一并执行，具有同等的法律效力。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九、本合同一式叁份，甲方贰份（一份随购销主合同存档，一份交医院纪检监察部门），乙方壹份，从签订之日起生效。</w:t>
      </w:r>
    </w:p>
    <w:p>
      <w:pPr>
        <w:spacing w:line="560" w:lineRule="exact"/>
        <w:rPr>
          <w:rFonts w:ascii="仿宋_GB2312" w:eastAsia="仿宋_GB2312"/>
          <w:sz w:val="28"/>
          <w:szCs w:val="28"/>
        </w:rPr>
      </w:pPr>
    </w:p>
    <w:p>
      <w:pPr>
        <w:spacing w:line="560" w:lineRule="exact"/>
        <w:rPr>
          <w:rFonts w:ascii="楷体_GB2312" w:eastAsia="楷体_GB2312"/>
          <w:b/>
          <w:sz w:val="28"/>
          <w:szCs w:val="28"/>
        </w:rPr>
      </w:pPr>
      <w:r>
        <w:rPr>
          <w:rFonts w:hint="eastAsia" w:ascii="楷体_GB2312" w:eastAsia="楷体_GB2312"/>
          <w:b/>
          <w:sz w:val="28"/>
          <w:szCs w:val="28"/>
        </w:rPr>
        <w:t>甲方（盖章）：                  乙方（盖章）：</w:t>
      </w:r>
    </w:p>
    <w:p>
      <w:pPr>
        <w:spacing w:line="560" w:lineRule="exact"/>
        <w:rPr>
          <w:rFonts w:ascii="楷体_GB2312" w:eastAsia="楷体_GB2312"/>
          <w:b/>
          <w:sz w:val="28"/>
          <w:szCs w:val="28"/>
        </w:rPr>
      </w:pPr>
      <w:r>
        <w:rPr>
          <w:rFonts w:hint="eastAsia" w:ascii="楷体_GB2312" w:eastAsia="楷体_GB2312"/>
          <w:b/>
          <w:sz w:val="28"/>
          <w:szCs w:val="28"/>
        </w:rPr>
        <w:t>法定代表人（</w:t>
      </w:r>
      <w:r>
        <w:rPr>
          <w:rFonts w:ascii="楷体_GB2312" w:eastAsia="楷体_GB2312"/>
          <w:b/>
          <w:sz w:val="28"/>
          <w:szCs w:val="28"/>
        </w:rPr>
        <w:t>负责人</w:t>
      </w:r>
      <w:r>
        <w:rPr>
          <w:rFonts w:hint="eastAsia" w:ascii="楷体_GB2312" w:eastAsia="楷体_GB2312"/>
          <w:b/>
          <w:sz w:val="28"/>
          <w:szCs w:val="28"/>
        </w:rPr>
        <w:t>）：          法定代表人（</w:t>
      </w:r>
      <w:r>
        <w:rPr>
          <w:rFonts w:ascii="楷体_GB2312" w:eastAsia="楷体_GB2312"/>
          <w:b/>
          <w:sz w:val="28"/>
          <w:szCs w:val="28"/>
        </w:rPr>
        <w:t>负责人</w:t>
      </w:r>
      <w:r>
        <w:rPr>
          <w:rFonts w:hint="eastAsia" w:ascii="楷体_GB2312" w:eastAsia="楷体_GB2312"/>
          <w:b/>
          <w:sz w:val="28"/>
          <w:szCs w:val="28"/>
        </w:rPr>
        <w:t>）：</w:t>
      </w:r>
    </w:p>
    <w:p>
      <w:pPr>
        <w:spacing w:line="560" w:lineRule="exact"/>
        <w:rPr>
          <w:sz w:val="28"/>
          <w:szCs w:val="28"/>
        </w:rPr>
      </w:pPr>
      <w:r>
        <w:rPr>
          <w:rFonts w:hint="eastAsia" w:ascii="楷体_GB2312" w:eastAsia="楷体_GB2312"/>
          <w:b/>
          <w:sz w:val="28"/>
          <w:szCs w:val="28"/>
        </w:rPr>
        <w:t>授权代表人签名：               经办人签名：</w:t>
      </w:r>
    </w:p>
    <w:p>
      <w:pPr>
        <w:spacing w:line="560" w:lineRule="exact"/>
        <w:ind w:firstLine="560" w:firstLineChars="200"/>
        <w:rPr>
          <w:rFonts w:ascii="宋体" w:hAnsi="宋体" w:cs="宋体"/>
          <w:color w:val="000000"/>
          <w:kern w:val="0"/>
          <w:sz w:val="44"/>
          <w:szCs w:val="44"/>
          <w:lang w:bidi="ar"/>
        </w:rPr>
        <w:sectPr>
          <w:headerReference r:id="rId6" w:type="default"/>
          <w:footerReference r:id="rId7" w:type="default"/>
          <w:pgSz w:w="11906" w:h="16838"/>
          <w:pgMar w:top="2098" w:right="1474" w:bottom="1984" w:left="1304" w:header="851" w:footer="1417" w:gutter="0"/>
          <w:pgNumType w:fmt="numberInDash"/>
          <w:cols w:space="0" w:num="1"/>
          <w:docGrid w:type="lines" w:linePitch="338" w:charSpace="0"/>
        </w:sectPr>
      </w:pPr>
      <w:r>
        <w:rPr>
          <w:rFonts w:hint="eastAsia" w:ascii="仿宋_GB2312" w:eastAsia="仿宋_GB2312"/>
          <w:sz w:val="28"/>
          <w:szCs w:val="28"/>
        </w:rPr>
        <w:t>年    月   日                 年    月   日</w:t>
      </w:r>
    </w:p>
    <w:p>
      <w:pPr>
        <w:widowControl/>
        <w:spacing w:line="440" w:lineRule="exact"/>
        <w:ind w:firstLine="880" w:firstLineChars="200"/>
        <w:jc w:val="both"/>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为深入构建</w:t>
      </w:r>
      <w:r>
        <w:rPr>
          <w:rFonts w:hint="eastAsia" w:ascii="仿宋_GB2312" w:hAnsi="仿宋_GB2312" w:eastAsia="仿宋_GB2312" w:cs="仿宋_GB2312"/>
          <w:sz w:val="28"/>
          <w:szCs w:val="28"/>
          <w:lang w:eastAsia="zh-CN"/>
        </w:rPr>
        <w:t>亲清政商关系</w:t>
      </w:r>
      <w:r>
        <w:rPr>
          <w:rFonts w:hint="eastAsia" w:ascii="仿宋_GB2312" w:hAnsi="仿宋_GB2312" w:eastAsia="仿宋_GB2312" w:cs="仿宋_GB2312"/>
          <w:sz w:val="28"/>
          <w:szCs w:val="28"/>
        </w:rPr>
        <w:t>，努力打造尊商、亲商、助商、安商良好营商环境，龙岗</w:t>
      </w:r>
      <w:r>
        <w:rPr>
          <w:rFonts w:hint="eastAsia" w:ascii="仿宋_GB2312" w:hAnsi="仿宋_GB2312" w:eastAsia="仿宋_GB2312" w:cs="仿宋_GB2312"/>
          <w:sz w:val="28"/>
          <w:szCs w:val="28"/>
          <w:lang w:eastAsia="zh-CN"/>
        </w:rPr>
        <w:t>区委、区政府</w:t>
      </w:r>
      <w:r>
        <w:rPr>
          <w:rFonts w:hint="eastAsia" w:ascii="仿宋_GB2312" w:hAnsi="仿宋_GB2312" w:eastAsia="仿宋_GB2312" w:cs="仿宋_GB2312"/>
          <w:sz w:val="28"/>
          <w:szCs w:val="28"/>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一、不得向公职人员赠送礼品、礼金、消费卡等财物。</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二、不得违规向公职人员提供宴请、旅游、娱乐等安排。</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三、不得通过打麻将等形式向公职人员输送利益。</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四、不得为公职人员报销应由其个人支付的费用。</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五、不得违规向公职人员及其亲友借贷款。</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八、不得为利益相关人和公职人员牵线搭桥或者代为传递信息、传递财物。</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pPr>
        <w:spacing w:line="440" w:lineRule="exact"/>
        <w:ind w:firstLine="5040" w:firstLineChars="18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ab/>
      </w:r>
    </w:p>
    <w:p>
      <w:pPr>
        <w:spacing w:line="440" w:lineRule="exact"/>
        <w:ind w:firstLine="3920" w:firstLineChars="1400"/>
        <w:rPr>
          <w:rFonts w:ascii="仿宋_GB2312" w:hAnsi="仿宋_GB2312" w:eastAsia="仿宋_GB2312" w:cs="仿宋_GB2312"/>
          <w:sz w:val="28"/>
          <w:szCs w:val="28"/>
        </w:rPr>
      </w:pPr>
    </w:p>
    <w:p>
      <w:pPr>
        <w:pStyle w:val="12"/>
        <w:spacing w:line="44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 xml:space="preserve">                      单位名称（盖章）：</w:t>
      </w:r>
    </w:p>
    <w:p>
      <w:pPr>
        <w:pStyle w:val="12"/>
        <w:spacing w:line="440" w:lineRule="exact"/>
        <w:jc w:val="center"/>
        <w:rPr>
          <w:rFonts w:hint="default" w:ascii="仿宋" w:hAnsi="仿宋" w:eastAsia="仿宋" w:cs="仿宋"/>
          <w:sz w:val="28"/>
          <w:szCs w:val="28"/>
        </w:rPr>
      </w:pPr>
      <w:r>
        <w:rPr>
          <w:rFonts w:ascii="仿宋_GB2312" w:hAnsi="仿宋_GB2312" w:eastAsia="仿宋_GB2312" w:cs="仿宋_GB2312"/>
          <w:sz w:val="28"/>
          <w:szCs w:val="28"/>
        </w:rPr>
        <w:t xml:space="preserve">                   年  月  日</w:t>
      </w:r>
    </w:p>
    <w:p/>
    <w:sectPr>
      <w:headerReference r:id="rId8" w:type="default"/>
      <w:footerReference r:id="rId9" w:type="default"/>
      <w:pgSz w:w="11906" w:h="16838"/>
      <w:pgMar w:top="2098" w:right="1474" w:bottom="1984" w:left="1304" w:header="851" w:footer="1417"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7BE7E"/>
    <w:multiLevelType w:val="singleLevel"/>
    <w:tmpl w:val="22B7BE7E"/>
    <w:lvl w:ilvl="0" w:tentative="0">
      <w:start w:val="3"/>
      <w:numFmt w:val="chineseCounting"/>
      <w:suff w:val="nothing"/>
      <w:lvlText w:val="（%1）"/>
      <w:lvlJc w:val="left"/>
      <w:rPr>
        <w:rFonts w:hint="eastAsia"/>
      </w:rPr>
    </w:lvl>
  </w:abstractNum>
  <w:abstractNum w:abstractNumId="1">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mRkYjg1MWYxOTgzYmE0YjcwNjU0NzA5NzU1Y2UifQ=="/>
  </w:docVars>
  <w:rsids>
    <w:rsidRoot w:val="35550C3B"/>
    <w:rsid w:val="000357E2"/>
    <w:rsid w:val="00164C26"/>
    <w:rsid w:val="00223D3F"/>
    <w:rsid w:val="0023656C"/>
    <w:rsid w:val="002947F5"/>
    <w:rsid w:val="00295392"/>
    <w:rsid w:val="0036050E"/>
    <w:rsid w:val="00392E7C"/>
    <w:rsid w:val="004353BC"/>
    <w:rsid w:val="00454137"/>
    <w:rsid w:val="004B1BC0"/>
    <w:rsid w:val="00543DA4"/>
    <w:rsid w:val="00592B27"/>
    <w:rsid w:val="005C617A"/>
    <w:rsid w:val="006E7FE0"/>
    <w:rsid w:val="007441B8"/>
    <w:rsid w:val="0075337F"/>
    <w:rsid w:val="007A42BA"/>
    <w:rsid w:val="008305E1"/>
    <w:rsid w:val="008B6AD1"/>
    <w:rsid w:val="008C5A23"/>
    <w:rsid w:val="008F14C3"/>
    <w:rsid w:val="009225E7"/>
    <w:rsid w:val="0097473A"/>
    <w:rsid w:val="00997A00"/>
    <w:rsid w:val="009C35DC"/>
    <w:rsid w:val="00A30121"/>
    <w:rsid w:val="00B72B85"/>
    <w:rsid w:val="00B925D1"/>
    <w:rsid w:val="00BC3C6E"/>
    <w:rsid w:val="00C36B5B"/>
    <w:rsid w:val="00D743B5"/>
    <w:rsid w:val="00DE5384"/>
    <w:rsid w:val="00E35822"/>
    <w:rsid w:val="00E64BFF"/>
    <w:rsid w:val="00F32166"/>
    <w:rsid w:val="00FB1A0F"/>
    <w:rsid w:val="016471C2"/>
    <w:rsid w:val="018127EE"/>
    <w:rsid w:val="01946503"/>
    <w:rsid w:val="01A4698D"/>
    <w:rsid w:val="01AA1AC9"/>
    <w:rsid w:val="01F80A87"/>
    <w:rsid w:val="020F6BF0"/>
    <w:rsid w:val="021A09FD"/>
    <w:rsid w:val="023A530D"/>
    <w:rsid w:val="02652F99"/>
    <w:rsid w:val="028C2F57"/>
    <w:rsid w:val="02FF17CC"/>
    <w:rsid w:val="030E19EB"/>
    <w:rsid w:val="032255CB"/>
    <w:rsid w:val="0374413D"/>
    <w:rsid w:val="03873A94"/>
    <w:rsid w:val="03D16D75"/>
    <w:rsid w:val="0410030A"/>
    <w:rsid w:val="0458448E"/>
    <w:rsid w:val="0458580D"/>
    <w:rsid w:val="049241B7"/>
    <w:rsid w:val="04AE18D1"/>
    <w:rsid w:val="04AE60AB"/>
    <w:rsid w:val="04B942F4"/>
    <w:rsid w:val="04BF2C00"/>
    <w:rsid w:val="05461B09"/>
    <w:rsid w:val="057E12A3"/>
    <w:rsid w:val="058C7E64"/>
    <w:rsid w:val="059B5798"/>
    <w:rsid w:val="05A625A8"/>
    <w:rsid w:val="05B66C8F"/>
    <w:rsid w:val="06301F59"/>
    <w:rsid w:val="06640499"/>
    <w:rsid w:val="06B22DB6"/>
    <w:rsid w:val="06E4288E"/>
    <w:rsid w:val="07126147"/>
    <w:rsid w:val="071E2D3E"/>
    <w:rsid w:val="073F0F06"/>
    <w:rsid w:val="074676D6"/>
    <w:rsid w:val="075157E3"/>
    <w:rsid w:val="07BC60B3"/>
    <w:rsid w:val="07BD64DF"/>
    <w:rsid w:val="07CF5DE6"/>
    <w:rsid w:val="089219BB"/>
    <w:rsid w:val="08C54B35"/>
    <w:rsid w:val="08FA7E97"/>
    <w:rsid w:val="08FE0A13"/>
    <w:rsid w:val="092F7FCE"/>
    <w:rsid w:val="09433D1A"/>
    <w:rsid w:val="094445B2"/>
    <w:rsid w:val="0966277A"/>
    <w:rsid w:val="09707B14"/>
    <w:rsid w:val="097924AD"/>
    <w:rsid w:val="097C7EC3"/>
    <w:rsid w:val="09B35A64"/>
    <w:rsid w:val="09B55410"/>
    <w:rsid w:val="09DD4BB8"/>
    <w:rsid w:val="0A2A37A7"/>
    <w:rsid w:val="0A4F320E"/>
    <w:rsid w:val="0AB13EC9"/>
    <w:rsid w:val="0AB87005"/>
    <w:rsid w:val="0B04224A"/>
    <w:rsid w:val="0B4A355A"/>
    <w:rsid w:val="0B582596"/>
    <w:rsid w:val="0B6158EF"/>
    <w:rsid w:val="0BC35C62"/>
    <w:rsid w:val="0C217FB9"/>
    <w:rsid w:val="0C6176C3"/>
    <w:rsid w:val="0CBA3508"/>
    <w:rsid w:val="0CDC5714"/>
    <w:rsid w:val="0CFE2CC9"/>
    <w:rsid w:val="0D0429D6"/>
    <w:rsid w:val="0D091D9A"/>
    <w:rsid w:val="0D373A71"/>
    <w:rsid w:val="0D397A5A"/>
    <w:rsid w:val="0D556D8D"/>
    <w:rsid w:val="0DA675E9"/>
    <w:rsid w:val="0DAD4E1B"/>
    <w:rsid w:val="0DC7755F"/>
    <w:rsid w:val="0E320E7D"/>
    <w:rsid w:val="0E4B1F3E"/>
    <w:rsid w:val="0EB67D00"/>
    <w:rsid w:val="0ED63EFE"/>
    <w:rsid w:val="0EE859DF"/>
    <w:rsid w:val="0F503CB0"/>
    <w:rsid w:val="0F9A771C"/>
    <w:rsid w:val="0FA20284"/>
    <w:rsid w:val="0FD20B69"/>
    <w:rsid w:val="0FD85A54"/>
    <w:rsid w:val="10022AD1"/>
    <w:rsid w:val="10341E1C"/>
    <w:rsid w:val="10533B3A"/>
    <w:rsid w:val="10572E1C"/>
    <w:rsid w:val="10AA5642"/>
    <w:rsid w:val="10B42707"/>
    <w:rsid w:val="10C7659F"/>
    <w:rsid w:val="111A61E1"/>
    <w:rsid w:val="113A4C18"/>
    <w:rsid w:val="113B2DA0"/>
    <w:rsid w:val="114C28EC"/>
    <w:rsid w:val="114D677E"/>
    <w:rsid w:val="116D3474"/>
    <w:rsid w:val="117A454A"/>
    <w:rsid w:val="119A7465"/>
    <w:rsid w:val="11C52912"/>
    <w:rsid w:val="12113088"/>
    <w:rsid w:val="12301B77"/>
    <w:rsid w:val="12A045C5"/>
    <w:rsid w:val="12B80982"/>
    <w:rsid w:val="12D55CE4"/>
    <w:rsid w:val="12DD1CFF"/>
    <w:rsid w:val="13217712"/>
    <w:rsid w:val="13573133"/>
    <w:rsid w:val="13EB54F9"/>
    <w:rsid w:val="13EC7D20"/>
    <w:rsid w:val="14074B59"/>
    <w:rsid w:val="143F0797"/>
    <w:rsid w:val="144E2788"/>
    <w:rsid w:val="144E4536"/>
    <w:rsid w:val="14D56A06"/>
    <w:rsid w:val="154C6CC8"/>
    <w:rsid w:val="15530355"/>
    <w:rsid w:val="159E5049"/>
    <w:rsid w:val="15B50867"/>
    <w:rsid w:val="15F07F9B"/>
    <w:rsid w:val="15F86E50"/>
    <w:rsid w:val="1604435F"/>
    <w:rsid w:val="16157A01"/>
    <w:rsid w:val="16412C4F"/>
    <w:rsid w:val="16992D56"/>
    <w:rsid w:val="173E7811"/>
    <w:rsid w:val="178A120B"/>
    <w:rsid w:val="17953E93"/>
    <w:rsid w:val="17E727FA"/>
    <w:rsid w:val="17EF7DDE"/>
    <w:rsid w:val="18265045"/>
    <w:rsid w:val="18C451BC"/>
    <w:rsid w:val="18FA3739"/>
    <w:rsid w:val="19140EF5"/>
    <w:rsid w:val="195725A1"/>
    <w:rsid w:val="19980116"/>
    <w:rsid w:val="19B64970"/>
    <w:rsid w:val="19CA465F"/>
    <w:rsid w:val="19D811F5"/>
    <w:rsid w:val="19D84FCE"/>
    <w:rsid w:val="19FB0CBC"/>
    <w:rsid w:val="1A023DF9"/>
    <w:rsid w:val="1A172604"/>
    <w:rsid w:val="1A1A51BB"/>
    <w:rsid w:val="1A1B1E16"/>
    <w:rsid w:val="1A420699"/>
    <w:rsid w:val="1A4A5F34"/>
    <w:rsid w:val="1A7B1DFD"/>
    <w:rsid w:val="1AED4883"/>
    <w:rsid w:val="1AF2200F"/>
    <w:rsid w:val="1B3F4FA9"/>
    <w:rsid w:val="1BB028A3"/>
    <w:rsid w:val="1BDB6FF7"/>
    <w:rsid w:val="1C4E1577"/>
    <w:rsid w:val="1C625023"/>
    <w:rsid w:val="1C694603"/>
    <w:rsid w:val="1CB43366"/>
    <w:rsid w:val="1CBF2475"/>
    <w:rsid w:val="1CD84004"/>
    <w:rsid w:val="1CFD4D4B"/>
    <w:rsid w:val="1D271DC8"/>
    <w:rsid w:val="1D2D73DF"/>
    <w:rsid w:val="1D4961E3"/>
    <w:rsid w:val="1D752B34"/>
    <w:rsid w:val="1D7E188A"/>
    <w:rsid w:val="1D862F93"/>
    <w:rsid w:val="1D8B67FB"/>
    <w:rsid w:val="1DFD108C"/>
    <w:rsid w:val="1E90231B"/>
    <w:rsid w:val="1EC24C8C"/>
    <w:rsid w:val="1EDD3086"/>
    <w:rsid w:val="1EEC5078"/>
    <w:rsid w:val="1F0979D8"/>
    <w:rsid w:val="1F1F0CF9"/>
    <w:rsid w:val="1F597D3D"/>
    <w:rsid w:val="1F6F0182"/>
    <w:rsid w:val="1FBF614E"/>
    <w:rsid w:val="1FF22B62"/>
    <w:rsid w:val="1FFB4FB8"/>
    <w:rsid w:val="20465A95"/>
    <w:rsid w:val="206E043A"/>
    <w:rsid w:val="209D2ACD"/>
    <w:rsid w:val="20EA55E7"/>
    <w:rsid w:val="20F52909"/>
    <w:rsid w:val="217A1CED"/>
    <w:rsid w:val="21A30F4A"/>
    <w:rsid w:val="21A344FB"/>
    <w:rsid w:val="21AC5E36"/>
    <w:rsid w:val="21BF0821"/>
    <w:rsid w:val="21D101DA"/>
    <w:rsid w:val="21D267A7"/>
    <w:rsid w:val="21D75EFB"/>
    <w:rsid w:val="220F17A9"/>
    <w:rsid w:val="224B10B0"/>
    <w:rsid w:val="22520A20"/>
    <w:rsid w:val="225C5D43"/>
    <w:rsid w:val="22856ADE"/>
    <w:rsid w:val="22F64717"/>
    <w:rsid w:val="231B2164"/>
    <w:rsid w:val="233D2346"/>
    <w:rsid w:val="23463304"/>
    <w:rsid w:val="23562E58"/>
    <w:rsid w:val="23582CDC"/>
    <w:rsid w:val="23E10F23"/>
    <w:rsid w:val="24AF4B7D"/>
    <w:rsid w:val="24F9229C"/>
    <w:rsid w:val="24FD7FDE"/>
    <w:rsid w:val="250255F5"/>
    <w:rsid w:val="252C6918"/>
    <w:rsid w:val="256242E5"/>
    <w:rsid w:val="256C6F12"/>
    <w:rsid w:val="259124D5"/>
    <w:rsid w:val="25C91C6F"/>
    <w:rsid w:val="25D23219"/>
    <w:rsid w:val="25E1520A"/>
    <w:rsid w:val="25E665E2"/>
    <w:rsid w:val="262A4E03"/>
    <w:rsid w:val="262B18C3"/>
    <w:rsid w:val="265C0D35"/>
    <w:rsid w:val="26D905D7"/>
    <w:rsid w:val="26FF5548"/>
    <w:rsid w:val="272555CB"/>
    <w:rsid w:val="27457194"/>
    <w:rsid w:val="276F4634"/>
    <w:rsid w:val="27E02062"/>
    <w:rsid w:val="286F5690"/>
    <w:rsid w:val="28D0778C"/>
    <w:rsid w:val="28EC2844"/>
    <w:rsid w:val="28ED5768"/>
    <w:rsid w:val="28F60FCD"/>
    <w:rsid w:val="292E22DB"/>
    <w:rsid w:val="294C017B"/>
    <w:rsid w:val="29507635"/>
    <w:rsid w:val="2959155B"/>
    <w:rsid w:val="295A0B0B"/>
    <w:rsid w:val="29CB461F"/>
    <w:rsid w:val="29CE5AA6"/>
    <w:rsid w:val="2A613F70"/>
    <w:rsid w:val="2A8645D2"/>
    <w:rsid w:val="2A8B3997"/>
    <w:rsid w:val="2AB23619"/>
    <w:rsid w:val="2AE232B1"/>
    <w:rsid w:val="2B585F6F"/>
    <w:rsid w:val="2B726905"/>
    <w:rsid w:val="2B8A00F2"/>
    <w:rsid w:val="2BA70CA4"/>
    <w:rsid w:val="2BDB094E"/>
    <w:rsid w:val="2BED3949"/>
    <w:rsid w:val="2C052EDC"/>
    <w:rsid w:val="2C520C10"/>
    <w:rsid w:val="2CF717B7"/>
    <w:rsid w:val="2D033C32"/>
    <w:rsid w:val="2D047A30"/>
    <w:rsid w:val="2D265D01"/>
    <w:rsid w:val="2D7626DC"/>
    <w:rsid w:val="2D9A3018"/>
    <w:rsid w:val="2DC16930"/>
    <w:rsid w:val="2DF21B43"/>
    <w:rsid w:val="2E1168A9"/>
    <w:rsid w:val="2E33112D"/>
    <w:rsid w:val="2E8C7518"/>
    <w:rsid w:val="2EC1468C"/>
    <w:rsid w:val="2ED11E7A"/>
    <w:rsid w:val="2F5126FB"/>
    <w:rsid w:val="2F661D69"/>
    <w:rsid w:val="2F7E1D1C"/>
    <w:rsid w:val="2F7E283A"/>
    <w:rsid w:val="2F860BD0"/>
    <w:rsid w:val="2FB4573E"/>
    <w:rsid w:val="2FD91469"/>
    <w:rsid w:val="2FEF6776"/>
    <w:rsid w:val="2FF65D56"/>
    <w:rsid w:val="2FF975F4"/>
    <w:rsid w:val="302503E9"/>
    <w:rsid w:val="30416508"/>
    <w:rsid w:val="30711881"/>
    <w:rsid w:val="307F5D4C"/>
    <w:rsid w:val="3082583C"/>
    <w:rsid w:val="309728D9"/>
    <w:rsid w:val="30C9346B"/>
    <w:rsid w:val="30D065A7"/>
    <w:rsid w:val="311E2BD7"/>
    <w:rsid w:val="313755DD"/>
    <w:rsid w:val="317F0E37"/>
    <w:rsid w:val="31975317"/>
    <w:rsid w:val="31994BEB"/>
    <w:rsid w:val="31B23A0E"/>
    <w:rsid w:val="31C003CA"/>
    <w:rsid w:val="31C12394"/>
    <w:rsid w:val="323D5EBE"/>
    <w:rsid w:val="32737B32"/>
    <w:rsid w:val="328533C1"/>
    <w:rsid w:val="329B2BE5"/>
    <w:rsid w:val="32A36DF8"/>
    <w:rsid w:val="32BD2D68"/>
    <w:rsid w:val="32CF78F1"/>
    <w:rsid w:val="33266952"/>
    <w:rsid w:val="33477044"/>
    <w:rsid w:val="33552D94"/>
    <w:rsid w:val="337C2A16"/>
    <w:rsid w:val="33C15C1E"/>
    <w:rsid w:val="33CB12A8"/>
    <w:rsid w:val="341E7629"/>
    <w:rsid w:val="34265CF0"/>
    <w:rsid w:val="342D3D10"/>
    <w:rsid w:val="34545741"/>
    <w:rsid w:val="34D50F94"/>
    <w:rsid w:val="34D92909"/>
    <w:rsid w:val="35063ED8"/>
    <w:rsid w:val="350E3B42"/>
    <w:rsid w:val="35411821"/>
    <w:rsid w:val="35550C3B"/>
    <w:rsid w:val="35656D09"/>
    <w:rsid w:val="359A3628"/>
    <w:rsid w:val="35A31149"/>
    <w:rsid w:val="35ED5E68"/>
    <w:rsid w:val="360037B5"/>
    <w:rsid w:val="36327824"/>
    <w:rsid w:val="36737BCD"/>
    <w:rsid w:val="36AA64F4"/>
    <w:rsid w:val="36CD25AD"/>
    <w:rsid w:val="36D30B9F"/>
    <w:rsid w:val="36E65199"/>
    <w:rsid w:val="36FB00F6"/>
    <w:rsid w:val="3717474B"/>
    <w:rsid w:val="37A75B88"/>
    <w:rsid w:val="37D56B99"/>
    <w:rsid w:val="380A6843"/>
    <w:rsid w:val="385B628E"/>
    <w:rsid w:val="38887767"/>
    <w:rsid w:val="388F0AF6"/>
    <w:rsid w:val="38C369F1"/>
    <w:rsid w:val="38EC7CF6"/>
    <w:rsid w:val="38EF19B1"/>
    <w:rsid w:val="38F46ED0"/>
    <w:rsid w:val="393B1F83"/>
    <w:rsid w:val="397D3044"/>
    <w:rsid w:val="399F07E5"/>
    <w:rsid w:val="39C2500F"/>
    <w:rsid w:val="39C96289"/>
    <w:rsid w:val="39DC7D6B"/>
    <w:rsid w:val="39EE5CF0"/>
    <w:rsid w:val="3A0B071D"/>
    <w:rsid w:val="3A654204"/>
    <w:rsid w:val="3A6A35C8"/>
    <w:rsid w:val="3ACA050B"/>
    <w:rsid w:val="3ACF78CF"/>
    <w:rsid w:val="3ADD50BB"/>
    <w:rsid w:val="3ADF24A2"/>
    <w:rsid w:val="3B3667C9"/>
    <w:rsid w:val="3B7019AF"/>
    <w:rsid w:val="3BCC2061"/>
    <w:rsid w:val="3BDF5CF7"/>
    <w:rsid w:val="3BEE0229"/>
    <w:rsid w:val="3BF55114"/>
    <w:rsid w:val="3C2809C3"/>
    <w:rsid w:val="3C300842"/>
    <w:rsid w:val="3C616C4D"/>
    <w:rsid w:val="3C7D6B4A"/>
    <w:rsid w:val="3C7D7AB1"/>
    <w:rsid w:val="3C9E57AB"/>
    <w:rsid w:val="3CC316B6"/>
    <w:rsid w:val="3CCA057D"/>
    <w:rsid w:val="3CDD1AFD"/>
    <w:rsid w:val="3D333AD7"/>
    <w:rsid w:val="3D5E4F3B"/>
    <w:rsid w:val="3DA212CB"/>
    <w:rsid w:val="3DA54918"/>
    <w:rsid w:val="3DD5344F"/>
    <w:rsid w:val="3DED3697"/>
    <w:rsid w:val="3E117245"/>
    <w:rsid w:val="3E3068D7"/>
    <w:rsid w:val="3E3208A1"/>
    <w:rsid w:val="3E3A575D"/>
    <w:rsid w:val="3EB968CD"/>
    <w:rsid w:val="3EC040FF"/>
    <w:rsid w:val="3ED07BD4"/>
    <w:rsid w:val="3F0E1732"/>
    <w:rsid w:val="3F5D194E"/>
    <w:rsid w:val="3F713F31"/>
    <w:rsid w:val="3FA321F0"/>
    <w:rsid w:val="3FE756BB"/>
    <w:rsid w:val="3FEC4A80"/>
    <w:rsid w:val="40157D2E"/>
    <w:rsid w:val="40792FA3"/>
    <w:rsid w:val="41367049"/>
    <w:rsid w:val="415D64DE"/>
    <w:rsid w:val="41847666"/>
    <w:rsid w:val="41923405"/>
    <w:rsid w:val="41982325"/>
    <w:rsid w:val="41C5246F"/>
    <w:rsid w:val="420E1BBB"/>
    <w:rsid w:val="425C0DE0"/>
    <w:rsid w:val="42652475"/>
    <w:rsid w:val="42A7780B"/>
    <w:rsid w:val="42B639E7"/>
    <w:rsid w:val="42BD07CA"/>
    <w:rsid w:val="42CE5496"/>
    <w:rsid w:val="42E73C4A"/>
    <w:rsid w:val="430D7078"/>
    <w:rsid w:val="43545DF2"/>
    <w:rsid w:val="439E0787"/>
    <w:rsid w:val="43AF32DF"/>
    <w:rsid w:val="43B27D8E"/>
    <w:rsid w:val="43C04259"/>
    <w:rsid w:val="4450382F"/>
    <w:rsid w:val="4517259F"/>
    <w:rsid w:val="453273D9"/>
    <w:rsid w:val="453A0AA7"/>
    <w:rsid w:val="453F180C"/>
    <w:rsid w:val="455C26A8"/>
    <w:rsid w:val="45667082"/>
    <w:rsid w:val="45905269"/>
    <w:rsid w:val="4592661E"/>
    <w:rsid w:val="45F94D3F"/>
    <w:rsid w:val="46192347"/>
    <w:rsid w:val="463A4797"/>
    <w:rsid w:val="4648427E"/>
    <w:rsid w:val="46690BD8"/>
    <w:rsid w:val="46C87FF5"/>
    <w:rsid w:val="46F02C34"/>
    <w:rsid w:val="47160F4D"/>
    <w:rsid w:val="471C0AE0"/>
    <w:rsid w:val="475A49C5"/>
    <w:rsid w:val="47653A95"/>
    <w:rsid w:val="478B2DD0"/>
    <w:rsid w:val="47B67F28"/>
    <w:rsid w:val="47CA1B4A"/>
    <w:rsid w:val="483A1816"/>
    <w:rsid w:val="48A00AFD"/>
    <w:rsid w:val="49352AAB"/>
    <w:rsid w:val="495D2015"/>
    <w:rsid w:val="496F6A33"/>
    <w:rsid w:val="49991D28"/>
    <w:rsid w:val="49A76994"/>
    <w:rsid w:val="49AF724A"/>
    <w:rsid w:val="49F16705"/>
    <w:rsid w:val="4A4F6337"/>
    <w:rsid w:val="4AAE12AF"/>
    <w:rsid w:val="4ABA5EC7"/>
    <w:rsid w:val="4AF55130"/>
    <w:rsid w:val="4B114FF9"/>
    <w:rsid w:val="4B426083"/>
    <w:rsid w:val="4C0F5D7E"/>
    <w:rsid w:val="4C7402D7"/>
    <w:rsid w:val="4C8E2D0C"/>
    <w:rsid w:val="4C9149E5"/>
    <w:rsid w:val="4CAD75B0"/>
    <w:rsid w:val="4CFE5DF2"/>
    <w:rsid w:val="4D6640C3"/>
    <w:rsid w:val="4D810EFD"/>
    <w:rsid w:val="4DA1334D"/>
    <w:rsid w:val="4DE568B7"/>
    <w:rsid w:val="4E035DB6"/>
    <w:rsid w:val="4E2D698F"/>
    <w:rsid w:val="4E353A96"/>
    <w:rsid w:val="4E46512A"/>
    <w:rsid w:val="4E5008D0"/>
    <w:rsid w:val="4E940EAA"/>
    <w:rsid w:val="4E942433"/>
    <w:rsid w:val="4F1C2E7C"/>
    <w:rsid w:val="4F563CC4"/>
    <w:rsid w:val="4FBC446F"/>
    <w:rsid w:val="4FDA1FB0"/>
    <w:rsid w:val="4FE90184"/>
    <w:rsid w:val="50487D45"/>
    <w:rsid w:val="50680152"/>
    <w:rsid w:val="50760AC1"/>
    <w:rsid w:val="50C8790C"/>
    <w:rsid w:val="51180F81"/>
    <w:rsid w:val="51273B6A"/>
    <w:rsid w:val="513F5357"/>
    <w:rsid w:val="51443DCD"/>
    <w:rsid w:val="515D0341"/>
    <w:rsid w:val="516B614C"/>
    <w:rsid w:val="51786173"/>
    <w:rsid w:val="519B6306"/>
    <w:rsid w:val="51D11D27"/>
    <w:rsid w:val="51E00B37"/>
    <w:rsid w:val="52024A0A"/>
    <w:rsid w:val="520B5935"/>
    <w:rsid w:val="52102850"/>
    <w:rsid w:val="5281374D"/>
    <w:rsid w:val="528154FB"/>
    <w:rsid w:val="52880638"/>
    <w:rsid w:val="52943481"/>
    <w:rsid w:val="52C35B14"/>
    <w:rsid w:val="52D65641"/>
    <w:rsid w:val="52F45CCD"/>
    <w:rsid w:val="53172EA3"/>
    <w:rsid w:val="533B5A0C"/>
    <w:rsid w:val="53486019"/>
    <w:rsid w:val="534C5B09"/>
    <w:rsid w:val="534F73A8"/>
    <w:rsid w:val="53AC65A8"/>
    <w:rsid w:val="53AD3A7D"/>
    <w:rsid w:val="541A1362"/>
    <w:rsid w:val="54460D4D"/>
    <w:rsid w:val="54A95743"/>
    <w:rsid w:val="54B576DE"/>
    <w:rsid w:val="54EF492F"/>
    <w:rsid w:val="55275FF4"/>
    <w:rsid w:val="556C2493"/>
    <w:rsid w:val="557E5D22"/>
    <w:rsid w:val="55872E29"/>
    <w:rsid w:val="559F4616"/>
    <w:rsid w:val="55A82D9F"/>
    <w:rsid w:val="55E62245"/>
    <w:rsid w:val="55E83420"/>
    <w:rsid w:val="55F97DD2"/>
    <w:rsid w:val="560E5F06"/>
    <w:rsid w:val="56265BD3"/>
    <w:rsid w:val="56562FEB"/>
    <w:rsid w:val="56591027"/>
    <w:rsid w:val="569C2904"/>
    <w:rsid w:val="569D234C"/>
    <w:rsid w:val="56D71A69"/>
    <w:rsid w:val="56FE711B"/>
    <w:rsid w:val="573610DF"/>
    <w:rsid w:val="57914433"/>
    <w:rsid w:val="579F6C1A"/>
    <w:rsid w:val="57CF2FF1"/>
    <w:rsid w:val="57FF75EE"/>
    <w:rsid w:val="58BD150F"/>
    <w:rsid w:val="59165E55"/>
    <w:rsid w:val="593908DE"/>
    <w:rsid w:val="59457283"/>
    <w:rsid w:val="594B1304"/>
    <w:rsid w:val="59541256"/>
    <w:rsid w:val="597731B4"/>
    <w:rsid w:val="598D5E93"/>
    <w:rsid w:val="599B6EA3"/>
    <w:rsid w:val="59B12B6A"/>
    <w:rsid w:val="59CB1616"/>
    <w:rsid w:val="5A166E71"/>
    <w:rsid w:val="5AF96577"/>
    <w:rsid w:val="5B17727B"/>
    <w:rsid w:val="5B376423"/>
    <w:rsid w:val="5B5C08B4"/>
    <w:rsid w:val="5BA02E96"/>
    <w:rsid w:val="5BE34B31"/>
    <w:rsid w:val="5C3E620B"/>
    <w:rsid w:val="5C4F0418"/>
    <w:rsid w:val="5C5123E2"/>
    <w:rsid w:val="5C5D3D53"/>
    <w:rsid w:val="5C6B1F9F"/>
    <w:rsid w:val="5C8C0F8F"/>
    <w:rsid w:val="5CA34C23"/>
    <w:rsid w:val="5CEE2462"/>
    <w:rsid w:val="5D1963D4"/>
    <w:rsid w:val="5D504BA8"/>
    <w:rsid w:val="5D6132D5"/>
    <w:rsid w:val="5D9205BD"/>
    <w:rsid w:val="5DA32752"/>
    <w:rsid w:val="5DC566D1"/>
    <w:rsid w:val="5E1216FE"/>
    <w:rsid w:val="5E157EEA"/>
    <w:rsid w:val="5E2F2760"/>
    <w:rsid w:val="5E3E6996"/>
    <w:rsid w:val="5E6A4B01"/>
    <w:rsid w:val="5E816429"/>
    <w:rsid w:val="5E9D3904"/>
    <w:rsid w:val="5EC412EA"/>
    <w:rsid w:val="5ED13367"/>
    <w:rsid w:val="5EE44E48"/>
    <w:rsid w:val="5EEC63F2"/>
    <w:rsid w:val="5EFF6126"/>
    <w:rsid w:val="5F5D4BFA"/>
    <w:rsid w:val="5F6D12E1"/>
    <w:rsid w:val="5F6E2A90"/>
    <w:rsid w:val="5F787706"/>
    <w:rsid w:val="5FBE7D8F"/>
    <w:rsid w:val="5FF05A6E"/>
    <w:rsid w:val="5FF91718"/>
    <w:rsid w:val="601D2D07"/>
    <w:rsid w:val="602120CC"/>
    <w:rsid w:val="60363DC9"/>
    <w:rsid w:val="604638E0"/>
    <w:rsid w:val="60787F3E"/>
    <w:rsid w:val="60940AF0"/>
    <w:rsid w:val="60966616"/>
    <w:rsid w:val="609D5BF6"/>
    <w:rsid w:val="60A01243"/>
    <w:rsid w:val="60C2565D"/>
    <w:rsid w:val="60FB0B6F"/>
    <w:rsid w:val="61475B62"/>
    <w:rsid w:val="617E2342"/>
    <w:rsid w:val="61A261EF"/>
    <w:rsid w:val="61A51E1D"/>
    <w:rsid w:val="620A12CA"/>
    <w:rsid w:val="6283185C"/>
    <w:rsid w:val="634265E1"/>
    <w:rsid w:val="63E61662"/>
    <w:rsid w:val="640F2276"/>
    <w:rsid w:val="642A59F3"/>
    <w:rsid w:val="645B3DFE"/>
    <w:rsid w:val="64874BF3"/>
    <w:rsid w:val="64AB0409"/>
    <w:rsid w:val="64AE0B8A"/>
    <w:rsid w:val="64E57851"/>
    <w:rsid w:val="65293EFC"/>
    <w:rsid w:val="653B3C30"/>
    <w:rsid w:val="65515201"/>
    <w:rsid w:val="65962C14"/>
    <w:rsid w:val="661E50E3"/>
    <w:rsid w:val="662C1D3F"/>
    <w:rsid w:val="66822AB6"/>
    <w:rsid w:val="66942DAA"/>
    <w:rsid w:val="66F407B7"/>
    <w:rsid w:val="671E1113"/>
    <w:rsid w:val="67811660"/>
    <w:rsid w:val="67CE7AFB"/>
    <w:rsid w:val="682C2166"/>
    <w:rsid w:val="684702DD"/>
    <w:rsid w:val="68B735CD"/>
    <w:rsid w:val="68BA0AFA"/>
    <w:rsid w:val="68C53F3C"/>
    <w:rsid w:val="68D66B68"/>
    <w:rsid w:val="68E1798E"/>
    <w:rsid w:val="68E51EE8"/>
    <w:rsid w:val="69256789"/>
    <w:rsid w:val="694035C3"/>
    <w:rsid w:val="697A703D"/>
    <w:rsid w:val="699658D9"/>
    <w:rsid w:val="69BF430A"/>
    <w:rsid w:val="69F22470"/>
    <w:rsid w:val="6A152CA1"/>
    <w:rsid w:val="6A301889"/>
    <w:rsid w:val="6A4946F9"/>
    <w:rsid w:val="6A4F3D18"/>
    <w:rsid w:val="6A707ED8"/>
    <w:rsid w:val="6ABC5F37"/>
    <w:rsid w:val="6ADF73D5"/>
    <w:rsid w:val="6AE85CC0"/>
    <w:rsid w:val="6B1116BB"/>
    <w:rsid w:val="6B255559"/>
    <w:rsid w:val="6B3C600C"/>
    <w:rsid w:val="6B6179E7"/>
    <w:rsid w:val="6B8974A3"/>
    <w:rsid w:val="6BB8314C"/>
    <w:rsid w:val="6BD44496"/>
    <w:rsid w:val="6C4B6506"/>
    <w:rsid w:val="6C691082"/>
    <w:rsid w:val="6C7E27ED"/>
    <w:rsid w:val="6C922387"/>
    <w:rsid w:val="6C937EAD"/>
    <w:rsid w:val="6CA32F55"/>
    <w:rsid w:val="6D2A6A64"/>
    <w:rsid w:val="6D486EEA"/>
    <w:rsid w:val="6D526EEE"/>
    <w:rsid w:val="6D5835D1"/>
    <w:rsid w:val="6D7D3037"/>
    <w:rsid w:val="6DA2484C"/>
    <w:rsid w:val="6DA560EA"/>
    <w:rsid w:val="6DB66549"/>
    <w:rsid w:val="6E0E3C8F"/>
    <w:rsid w:val="6E4E094B"/>
    <w:rsid w:val="6E741823"/>
    <w:rsid w:val="6E760650"/>
    <w:rsid w:val="6E761835"/>
    <w:rsid w:val="6EA165BF"/>
    <w:rsid w:val="6EB26D11"/>
    <w:rsid w:val="6EC16F54"/>
    <w:rsid w:val="6EE964AB"/>
    <w:rsid w:val="6F6376FF"/>
    <w:rsid w:val="6F7B35A7"/>
    <w:rsid w:val="6FA46CEA"/>
    <w:rsid w:val="6FF375E1"/>
    <w:rsid w:val="700E441B"/>
    <w:rsid w:val="70115CB9"/>
    <w:rsid w:val="702E0619"/>
    <w:rsid w:val="703C0167"/>
    <w:rsid w:val="7056191E"/>
    <w:rsid w:val="7058531A"/>
    <w:rsid w:val="705F6A24"/>
    <w:rsid w:val="706A53C9"/>
    <w:rsid w:val="70AB3A18"/>
    <w:rsid w:val="712F4C73"/>
    <w:rsid w:val="71630796"/>
    <w:rsid w:val="71E57CD8"/>
    <w:rsid w:val="72126D4C"/>
    <w:rsid w:val="725D51E5"/>
    <w:rsid w:val="72DB72A3"/>
    <w:rsid w:val="73012015"/>
    <w:rsid w:val="73102258"/>
    <w:rsid w:val="73816170"/>
    <w:rsid w:val="739A6740"/>
    <w:rsid w:val="73A11102"/>
    <w:rsid w:val="73AF03FD"/>
    <w:rsid w:val="73DE5EB2"/>
    <w:rsid w:val="741144D9"/>
    <w:rsid w:val="741C4C2C"/>
    <w:rsid w:val="74A7099A"/>
    <w:rsid w:val="74CD6F79"/>
    <w:rsid w:val="74E219D2"/>
    <w:rsid w:val="74EE7509"/>
    <w:rsid w:val="750A51C1"/>
    <w:rsid w:val="752B5127"/>
    <w:rsid w:val="75530B22"/>
    <w:rsid w:val="75954C96"/>
    <w:rsid w:val="766052A4"/>
    <w:rsid w:val="766905FD"/>
    <w:rsid w:val="76D11CFE"/>
    <w:rsid w:val="76E060E7"/>
    <w:rsid w:val="76E301FF"/>
    <w:rsid w:val="76FA1255"/>
    <w:rsid w:val="77383B2B"/>
    <w:rsid w:val="77495D38"/>
    <w:rsid w:val="7803238B"/>
    <w:rsid w:val="78144598"/>
    <w:rsid w:val="788039DC"/>
    <w:rsid w:val="78BD69DE"/>
    <w:rsid w:val="78D42106"/>
    <w:rsid w:val="78DD7466"/>
    <w:rsid w:val="78E75809"/>
    <w:rsid w:val="78F80D78"/>
    <w:rsid w:val="799139C7"/>
    <w:rsid w:val="79F91C98"/>
    <w:rsid w:val="7A3525A4"/>
    <w:rsid w:val="7A7E03EF"/>
    <w:rsid w:val="7A884DCA"/>
    <w:rsid w:val="7AA54315"/>
    <w:rsid w:val="7ACE200B"/>
    <w:rsid w:val="7B1D3764"/>
    <w:rsid w:val="7B230961"/>
    <w:rsid w:val="7B353C7A"/>
    <w:rsid w:val="7B430CF1"/>
    <w:rsid w:val="7B6A2721"/>
    <w:rsid w:val="7BBF2A6D"/>
    <w:rsid w:val="7BBF55AB"/>
    <w:rsid w:val="7C226FF3"/>
    <w:rsid w:val="7C584880"/>
    <w:rsid w:val="7C662EE9"/>
    <w:rsid w:val="7C7E0232"/>
    <w:rsid w:val="7CAD4FBB"/>
    <w:rsid w:val="7CE63A60"/>
    <w:rsid w:val="7CE851E7"/>
    <w:rsid w:val="7CF160B0"/>
    <w:rsid w:val="7D171B39"/>
    <w:rsid w:val="7D592A4D"/>
    <w:rsid w:val="7D5B39DC"/>
    <w:rsid w:val="7D7D673C"/>
    <w:rsid w:val="7DB5257B"/>
    <w:rsid w:val="7DCF4ABD"/>
    <w:rsid w:val="7E5D6B27"/>
    <w:rsid w:val="7E855D33"/>
    <w:rsid w:val="7EAF0B77"/>
    <w:rsid w:val="7EF03305"/>
    <w:rsid w:val="7F015C77"/>
    <w:rsid w:val="7F1E3F4E"/>
    <w:rsid w:val="7F1E7AAB"/>
    <w:rsid w:val="7F945FBF"/>
    <w:rsid w:val="7F963AE5"/>
    <w:rsid w:val="7FA94E28"/>
    <w:rsid w:val="7FC76F08"/>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3"/>
    <w:next w:val="1"/>
    <w:autoRedefine/>
    <w:qFormat/>
    <w:uiPriority w:val="0"/>
    <w:pPr>
      <w:widowControl/>
      <w:spacing w:before="480" w:line="276" w:lineRule="auto"/>
      <w:outlineLvl w:val="0"/>
    </w:pPr>
    <w:rPr>
      <w:color w:val="365F91"/>
      <w:sz w:val="28"/>
      <w:szCs w:val="28"/>
    </w:rPr>
  </w:style>
  <w:style w:type="paragraph" w:styleId="4">
    <w:name w:val="heading 2"/>
    <w:basedOn w:val="1"/>
    <w:next w:val="1"/>
    <w:autoRedefine/>
    <w:semiHidden/>
    <w:unhideWhenUsed/>
    <w:qFormat/>
    <w:uiPriority w:val="0"/>
    <w:pPr>
      <w:outlineLvl w:val="1"/>
    </w:pPr>
    <w:rPr>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style>
  <w:style w:type="paragraph" w:styleId="8">
    <w:name w:val="annotation text"/>
    <w:basedOn w:val="1"/>
    <w:autoRedefine/>
    <w:qFormat/>
    <w:uiPriority w:val="99"/>
    <w:pPr>
      <w:jc w:val="left"/>
    </w:pPr>
  </w:style>
  <w:style w:type="paragraph" w:styleId="9">
    <w:name w:val="Body Text"/>
    <w:basedOn w:val="1"/>
    <w:next w:val="1"/>
    <w:autoRedefine/>
    <w:qFormat/>
    <w:uiPriority w:val="0"/>
    <w:pPr>
      <w:autoSpaceDE w:val="0"/>
      <w:autoSpaceDN w:val="0"/>
      <w:jc w:val="left"/>
    </w:pPr>
    <w:rPr>
      <w:rFonts w:ascii="宋体" w:hAnsi="宋体"/>
      <w:kern w:val="0"/>
      <w:sz w:val="32"/>
      <w:szCs w:val="32"/>
    </w:rPr>
  </w:style>
  <w:style w:type="paragraph" w:styleId="10">
    <w:name w:val="Body Text Indent"/>
    <w:basedOn w:val="1"/>
    <w:next w:val="11"/>
    <w:autoRedefine/>
    <w:qFormat/>
    <w:uiPriority w:val="0"/>
    <w:pPr>
      <w:tabs>
        <w:tab w:val="left" w:pos="72"/>
      </w:tabs>
      <w:ind w:firstLine="480" w:firstLineChars="200"/>
      <w:jc w:val="center"/>
    </w:pPr>
    <w:rPr>
      <w:sz w:val="24"/>
    </w:rPr>
  </w:style>
  <w:style w:type="paragraph" w:styleId="11">
    <w:name w:val="envelope return"/>
    <w:basedOn w:val="1"/>
    <w:autoRedefine/>
    <w:qFormat/>
    <w:uiPriority w:val="0"/>
    <w:pPr>
      <w:widowControl/>
    </w:pPr>
    <w:rPr>
      <w:rFonts w:ascii="Arial" w:hAnsi="Arial" w:eastAsia="Arial"/>
      <w:sz w:val="20"/>
    </w:rPr>
  </w:style>
  <w:style w:type="paragraph" w:styleId="12">
    <w:name w:val="Plain Text"/>
    <w:basedOn w:val="1"/>
    <w:autoRedefine/>
    <w:qFormat/>
    <w:uiPriority w:val="0"/>
    <w:rPr>
      <w:rFonts w:hint="eastAsia" w:ascii="宋体" w:hAnsi="Courier New"/>
      <w:kern w:val="0"/>
      <w:sz w:val="20"/>
      <w:szCs w:val="21"/>
    </w:r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footnote text"/>
    <w:basedOn w:val="1"/>
    <w:autoRedefine/>
    <w:qFormat/>
    <w:uiPriority w:val="0"/>
    <w:pPr>
      <w:snapToGrid w:val="0"/>
      <w:jc w:val="left"/>
    </w:pPr>
    <w:rPr>
      <w:sz w:val="18"/>
      <w:szCs w:val="18"/>
    </w:rPr>
  </w:style>
  <w:style w:type="paragraph" w:styleId="18">
    <w:name w:val="Body Text 2"/>
    <w:basedOn w:val="1"/>
    <w:autoRedefine/>
    <w:qFormat/>
    <w:uiPriority w:val="0"/>
    <w:pPr>
      <w:spacing w:line="360" w:lineRule="auto"/>
    </w:pPr>
    <w:rPr>
      <w:rFonts w:ascii="Times New Roman" w:hAnsi="Times New Roman"/>
      <w:kern w:val="0"/>
      <w:sz w:val="24"/>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Body Text First Indent 2"/>
    <w:basedOn w:val="10"/>
    <w:next w:val="1"/>
    <w:link w:val="39"/>
    <w:autoRedefine/>
    <w:qFormat/>
    <w:uiPriority w:val="0"/>
    <w:pPr>
      <w:spacing w:after="120"/>
      <w:ind w:left="420" w:leftChars="200"/>
    </w:pPr>
    <w:rPr>
      <w:szCs w:val="2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qFormat/>
    <w:uiPriority w:val="0"/>
    <w:rPr>
      <w:color w:val="0000FF"/>
      <w:u w:val="single"/>
    </w:rPr>
  </w:style>
  <w:style w:type="character" w:styleId="26">
    <w:name w:val="footnote reference"/>
    <w:autoRedefine/>
    <w:qFormat/>
    <w:uiPriority w:val="0"/>
    <w:rPr>
      <w:vertAlign w:val="superscript"/>
    </w:rPr>
  </w:style>
  <w:style w:type="paragraph" w:customStyle="1" w:styleId="27">
    <w:name w:val="_Style 1"/>
    <w:basedOn w:val="1"/>
    <w:next w:val="1"/>
    <w:autoRedefine/>
    <w:qFormat/>
    <w:uiPriority w:val="99"/>
    <w:pPr>
      <w:ind w:firstLine="420" w:firstLineChars="200"/>
    </w:pPr>
  </w:style>
  <w:style w:type="paragraph" w:customStyle="1" w:styleId="28">
    <w:name w:val="p0"/>
    <w:basedOn w:val="1"/>
    <w:autoRedefine/>
    <w:qFormat/>
    <w:uiPriority w:val="0"/>
    <w:pPr>
      <w:widowControl/>
    </w:pPr>
    <w:rPr>
      <w:kern w:val="0"/>
      <w:szCs w:val="21"/>
    </w:rPr>
  </w:style>
  <w:style w:type="paragraph" w:customStyle="1" w:styleId="29">
    <w:name w:val="列出段落1"/>
    <w:basedOn w:val="1"/>
    <w:autoRedefine/>
    <w:qFormat/>
    <w:uiPriority w:val="34"/>
    <w:pPr>
      <w:ind w:firstLine="420" w:firstLineChars="200"/>
    </w:pPr>
  </w:style>
  <w:style w:type="paragraph" w:customStyle="1" w:styleId="30">
    <w:name w:val="列出段落111"/>
    <w:basedOn w:val="1"/>
    <w:autoRedefine/>
    <w:qFormat/>
    <w:uiPriority w:val="0"/>
    <w:pPr>
      <w:ind w:firstLine="420" w:firstLineChars="200"/>
    </w:pPr>
  </w:style>
  <w:style w:type="character" w:customStyle="1" w:styleId="31">
    <w:name w:val="font31"/>
    <w:basedOn w:val="23"/>
    <w:autoRedefine/>
    <w:qFormat/>
    <w:uiPriority w:val="0"/>
    <w:rPr>
      <w:rFonts w:hint="eastAsia" w:ascii="宋体" w:hAnsi="宋体" w:eastAsia="宋体" w:cs="宋体"/>
      <w:color w:val="000000"/>
      <w:sz w:val="24"/>
      <w:szCs w:val="24"/>
      <w:u w:val="none"/>
    </w:rPr>
  </w:style>
  <w:style w:type="character" w:customStyle="1" w:styleId="32">
    <w:name w:val="font51"/>
    <w:basedOn w:val="23"/>
    <w:autoRedefine/>
    <w:qFormat/>
    <w:uiPriority w:val="0"/>
    <w:rPr>
      <w:rFonts w:hint="eastAsia" w:ascii="宋体" w:hAnsi="宋体" w:eastAsia="宋体" w:cs="宋体"/>
      <w:b/>
      <w:bCs/>
      <w:color w:val="FF0000"/>
      <w:sz w:val="24"/>
      <w:szCs w:val="24"/>
      <w:u w:val="none"/>
    </w:rPr>
  </w:style>
  <w:style w:type="paragraph" w:customStyle="1" w:styleId="33">
    <w:name w:val="表格文字"/>
    <w:basedOn w:val="1"/>
    <w:autoRedefine/>
    <w:qFormat/>
    <w:uiPriority w:val="0"/>
    <w:pPr>
      <w:spacing w:before="25" w:after="25"/>
      <w:jc w:val="left"/>
    </w:pPr>
    <w:rPr>
      <w:bCs/>
      <w:spacing w:val="10"/>
      <w:kern w:val="0"/>
      <w:sz w:val="24"/>
    </w:rPr>
  </w:style>
  <w:style w:type="paragraph" w:customStyle="1" w:styleId="34">
    <w:name w:val="纯文本1"/>
    <w:basedOn w:val="1"/>
    <w:autoRedefine/>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5">
    <w:name w:val="列出段落11"/>
    <w:basedOn w:val="1"/>
    <w:autoRedefine/>
    <w:qFormat/>
    <w:uiPriority w:val="0"/>
    <w:pPr>
      <w:ind w:firstLine="420"/>
    </w:pPr>
  </w:style>
  <w:style w:type="paragraph" w:customStyle="1" w:styleId="36">
    <w:name w:val="样式2"/>
    <w:basedOn w:val="1"/>
    <w:autoRedefine/>
    <w:qFormat/>
    <w:uiPriority w:val="0"/>
    <w:rPr>
      <w:rFonts w:ascii="楷体_GB2312" w:eastAsia="楷体_GB2312"/>
      <w:color w:val="000000"/>
      <w:sz w:val="24"/>
    </w:rPr>
  </w:style>
  <w:style w:type="paragraph" w:customStyle="1" w:styleId="37">
    <w:name w:val="0级"/>
    <w:basedOn w:val="1"/>
    <w:autoRedefine/>
    <w:qFormat/>
    <w:uiPriority w:val="0"/>
    <w:pPr>
      <w:ind w:left="420" w:hanging="420"/>
    </w:pPr>
    <w:rPr>
      <w:rFonts w:ascii="宋体" w:hAnsi="宋体" w:cs="Times New Roman"/>
      <w:color w:val="000000"/>
      <w:szCs w:val="21"/>
    </w:rPr>
  </w:style>
  <w:style w:type="paragraph" w:styleId="38">
    <w:name w:val="List Paragraph"/>
    <w:basedOn w:val="1"/>
    <w:autoRedefine/>
    <w:unhideWhenUsed/>
    <w:qFormat/>
    <w:uiPriority w:val="99"/>
    <w:pPr>
      <w:ind w:firstLine="420" w:firstLineChars="200"/>
    </w:pPr>
  </w:style>
  <w:style w:type="character" w:customStyle="1" w:styleId="39">
    <w:name w:val="正文首行缩进 2 字符"/>
    <w:link w:val="20"/>
    <w:autoRedefine/>
    <w:qFormat/>
    <w:uiPriority w:val="0"/>
    <w:rPr>
      <w:szCs w:val="22"/>
    </w:rPr>
  </w:style>
  <w:style w:type="paragraph" w:customStyle="1" w:styleId="4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41">
    <w:name w:val="fontstyle01"/>
    <w:basedOn w:val="23"/>
    <w:autoRedefine/>
    <w:qFormat/>
    <w:uiPriority w:val="0"/>
    <w:rPr>
      <w:rFonts w:hint="eastAsia" w:ascii="宋体" w:hAnsi="宋体" w:eastAsia="宋体" w:cs="宋体"/>
      <w:color w:val="000000"/>
      <w:sz w:val="24"/>
      <w:szCs w:val="24"/>
    </w:rPr>
  </w:style>
  <w:style w:type="character" w:customStyle="1" w:styleId="42">
    <w:name w:val="fontstyle21"/>
    <w:basedOn w:val="23"/>
    <w:autoRedefine/>
    <w:qFormat/>
    <w:uiPriority w:val="0"/>
    <w:rPr>
      <w:rFonts w:ascii="Wingdings" w:hAnsi="Wingdings" w:cs="Wingdings"/>
      <w:color w:val="000000"/>
      <w:sz w:val="24"/>
      <w:szCs w:val="24"/>
    </w:rPr>
  </w:style>
  <w:style w:type="paragraph" w:customStyle="1" w:styleId="43">
    <w:name w:val="列出段落3"/>
    <w:basedOn w:val="1"/>
    <w:autoRedefine/>
    <w:qFormat/>
    <w:uiPriority w:val="34"/>
    <w:pPr>
      <w:ind w:firstLine="420" w:firstLineChars="200"/>
    </w:pPr>
  </w:style>
  <w:style w:type="paragraph" w:styleId="44">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15665</Words>
  <Characters>16279</Characters>
  <Lines>20</Lines>
  <Paragraphs>39</Paragraphs>
  <TotalTime>0</TotalTime>
  <ScaleCrop>false</ScaleCrop>
  <LinksUpToDate>false</LinksUpToDate>
  <CharactersWithSpaces>16691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2024-02-19T04:27:00Z</dcterms:created>
  <dc:creator>Z-</dc:creator>
  <cp:lastModifiedBy>小满</cp:lastModifiedBy>
  <cp:lastPrinted>2024-08-28T07:23:00Z</cp:lastPrinted>
  <dcterms:modified xsi:type="dcterms:W3CDTF">2025-09-19T08:46:42Z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78B16C82829144EC8EF3C23C781298E7_13</vt:lpwstr>
  </property>
  <property fmtid="{D5CDD505-2E9C-101B-9397-08002B2CF9AE}" pid="4" name="KSOTemplateDocerSaveRecord">
    <vt:lpwstr>eyJoZGlkIjoiN2RiNWQ5NGYzY2IxYzY2OGVkMjg0YWI2OWFlOGVkZmIiLCJ1c2VySWQiOiI0MDk2MDE5NTQifQ==</vt:lpwstr>
  </property>
</Properties>
</file>