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widowControl/>
        <w:spacing w:before="0" w:beforeAutospacing="0" w:after="0" w:afterAutospacing="0" w:line="240" w:lineRule="auto"/>
        <w:ind w:right="0"/>
        <w:jc w:val="center"/>
        <w:outlineLvl w:val="0"/>
        <w:rPr>
          <w:rFonts w:hint="eastAsia"/>
          <w:b/>
          <w:bCs/>
          <w:sz w:val="40"/>
          <w:szCs w:val="40"/>
          <w:lang w:val="en-US" w:eastAsia="zh-CN"/>
        </w:rPr>
      </w:pPr>
      <w:bookmarkStart w:id="0" w:name="_Hlk71456902"/>
    </w:p>
    <w:p>
      <w:pPr>
        <w:pStyle w:val="21"/>
        <w:widowControl/>
        <w:spacing w:before="0" w:beforeAutospacing="0" w:after="0" w:afterAutospacing="0" w:line="240" w:lineRule="auto"/>
        <w:ind w:right="0"/>
        <w:jc w:val="center"/>
        <w:outlineLvl w:val="0"/>
        <w:rPr>
          <w:rFonts w:hint="eastAsia"/>
          <w:b/>
          <w:bCs/>
          <w:sz w:val="40"/>
          <w:szCs w:val="40"/>
          <w:u w:val="single"/>
          <w:lang w:val="en-US" w:eastAsia="zh-CN"/>
        </w:rPr>
      </w:pPr>
      <w:r>
        <w:rPr>
          <w:rFonts w:hint="eastAsia"/>
          <w:b/>
          <w:bCs/>
          <w:sz w:val="40"/>
          <w:szCs w:val="40"/>
          <w:lang w:val="en-US" w:eastAsia="zh-CN"/>
        </w:rPr>
        <w:t>深圳市龙岗区耳鼻咽喉医院</w:t>
      </w:r>
      <w:r>
        <w:rPr>
          <w:rFonts w:hint="eastAsia"/>
          <w:b/>
          <w:bCs/>
          <w:sz w:val="40"/>
          <w:szCs w:val="40"/>
          <w:u w:val="single"/>
          <w:lang w:val="en-US" w:eastAsia="zh-CN"/>
        </w:rPr>
        <w:t>医疗责任保险</w:t>
      </w:r>
    </w:p>
    <w:p>
      <w:pPr>
        <w:pStyle w:val="21"/>
        <w:widowControl/>
        <w:spacing w:before="0" w:beforeAutospacing="0" w:after="0" w:afterAutospacing="0" w:line="240" w:lineRule="auto"/>
        <w:ind w:right="0"/>
        <w:jc w:val="center"/>
        <w:outlineLvl w:val="0"/>
        <w:rPr>
          <w:rFonts w:hint="eastAsia"/>
          <w:b/>
          <w:bCs/>
          <w:sz w:val="40"/>
          <w:szCs w:val="40"/>
          <w:highlight w:val="none"/>
          <w:u w:val="single"/>
          <w:lang w:val="en-US" w:eastAsia="zh-CN"/>
        </w:rPr>
      </w:pPr>
      <w:r>
        <w:rPr>
          <w:rFonts w:hint="eastAsia"/>
          <w:b/>
          <w:bCs/>
          <w:sz w:val="40"/>
          <w:szCs w:val="40"/>
          <w:u w:val="single"/>
          <w:lang w:val="en-US" w:eastAsia="zh-CN"/>
        </w:rPr>
        <w:t>采购</w:t>
      </w:r>
      <w:r>
        <w:rPr>
          <w:rFonts w:hint="eastAsia"/>
          <w:b/>
          <w:bCs/>
          <w:sz w:val="40"/>
          <w:szCs w:val="40"/>
          <w:highlight w:val="none"/>
          <w:u w:val="none"/>
          <w:lang w:val="en-US" w:eastAsia="zh-CN"/>
        </w:rPr>
        <w:t>项目</w:t>
      </w:r>
    </w:p>
    <w:p>
      <w:pPr>
        <w:pStyle w:val="21"/>
        <w:widowControl/>
        <w:spacing w:before="0" w:beforeAutospacing="0" w:after="0" w:afterAutospacing="0"/>
        <w:ind w:right="454"/>
        <w:jc w:val="center"/>
        <w:outlineLvl w:val="0"/>
        <w:rPr>
          <w:rFonts w:hint="default"/>
          <w:b/>
          <w:bCs/>
          <w:sz w:val="40"/>
          <w:szCs w:val="40"/>
          <w:highlight w:val="none"/>
          <w:u w:val="single"/>
          <w:lang w:val="en-US" w:eastAsia="zh-CN"/>
        </w:rPr>
      </w:pPr>
    </w:p>
    <w:p>
      <w:pPr>
        <w:pStyle w:val="21"/>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5"/>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pPr>
              <w:widowControl/>
              <w:jc w:val="left"/>
              <w:rPr>
                <w:rFonts w:hint="default" w:eastAsiaTheme="minorEastAsia"/>
                <w:sz w:val="30"/>
                <w:szCs w:val="30"/>
                <w:highlight w:val="none"/>
                <w:lang w:val="en-US" w:eastAsia="zh-CN"/>
              </w:rPr>
            </w:pPr>
            <w:r>
              <w:rPr>
                <w:rFonts w:hint="eastAsia"/>
                <w:sz w:val="30"/>
                <w:szCs w:val="30"/>
                <w:highlight w:val="none"/>
                <w:lang w:val="en-US" w:eastAsia="zh-CN"/>
              </w:rPr>
              <w:t>ENT20250803-2</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left"/>
              <w:rPr>
                <w:rFonts w:hint="default" w:eastAsiaTheme="minorEastAsia"/>
                <w:sz w:val="30"/>
                <w:szCs w:val="30"/>
                <w:highlight w:val="none"/>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pPr>
              <w:widowControl/>
              <w:jc w:val="left"/>
              <w:rPr>
                <w:rFonts w:hint="default" w:eastAsia="宋体"/>
                <w:sz w:val="30"/>
                <w:szCs w:val="30"/>
                <w:highlight w:val="none"/>
                <w:u w:val="single"/>
                <w:lang w:val="en-US" w:eastAsia="zh-CN"/>
              </w:rPr>
            </w:pPr>
            <w:r>
              <w:rPr>
                <w:rFonts w:hint="eastAsia" w:eastAsia="宋体"/>
                <w:sz w:val="30"/>
                <w:szCs w:val="30"/>
                <w:highlight w:val="none"/>
                <w:u w:val="single"/>
                <w:lang w:val="en-US" w:eastAsia="zh-CN"/>
              </w:rPr>
              <w:t>医疗责任保险采购</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val="en-US" w:eastAsia="zh-CN" w:bidi="ar"/>
              </w:rPr>
              <w:t>服务</w:t>
            </w:r>
            <w:r>
              <w:rPr>
                <w:rFonts w:ascii="宋体" w:hAnsi="宋体" w:cs="宋体"/>
                <w:kern w:val="0"/>
                <w:sz w:val="30"/>
                <w:szCs w:val="30"/>
                <w:lang w:bidi="ar"/>
              </w:rPr>
              <w:t>类</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pStyle w:val="6"/>
        <w:ind w:firstLine="422"/>
        <w:rPr>
          <w:rFonts w:ascii="宋体" w:hAnsi="宋体" w:eastAsia="宋体" w:cs="宋体"/>
          <w:b/>
          <w:sz w:val="21"/>
          <w:szCs w:val="21"/>
        </w:rPr>
      </w:pPr>
    </w:p>
    <w:p>
      <w:pPr>
        <w:pStyle w:val="11"/>
        <w:rPr>
          <w:rFonts w:ascii="宋体" w:hAnsi="宋体" w:eastAsia="宋体" w:cs="宋体"/>
          <w:b/>
          <w:sz w:val="21"/>
          <w:szCs w:val="21"/>
        </w:rPr>
      </w:pPr>
    </w:p>
    <w:p>
      <w:pPr>
        <w:pStyle w:val="22"/>
        <w:rPr>
          <w:rFonts w:ascii="宋体" w:hAnsi="宋体" w:eastAsia="宋体" w:cs="宋体"/>
          <w:sz w:val="21"/>
          <w:szCs w:val="21"/>
        </w:rPr>
      </w:pPr>
    </w:p>
    <w:p>
      <w:pPr>
        <w:rPr>
          <w:rFonts w:ascii="宋体" w:hAnsi="宋体" w:eastAsia="宋体" w:cs="宋体"/>
          <w:b/>
          <w:sz w:val="21"/>
          <w:szCs w:val="21"/>
        </w:rPr>
      </w:pPr>
    </w:p>
    <w:p>
      <w:pPr>
        <w:pStyle w:val="6"/>
        <w:ind w:firstLine="422"/>
        <w:rPr>
          <w:rFonts w:ascii="宋体" w:hAnsi="宋体" w:eastAsia="宋体" w:cs="宋体"/>
          <w:b/>
          <w:sz w:val="21"/>
          <w:szCs w:val="21"/>
        </w:rPr>
      </w:pPr>
    </w:p>
    <w:p>
      <w:pPr>
        <w:pStyle w:val="11"/>
        <w:rPr>
          <w:rFonts w:ascii="宋体" w:hAnsi="宋体" w:eastAsia="宋体" w:cs="宋体"/>
          <w:b/>
          <w:sz w:val="21"/>
          <w:szCs w:val="21"/>
        </w:rPr>
      </w:pPr>
    </w:p>
    <w:p/>
    <w:p>
      <w:pPr>
        <w:pStyle w:val="22"/>
        <w:rPr>
          <w:rFonts w:ascii="宋体" w:hAnsi="宋体" w:eastAsia="宋体" w:cs="宋体"/>
          <w:sz w:val="21"/>
          <w:szCs w:val="21"/>
        </w:rPr>
      </w:pPr>
    </w:p>
    <w:p>
      <w:pPr>
        <w:rPr>
          <w:rFonts w:ascii="宋体" w:hAnsi="宋体" w:eastAsia="宋体" w:cs="宋体"/>
          <w:b/>
          <w:sz w:val="21"/>
          <w:szCs w:val="21"/>
        </w:rPr>
        <w:sectPr>
          <w:headerReference r:id="rId3" w:type="first"/>
          <w:footerReference r:id="rId4" w:type="first"/>
          <w:pgSz w:w="11906" w:h="16838"/>
          <w:pgMar w:top="1440" w:right="1286"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ascii="宋体" w:hAnsi="宋体" w:eastAsia="宋体" w:cs="宋体"/>
          <w:b/>
          <w:sz w:val="21"/>
          <w:szCs w:val="21"/>
        </w:rPr>
      </w:pPr>
    </w:p>
    <w:p>
      <w:pPr>
        <w:pStyle w:val="21"/>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33"/>
        <w:rPr>
          <w:rFonts w:hint="eastAsia" w:ascii="Calibri" w:hAnsi="Calibri" w:eastAsia="宋体"/>
          <w:b/>
          <w:bCs/>
          <w:kern w:val="2"/>
          <w:sz w:val="32"/>
          <w:szCs w:val="40"/>
        </w:rPr>
      </w:pPr>
    </w:p>
    <w:p>
      <w:pPr>
        <w:pStyle w:val="21"/>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pPr>
        <w:spacing w:line="240" w:lineRule="auto"/>
        <w:jc w:val="center"/>
        <w:rPr>
          <w:rFonts w:hint="eastAsia" w:asciiTheme="minorEastAsia" w:hAnsiTheme="minorEastAsia" w:eastAsiaTheme="minorEastAsia" w:cstheme="minorEastAsia"/>
          <w:b/>
          <w:sz w:val="24"/>
          <w:szCs w:val="24"/>
          <w:lang w:val="en-US" w:eastAsia="zh-CN"/>
        </w:rPr>
      </w:pPr>
    </w:p>
    <w:p>
      <w:pPr>
        <w:spacing w:line="240" w:lineRule="auto"/>
        <w:jc w:val="left"/>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br w:type="page"/>
      </w:r>
    </w:p>
    <w:p>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评分信息</w:t>
      </w:r>
    </w:p>
    <w:p>
      <w:pPr>
        <w:spacing w:line="340" w:lineRule="exact"/>
        <w:ind w:firstLine="2409" w:firstLineChars="1000"/>
        <w:rPr>
          <w:rFonts w:hint="eastAsia" w:asciiTheme="minorEastAsia" w:hAnsiTheme="minorEastAsia" w:eastAsiaTheme="minorEastAsia" w:cstheme="minorEastAsia"/>
          <w:b/>
          <w:sz w:val="24"/>
          <w:szCs w:val="24"/>
        </w:rPr>
      </w:pPr>
    </w:p>
    <w:tbl>
      <w:tblPr>
        <w:tblStyle w:val="25"/>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550"/>
        <w:gridCol w:w="1430"/>
        <w:gridCol w:w="1008"/>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评分项</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1</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rPr>
              <w:t>价格</w:t>
            </w:r>
            <w:r>
              <w:rPr>
                <w:rFonts w:hint="eastAsia" w:ascii="宋体" w:hAnsi="宋体" w:eastAsia="宋体" w:cs="宋体"/>
                <w:b/>
                <w:color w:val="0000FF"/>
                <w:sz w:val="24"/>
                <w:szCs w:val="24"/>
                <w:lang w:val="en-US" w:eastAsia="zh-CN"/>
              </w:rPr>
              <w:t>分</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2</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rPr>
              <w:t>技术</w:t>
            </w:r>
            <w:r>
              <w:rPr>
                <w:rFonts w:hint="eastAsia" w:ascii="宋体" w:hAnsi="宋体" w:eastAsia="宋体" w:cs="宋体"/>
                <w:b/>
                <w:color w:val="0000FF"/>
                <w:sz w:val="24"/>
                <w:szCs w:val="24"/>
                <w:lang w:val="en-US" w:eastAsia="zh-CN"/>
              </w:rPr>
              <w:t>部分</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序号</w:t>
            </w:r>
          </w:p>
        </w:tc>
        <w:tc>
          <w:tcPr>
            <w:tcW w:w="1430"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分值</w:t>
            </w:r>
          </w:p>
        </w:tc>
        <w:tc>
          <w:tcPr>
            <w:tcW w:w="5596"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3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rPr>
              <w:t>项目服务方案</w:t>
            </w:r>
          </w:p>
        </w:tc>
        <w:tc>
          <w:tcPr>
            <w:tcW w:w="1008"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lang w:val="en-US" w:eastAsia="zh-CN"/>
              </w:rPr>
              <w:t>15</w:t>
            </w:r>
          </w:p>
        </w:tc>
        <w:tc>
          <w:tcPr>
            <w:tcW w:w="559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评审</w:t>
            </w:r>
            <w:r>
              <w:rPr>
                <w:rFonts w:hint="eastAsia" w:ascii="宋体" w:hAnsi="宋体" w:eastAsia="宋体" w:cs="宋体"/>
                <w:b/>
                <w:bCs/>
                <w:sz w:val="24"/>
                <w:szCs w:val="24"/>
              </w:rPr>
              <w:t>内容</w:t>
            </w:r>
          </w:p>
          <w:p>
            <w:pPr>
              <w:keepNext w:val="0"/>
              <w:keepLines w:val="0"/>
              <w:pageBreakBefore w:val="0"/>
              <w:widowControl/>
              <w:kinsoku/>
              <w:overflowPunct/>
              <w:topLinePunct w:val="0"/>
              <w:autoSpaceDE/>
              <w:autoSpaceDN/>
              <w:bidi w:val="0"/>
              <w:adjustRightInd/>
              <w:snapToGrid/>
              <w:spacing w:line="240" w:lineRule="auto"/>
              <w:ind w:left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1.完全响应招标文件所有技术要求及服务要求；</w:t>
            </w:r>
          </w:p>
          <w:p>
            <w:pPr>
              <w:keepNext w:val="0"/>
              <w:keepLines w:val="0"/>
              <w:pageBreakBefore w:val="0"/>
              <w:widowControl/>
              <w:kinsoku/>
              <w:overflowPunct/>
              <w:topLinePunct w:val="0"/>
              <w:autoSpaceDE/>
              <w:autoSpaceDN/>
              <w:bidi w:val="0"/>
              <w:adjustRightInd/>
              <w:snapToGrid/>
              <w:spacing w:line="240" w:lineRule="auto"/>
              <w:ind w:left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2.具有完整的保险理赔报案及理赔流程；</w:t>
            </w:r>
          </w:p>
          <w:p>
            <w:pPr>
              <w:keepNext w:val="0"/>
              <w:keepLines w:val="0"/>
              <w:pageBreakBefore w:val="0"/>
              <w:widowControl/>
              <w:kinsoku/>
              <w:overflowPunct/>
              <w:topLinePunct w:val="0"/>
              <w:autoSpaceDE/>
              <w:autoSpaceDN/>
              <w:bidi w:val="0"/>
              <w:adjustRightInd/>
              <w:snapToGrid/>
              <w:spacing w:line="240" w:lineRule="auto"/>
              <w:ind w:leftChars="200"/>
              <w:jc w:val="left"/>
              <w:textAlignment w:val="auto"/>
              <w:rPr>
                <w:rFonts w:hint="eastAsia" w:ascii="宋体" w:hAnsi="宋体" w:eastAsia="宋体" w:cs="宋体"/>
                <w:sz w:val="24"/>
                <w:szCs w:val="24"/>
              </w:rPr>
            </w:pPr>
            <w:r>
              <w:rPr>
                <w:rFonts w:hint="eastAsia" w:ascii="宋体" w:hAnsi="宋体" w:eastAsia="宋体" w:cs="宋体"/>
                <w:sz w:val="24"/>
                <w:szCs w:val="24"/>
              </w:rPr>
              <w:t>3.具有售后服务承诺</w:t>
            </w:r>
          </w:p>
          <w:p>
            <w:pPr>
              <w:keepNext w:val="0"/>
              <w:keepLines w:val="0"/>
              <w:pageBreakBefore w:val="0"/>
              <w:widowControl/>
              <w:kinsoku/>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满足以上三点得</w:t>
            </w:r>
            <w:r>
              <w:rPr>
                <w:rFonts w:hint="eastAsia" w:ascii="宋体" w:hAnsi="宋体" w:eastAsia="宋体" w:cs="宋体"/>
                <w:sz w:val="24"/>
                <w:szCs w:val="24"/>
                <w:lang w:val="en-US" w:eastAsia="zh-CN"/>
              </w:rPr>
              <w:t>9</w:t>
            </w:r>
            <w:r>
              <w:rPr>
                <w:rFonts w:hint="eastAsia" w:ascii="宋体" w:hAnsi="宋体" w:eastAsia="宋体" w:cs="宋体"/>
                <w:sz w:val="24"/>
                <w:szCs w:val="24"/>
              </w:rPr>
              <w:t>分，满足任意两点得</w:t>
            </w:r>
            <w:r>
              <w:rPr>
                <w:rFonts w:hint="eastAsia" w:ascii="宋体" w:hAnsi="宋体" w:eastAsia="宋体" w:cs="宋体"/>
                <w:sz w:val="24"/>
                <w:szCs w:val="24"/>
                <w:lang w:val="en-US" w:eastAsia="zh-CN"/>
              </w:rPr>
              <w:t>6</w:t>
            </w:r>
            <w:r>
              <w:rPr>
                <w:rFonts w:hint="eastAsia" w:ascii="宋体" w:hAnsi="宋体" w:eastAsia="宋体" w:cs="宋体"/>
                <w:sz w:val="24"/>
                <w:szCs w:val="24"/>
              </w:rPr>
              <w:t>分，满足任意一点得</w:t>
            </w:r>
            <w:r>
              <w:rPr>
                <w:rFonts w:hint="eastAsia" w:ascii="宋体" w:hAnsi="宋体" w:eastAsia="宋体" w:cs="宋体"/>
                <w:sz w:val="24"/>
                <w:szCs w:val="24"/>
                <w:lang w:val="en-US" w:eastAsia="zh-CN"/>
              </w:rPr>
              <w:t>3</w:t>
            </w:r>
            <w:r>
              <w:rPr>
                <w:rFonts w:hint="eastAsia" w:ascii="宋体" w:hAnsi="宋体" w:eastAsia="宋体" w:cs="宋体"/>
                <w:sz w:val="24"/>
                <w:szCs w:val="24"/>
              </w:rPr>
              <w:t>分，未满足不得分。</w:t>
            </w:r>
          </w:p>
          <w:p>
            <w:pPr>
              <w:keepNext w:val="0"/>
              <w:keepLines w:val="0"/>
              <w:pageBreakBefore w:val="0"/>
              <w:widowControl/>
              <w:kinsoku/>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在此基础上，</w:t>
            </w:r>
            <w:r>
              <w:rPr>
                <w:rFonts w:hint="eastAsia" w:ascii="宋体" w:hAnsi="宋体" w:eastAsia="宋体" w:cs="宋体"/>
                <w:sz w:val="24"/>
                <w:szCs w:val="24"/>
              </w:rPr>
              <w:t>专家根据各供应商的具体响应内容按照量化的评审因素指标进一步评审，评审为优的加</w:t>
            </w:r>
            <w:r>
              <w:rPr>
                <w:rFonts w:hint="eastAsia" w:ascii="宋体" w:hAnsi="宋体" w:eastAsia="宋体" w:cs="宋体"/>
                <w:sz w:val="24"/>
                <w:szCs w:val="24"/>
                <w:lang w:val="en-US" w:eastAsia="zh-CN"/>
              </w:rPr>
              <w:t>6</w:t>
            </w:r>
            <w:r>
              <w:rPr>
                <w:rFonts w:hint="eastAsia" w:ascii="宋体" w:hAnsi="宋体" w:eastAsia="宋体" w:cs="宋体"/>
                <w:sz w:val="24"/>
                <w:szCs w:val="24"/>
              </w:rPr>
              <w:t>分，评审为良的</w:t>
            </w:r>
            <w:r>
              <w:rPr>
                <w:rFonts w:hint="eastAsia" w:ascii="宋体" w:hAnsi="宋体" w:eastAsia="宋体" w:cs="宋体"/>
                <w:sz w:val="24"/>
                <w:szCs w:val="24"/>
                <w:lang w:val="en-US" w:eastAsia="zh-CN"/>
              </w:rPr>
              <w:t>得4</w:t>
            </w:r>
            <w:r>
              <w:rPr>
                <w:rFonts w:hint="eastAsia" w:ascii="宋体" w:hAnsi="宋体" w:eastAsia="宋体" w:cs="宋体"/>
                <w:sz w:val="24"/>
                <w:szCs w:val="24"/>
              </w:rPr>
              <w:t>分，评审为中的</w:t>
            </w:r>
            <w:r>
              <w:rPr>
                <w:rFonts w:hint="eastAsia" w:ascii="宋体" w:hAnsi="宋体" w:eastAsia="宋体" w:cs="宋体"/>
                <w:sz w:val="24"/>
                <w:szCs w:val="24"/>
                <w:lang w:val="en-US" w:eastAsia="zh-CN"/>
              </w:rPr>
              <w:t>得2</w:t>
            </w:r>
            <w:r>
              <w:rPr>
                <w:rFonts w:hint="eastAsia" w:ascii="宋体" w:hAnsi="宋体" w:eastAsia="宋体" w:cs="宋体"/>
                <w:sz w:val="24"/>
                <w:szCs w:val="24"/>
              </w:rPr>
              <w:t>分，评审为差得0分。</w:t>
            </w:r>
          </w:p>
          <w:p>
            <w:pPr>
              <w:keepNext w:val="0"/>
              <w:keepLines w:val="0"/>
              <w:pageBreakBefore w:val="0"/>
              <w:widowControl/>
              <w:kinsoku/>
              <w:wordWrap w:val="0"/>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评审依据</w:t>
            </w:r>
          </w:p>
          <w:p>
            <w:pPr>
              <w:keepNext w:val="0"/>
              <w:keepLines w:val="0"/>
              <w:pageBreakBefore w:val="0"/>
              <w:widowControl/>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rPr>
              <w:t>投标人提供项目服务方案（格式自定），未提供方案或方案未体现上述评分内容或不满足上述评分内容的，不得分。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43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sz w:val="24"/>
                <w:szCs w:val="24"/>
                <w:lang w:val="en-US" w:eastAsia="zh-CN"/>
              </w:rPr>
            </w:pPr>
            <w:r>
              <w:rPr>
                <w:rFonts w:hint="eastAsia" w:ascii="宋体" w:hAnsi="宋体" w:eastAsia="宋体" w:cs="宋体"/>
                <w:sz w:val="24"/>
                <w:szCs w:val="24"/>
              </w:rPr>
              <w:t>质量保障措施</w:t>
            </w:r>
          </w:p>
        </w:tc>
        <w:tc>
          <w:tcPr>
            <w:tcW w:w="1008"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596" w:type="dxa"/>
            <w:tcBorders>
              <w:top w:val="single" w:color="auto" w:sz="4" w:space="0"/>
              <w:left w:val="single" w:color="auto" w:sz="4" w:space="0"/>
              <w:bottom w:val="single" w:color="auto" w:sz="4" w:space="0"/>
              <w:right w:val="single" w:color="auto" w:sz="4" w:space="0"/>
            </w:tcBorders>
            <w:vAlign w:val="center"/>
          </w:tcPr>
          <w:p>
            <w:pPr>
              <w:wordWrap w:val="0"/>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评审内容</w:t>
            </w:r>
          </w:p>
          <w:p>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投标人具有医疗纠纷调解服务经验，熟悉医疗纠纷调解各个环节； </w:t>
            </w:r>
          </w:p>
          <w:p>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1.熟悉医疗纠纷的鉴定工作，提供一个医疗纠纷鉴定案例； </w:t>
            </w:r>
          </w:p>
          <w:p>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rPr>
              <w:t>2.熟悉医疗纠纷</w:t>
            </w:r>
            <w:r>
              <w:rPr>
                <w:rFonts w:hint="eastAsia" w:ascii="宋体" w:hAnsi="宋体" w:eastAsia="宋体" w:cs="宋体"/>
                <w:sz w:val="24"/>
                <w:szCs w:val="24"/>
                <w:lang w:val="en-US" w:eastAsia="zh-CN"/>
              </w:rPr>
              <w:t>或医闹案件</w:t>
            </w:r>
            <w:r>
              <w:rPr>
                <w:rFonts w:hint="eastAsia" w:ascii="宋体" w:hAnsi="宋体" w:eastAsia="宋体" w:cs="宋体"/>
                <w:sz w:val="24"/>
                <w:szCs w:val="24"/>
              </w:rPr>
              <w:t xml:space="preserve">的处理工作，提供一个医疗纠纷处理案例；  </w:t>
            </w:r>
          </w:p>
          <w:p>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熟悉法院或仲裁院的流程工作，提供一个法院出具的判决案例（或一个仲裁委员会出具的裁决案例）。</w:t>
            </w:r>
          </w:p>
          <w:p>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提供</w:t>
            </w:r>
            <w:r>
              <w:rPr>
                <w:rFonts w:hint="eastAsia" w:ascii="宋体" w:hAnsi="宋体" w:eastAsia="宋体" w:cs="宋体"/>
                <w:sz w:val="24"/>
                <w:szCs w:val="24"/>
              </w:rPr>
              <w:t>上述</w:t>
            </w:r>
            <w:r>
              <w:rPr>
                <w:rFonts w:hint="eastAsia" w:ascii="宋体" w:hAnsi="宋体" w:eastAsia="宋体" w:cs="宋体"/>
                <w:sz w:val="24"/>
                <w:szCs w:val="24"/>
                <w:lang w:val="en-US" w:eastAsia="zh-CN"/>
              </w:rPr>
              <w:t>三</w:t>
            </w:r>
            <w:r>
              <w:rPr>
                <w:rFonts w:hint="eastAsia" w:ascii="宋体" w:hAnsi="宋体" w:eastAsia="宋体" w:cs="宋体"/>
                <w:sz w:val="24"/>
                <w:szCs w:val="24"/>
              </w:rPr>
              <w:t>项</w:t>
            </w:r>
            <w:r>
              <w:rPr>
                <w:rFonts w:hint="eastAsia" w:ascii="宋体" w:hAnsi="宋体" w:eastAsia="宋体" w:cs="宋体"/>
                <w:sz w:val="24"/>
                <w:szCs w:val="24"/>
                <w:lang w:val="en-US" w:eastAsia="zh-CN"/>
              </w:rPr>
              <w:t>案例</w:t>
            </w:r>
            <w:r>
              <w:rPr>
                <w:rFonts w:hint="eastAsia" w:ascii="宋体" w:hAnsi="宋体" w:eastAsia="宋体" w:cs="宋体"/>
                <w:sz w:val="24"/>
                <w:szCs w:val="24"/>
              </w:rPr>
              <w:t>得</w:t>
            </w:r>
            <w:r>
              <w:rPr>
                <w:rFonts w:hint="eastAsia" w:ascii="宋体" w:hAnsi="宋体" w:eastAsia="宋体" w:cs="宋体"/>
                <w:sz w:val="24"/>
                <w:szCs w:val="24"/>
                <w:lang w:val="en-US" w:eastAsia="zh-CN"/>
              </w:rPr>
              <w:t>9</w:t>
            </w:r>
            <w:r>
              <w:rPr>
                <w:rFonts w:hint="eastAsia" w:ascii="宋体" w:hAnsi="宋体" w:eastAsia="宋体" w:cs="宋体"/>
                <w:sz w:val="24"/>
                <w:szCs w:val="24"/>
              </w:rPr>
              <w:t>分，任意</w:t>
            </w:r>
            <w:r>
              <w:rPr>
                <w:rFonts w:hint="eastAsia" w:ascii="宋体" w:hAnsi="宋体" w:eastAsia="宋体" w:cs="宋体"/>
                <w:sz w:val="24"/>
                <w:szCs w:val="24"/>
                <w:lang w:val="en-US" w:eastAsia="zh-CN"/>
              </w:rPr>
              <w:t>两</w:t>
            </w:r>
            <w:r>
              <w:rPr>
                <w:rFonts w:hint="eastAsia" w:ascii="宋体" w:hAnsi="宋体" w:eastAsia="宋体" w:cs="宋体"/>
                <w:sz w:val="24"/>
                <w:szCs w:val="24"/>
              </w:rPr>
              <w:t>项得</w:t>
            </w:r>
            <w:r>
              <w:rPr>
                <w:rFonts w:hint="eastAsia" w:ascii="宋体" w:hAnsi="宋体" w:eastAsia="宋体" w:cs="宋体"/>
                <w:sz w:val="24"/>
                <w:szCs w:val="24"/>
                <w:lang w:val="en-US" w:eastAsia="zh-CN"/>
              </w:rPr>
              <w:t>6</w:t>
            </w:r>
            <w:r>
              <w:rPr>
                <w:rFonts w:hint="eastAsia" w:ascii="宋体" w:hAnsi="宋体" w:eastAsia="宋体" w:cs="宋体"/>
                <w:sz w:val="24"/>
                <w:szCs w:val="24"/>
              </w:rPr>
              <w:t>分，任意一项得</w:t>
            </w:r>
            <w:r>
              <w:rPr>
                <w:rFonts w:hint="eastAsia" w:ascii="宋体" w:hAnsi="宋体" w:eastAsia="宋体" w:cs="宋体"/>
                <w:sz w:val="24"/>
                <w:szCs w:val="24"/>
                <w:lang w:val="en-US" w:eastAsia="zh-CN"/>
              </w:rPr>
              <w:t>3</w:t>
            </w:r>
            <w:r>
              <w:rPr>
                <w:rFonts w:hint="eastAsia" w:ascii="宋体" w:hAnsi="宋体" w:eastAsia="宋体" w:cs="宋体"/>
                <w:sz w:val="24"/>
                <w:szCs w:val="24"/>
              </w:rPr>
              <w:t>分，其他不得分。如未按要求提供证明材料，或所提供的证明材料未能体现上述评分内容的，视为该证明材料无效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不得分</w:t>
            </w:r>
            <w:r>
              <w:rPr>
                <w:rFonts w:hint="eastAsia" w:ascii="宋体" w:hAnsi="宋体" w:eastAsia="宋体" w:cs="宋体"/>
                <w:sz w:val="24"/>
                <w:szCs w:val="24"/>
              </w:rPr>
              <w:t>。</w:t>
            </w:r>
          </w:p>
          <w:p>
            <w:pPr>
              <w:wordWrap w:val="0"/>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评审</w:t>
            </w:r>
            <w:r>
              <w:rPr>
                <w:rFonts w:hint="eastAsia" w:ascii="宋体" w:hAnsi="宋体" w:eastAsia="宋体" w:cs="宋体"/>
                <w:b/>
                <w:bCs/>
                <w:sz w:val="24"/>
                <w:szCs w:val="24"/>
              </w:rPr>
              <w:t>依据</w:t>
            </w:r>
          </w:p>
          <w:p>
            <w:pPr>
              <w:wordWrap w:val="0"/>
              <w:ind w:firstLine="480" w:firstLineChars="200"/>
              <w:rPr>
                <w:rFonts w:hint="eastAsia" w:ascii="宋体" w:hAnsi="宋体" w:eastAsia="宋体" w:cs="宋体"/>
                <w:b/>
                <w:bCs/>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提供</w:t>
            </w: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月1日至本项目开标之日具有纠纷服务经验情况：</w:t>
            </w:r>
          </w:p>
          <w:p>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提供案例相关文书、理赔确认书（或理赔相关凭证等证明资料）及照片证明资料，理赔赔款到账时间必须为20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月1日及本项目开标之日，其中纠纷处理及医闹处理案例必须提供现场处理照片，否则不得分。</w:t>
            </w:r>
          </w:p>
          <w:p>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sz w:val="24"/>
                <w:szCs w:val="24"/>
              </w:rPr>
              <w:t>项目重点难点分析、应对措施及相关的合理化建议</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596" w:type="dxa"/>
            <w:tcBorders>
              <w:top w:val="single" w:color="auto" w:sz="4" w:space="0"/>
              <w:left w:val="single" w:color="auto" w:sz="4" w:space="0"/>
              <w:bottom w:val="single" w:color="auto" w:sz="4" w:space="0"/>
              <w:right w:val="single" w:color="auto" w:sz="4" w:space="0"/>
            </w:tcBorders>
            <w:vAlign w:val="center"/>
          </w:tcPr>
          <w:p>
            <w:pPr>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评审内容</w:t>
            </w:r>
          </w:p>
          <w:p>
            <w:pPr>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考察具体方案：</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1.提供医疗责任保险项目实施过程中的重点难点分析，并且详实具体；</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2.提供针对所提出的重点难点的合理化建议；</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3.提供针对所提出的重点难点的应对措施且具有可操作性；</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满足以上三点得</w:t>
            </w:r>
            <w:r>
              <w:rPr>
                <w:rFonts w:hint="eastAsia" w:ascii="宋体" w:hAnsi="宋体" w:eastAsia="宋体" w:cs="宋体"/>
                <w:sz w:val="24"/>
                <w:szCs w:val="24"/>
                <w:lang w:val="en-US" w:eastAsia="zh-CN"/>
              </w:rPr>
              <w:t>9</w:t>
            </w:r>
            <w:r>
              <w:rPr>
                <w:rFonts w:hint="eastAsia" w:ascii="宋体" w:hAnsi="宋体" w:eastAsia="宋体" w:cs="宋体"/>
                <w:sz w:val="24"/>
                <w:szCs w:val="24"/>
              </w:rPr>
              <w:t>分，满足任意两点得</w:t>
            </w:r>
            <w:r>
              <w:rPr>
                <w:rFonts w:hint="eastAsia" w:ascii="宋体" w:hAnsi="宋体" w:eastAsia="宋体" w:cs="宋体"/>
                <w:sz w:val="24"/>
                <w:szCs w:val="24"/>
                <w:lang w:val="en-US" w:eastAsia="zh-CN"/>
              </w:rPr>
              <w:t>6</w:t>
            </w:r>
            <w:r>
              <w:rPr>
                <w:rFonts w:hint="eastAsia" w:ascii="宋体" w:hAnsi="宋体" w:eastAsia="宋体" w:cs="宋体"/>
                <w:sz w:val="24"/>
                <w:szCs w:val="24"/>
              </w:rPr>
              <w:t>分，满足任意一点得</w:t>
            </w:r>
            <w:r>
              <w:rPr>
                <w:rFonts w:hint="eastAsia" w:ascii="宋体" w:hAnsi="宋体" w:eastAsia="宋体" w:cs="宋体"/>
                <w:sz w:val="24"/>
                <w:szCs w:val="24"/>
                <w:lang w:val="en-US" w:eastAsia="zh-CN"/>
              </w:rPr>
              <w:t>3</w:t>
            </w:r>
            <w:r>
              <w:rPr>
                <w:rFonts w:hint="eastAsia" w:ascii="宋体" w:hAnsi="宋体" w:eastAsia="宋体" w:cs="宋体"/>
                <w:sz w:val="24"/>
                <w:szCs w:val="24"/>
              </w:rPr>
              <w:t>分，未满足不得分。</w:t>
            </w:r>
          </w:p>
          <w:p>
            <w:pPr>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评审</w:t>
            </w:r>
            <w:r>
              <w:rPr>
                <w:rFonts w:hint="eastAsia" w:ascii="宋体" w:hAnsi="宋体" w:eastAsia="宋体" w:cs="宋体"/>
                <w:b/>
                <w:bCs/>
                <w:sz w:val="24"/>
                <w:szCs w:val="24"/>
              </w:rPr>
              <w:t>依据</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投标人提供具体方案（格式自定），未提供方案或方案未体现上述评分内容或不满足上述评分内容的，不得分。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color w:val="auto"/>
                <w:sz w:val="24"/>
                <w:szCs w:val="24"/>
              </w:rPr>
              <w:t>拟投入项目的人员</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596" w:type="dxa"/>
            <w:tcBorders>
              <w:top w:val="single" w:color="auto" w:sz="4" w:space="0"/>
              <w:left w:val="single" w:color="auto" w:sz="4" w:space="0"/>
              <w:bottom w:val="single" w:color="auto" w:sz="4" w:space="0"/>
              <w:right w:val="single" w:color="auto" w:sz="4" w:space="0"/>
            </w:tcBorders>
            <w:vAlign w:val="center"/>
          </w:tcPr>
          <w:p>
            <w:pPr>
              <w:wordWrap w:val="0"/>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评审</w:t>
            </w:r>
            <w:r>
              <w:rPr>
                <w:rFonts w:hint="eastAsia" w:ascii="宋体" w:hAnsi="宋体" w:eastAsia="宋体" w:cs="宋体"/>
                <w:b/>
                <w:bCs/>
                <w:sz w:val="24"/>
                <w:szCs w:val="24"/>
                <w:lang w:val="en-US" w:eastAsia="zh-CN"/>
              </w:rPr>
              <w:t>内容</w:t>
            </w:r>
          </w:p>
          <w:p>
            <w:pPr>
              <w:wordWrap w:val="0"/>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拟派本项目负责人：</w:t>
            </w:r>
          </w:p>
          <w:p>
            <w:pPr>
              <w:wordWrap w:val="0"/>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学历</w:t>
            </w:r>
            <w:r>
              <w:rPr>
                <w:rFonts w:hint="eastAsia" w:ascii="宋体" w:hAnsi="宋体" w:eastAsia="宋体" w:cs="宋体"/>
                <w:b/>
                <w:bCs/>
                <w:color w:val="auto"/>
                <w:sz w:val="24"/>
                <w:szCs w:val="24"/>
                <w:lang w:val="en-US" w:eastAsia="zh-CN"/>
              </w:rPr>
              <w:t>（1分）</w:t>
            </w:r>
            <w:r>
              <w:rPr>
                <w:rFonts w:hint="eastAsia" w:ascii="宋体" w:hAnsi="宋体" w:eastAsia="宋体" w:cs="宋体"/>
                <w:b/>
                <w:bCs/>
                <w:color w:val="auto"/>
                <w:sz w:val="24"/>
                <w:szCs w:val="24"/>
              </w:rPr>
              <w:t>：</w:t>
            </w:r>
            <w:r>
              <w:rPr>
                <w:rFonts w:hint="eastAsia" w:ascii="宋体" w:hAnsi="宋体" w:eastAsia="宋体" w:cs="宋体"/>
                <w:color w:val="auto"/>
                <w:sz w:val="24"/>
                <w:szCs w:val="24"/>
              </w:rPr>
              <w:t>具备本科（或以上）学历的，得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pPr>
              <w:wordWrap w:val="0"/>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项目经验</w:t>
            </w:r>
            <w:r>
              <w:rPr>
                <w:rFonts w:hint="eastAsia" w:ascii="宋体" w:hAnsi="宋体" w:eastAsia="宋体" w:cs="宋体"/>
                <w:b/>
                <w:bCs/>
                <w:color w:val="auto"/>
                <w:sz w:val="24"/>
                <w:szCs w:val="24"/>
                <w:lang w:val="en-US" w:eastAsia="zh-CN"/>
              </w:rPr>
              <w:t>（2分）</w:t>
            </w:r>
            <w:r>
              <w:rPr>
                <w:rFonts w:hint="eastAsia" w:ascii="宋体" w:hAnsi="宋体" w:eastAsia="宋体" w:cs="宋体"/>
                <w:b/>
                <w:bCs/>
                <w:color w:val="auto"/>
                <w:sz w:val="24"/>
                <w:szCs w:val="24"/>
              </w:rPr>
              <w:t>：</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月1日至投标截止时间参加过医疗责任保险业绩的，</w:t>
            </w:r>
            <w:r>
              <w:rPr>
                <w:rFonts w:hint="eastAsia" w:ascii="宋体" w:hAnsi="宋体" w:eastAsia="宋体" w:cs="宋体"/>
                <w:color w:val="auto"/>
                <w:sz w:val="24"/>
                <w:szCs w:val="24"/>
                <w:lang w:val="en-US" w:eastAsia="zh-CN"/>
              </w:rPr>
              <w:t>每提供一项业绩</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最高得2分</w:t>
            </w:r>
            <w:r>
              <w:rPr>
                <w:rFonts w:hint="eastAsia" w:ascii="宋体" w:hAnsi="宋体" w:eastAsia="宋体" w:cs="宋体"/>
                <w:color w:val="auto"/>
                <w:sz w:val="24"/>
                <w:szCs w:val="24"/>
              </w:rPr>
              <w:t>。</w:t>
            </w:r>
          </w:p>
          <w:p>
            <w:pPr>
              <w:wordWrap w:val="0"/>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项目团队成员（不含项目负责人）</w:t>
            </w:r>
            <w:r>
              <w:rPr>
                <w:rFonts w:hint="eastAsia" w:ascii="宋体" w:hAnsi="宋体" w:eastAsia="宋体" w:cs="宋体"/>
                <w:color w:val="auto"/>
                <w:sz w:val="24"/>
                <w:szCs w:val="24"/>
              </w:rPr>
              <w:t>：</w:t>
            </w:r>
          </w:p>
          <w:p>
            <w:pPr>
              <w:wordWrap w:val="0"/>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人数（2分）</w:t>
            </w:r>
            <w:r>
              <w:rPr>
                <w:rFonts w:hint="eastAsia" w:ascii="宋体" w:hAnsi="宋体" w:eastAsia="宋体" w:cs="宋体"/>
                <w:color w:val="auto"/>
                <w:sz w:val="24"/>
                <w:szCs w:val="24"/>
                <w:lang w:val="en-US" w:eastAsia="zh-CN"/>
              </w:rPr>
              <w:t>：团队成员（不含项目负责人）在5人（含）及以上的得2分，否则不得分。</w:t>
            </w:r>
          </w:p>
          <w:p>
            <w:pPr>
              <w:wordWrap w:val="0"/>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学历</w:t>
            </w:r>
            <w:r>
              <w:rPr>
                <w:rFonts w:hint="eastAsia" w:ascii="宋体" w:hAnsi="宋体" w:eastAsia="宋体" w:cs="宋体"/>
                <w:b/>
                <w:bCs/>
                <w:color w:val="auto"/>
                <w:sz w:val="24"/>
                <w:szCs w:val="24"/>
                <w:lang w:val="en-US" w:eastAsia="zh-CN"/>
              </w:rPr>
              <w:t>专业</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：团队成员中具有</w:t>
            </w:r>
            <w:r>
              <w:rPr>
                <w:rFonts w:hint="eastAsia" w:ascii="宋体" w:hAnsi="宋体" w:eastAsia="宋体" w:cs="宋体"/>
                <w:color w:val="auto"/>
                <w:sz w:val="24"/>
                <w:szCs w:val="24"/>
                <w:lang w:val="en-US" w:eastAsia="zh-CN"/>
              </w:rPr>
              <w:t>本科</w:t>
            </w:r>
            <w:r>
              <w:rPr>
                <w:rFonts w:hint="eastAsia" w:ascii="宋体" w:hAnsi="宋体" w:eastAsia="宋体" w:cs="宋体"/>
                <w:color w:val="auto"/>
                <w:sz w:val="24"/>
                <w:szCs w:val="24"/>
              </w:rPr>
              <w:t>（或以上）学历</w:t>
            </w:r>
            <w:r>
              <w:rPr>
                <w:rFonts w:hint="eastAsia" w:ascii="宋体" w:hAnsi="宋体" w:eastAsia="宋体" w:cs="宋体"/>
                <w:color w:val="auto"/>
                <w:sz w:val="24"/>
                <w:szCs w:val="24"/>
                <w:lang w:val="en-US" w:eastAsia="zh-CN"/>
              </w:rPr>
              <w:t>且为</w:t>
            </w:r>
            <w:r>
              <w:rPr>
                <w:rFonts w:hint="eastAsia" w:ascii="宋体" w:hAnsi="宋体" w:eastAsia="宋体" w:cs="宋体"/>
                <w:color w:val="auto"/>
                <w:sz w:val="24"/>
                <w:szCs w:val="24"/>
              </w:rPr>
              <w:t>法学或医学或保险专业</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每新增一人得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本项最高不超过</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wordWrap w:val="0"/>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项目经验（</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：团队成员中每新增一人20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月1日至投标截止时间参加过一项医疗责任保险业绩的，得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wordWrap w:val="0"/>
              <w:ind w:firstLine="482" w:firstLineChars="200"/>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评审依据</w:t>
            </w:r>
          </w:p>
          <w:p>
            <w:pPr>
              <w:wordWrap w:val="0"/>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提供</w:t>
            </w:r>
            <w:r>
              <w:rPr>
                <w:rFonts w:hint="eastAsia" w:ascii="宋体" w:hAnsi="宋体" w:eastAsia="宋体" w:cs="宋体"/>
                <w:b/>
                <w:color w:val="auto"/>
                <w:sz w:val="24"/>
                <w:szCs w:val="24"/>
              </w:rPr>
              <w:t>证明文件：</w:t>
            </w:r>
          </w:p>
          <w:p>
            <w:pPr>
              <w:ind w:firstLine="48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sz w:val="24"/>
                <w:szCs w:val="24"/>
              </w:rPr>
              <w:t>提供通过投标人缴纳的近</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个月的社保证明作为本单位员工的证明依据。由于社保部门原因，最近一个月的社保证明无法提供的，可往前顺延一个月）社保证明文件扫描件。</w:t>
            </w:r>
          </w:p>
          <w:p>
            <w:pPr>
              <w:ind w:firstLine="48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须提供人员的学历证书（或毕业证书）、职称证书、资质证书扫描件。</w:t>
            </w:r>
          </w:p>
          <w:p>
            <w:pPr>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须提供人员的业绩合同关键页（含体现内容页、盖章签字页、签字日期）扫描件，如不能体现服务人员</w:t>
            </w:r>
            <w:r>
              <w:rPr>
                <w:rFonts w:hint="eastAsia" w:ascii="宋体" w:hAnsi="宋体" w:eastAsia="宋体" w:cs="宋体"/>
                <w:color w:val="auto"/>
                <w:sz w:val="24"/>
                <w:szCs w:val="24"/>
                <w:lang w:val="en-US" w:eastAsia="zh-CN"/>
              </w:rPr>
              <w:t>工作经验的</w:t>
            </w:r>
            <w:r>
              <w:rPr>
                <w:rFonts w:hint="eastAsia" w:ascii="宋体" w:hAnsi="宋体" w:eastAsia="宋体" w:cs="宋体"/>
                <w:color w:val="auto"/>
                <w:sz w:val="24"/>
                <w:szCs w:val="24"/>
              </w:rPr>
              <w:t>须提供投标人</w:t>
            </w:r>
            <w:r>
              <w:rPr>
                <w:rFonts w:hint="eastAsia" w:ascii="宋体" w:hAnsi="宋体" w:eastAsia="宋体" w:cs="宋体"/>
                <w:color w:val="auto"/>
                <w:sz w:val="24"/>
                <w:szCs w:val="24"/>
                <w:lang w:val="en-US" w:eastAsia="zh-CN"/>
              </w:rPr>
              <w:t>情况说明</w:t>
            </w:r>
            <w:r>
              <w:rPr>
                <w:rFonts w:hint="eastAsia" w:ascii="宋体" w:hAnsi="宋体" w:eastAsia="宋体" w:cs="宋体"/>
                <w:color w:val="auto"/>
                <w:sz w:val="24"/>
                <w:szCs w:val="24"/>
              </w:rPr>
              <w:t>盖章扫描件。</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sz w:val="24"/>
                <w:szCs w:val="24"/>
              </w:rPr>
              <w:t>未提供或提供的内容不符合要求的，不得分。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3</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综合实力部分</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序号</w:t>
            </w:r>
          </w:p>
        </w:tc>
        <w:tc>
          <w:tcPr>
            <w:tcW w:w="143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权重</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highlight w:val="none"/>
                <w:lang w:val="en-US" w:eastAsia="zh-CN"/>
              </w:rPr>
              <w:t>同类项目业绩</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sz w:val="24"/>
                <w:szCs w:val="24"/>
                <w:highlight w:val="none"/>
                <w:lang w:val="en-US" w:eastAsia="zh-CN"/>
              </w:rPr>
              <w:t>15</w:t>
            </w:r>
          </w:p>
        </w:tc>
        <w:tc>
          <w:tcPr>
            <w:tcW w:w="559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评审</w:t>
            </w:r>
            <w:r>
              <w:rPr>
                <w:rFonts w:hint="eastAsia" w:ascii="宋体" w:hAnsi="宋体" w:eastAsia="宋体" w:cs="宋体"/>
                <w:b/>
                <w:bCs/>
                <w:sz w:val="24"/>
                <w:szCs w:val="24"/>
                <w:lang w:val="en-US" w:eastAsia="zh-CN"/>
              </w:rPr>
              <w:t>内容</w:t>
            </w:r>
          </w:p>
          <w:p>
            <w:pPr>
              <w:numPr>
                <w:ilvl w:val="0"/>
                <w:numId w:val="0"/>
              </w:numPr>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月1日至本项目投标截止时间公立医疗机构医疗责任险有效业绩，</w:t>
            </w:r>
            <w:r>
              <w:rPr>
                <w:rFonts w:hint="eastAsia" w:ascii="宋体" w:hAnsi="宋体" w:eastAsia="宋体" w:cs="宋体"/>
                <w:color w:val="auto"/>
                <w:sz w:val="24"/>
                <w:szCs w:val="24"/>
                <w:lang w:val="en-US" w:eastAsia="zh-CN"/>
              </w:rPr>
              <w:t>每提供一项</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分；以此类推，最高得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 xml:space="preserve">分。不提供或者不能有效证明的，得0分。 </w:t>
            </w:r>
          </w:p>
          <w:p>
            <w:pPr>
              <w:numPr>
                <w:ilvl w:val="0"/>
                <w:numId w:val="0"/>
              </w:numPr>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评审依据</w:t>
            </w:r>
          </w:p>
          <w:p>
            <w:pPr>
              <w:numPr>
                <w:ilvl w:val="0"/>
                <w:numId w:val="0"/>
              </w:numPr>
              <w:wordWrap/>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投标人须提供项目合同关键页（含体现采购内容页、盖章签字页、签字日期）或保单或验收报告或中标通知书或其他证明资料扫描件，未提供或未按要求提供或提供的扫描件不清晰导致专家无法判断的不得分。</w:t>
            </w:r>
          </w:p>
          <w:p>
            <w:pPr>
              <w:numPr>
                <w:ilvl w:val="0"/>
                <w:numId w:val="0"/>
              </w:num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提供的业绩合同签订时间需为20</w:t>
            </w:r>
            <w:r>
              <w:rPr>
                <w:rFonts w:hint="eastAsia" w:ascii="宋体" w:hAnsi="宋体" w:eastAsia="宋体" w:cs="宋体"/>
                <w:bCs/>
                <w:color w:val="auto"/>
                <w:sz w:val="24"/>
                <w:szCs w:val="24"/>
                <w:lang w:val="en-US" w:eastAsia="zh-CN"/>
              </w:rPr>
              <w:t>22</w:t>
            </w:r>
            <w:r>
              <w:rPr>
                <w:rFonts w:hint="eastAsia" w:ascii="宋体" w:hAnsi="宋体" w:eastAsia="宋体" w:cs="宋体"/>
                <w:bCs/>
                <w:color w:val="auto"/>
                <w:sz w:val="24"/>
                <w:szCs w:val="24"/>
              </w:rPr>
              <w:t>年</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月</w:t>
            </w:r>
            <w:r>
              <w:rPr>
                <w:rFonts w:hint="eastAsia" w:ascii="宋体" w:hAnsi="宋体" w:eastAsia="宋体" w:cs="宋体"/>
                <w:bCs/>
                <w:color w:val="auto"/>
                <w:sz w:val="24"/>
                <w:szCs w:val="24"/>
                <w:lang w:val="en-US" w:eastAsia="zh-CN"/>
              </w:rPr>
              <w:t>1日</w:t>
            </w:r>
            <w:r>
              <w:rPr>
                <w:rFonts w:hint="eastAsia" w:ascii="宋体" w:hAnsi="宋体" w:eastAsia="宋体" w:cs="宋体"/>
                <w:bCs/>
                <w:color w:val="auto"/>
                <w:sz w:val="24"/>
                <w:szCs w:val="24"/>
              </w:rPr>
              <w:t>至投标截止时间前。</w:t>
            </w:r>
          </w:p>
          <w:p>
            <w:pPr>
              <w:numPr>
                <w:ilvl w:val="0"/>
                <w:numId w:val="0"/>
              </w:numPr>
              <w:ind w:firstLine="480" w:firstLineChars="200"/>
              <w:rPr>
                <w:rFonts w:hint="eastAsia"/>
              </w:rPr>
            </w:pPr>
            <w:r>
              <w:rPr>
                <w:rFonts w:hint="eastAsia" w:ascii="宋体" w:hAnsi="宋体" w:eastAsia="宋体" w:cs="宋体"/>
                <w:strike w:val="0"/>
                <w:color w:val="auto"/>
                <w:sz w:val="24"/>
                <w:szCs w:val="24"/>
                <w:lang w:val="en-US" w:eastAsia="zh-CN"/>
              </w:rPr>
              <w:t>3.</w:t>
            </w:r>
            <w:r>
              <w:rPr>
                <w:rFonts w:hint="eastAsia" w:ascii="宋体" w:hAnsi="宋体" w:eastAsia="宋体" w:cs="宋体"/>
                <w:strike w:val="0"/>
                <w:color w:val="auto"/>
                <w:sz w:val="24"/>
                <w:szCs w:val="24"/>
              </w:rPr>
              <w:t>投标人为独立法人的，投标人及其下属各分公司的同类项目业绩均</w:t>
            </w:r>
            <w:r>
              <w:rPr>
                <w:rFonts w:hint="eastAsia" w:ascii="宋体" w:hAnsi="宋体" w:eastAsia="宋体" w:cs="宋体"/>
                <w:strike w:val="0"/>
                <w:color w:val="auto"/>
                <w:sz w:val="24"/>
                <w:szCs w:val="24"/>
                <w:lang w:val="en-US" w:eastAsia="zh-CN"/>
              </w:rPr>
              <w:t>予以认可</w:t>
            </w:r>
            <w:r>
              <w:rPr>
                <w:rFonts w:hint="eastAsia" w:ascii="宋体" w:hAnsi="宋体" w:eastAsia="宋体" w:cs="宋体"/>
                <w:strike w:val="0"/>
                <w:color w:val="auto"/>
                <w:sz w:val="24"/>
                <w:szCs w:val="24"/>
              </w:rPr>
              <w:t>；投标人为分公司的，提供总公司及其他分公司同类项目业绩不予认可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履约评价</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5596" w:type="dxa"/>
            <w:tcBorders>
              <w:top w:val="single" w:color="auto" w:sz="4" w:space="0"/>
              <w:left w:val="single" w:color="auto" w:sz="4" w:space="0"/>
              <w:bottom w:val="single" w:color="auto" w:sz="4" w:space="0"/>
              <w:right w:val="single" w:color="auto" w:sz="4" w:space="0"/>
            </w:tcBorders>
            <w:vAlign w:val="center"/>
          </w:tcPr>
          <w:p>
            <w:pPr>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评审</w:t>
            </w:r>
            <w:r>
              <w:rPr>
                <w:rFonts w:hint="eastAsia" w:ascii="宋体" w:hAnsi="宋体" w:eastAsia="宋体" w:cs="宋体"/>
                <w:b/>
                <w:bCs/>
                <w:sz w:val="24"/>
                <w:szCs w:val="24"/>
                <w:lang w:val="en-US" w:eastAsia="zh-CN"/>
              </w:rPr>
              <w:t>内容</w:t>
            </w:r>
          </w:p>
          <w:p>
            <w:pPr>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提供20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月1日至本项目投标截止之日前医疗机构出具的医责险项目履约评价，评价为优或者满意</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，每提供一项符合要求的证明资料得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分。不提供或者不能有效证明的，得0分。</w:t>
            </w:r>
          </w:p>
          <w:p>
            <w:pPr>
              <w:ind w:firstLine="482" w:firstLineChars="200"/>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评审依据</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sz w:val="24"/>
                <w:szCs w:val="24"/>
              </w:rPr>
              <w:t>投标人提供用户出具的履约评价原件扫描件，且项目履约评价证明文件需要加盖医疗机构公章（或医疗机构业务章</w:t>
            </w:r>
            <w:r>
              <w:rPr>
                <w:rFonts w:hint="eastAsia" w:ascii="宋体" w:hAnsi="宋体" w:eastAsia="宋体" w:cs="宋体"/>
                <w:color w:val="auto"/>
                <w:sz w:val="24"/>
                <w:szCs w:val="24"/>
                <w:lang w:val="en-US" w:eastAsia="zh-CN"/>
              </w:rPr>
              <w:t>或部门章</w:t>
            </w:r>
            <w:r>
              <w:rPr>
                <w:rFonts w:hint="eastAsia" w:ascii="宋体" w:hAnsi="宋体" w:eastAsia="宋体" w:cs="宋体"/>
                <w:color w:val="auto"/>
                <w:sz w:val="24"/>
                <w:szCs w:val="24"/>
              </w:rPr>
              <w:t>），未提供或未按要求提供或提供的扫描件不清晰导致专家无法判断的不得分。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01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highlight w:val="none"/>
                <w:lang w:val="en-US" w:eastAsia="zh-CN"/>
              </w:rPr>
            </w:pPr>
            <w:r>
              <w:rPr>
                <w:rFonts w:hint="eastAsia" w:ascii="宋体" w:hAnsi="宋体" w:eastAsia="宋体" w:cs="宋体"/>
                <w:szCs w:val="21"/>
              </w:rPr>
              <w:t>供应商综合偿付能力充足率情况</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评审</w:t>
            </w:r>
            <w:r>
              <w:rPr>
                <w:rFonts w:hint="eastAsia" w:ascii="宋体" w:hAnsi="宋体" w:eastAsia="宋体" w:cs="宋体"/>
                <w:b/>
                <w:bCs/>
                <w:sz w:val="24"/>
                <w:szCs w:val="24"/>
              </w:rPr>
              <w:t>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考察投标人总公司202</w:t>
            </w:r>
            <w:r>
              <w:rPr>
                <w:rFonts w:hint="eastAsia" w:ascii="宋体" w:hAnsi="宋体" w:eastAsia="宋体" w:cs="宋体"/>
                <w:sz w:val="24"/>
                <w:szCs w:val="24"/>
                <w:lang w:val="en-US" w:eastAsia="zh-CN"/>
              </w:rPr>
              <w:t>4</w:t>
            </w:r>
            <w:r>
              <w:rPr>
                <w:rFonts w:hint="eastAsia" w:ascii="宋体" w:hAnsi="宋体" w:eastAsia="宋体" w:cs="宋体"/>
                <w:sz w:val="24"/>
                <w:szCs w:val="24"/>
              </w:rPr>
              <w:t>年第四季度综合偿付能力充足率情况：</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综合偿付能力充足率≥2</w:t>
            </w:r>
            <w:r>
              <w:rPr>
                <w:rFonts w:hint="eastAsia" w:ascii="宋体" w:hAnsi="宋体" w:eastAsia="宋体" w:cs="宋体"/>
                <w:sz w:val="24"/>
                <w:szCs w:val="24"/>
                <w:lang w:val="en-US" w:eastAsia="zh-CN"/>
              </w:rPr>
              <w:t>0</w:t>
            </w:r>
            <w:r>
              <w:rPr>
                <w:rFonts w:hint="eastAsia" w:ascii="宋体" w:hAnsi="宋体" w:eastAsia="宋体" w:cs="宋体"/>
                <w:sz w:val="24"/>
                <w:szCs w:val="24"/>
              </w:rPr>
              <w:t>0%的</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10分。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0%≤综合偿付能力充足率＜2</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8分。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0%≤综合偿付能力充足率＜</w:t>
            </w:r>
            <w:r>
              <w:rPr>
                <w:rFonts w:hint="eastAsia" w:ascii="宋体" w:hAnsi="宋体" w:eastAsia="宋体" w:cs="宋体"/>
                <w:sz w:val="24"/>
                <w:szCs w:val="24"/>
                <w:lang w:val="en-US" w:eastAsia="zh-CN"/>
              </w:rPr>
              <w:t>1</w:t>
            </w:r>
            <w:r>
              <w:rPr>
                <w:rFonts w:hint="eastAsia" w:ascii="宋体" w:hAnsi="宋体" w:eastAsia="宋体" w:cs="宋体"/>
                <w:sz w:val="24"/>
                <w:szCs w:val="24"/>
              </w:rPr>
              <w:t>50%</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0%</w:t>
            </w:r>
            <w:r>
              <w:rPr>
                <w:rFonts w:hint="eastAsia" w:ascii="宋体" w:hAnsi="宋体" w:eastAsia="宋体" w:cs="宋体"/>
                <w:sz w:val="24"/>
                <w:szCs w:val="24"/>
                <w:lang w:val="en-US" w:eastAsia="zh-CN"/>
              </w:rPr>
              <w:t>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综合偿付能力充足率＜</w:t>
            </w:r>
            <w:r>
              <w:rPr>
                <w:rFonts w:hint="eastAsia" w:ascii="宋体" w:hAnsi="宋体" w:eastAsia="宋体" w:cs="宋体"/>
                <w:sz w:val="24"/>
                <w:szCs w:val="24"/>
                <w:lang w:val="en-US" w:eastAsia="zh-CN"/>
              </w:rPr>
              <w:t>10</w:t>
            </w:r>
            <w:r>
              <w:rPr>
                <w:rFonts w:hint="eastAsia" w:ascii="宋体" w:hAnsi="宋体" w:eastAsia="宋体" w:cs="宋体"/>
                <w:sz w:val="24"/>
                <w:szCs w:val="24"/>
              </w:rPr>
              <w:t>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不得分。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评审</w:t>
            </w:r>
            <w:r>
              <w:rPr>
                <w:rFonts w:hint="eastAsia" w:ascii="宋体" w:hAnsi="宋体" w:eastAsia="宋体" w:cs="宋体"/>
                <w:b/>
                <w:bCs/>
                <w:sz w:val="24"/>
                <w:szCs w:val="24"/>
              </w:rPr>
              <w:t>依据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中国保险行业协会”—“信息披露”栏目—“偿付能力信息披露”页面下载对应保险公司偿付能力报告（2024年第四季度）扫描件，仅需提供首页、综合偿付能力充足率页等关键部分相关截图，并加盖投标人公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以上资料均要求提供扫描件（或官方网站截图），原件备查。未提供或未按要求提供或提供的扫描件不清晰导致专家无法判断的不得分。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4</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诚信情况</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3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权重</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jc w:val="center"/>
        </w:trPr>
        <w:tc>
          <w:tcPr>
            <w:tcW w:w="10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480" w:firstLineChars="2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诚信情况</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投标人无需提供证明材料，由招采办工作人员向评审委员会提供有关供应商诚信查询结果。</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Pr>
        <w:rPr>
          <w:rFonts w:hint="eastAsia"/>
          <w:color w:val="auto"/>
          <w:lang w:val="en-US" w:eastAsia="zh-CN"/>
        </w:rPr>
      </w:pPr>
      <w:bookmarkStart w:id="1" w:name="bt投标报价汇总表"/>
      <w:bookmarkEnd w:id="1"/>
      <w:bookmarkStart w:id="2" w:name="bt投标函"/>
      <w:bookmarkEnd w:id="2"/>
      <w:bookmarkStart w:id="3" w:name="bt投标文件签署授权委托书"/>
      <w:bookmarkEnd w:id="3"/>
      <w:bookmarkStart w:id="4" w:name="bt投标人须知"/>
      <w:bookmarkEnd w:id="4"/>
      <w:bookmarkStart w:id="5" w:name="bt其他资料由投标人自定"/>
      <w:bookmarkEnd w:id="5"/>
      <w:bookmarkStart w:id="6" w:name="bt其他资料2"/>
      <w:bookmarkEnd w:id="6"/>
      <w:bookmarkStart w:id="7" w:name="bt说明"/>
      <w:bookmarkEnd w:id="7"/>
      <w:bookmarkStart w:id="8" w:name="bt本工程承诺书"/>
      <w:bookmarkEnd w:id="8"/>
      <w:bookmarkStart w:id="9" w:name="bt合同条款及格式"/>
      <w:bookmarkEnd w:id="9"/>
      <w:bookmarkStart w:id="10" w:name="bt开标一览表"/>
      <w:bookmarkEnd w:id="10"/>
      <w:bookmarkStart w:id="11" w:name="bt合同格式"/>
      <w:bookmarkEnd w:id="11"/>
      <w:bookmarkStart w:id="12" w:name="bt合同条款"/>
      <w:bookmarkEnd w:id="12"/>
      <w:bookmarkStart w:id="13" w:name="bt投标人情况介绍"/>
      <w:bookmarkEnd w:id="13"/>
      <w:bookmarkStart w:id="14" w:name="合同格式"/>
      <w:bookmarkEnd w:id="14"/>
      <w:bookmarkStart w:id="15" w:name="bt项目管理班子配备情况"/>
      <w:bookmarkEnd w:id="15"/>
      <w:bookmarkStart w:id="16" w:name="bt商务标投标文件格式"/>
      <w:bookmarkEnd w:id="16"/>
      <w:bookmarkStart w:id="17" w:name="bt技术标投标文件格式"/>
      <w:bookmarkEnd w:id="17"/>
      <w:bookmarkStart w:id="18" w:name="_Toc432592813"/>
      <w:bookmarkStart w:id="19" w:name="_Toc76544499"/>
      <w:bookmarkStart w:id="20" w:name="_Toc265483798"/>
      <w:r>
        <w:rPr>
          <w:rFonts w:hint="eastAsia"/>
          <w:color w:val="auto"/>
          <w:lang w:val="en-US" w:eastAsia="zh-CN"/>
        </w:rPr>
        <w:br w:type="page"/>
      </w:r>
    </w:p>
    <w:p>
      <w:pPr>
        <w:pStyle w:val="19"/>
        <w:numPr>
          <w:ilvl w:val="0"/>
          <w:numId w:val="0"/>
        </w:numPr>
        <w:tabs>
          <w:tab w:val="clear" w:pos="426"/>
        </w:tabs>
        <w:ind w:leftChars="0"/>
        <w:jc w:val="center"/>
        <w:rPr>
          <w:color w:val="auto"/>
        </w:rPr>
      </w:pPr>
      <w:r>
        <w:rPr>
          <w:rFonts w:hint="eastAsia"/>
          <w:color w:val="auto"/>
          <w:lang w:val="en-US" w:eastAsia="zh-CN"/>
        </w:rPr>
        <w:t>第一章  招标</w:t>
      </w:r>
      <w:r>
        <w:rPr>
          <w:rFonts w:hint="eastAsia"/>
          <w:color w:val="auto"/>
        </w:rPr>
        <w:t>公告</w:t>
      </w:r>
      <w:bookmarkEnd w:id="18"/>
      <w:bookmarkEnd w:id="19"/>
      <w:bookmarkEnd w:id="20"/>
    </w:p>
    <w:p>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auto"/>
          <w:sz w:val="24"/>
          <w:szCs w:val="24"/>
          <w:shd w:val="clear" w:color="auto" w:fill="FFFFFF"/>
          <w:lang w:val="en-US" w:eastAsia="zh-CN"/>
        </w:rPr>
        <w:t>院内招标采购</w:t>
      </w:r>
      <w:r>
        <w:rPr>
          <w:rFonts w:hint="eastAsia" w:ascii="宋体" w:hAnsi="宋体" w:eastAsia="宋体" w:cs="宋体"/>
          <w:bCs/>
          <w:color w:val="auto"/>
          <w:sz w:val="24"/>
          <w:szCs w:val="24"/>
          <w:shd w:val="clear" w:color="auto" w:fill="FFFFFF"/>
        </w:rPr>
        <w:t>，欢迎符合条件具有供应能力的供应商或厂家前来报名参加。</w:t>
      </w:r>
    </w:p>
    <w:p>
      <w:pPr>
        <w:pStyle w:val="45"/>
        <w:widowControl w:val="0"/>
        <w:numPr>
          <w:ilvl w:val="0"/>
          <w:numId w:val="0"/>
        </w:numPr>
        <w:shd w:val="clear" w:color="auto" w:fill="auto"/>
        <w:adjustRightInd/>
        <w:snapToGrid/>
        <w:spacing w:line="560" w:lineRule="exact"/>
        <w:ind w:leftChars="0" w:firstLine="480"/>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lang w:val="en-US" w:eastAsia="zh-CN"/>
        </w:rPr>
        <w:t>一、</w:t>
      </w:r>
      <w:r>
        <w:rPr>
          <w:rFonts w:hint="eastAsia" w:ascii="宋体" w:hAnsi="宋体" w:eastAsia="宋体" w:cs="宋体"/>
          <w:bCs/>
          <w:color w:val="auto"/>
          <w:sz w:val="24"/>
          <w:szCs w:val="24"/>
          <w:shd w:val="clear" w:color="auto" w:fill="FFFFFF"/>
        </w:rPr>
        <w:t>项目基本情况</w:t>
      </w:r>
    </w:p>
    <w:tbl>
      <w:tblPr>
        <w:tblStyle w:val="25"/>
        <w:tblW w:w="4868"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7"/>
        <w:gridCol w:w="1621"/>
        <w:gridCol w:w="1623"/>
        <w:gridCol w:w="811"/>
        <w:gridCol w:w="717"/>
        <w:gridCol w:w="1184"/>
        <w:gridCol w:w="23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88" w:type="pct"/>
            <w:tcBorders>
              <w:tl2br w:val="nil"/>
              <w:tr2bl w:val="nil"/>
            </w:tcBorders>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902" w:type="pct"/>
            <w:tcBorders>
              <w:tl2br w:val="nil"/>
              <w:tr2bl w:val="nil"/>
            </w:tcBorders>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903"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51"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99"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659"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预算总价（元）</w:t>
            </w:r>
          </w:p>
        </w:tc>
        <w:tc>
          <w:tcPr>
            <w:tcW w:w="1294"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3" w:hRule="atLeast"/>
          <w:tblCellSpacing w:w="0" w:type="dxa"/>
          <w:jc w:val="center"/>
        </w:trPr>
        <w:tc>
          <w:tcPr>
            <w:tcW w:w="388"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902"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ENT20250</w:t>
            </w:r>
            <w:r>
              <w:rPr>
                <w:rFonts w:hint="eastAsia" w:eastAsia="宋体" w:cs="Times New Roman"/>
                <w:b w:val="0"/>
                <w:bCs w:val="0"/>
                <w:color w:val="auto"/>
                <w:sz w:val="24"/>
                <w:szCs w:val="24"/>
                <w:highlight w:val="none"/>
                <w:lang w:val="en-US" w:eastAsia="zh-CN"/>
              </w:rPr>
              <w:t>803-2</w:t>
            </w:r>
          </w:p>
        </w:tc>
        <w:tc>
          <w:tcPr>
            <w:tcW w:w="903"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医疗责任保险采购</w:t>
            </w:r>
          </w:p>
        </w:tc>
        <w:tc>
          <w:tcPr>
            <w:tcW w:w="451"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399"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w:t>
            </w:r>
          </w:p>
        </w:tc>
        <w:tc>
          <w:tcPr>
            <w:tcW w:w="659"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150000</w:t>
            </w:r>
          </w:p>
        </w:tc>
        <w:tc>
          <w:tcPr>
            <w:tcW w:w="1294"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24"/>
                <w:szCs w:val="24"/>
                <w:highlight w:val="none"/>
                <w:lang w:val="en-US" w:eastAsia="zh-CN"/>
              </w:rPr>
            </w:pPr>
          </w:p>
        </w:tc>
      </w:tr>
    </w:tbl>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二、供应商（参与人）资格要求：</w:t>
      </w:r>
    </w:p>
    <w:p>
      <w:pPr>
        <w:spacing w:line="560" w:lineRule="exact"/>
        <w:ind w:firstLine="480" w:firstLineChars="200"/>
        <w:rPr>
          <w:rFonts w:hint="eastAsia" w:ascii="宋体" w:hAnsi="宋体"/>
          <w:bCs/>
          <w:szCs w:val="21"/>
          <w:lang w:val="en-US" w:eastAsia="zh-CN"/>
        </w:rPr>
      </w:pPr>
      <w:r>
        <w:rPr>
          <w:rFonts w:hint="eastAsia" w:asciiTheme="minorEastAsia" w:hAnsiTheme="minorEastAsia" w:eastAsiaTheme="minorEastAsia" w:cstheme="minorEastAsia"/>
          <w:bCs/>
          <w:sz w:val="24"/>
          <w:szCs w:val="24"/>
          <w:lang w:val="en-US" w:eastAsia="zh-CN"/>
        </w:rPr>
        <w:t>1、供应商须是在中华人民共和国境内经注册独立法人单位，具有独立法人资格或者具有独立承担民事责任的能力的其他组织（提供营业执照或事业单位法人证等法人证明扫描件，原件备查）。【分支机构投标，须提供总公司（总所）和分支机构的营业执照（执业许可证）复印件（加盖公章，原件备查）】。</w:t>
      </w:r>
    </w:p>
    <w:p>
      <w:pPr>
        <w:spacing w:line="560" w:lineRule="exact"/>
        <w:ind w:firstLine="482" w:firstLineChars="200"/>
        <w:rPr>
          <w:rFonts w:hint="eastAsia" w:ascii="宋体" w:hAnsi="宋体"/>
          <w:bCs/>
          <w:szCs w:val="21"/>
          <w:lang w:val="en-US" w:eastAsia="zh-CN"/>
        </w:rPr>
      </w:pPr>
      <w:r>
        <w:rPr>
          <w:rFonts w:hint="eastAsia" w:ascii="宋体" w:hAnsi="宋体" w:cs="宋体"/>
          <w:b/>
          <w:bCs/>
          <w:sz w:val="24"/>
          <w:szCs w:val="24"/>
          <w:highlight w:val="none"/>
        </w:rPr>
        <w:t>2</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投标人必须具有经营保险业务资格，须提供</w:t>
      </w:r>
      <w:r>
        <w:rPr>
          <w:rFonts w:hint="eastAsia" w:ascii="宋体" w:hAnsi="宋体" w:cs="宋体"/>
          <w:b/>
          <w:bCs/>
          <w:color w:val="auto"/>
          <w:kern w:val="0"/>
          <w:sz w:val="24"/>
          <w:szCs w:val="24"/>
          <w:highlight w:val="none"/>
        </w:rPr>
        <w:t>《保险公司法人许可证》</w:t>
      </w:r>
      <w:r>
        <w:rPr>
          <w:rFonts w:hint="eastAsia" w:ascii="宋体" w:hAnsi="宋体" w:cs="宋体"/>
          <w:b/>
          <w:bCs/>
          <w:color w:val="auto"/>
          <w:kern w:val="0"/>
          <w:sz w:val="24"/>
          <w:szCs w:val="24"/>
          <w:highlight w:val="none"/>
          <w:lang w:val="en-US" w:eastAsia="zh-CN"/>
        </w:rPr>
        <w:t>或</w:t>
      </w:r>
      <w:r>
        <w:rPr>
          <w:rFonts w:hint="eastAsia" w:ascii="宋体" w:hAnsi="宋体" w:cs="宋体"/>
          <w:b/>
          <w:bCs/>
          <w:color w:val="auto"/>
          <w:kern w:val="0"/>
          <w:sz w:val="24"/>
          <w:szCs w:val="24"/>
          <w:highlight w:val="none"/>
        </w:rPr>
        <w:t>《经营保险业务许可证》或《保险许可证》</w:t>
      </w:r>
      <w:r>
        <w:rPr>
          <w:rFonts w:hint="eastAsia" w:ascii="宋体" w:hAnsi="宋体" w:cs="宋体"/>
          <w:b/>
          <w:bCs/>
          <w:sz w:val="24"/>
          <w:szCs w:val="24"/>
          <w:highlight w:val="none"/>
        </w:rPr>
        <w:t>（加盖公章</w:t>
      </w:r>
      <w:r>
        <w:rPr>
          <w:rFonts w:hint="eastAsia" w:ascii="宋体" w:hAnsi="宋体" w:cs="宋体"/>
          <w:b/>
          <w:bCs/>
          <w:sz w:val="24"/>
          <w:szCs w:val="24"/>
          <w:highlight w:val="none"/>
          <w:lang w:eastAsia="zh-CN"/>
        </w:rPr>
        <w:t>，</w:t>
      </w:r>
      <w:r>
        <w:rPr>
          <w:rFonts w:hint="eastAsia" w:ascii="宋体" w:hAnsi="宋体" w:cs="宋体"/>
          <w:b/>
          <w:bCs/>
          <w:lang w:val="en-US" w:eastAsia="zh-CN"/>
        </w:rPr>
        <w:t>原件备查</w:t>
      </w:r>
      <w:r>
        <w:rPr>
          <w:rFonts w:hint="eastAsia" w:ascii="宋体" w:hAnsi="宋体" w:cs="宋体"/>
          <w:b/>
          <w:bCs/>
          <w:sz w:val="24"/>
          <w:szCs w:val="24"/>
          <w:highlight w:val="none"/>
        </w:rPr>
        <w:t>）。</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lang w:val="en-US" w:eastAsia="zh-CN"/>
        </w:rPr>
        <w:t>、本项目不接受任何形式的联合体投标，不接受同一母公司下属两家（含两家）以上的分、子公司参与投标。投标人不得将本项目进行分包、转包。</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、参与本项目投标前三年内，在经营活动中没有重大违法记录（由供应商在《投标及履约承诺函》中作出声明）。</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、参与本项目政府采购活动时不存在被有关部门禁止参与政府采购活动且在有效期内的情况（由供应商在《投标及履约承诺函》中作出声明）。</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、投标人未被列入失信被执行人、重大税收违法案件当事人名单及政府采购严重违法失信行为记录名单（由供应商在《投标及履约承诺函》中作出声明）。</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8</w:t>
      </w:r>
      <w:r>
        <w:rPr>
          <w:rFonts w:hint="eastAsia" w:asciiTheme="minorEastAsia" w:hAnsiTheme="minorEastAsia" w:eastAsiaTheme="minorEastAsia" w:cstheme="minorEastAsia"/>
          <w:bCs/>
          <w:sz w:val="24"/>
          <w:szCs w:val="24"/>
          <w:lang w:val="en-US" w:eastAsia="zh-CN"/>
        </w:rPr>
        <w:t>、为采购项目提供整体设计、规范编制或者项目管理、监理、检测等服务的供应商，不得再参加该采购项目的其他采购活动（由供应商在《投标及履约承诺函》中作出声明）。</w:t>
      </w:r>
    </w:p>
    <w:p>
      <w:pPr>
        <w:spacing w:line="560" w:lineRule="exact"/>
        <w:ind w:firstLine="482"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
          <w:bCs w:val="0"/>
          <w:sz w:val="24"/>
          <w:szCs w:val="24"/>
          <w:lang w:val="en-US" w:eastAsia="zh-CN"/>
        </w:rPr>
        <w:t>三、供应商报名资格审查资料清单（</w:t>
      </w:r>
      <w:r>
        <w:rPr>
          <w:rFonts w:hint="eastAsia" w:asciiTheme="minorEastAsia" w:hAnsiTheme="minorEastAsia" w:cstheme="minorEastAsia"/>
          <w:b/>
          <w:bCs w:val="0"/>
          <w:sz w:val="24"/>
          <w:szCs w:val="24"/>
          <w:lang w:val="en-US" w:eastAsia="zh-CN"/>
        </w:rPr>
        <w:t>扫描件</w:t>
      </w:r>
      <w:r>
        <w:rPr>
          <w:rFonts w:hint="eastAsia" w:asciiTheme="minorEastAsia" w:hAnsiTheme="minorEastAsia" w:eastAsiaTheme="minorEastAsia" w:cstheme="minorEastAsia"/>
          <w:b/>
          <w:bCs w:val="0"/>
          <w:sz w:val="24"/>
          <w:szCs w:val="24"/>
          <w:lang w:val="en-US" w:eastAsia="zh-CN"/>
        </w:rPr>
        <w:t>加盖公章、原件备查）：</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1、供应商报名表（格式详见附件）；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2、企业法人营业执照、税务登记证、组织机构代码证复印件或三证合一复印件；</w:t>
      </w:r>
    </w:p>
    <w:p>
      <w:pPr>
        <w:spacing w:line="560" w:lineRule="exact"/>
        <w:ind w:firstLine="482" w:firstLineChars="200"/>
        <w:rPr>
          <w:rFonts w:hint="eastAsia" w:ascii="宋体" w:hAnsi="宋体" w:cs="宋体"/>
          <w:color w:val="auto"/>
          <w:kern w:val="0"/>
          <w:sz w:val="24"/>
          <w:szCs w:val="24"/>
          <w:highlight w:val="yellow"/>
        </w:rPr>
      </w:pPr>
      <w:r>
        <w:rPr>
          <w:rFonts w:hint="eastAsia" w:ascii="宋体" w:hAnsi="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rPr>
        <w:t>《保险公司法人许可证》</w:t>
      </w:r>
      <w:r>
        <w:rPr>
          <w:rFonts w:hint="eastAsia" w:ascii="宋体" w:hAnsi="宋体" w:cs="宋体"/>
          <w:b/>
          <w:bCs/>
          <w:color w:val="auto"/>
          <w:kern w:val="0"/>
          <w:sz w:val="24"/>
          <w:szCs w:val="24"/>
          <w:highlight w:val="none"/>
          <w:lang w:val="en-US" w:eastAsia="zh-CN"/>
        </w:rPr>
        <w:t>或</w:t>
      </w:r>
      <w:r>
        <w:rPr>
          <w:rFonts w:hint="eastAsia" w:ascii="宋体" w:hAnsi="宋体" w:cs="宋体"/>
          <w:b/>
          <w:bCs/>
          <w:color w:val="auto"/>
          <w:kern w:val="0"/>
          <w:sz w:val="24"/>
          <w:szCs w:val="24"/>
          <w:highlight w:val="none"/>
        </w:rPr>
        <w:t>《经营保险业务许可证》或《保险许可证》</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供应商基本情况表及供应商基本情况表附件（格式详见附件）；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、法定代表人证明书（格式详见附件）；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、法定代表人授权书（格式详见附件，投标人代表为法定代表人的无需提供本格式）；</w:t>
      </w:r>
    </w:p>
    <w:p>
      <w:pPr>
        <w:spacing w:line="560" w:lineRule="exact"/>
        <w:ind w:firstLine="480" w:firstLineChars="200"/>
        <w:jc w:val="both"/>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color w:val="FF0000"/>
          <w:sz w:val="24"/>
          <w:szCs w:val="24"/>
          <w:lang w:val="en-US" w:eastAsia="zh-CN"/>
        </w:rPr>
        <w:t>注意：声明函及三个渠道查询供应商信用查询记录截图均须提供。</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8</w:t>
      </w:r>
      <w:r>
        <w:rPr>
          <w:rFonts w:hint="eastAsia" w:asciiTheme="minorEastAsia" w:hAnsiTheme="minorEastAsia" w:eastAsiaTheme="minorEastAsia" w:cstheme="minorEastAsia"/>
          <w:bCs/>
          <w:sz w:val="24"/>
          <w:szCs w:val="24"/>
          <w:lang w:val="en-US" w:eastAsia="zh-CN"/>
        </w:rPr>
        <w:t>、投标函（格式详见附件）；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9</w:t>
      </w:r>
      <w:r>
        <w:rPr>
          <w:rFonts w:hint="eastAsia" w:asciiTheme="minorEastAsia" w:hAnsiTheme="minorEastAsia" w:eastAsiaTheme="minorEastAsia" w:cstheme="minorEastAsia"/>
          <w:bCs/>
          <w:sz w:val="24"/>
          <w:szCs w:val="24"/>
          <w:lang w:val="en-US" w:eastAsia="zh-CN"/>
        </w:rPr>
        <w:t>、投标及履约承诺函（格式详见附件）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w:t>
      </w:r>
      <w:r>
        <w:rPr>
          <w:rFonts w:hint="eastAsia" w:asciiTheme="minorEastAsia" w:hAnsiTheme="minorEastAsia" w:eastAsiaTheme="minorEastAsia" w:cstheme="minorEastAsia"/>
          <w:bCs/>
          <w:sz w:val="24"/>
          <w:szCs w:val="24"/>
          <w:lang w:val="en-US" w:eastAsia="zh-CN"/>
        </w:rPr>
        <w:t>、龙岗区进一步规范政商交往行为告知书（格式详见附件）。</w:t>
      </w:r>
    </w:p>
    <w:p>
      <w:pPr>
        <w:spacing w:line="560" w:lineRule="exact"/>
        <w:ind w:firstLine="480" w:firstLineChars="200"/>
        <w:rPr>
          <w:rFonts w:hint="eastAsia" w:asciiTheme="minorEastAsia" w:hAnsiTheme="minorEastAsia" w:eastAsiaTheme="minorEastAsia" w:cstheme="minorEastAsia"/>
          <w:bCs/>
          <w:color w:val="FF0000"/>
          <w:sz w:val="24"/>
          <w:szCs w:val="24"/>
          <w:lang w:val="en-US" w:eastAsia="zh-CN"/>
        </w:rPr>
      </w:pPr>
      <w:r>
        <w:rPr>
          <w:rFonts w:hint="eastAsia" w:asciiTheme="minorEastAsia" w:hAnsiTheme="minorEastAsia" w:eastAsiaTheme="minorEastAsia" w:cstheme="minorEastAsia"/>
          <w:bCs/>
          <w:color w:val="FF0000"/>
          <w:sz w:val="24"/>
          <w:szCs w:val="24"/>
          <w:lang w:val="en-US" w:eastAsia="zh-CN"/>
        </w:rPr>
        <w:t>以上资料需加盖公章。</w:t>
      </w:r>
    </w:p>
    <w:p>
      <w:pPr>
        <w:spacing w:line="560" w:lineRule="exact"/>
        <w:ind w:firstLine="480" w:firstLineChars="200"/>
        <w:jc w:val="both"/>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highlight w:val="yellow"/>
          <w:lang w:val="en-US" w:eastAsia="zh-CN"/>
        </w:rPr>
        <w:t>投标人应在</w:t>
      </w:r>
      <w:r>
        <w:rPr>
          <w:rFonts w:hint="eastAsia" w:asciiTheme="minorEastAsia" w:hAnsiTheme="minorEastAsia" w:eastAsiaTheme="minorEastAsia" w:cstheme="minorEastAsia"/>
          <w:b/>
          <w:bCs w:val="0"/>
          <w:sz w:val="24"/>
          <w:szCs w:val="24"/>
          <w:highlight w:val="yellow"/>
          <w:lang w:val="en-US" w:eastAsia="zh-CN"/>
        </w:rPr>
        <w:t>2025年</w:t>
      </w:r>
      <w:r>
        <w:rPr>
          <w:rFonts w:hint="eastAsia" w:asciiTheme="minorEastAsia" w:hAnsiTheme="minorEastAsia" w:cstheme="minorEastAsia"/>
          <w:b/>
          <w:bCs w:val="0"/>
          <w:sz w:val="24"/>
          <w:szCs w:val="24"/>
          <w:highlight w:val="yellow"/>
          <w:lang w:val="en-US" w:eastAsia="zh-CN"/>
        </w:rPr>
        <w:t>9</w:t>
      </w:r>
      <w:r>
        <w:rPr>
          <w:rFonts w:hint="eastAsia" w:asciiTheme="minorEastAsia" w:hAnsiTheme="minorEastAsia" w:eastAsiaTheme="minorEastAsia" w:cstheme="minorEastAsia"/>
          <w:b/>
          <w:bCs w:val="0"/>
          <w:sz w:val="24"/>
          <w:szCs w:val="24"/>
          <w:highlight w:val="yellow"/>
          <w:lang w:val="en-US" w:eastAsia="zh-CN"/>
        </w:rPr>
        <w:t>月</w:t>
      </w:r>
      <w:r>
        <w:rPr>
          <w:rFonts w:hint="eastAsia" w:asciiTheme="minorEastAsia" w:hAnsiTheme="minorEastAsia" w:cstheme="minorEastAsia"/>
          <w:b/>
          <w:bCs w:val="0"/>
          <w:sz w:val="24"/>
          <w:szCs w:val="24"/>
          <w:highlight w:val="yellow"/>
          <w:lang w:val="en-US" w:eastAsia="zh-CN"/>
        </w:rPr>
        <w:t>15</w:t>
      </w:r>
      <w:r>
        <w:rPr>
          <w:rFonts w:hint="eastAsia" w:asciiTheme="minorEastAsia" w:hAnsiTheme="minorEastAsia" w:eastAsiaTheme="minorEastAsia" w:cstheme="minorEastAsia"/>
          <w:b/>
          <w:bCs w:val="0"/>
          <w:sz w:val="24"/>
          <w:szCs w:val="24"/>
          <w:highlight w:val="yellow"/>
          <w:lang w:val="en-US" w:eastAsia="zh-CN"/>
        </w:rPr>
        <w:t>日-2025年</w:t>
      </w:r>
      <w:r>
        <w:rPr>
          <w:rFonts w:hint="eastAsia" w:asciiTheme="minorEastAsia" w:hAnsiTheme="minorEastAsia" w:cstheme="minorEastAsia"/>
          <w:b/>
          <w:bCs w:val="0"/>
          <w:sz w:val="24"/>
          <w:szCs w:val="24"/>
          <w:highlight w:val="yellow"/>
          <w:lang w:val="en-US" w:eastAsia="zh-CN"/>
        </w:rPr>
        <w:t>9</w:t>
      </w:r>
      <w:r>
        <w:rPr>
          <w:rFonts w:hint="eastAsia" w:asciiTheme="minorEastAsia" w:hAnsiTheme="minorEastAsia" w:eastAsiaTheme="minorEastAsia" w:cstheme="minorEastAsia"/>
          <w:b/>
          <w:bCs w:val="0"/>
          <w:sz w:val="24"/>
          <w:szCs w:val="24"/>
          <w:highlight w:val="yellow"/>
          <w:lang w:val="en-US" w:eastAsia="zh-CN"/>
        </w:rPr>
        <w:t>月</w:t>
      </w:r>
      <w:r>
        <w:rPr>
          <w:rFonts w:hint="eastAsia" w:asciiTheme="minorEastAsia" w:hAnsiTheme="minorEastAsia" w:cstheme="minorEastAsia"/>
          <w:b/>
          <w:bCs w:val="0"/>
          <w:sz w:val="24"/>
          <w:szCs w:val="24"/>
          <w:highlight w:val="yellow"/>
          <w:lang w:val="en-US" w:eastAsia="zh-CN"/>
        </w:rPr>
        <w:t>19</w:t>
      </w:r>
      <w:r>
        <w:rPr>
          <w:rFonts w:hint="eastAsia" w:asciiTheme="minorEastAsia" w:hAnsiTheme="minorEastAsia" w:eastAsiaTheme="minorEastAsia" w:cstheme="minorEastAsia"/>
          <w:b/>
          <w:bCs w:val="0"/>
          <w:sz w:val="24"/>
          <w:szCs w:val="24"/>
          <w:highlight w:val="yellow"/>
          <w:lang w:val="en-US" w:eastAsia="zh-CN"/>
        </w:rPr>
        <w:t>日</w:t>
      </w:r>
      <w:r>
        <w:rPr>
          <w:rFonts w:hint="eastAsia" w:asciiTheme="minorEastAsia" w:hAnsiTheme="minorEastAsia" w:eastAsiaTheme="minorEastAsia" w:cstheme="minorEastAsia"/>
          <w:bCs/>
          <w:sz w:val="24"/>
          <w:szCs w:val="24"/>
          <w:highlight w:val="yellow"/>
          <w:lang w:val="en-US" w:eastAsia="zh-CN"/>
        </w:rPr>
        <w:t>，提交以上报名资料</w:t>
      </w:r>
      <w:r>
        <w:rPr>
          <w:rFonts w:hint="eastAsia" w:asciiTheme="minorEastAsia" w:hAnsiTheme="minorEastAsia" w:cstheme="minorEastAsia"/>
          <w:bCs/>
          <w:sz w:val="24"/>
          <w:szCs w:val="24"/>
          <w:highlight w:val="yellow"/>
          <w:lang w:val="en-US" w:eastAsia="zh-CN"/>
        </w:rPr>
        <w:t>至</w:t>
      </w:r>
      <w:r>
        <w:rPr>
          <w:rFonts w:hint="eastAsia" w:asciiTheme="minorEastAsia" w:hAnsiTheme="minorEastAsia" w:cstheme="minorEastAsia"/>
          <w:b/>
          <w:bCs w:val="0"/>
          <w:sz w:val="24"/>
          <w:szCs w:val="24"/>
          <w:highlight w:val="yellow"/>
          <w:lang w:val="en-US" w:eastAsia="zh-CN"/>
        </w:rPr>
        <w:t>邮箱</w:t>
      </w:r>
      <w:r>
        <w:rPr>
          <w:rFonts w:hint="eastAsia" w:asciiTheme="minorEastAsia" w:hAnsiTheme="minorEastAsia" w:cstheme="minorEastAsia"/>
          <w:b/>
          <w:bCs w:val="0"/>
          <w:sz w:val="28"/>
          <w:szCs w:val="28"/>
          <w:highlight w:val="yellow"/>
          <w:lang w:val="en-US" w:eastAsia="zh-CN"/>
        </w:rPr>
        <w:t>w-ebyhyy@lg.gov.cn</w:t>
      </w:r>
      <w:r>
        <w:rPr>
          <w:rFonts w:hint="eastAsia" w:asciiTheme="minorEastAsia" w:hAnsiTheme="minorEastAsia" w:eastAsiaTheme="minorEastAsia" w:cstheme="minorEastAsia"/>
          <w:bCs/>
          <w:sz w:val="24"/>
          <w:szCs w:val="24"/>
          <w:highlight w:val="yellow"/>
          <w:lang w:val="en-US" w:eastAsia="zh-CN"/>
        </w:rPr>
        <w:t>，联系人：</w:t>
      </w:r>
      <w:r>
        <w:rPr>
          <w:rFonts w:hint="eastAsia" w:asciiTheme="minorEastAsia" w:hAnsiTheme="minorEastAsia" w:cstheme="minorEastAsia"/>
          <w:bCs/>
          <w:sz w:val="24"/>
          <w:szCs w:val="24"/>
          <w:highlight w:val="yellow"/>
          <w:lang w:val="en-US" w:eastAsia="zh-CN"/>
        </w:rPr>
        <w:t>曹老师</w:t>
      </w:r>
      <w:r>
        <w:rPr>
          <w:rFonts w:hint="eastAsia" w:asciiTheme="minorEastAsia" w:hAnsiTheme="minorEastAsia" w:eastAsiaTheme="minorEastAsia" w:cstheme="minorEastAsia"/>
          <w:bCs/>
          <w:sz w:val="24"/>
          <w:szCs w:val="24"/>
          <w:highlight w:val="yellow"/>
          <w:lang w:val="en-US" w:eastAsia="zh-CN"/>
        </w:rPr>
        <w:t>，联系方式：</w:t>
      </w:r>
      <w:r>
        <w:rPr>
          <w:rFonts w:hint="eastAsia" w:asciiTheme="minorEastAsia" w:hAnsiTheme="minorEastAsia" w:cstheme="minorEastAsia"/>
          <w:bCs/>
          <w:sz w:val="24"/>
          <w:szCs w:val="24"/>
          <w:highlight w:val="yellow"/>
          <w:lang w:val="en-US" w:eastAsia="zh-CN"/>
        </w:rPr>
        <w:t>0755-28989999-61106</w:t>
      </w:r>
      <w:r>
        <w:rPr>
          <w:rFonts w:hint="eastAsia" w:asciiTheme="minorEastAsia" w:hAnsiTheme="minorEastAsia" w:eastAsiaTheme="minorEastAsia" w:cstheme="minorEastAsia"/>
          <w:bCs/>
          <w:sz w:val="24"/>
          <w:szCs w:val="24"/>
          <w:highlight w:val="yellow"/>
          <w:lang w:val="en-US" w:eastAsia="zh-CN"/>
        </w:rPr>
        <w:t>。</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六、开标时间：</w:t>
      </w:r>
      <w:r>
        <w:rPr>
          <w:rFonts w:hint="eastAsia" w:asciiTheme="minorEastAsia" w:hAnsiTheme="minorEastAsia" w:eastAsiaTheme="minorEastAsia" w:cstheme="minorEastAsia"/>
          <w:bCs/>
          <w:color w:val="FF0000"/>
          <w:sz w:val="24"/>
          <w:szCs w:val="24"/>
          <w:lang w:val="en-US" w:eastAsia="zh-CN"/>
        </w:rPr>
        <w:t>另行通知</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附件1：报名表</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附件2：招标文件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附件4：法定代表人证明书</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附件5：法定代表人授权书</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附件6：信用声明函及证明文件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附件7：投标函</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附件8：投标及履约承诺函</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附件9：龙岗区进一步规范政商交往行为告知书</w:t>
      </w:r>
    </w:p>
    <w:p>
      <w:pPr>
        <w:spacing w:line="24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562" w:firstLineChars="20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第二章   投标人须知</w:t>
      </w:r>
    </w:p>
    <w:p>
      <w:pPr>
        <w:pStyle w:val="45"/>
        <w:numPr>
          <w:ilvl w:val="0"/>
          <w:numId w:val="0"/>
        </w:numPr>
        <w:spacing w:line="240" w:lineRule="auto"/>
        <w:ind w:leftChars="0"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招标简介：</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（一）招标单位：</w:t>
      </w:r>
      <w:r>
        <w:rPr>
          <w:rFonts w:hint="eastAsia" w:asciiTheme="minorEastAsia" w:hAnsiTheme="minorEastAsia" w:eastAsiaTheme="minorEastAsia" w:cstheme="minorEastAsia"/>
          <w:sz w:val="24"/>
          <w:szCs w:val="24"/>
          <w:highlight w:val="none"/>
          <w:lang w:eastAsia="zh-CN"/>
        </w:rPr>
        <w:t>深圳市龙岗区耳鼻咽喉医院</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（二）地    址：深圳市龙岗区龙城街道黄阁路186号</w:t>
      </w:r>
    </w:p>
    <w:p>
      <w:pPr>
        <w:widowControl w:val="0"/>
        <w:tabs>
          <w:tab w:val="left" w:pos="720"/>
        </w:tabs>
        <w:spacing w:line="560" w:lineRule="exact"/>
        <w:ind w:firstLine="480"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color w:val="auto"/>
          <w:sz w:val="24"/>
          <w:szCs w:val="24"/>
          <w:highlight w:val="none"/>
        </w:rPr>
        <w:t>资金来源：</w:t>
      </w:r>
      <w:r>
        <w:rPr>
          <w:rFonts w:hint="eastAsia" w:asciiTheme="minorEastAsia" w:hAnsiTheme="minorEastAsia" w:eastAsiaTheme="minorEastAsia" w:cstheme="minorEastAsia"/>
          <w:color w:val="auto"/>
          <w:sz w:val="24"/>
          <w:szCs w:val="24"/>
          <w:highlight w:val="none"/>
          <w:lang w:val="en-US" w:eastAsia="zh-CN"/>
        </w:rPr>
        <w:t>自筹</w:t>
      </w:r>
      <w:r>
        <w:rPr>
          <w:rFonts w:hint="eastAsia" w:asciiTheme="minorEastAsia" w:hAnsiTheme="minorEastAsia" w:cstheme="minorEastAsia"/>
          <w:color w:val="auto"/>
          <w:sz w:val="24"/>
          <w:szCs w:val="24"/>
          <w:highlight w:val="none"/>
          <w:lang w:val="en-US" w:eastAsia="zh-CN"/>
        </w:rPr>
        <w:t>资金</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cstheme="minorEastAsia"/>
          <w:b/>
          <w:sz w:val="24"/>
          <w:szCs w:val="24"/>
          <w:highlight w:val="none"/>
          <w:lang w:val="en-US" w:eastAsia="zh-CN"/>
        </w:rPr>
        <w:t>采购</w:t>
      </w:r>
      <w:r>
        <w:rPr>
          <w:rFonts w:hint="eastAsia" w:asciiTheme="minorEastAsia" w:hAnsiTheme="minorEastAsia" w:eastAsiaTheme="minorEastAsia" w:cstheme="minorEastAsia"/>
          <w:b/>
          <w:sz w:val="24"/>
          <w:szCs w:val="24"/>
          <w:highlight w:val="none"/>
        </w:rPr>
        <w:t>方式：</w:t>
      </w:r>
    </w:p>
    <w:p>
      <w:pPr>
        <w:spacing w:line="560" w:lineRule="exact"/>
        <w:ind w:firstLine="480" w:firstLineChars="200"/>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pPr>
        <w:spacing w:line="5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pPr>
        <w:widowControl/>
        <w:shd w:val="clear" w:color="auto" w:fill="FFFFFF"/>
        <w:spacing w:line="560" w:lineRule="exact"/>
        <w:ind w:firstLine="482" w:firstLineChars="2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pPr>
        <w:spacing w:line="5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pPr>
        <w:spacing w:line="560" w:lineRule="exact"/>
        <w:ind w:firstLine="480"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pPr>
        <w:spacing w:line="560" w:lineRule="exact"/>
        <w:ind w:firstLine="480" w:firstLineChars="20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0" w:firstLineChars="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第三章   用户需求书</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w:t>
      </w:r>
      <w:r>
        <w:rPr>
          <w:rFonts w:hint="eastAsia" w:asciiTheme="minorEastAsia" w:hAnsiTheme="minorEastAsia" w:eastAsiaTheme="minorEastAsia" w:cstheme="minorEastAsia"/>
          <w:b/>
          <w:bCs/>
          <w:color w:val="FF0000"/>
          <w:sz w:val="24"/>
          <w:szCs w:val="24"/>
          <w:highlight w:val="none"/>
          <w:lang w:val="en-US" w:eastAsia="zh-CN"/>
        </w:rPr>
        <w:t>如对一项招标要求（以划分框为准）</w:t>
      </w:r>
      <w:r>
        <w:rPr>
          <w:rFonts w:hint="eastAsia" w:asciiTheme="minorEastAsia" w:hAnsiTheme="minorEastAsia" w:eastAsiaTheme="minorEastAsia" w:cstheme="minorEastAsia"/>
          <w:b/>
          <w:bCs/>
          <w:color w:val="FF0000"/>
          <w:sz w:val="24"/>
          <w:szCs w:val="24"/>
          <w:lang w:val="en-US" w:eastAsia="zh-CN"/>
        </w:rPr>
        <w:t>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pPr>
        <w:tabs>
          <w:tab w:val="left" w:pos="360"/>
        </w:tabs>
        <w:spacing w:line="460" w:lineRule="exact"/>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pPr>
        <w:pStyle w:val="70"/>
        <w:spacing w:before="156"/>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一、基本情况</w:t>
      </w:r>
    </w:p>
    <w:p>
      <w:pPr>
        <w:numPr>
          <w:ilvl w:val="0"/>
          <w:numId w:val="0"/>
        </w:numPr>
        <w:spacing w:line="360" w:lineRule="auto"/>
        <w:ind w:firstLine="480" w:firstLineChars="200"/>
        <w:rPr>
          <w:rFonts w:hint="eastAsia" w:asciiTheme="minorEastAsia" w:hAnsiTheme="minorEastAsia" w:eastAsiaTheme="minorEastAsia"/>
          <w:b/>
          <w:sz w:val="24"/>
          <w:szCs w:val="24"/>
          <w:lang w:val="en-US" w:eastAsia="zh-CN"/>
        </w:rPr>
      </w:pPr>
      <w:r>
        <w:rPr>
          <w:rFonts w:hint="eastAsia" w:ascii="宋体" w:hAnsi="宋体" w:cs="宋体"/>
          <w:b w:val="0"/>
          <w:bCs w:val="0"/>
          <w:sz w:val="24"/>
          <w:szCs w:val="24"/>
          <w:lang w:val="en-US" w:eastAsia="zh-CN"/>
        </w:rPr>
        <w:t>为</w:t>
      </w:r>
      <w:r>
        <w:rPr>
          <w:rFonts w:hint="eastAsia" w:ascii="宋体" w:hAnsi="宋体" w:cs="宋体"/>
          <w:sz w:val="24"/>
          <w:szCs w:val="24"/>
        </w:rPr>
        <w:t>保障患者及医院的合法权益，创建和谐医患关系，共建和谐医疗环境</w:t>
      </w:r>
      <w:r>
        <w:rPr>
          <w:rFonts w:hint="eastAsia" w:ascii="宋体" w:hAnsi="宋体" w:cs="宋体"/>
          <w:sz w:val="24"/>
          <w:szCs w:val="24"/>
          <w:lang w:eastAsia="zh-CN"/>
        </w:rPr>
        <w:t>，</w:t>
      </w:r>
      <w:r>
        <w:rPr>
          <w:rFonts w:hint="eastAsia" w:ascii="宋体" w:hAnsi="宋体" w:cs="宋体"/>
          <w:sz w:val="24"/>
          <w:szCs w:val="24"/>
        </w:rPr>
        <w:t>依据五部委联合颁布的《关于加强医疗责任保险工作意见的通知》</w:t>
      </w:r>
      <w:r>
        <w:rPr>
          <w:rFonts w:hint="eastAsia" w:ascii="宋体" w:hAnsi="宋体" w:cs="宋体"/>
          <w:sz w:val="24"/>
          <w:szCs w:val="24"/>
          <w:lang w:val="en-US" w:eastAsia="zh-CN"/>
        </w:rPr>
        <w:t>等</w:t>
      </w:r>
      <w:r>
        <w:rPr>
          <w:rFonts w:hint="eastAsia" w:ascii="宋体" w:hAnsi="宋体" w:cs="宋体"/>
          <w:sz w:val="24"/>
          <w:szCs w:val="24"/>
        </w:rPr>
        <w:t>文件精神，结合</w:t>
      </w:r>
      <w:r>
        <w:rPr>
          <w:rFonts w:hint="eastAsia" w:ascii="宋体" w:hAnsi="宋体" w:cs="宋体"/>
          <w:sz w:val="24"/>
          <w:szCs w:val="24"/>
          <w:lang w:val="en-US" w:eastAsia="zh-CN"/>
        </w:rPr>
        <w:t>我院</w:t>
      </w:r>
      <w:r>
        <w:rPr>
          <w:rFonts w:hint="eastAsia" w:ascii="宋体" w:hAnsi="宋体" w:cs="宋体"/>
          <w:sz w:val="24"/>
          <w:szCs w:val="24"/>
        </w:rPr>
        <w:t>多年来的参保情况，纠纷投诉及发生状况、赔偿现状及相关法律法规为参考，制定相关</w:t>
      </w:r>
      <w:r>
        <w:rPr>
          <w:rFonts w:hint="eastAsia" w:ascii="宋体" w:hAnsi="宋体" w:cs="宋体"/>
          <w:sz w:val="24"/>
          <w:szCs w:val="24"/>
          <w:lang w:val="en-US" w:eastAsia="zh-CN"/>
        </w:rPr>
        <w:t>招标</w:t>
      </w:r>
      <w:r>
        <w:rPr>
          <w:rFonts w:hint="eastAsia" w:ascii="宋体" w:hAnsi="宋体" w:cs="宋体"/>
          <w:sz w:val="24"/>
          <w:szCs w:val="24"/>
        </w:rPr>
        <w:t>需求</w:t>
      </w:r>
      <w:r>
        <w:rPr>
          <w:rFonts w:hint="eastAsia" w:ascii="宋体" w:hAnsi="宋体" w:cs="宋体"/>
          <w:sz w:val="24"/>
          <w:szCs w:val="24"/>
          <w:lang w:eastAsia="zh-CN"/>
        </w:rPr>
        <w:t>。</w:t>
      </w:r>
    </w:p>
    <w:tbl>
      <w:tblPr>
        <w:tblStyle w:val="25"/>
        <w:tblW w:w="4868"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7"/>
        <w:gridCol w:w="1621"/>
        <w:gridCol w:w="1623"/>
        <w:gridCol w:w="811"/>
        <w:gridCol w:w="717"/>
        <w:gridCol w:w="1184"/>
        <w:gridCol w:w="23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88" w:type="pct"/>
            <w:tcBorders>
              <w:tl2br w:val="nil"/>
              <w:tr2bl w:val="nil"/>
            </w:tcBorders>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902" w:type="pct"/>
            <w:tcBorders>
              <w:tl2br w:val="nil"/>
              <w:tr2bl w:val="nil"/>
            </w:tcBorders>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903"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51"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99"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659"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预算总价（元）</w:t>
            </w:r>
          </w:p>
        </w:tc>
        <w:tc>
          <w:tcPr>
            <w:tcW w:w="1294"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3" w:hRule="atLeast"/>
          <w:tblCellSpacing w:w="0" w:type="dxa"/>
          <w:jc w:val="center"/>
        </w:trPr>
        <w:tc>
          <w:tcPr>
            <w:tcW w:w="388"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902"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ENT20250</w:t>
            </w:r>
            <w:r>
              <w:rPr>
                <w:rFonts w:hint="eastAsia" w:eastAsia="宋体" w:cs="Times New Roman"/>
                <w:b w:val="0"/>
                <w:bCs w:val="0"/>
                <w:color w:val="auto"/>
                <w:sz w:val="24"/>
                <w:szCs w:val="24"/>
                <w:highlight w:val="none"/>
                <w:lang w:val="en-US" w:eastAsia="zh-CN"/>
              </w:rPr>
              <w:t>803</w:t>
            </w:r>
          </w:p>
        </w:tc>
        <w:tc>
          <w:tcPr>
            <w:tcW w:w="903"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cs="宋体"/>
                <w:szCs w:val="21"/>
                <w:lang w:val="en-US" w:eastAsia="zh-CN"/>
              </w:rPr>
              <w:t>医疗责任保险采购</w:t>
            </w:r>
          </w:p>
        </w:tc>
        <w:tc>
          <w:tcPr>
            <w:tcW w:w="451"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399"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w:t>
            </w:r>
          </w:p>
        </w:tc>
        <w:tc>
          <w:tcPr>
            <w:tcW w:w="659"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150000</w:t>
            </w:r>
          </w:p>
        </w:tc>
        <w:tc>
          <w:tcPr>
            <w:tcW w:w="1294"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color w:val="auto"/>
                <w:kern w:val="0"/>
                <w:sz w:val="24"/>
                <w:szCs w:val="24"/>
                <w:highlight w:val="none"/>
                <w:lang w:val="en-US" w:eastAsia="zh-CN"/>
              </w:rPr>
            </w:pPr>
          </w:p>
        </w:tc>
      </w:tr>
    </w:tbl>
    <w:p>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b/>
          <w:bCs/>
          <w:highlight w:val="none"/>
          <w:lang w:val="en-US" w:eastAsia="zh-CN"/>
        </w:rPr>
        <w:t>二、</w:t>
      </w:r>
      <w:r>
        <w:rPr>
          <w:rFonts w:hint="eastAsia" w:ascii="宋体" w:hAnsi="宋体" w:eastAsia="宋体" w:cs="Times New Roman"/>
          <w:b/>
          <w:bCs/>
          <w:color w:val="auto"/>
          <w:kern w:val="2"/>
          <w:sz w:val="24"/>
          <w:szCs w:val="24"/>
          <w:lang w:val="en-US" w:eastAsia="zh-CN" w:bidi="ar-SA"/>
        </w:rPr>
        <w:t>服务要求</w:t>
      </w:r>
    </w:p>
    <w:p>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1.保险对象：</w:t>
      </w:r>
      <w:r>
        <w:rPr>
          <w:rFonts w:hint="eastAsia" w:ascii="宋体" w:hAnsi="宋体" w:eastAsia="宋体" w:cs="Times New Roman"/>
          <w:b w:val="0"/>
          <w:bCs w:val="0"/>
          <w:color w:val="auto"/>
          <w:kern w:val="2"/>
          <w:sz w:val="24"/>
          <w:szCs w:val="24"/>
          <w:lang w:val="en-US" w:eastAsia="zh-CN" w:bidi="ar-SA"/>
        </w:rPr>
        <w:t>凡来深圳市龙岗区耳鼻咽喉医院及下属分院、下属社康中心、互联网医院就医、诊疗的个人均为本保险的保险对象。附加医疗机构场所责任保险，除本医院员工及与院方有劳务合作关系的个人外，均为本保险的保险对象。</w:t>
      </w:r>
    </w:p>
    <w:p>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2.承保方案</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（1）</w:t>
      </w:r>
      <w:r>
        <w:rPr>
          <w:rFonts w:hint="eastAsia" w:ascii="宋体" w:hAnsi="宋体" w:eastAsia="宋体" w:cs="Times New Roman"/>
          <w:color w:val="auto"/>
          <w:kern w:val="2"/>
          <w:szCs w:val="24"/>
          <w:highlight w:val="none"/>
        </w:rPr>
        <w:t>购买医疗责任保险的基本赔偿限额：总累计赔偿限额250万元</w:t>
      </w:r>
      <w:r>
        <w:rPr>
          <w:rFonts w:hint="eastAsia" w:ascii="宋体" w:hAnsi="宋体" w:eastAsia="宋体" w:cs="Times New Roman"/>
          <w:color w:val="auto"/>
          <w:kern w:val="2"/>
          <w:szCs w:val="24"/>
          <w:highlight w:val="none"/>
          <w:lang w:eastAsia="zh-CN"/>
        </w:rPr>
        <w:t>；</w:t>
      </w:r>
      <w:r>
        <w:rPr>
          <w:rFonts w:hint="eastAsia" w:ascii="宋体" w:hAnsi="宋体" w:eastAsia="宋体" w:cs="Times New Roman"/>
          <w:b w:val="0"/>
          <w:bCs w:val="0"/>
          <w:color w:val="auto"/>
          <w:kern w:val="2"/>
          <w:sz w:val="24"/>
          <w:szCs w:val="24"/>
          <w:highlight w:val="none"/>
          <w:lang w:val="en-US" w:eastAsia="zh-CN" w:bidi="ar-SA"/>
        </w:rPr>
        <w:t>医疗损害责任事件的累计赔偿限额(包括外请医务人员、进修医务人员、实习医务人员）100万元；每次事故赔偿限额15万元；每次事故的法律费用2万元。</w:t>
      </w:r>
    </w:p>
    <w:p>
      <w:pPr>
        <w:widowControl w:val="0"/>
        <w:numPr>
          <w:ilvl w:val="0"/>
          <w:numId w:val="0"/>
        </w:numPr>
        <w:spacing w:line="360" w:lineRule="auto"/>
        <w:ind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精神损害抚慰金属于赔偿项目范围，精神损害抚慰金的计算及赔偿标准按照法律规定执行，包括但不限于诉讼案件、仲裁案件、人民调解案件、医患协商案件，无需经过法院裁定，保险公司均予以认可。精神损害抚慰金的计算及赔偿标准按照法律规定执行，包括但不限于诉讼案件、仲裁案件、人民调解案件、医患协商案件，无需经过法院裁定，保险公司均予以认可。</w:t>
      </w:r>
    </w:p>
    <w:p>
      <w:pPr>
        <w:pStyle w:val="2"/>
        <w:ind w:firstLine="480" w:firstLineChars="200"/>
        <w:jc w:val="both"/>
        <w:rPr>
          <w:rFonts w:hint="eastAsia"/>
          <w:lang w:val="en-US" w:eastAsia="zh-CN"/>
        </w:rPr>
      </w:pPr>
      <w:r>
        <w:rPr>
          <w:rFonts w:hint="eastAsia" w:ascii="仿宋_GB2312" w:hAnsi="仿宋_GB2312" w:eastAsia="仿宋_GB2312" w:cs="仿宋_GB2312"/>
          <w:b w:val="0"/>
          <w:bCs/>
          <w:color w:val="FF0000"/>
          <w:spacing w:val="-20"/>
          <w:sz w:val="28"/>
          <w:szCs w:val="24"/>
          <w:highlight w:val="none"/>
        </w:rPr>
        <w:t>特别约定：本保单扩展承保因医疗事故导致的患者精神损害责任，每次事故每位患者精神损害抚慰金责任限额10万元。</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（2）附加医疗意外责任事件的累计赔偿限额20万元；每人赔偿限额5万元；</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（3）附加医疗机构场所责任的累计赔偿限额100万元；每次事故赔偿限额50万元；每次事故每人赔偿限额15万元。</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（4）附加</w:t>
      </w:r>
      <w:bookmarkStart w:id="21" w:name="OLE_LINK1"/>
      <w:r>
        <w:rPr>
          <w:rFonts w:hint="eastAsia" w:ascii="宋体" w:hAnsi="宋体" w:eastAsia="宋体" w:cs="Times New Roman"/>
          <w:b w:val="0"/>
          <w:bCs w:val="0"/>
          <w:color w:val="auto"/>
          <w:kern w:val="2"/>
          <w:sz w:val="24"/>
          <w:szCs w:val="24"/>
          <w:highlight w:val="none"/>
          <w:lang w:val="en-US" w:eastAsia="zh-CN" w:bidi="ar-SA"/>
        </w:rPr>
        <w:t>医务人员遭受伤害责任</w:t>
      </w:r>
      <w:bookmarkEnd w:id="21"/>
      <w:r>
        <w:rPr>
          <w:rFonts w:hint="eastAsia" w:ascii="宋体" w:hAnsi="宋体" w:eastAsia="宋体" w:cs="Times New Roman"/>
          <w:b w:val="0"/>
          <w:bCs w:val="0"/>
          <w:color w:val="auto"/>
          <w:kern w:val="2"/>
          <w:sz w:val="24"/>
          <w:szCs w:val="24"/>
          <w:highlight w:val="none"/>
          <w:lang w:val="en-US" w:eastAsia="zh-CN" w:bidi="ar-SA"/>
        </w:rPr>
        <w:t>累计赔偿限额30万元；每人赔偿限额5万元。</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（5）保单绝对免赔：每次事故1000元或损失金额的5%，以高者为准。</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（6）</w:t>
      </w:r>
      <w:r>
        <w:rPr>
          <w:rFonts w:hint="eastAsia" w:ascii="宋体" w:hAnsi="宋体" w:cs="宋体"/>
          <w:color w:val="000000" w:themeColor="text1"/>
          <w:szCs w:val="21"/>
          <w14:textFill>
            <w14:solidFill>
              <w14:schemeClr w14:val="tx1"/>
            </w14:solidFill>
          </w14:textFill>
        </w:rPr>
        <w:t>附加救护车辆事故责任的累积赔偿限额10万元</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每次事故赔偿限额10万元</w:t>
      </w:r>
      <w:r>
        <w:rPr>
          <w:rFonts w:hint="eastAsia" w:ascii="宋体" w:hAnsi="宋体" w:cs="宋体"/>
          <w:color w:val="000000" w:themeColor="text1"/>
          <w:szCs w:val="21"/>
          <w:lang w:eastAsia="zh-CN"/>
          <w14:textFill>
            <w14:solidFill>
              <w14:schemeClr w14:val="tx1"/>
            </w14:solidFill>
          </w14:textFill>
        </w:rPr>
        <w:t>；</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（7）保险追溯期：首年追溯期为零，以后连续续保追溯期相应增加但最长不超过2年。</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（8）期内索赔制。</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期内索赔制是指凡在保险单中列明的保险期间或追溯期内，被保险人或其医务人员在从事与其资格相符的诊疗护理活动中造成患者人身损害，患者或其近亲属及代理人首次向被保险人提出索赔申请（包括患方首次投诉时间）在保险期限内的，本保险按照合同约定予以赔偿。即保险人承担保险责任的前提条件必须是同时满足以下两个条件：</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①患者接受诊疗护理活动及因此导致人身损害的时间必须发生在保险期限或追溯期内；</w:t>
      </w:r>
    </w:p>
    <w:p>
      <w:pPr>
        <w:widowControl w:val="0"/>
        <w:numPr>
          <w:ilvl w:val="0"/>
          <w:numId w:val="0"/>
        </w:numPr>
        <w:spacing w:line="360" w:lineRule="auto"/>
        <w:ind w:firstLine="480" w:firstLineChars="200"/>
        <w:jc w:val="both"/>
        <w:rPr>
          <w:rFonts w:hint="eastAsia"/>
          <w:lang w:val="en-US" w:eastAsia="zh-CN"/>
        </w:rPr>
      </w:pPr>
      <w:r>
        <w:rPr>
          <w:rFonts w:hint="eastAsia" w:ascii="宋体" w:hAnsi="宋体" w:eastAsia="宋体" w:cs="Times New Roman"/>
          <w:b w:val="0"/>
          <w:bCs w:val="0"/>
          <w:color w:val="auto"/>
          <w:kern w:val="2"/>
          <w:sz w:val="24"/>
          <w:szCs w:val="24"/>
          <w:highlight w:val="none"/>
          <w:lang w:val="en-US" w:eastAsia="zh-CN" w:bidi="ar-SA"/>
        </w:rPr>
        <w:t>②患者或其近亲属及代理人因上述人身损害首次向被保险人提出损害赔偿请求的时间（包括患方首次投诉时间）必须在保险期限内。首次投保合同生效之日前患者或其近亲属及代理人已经对同一事由提出过索赔申请（无论之前已提出的索赔申请是否采用书面形式或再次提出索赔申请的索赔金额或事故原因等情况是否与已提出的索赔申请一致）的，保险人不负责赔偿。</w:t>
      </w:r>
    </w:p>
    <w:p>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3.特别约定</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以下特别约定与主条款内容相悖之处，以下特别约定为准；未尽之处，以主条款为准。</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（1）延长索赔有效期: 保险合同设置延长索赔有效期6个月，合同解除或终止后，对于发生在保险合同约定的保险期限内的保险事故，被保险人在延长索赔有效期内首次向保险人提出索赔要求，保险人仍然承担赔偿责任。但协议保险期限、保障范围及赔偿限额无变化。</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（2）经双方协商一致，保险人同意协议采用不记名方式投保，投保人按投保时实际在册医务人员人数投保，且自动承保保险期限内被保险人新增的医务人员。</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3）在保险期限内发生的保险事故结案后，患方如因同一事故再次提起赔偿请求（包含但不限于请求赔偿后续治疗费、后续护理费等），经法院判决或者仲裁裁决的，对应由被保险人支付或者承担的赔偿金额及法律费用等，保险人应在保险赔偿限额范围内赔偿。 </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（4）确定患方首次向被保险人提出损害赔偿请求的时间规则：</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①患者接受诊疗活动导致人身损害的时间、患方首次投诉时间和医疗机构报案时间在同一保险期间内的案件，以医疗机构报案时填写的时间为准。</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②患者接受诊疗活动导致人身损害的时间、患方首次投诉时间和医疗机构报案时间不在同一保险期内的案件，以下述材料记载时间中最早的日期为准：患方向医疗机构或者行政部门书面投诉材料日期(患方或患方代理人签字）、司法鉴定（含尸检和医疗事故鉴定）的申请日期、人民调解申请日期、法院传票通知日期等与纠纷相关书面材料。</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（5）被保险人的投保医务人员包括外请医务人员、进修医务人员、实习医务人员、劳务派遣方式用工的医务人员、在被保险人处学习的研究生及其他参加实习、进修、培训的人员。</w:t>
      </w:r>
    </w:p>
    <w:p>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4.其他</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（1）投标人能提供高效、快捷的应急响应及方案措施。</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（2）能派出高素质专业人员协助医院处理纠纷、并提供优质的日常应对方案措施。</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（3）能高效、快捷、合理依据《中华人民共和国民法典》及相关法律法规及司法解释定责、定损、理赔。</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（4）能高效、快捷、合理依据法院调解、人民调解、仲裁或卫生行政主管部门行政调解结论理赔。</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（5）能高效、快捷、合理依据医患双方、院内专家委员会协调结果定责、理赔。</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（6）能高效、快捷、合理依据司法鉴定机构鉴定结论定责、理赔。</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（7）能提供合理的理赔时间方案。</w:t>
      </w:r>
    </w:p>
    <w:p>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二、商务要求</w:t>
      </w:r>
    </w:p>
    <w:p>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（一）关于售后</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1.中标方在合同签署后，为便捷处理理赔，增强医院与保险公司双方沟通协调，保险公司安排理赔专员，与医院进行对接沟通，必要时到场服务。</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2.发生保险案件时，中标单位须及时响应。</w:t>
      </w:r>
      <w:r>
        <w:rPr>
          <w:rFonts w:hint="eastAsia" w:ascii="宋体" w:hAnsi="宋体" w:cs="宋体" w:eastAsiaTheme="minorEastAsia"/>
          <w:b w:val="0"/>
          <w:bCs w:val="0"/>
          <w:color w:val="FF0000"/>
          <w:kern w:val="0"/>
          <w:sz w:val="24"/>
          <w:szCs w:val="21"/>
          <w:lang w:val="en-US" w:eastAsia="zh-CN" w:bidi="ar-SA"/>
        </w:rPr>
        <w:t>（协助医疗纠纷的院内外调解工作，包括但不限于</w:t>
      </w:r>
      <w:r>
        <w:rPr>
          <w:rFonts w:hint="eastAsia" w:ascii="宋体" w:hAnsi="宋体" w:cs="宋体"/>
          <w:color w:val="FF0000"/>
          <w:szCs w:val="21"/>
        </w:rPr>
        <w:t>现场接待服务、纠纷的受理、分流服务</w:t>
      </w:r>
      <w:r>
        <w:rPr>
          <w:rFonts w:hint="eastAsia" w:ascii="宋体" w:hAnsi="宋体" w:cs="宋体"/>
          <w:color w:val="FF0000"/>
          <w:szCs w:val="21"/>
          <w:lang w:eastAsia="zh-CN"/>
        </w:rPr>
        <w:t>、</w:t>
      </w:r>
      <w:r>
        <w:rPr>
          <w:rFonts w:hint="eastAsia" w:ascii="宋体" w:hAnsi="宋体" w:cs="宋体"/>
          <w:color w:val="FF0000"/>
          <w:szCs w:val="21"/>
        </w:rPr>
        <w:t>卫生行政主管部门调解、人民调解、法院调解、仲裁等</w:t>
      </w:r>
      <w:r>
        <w:rPr>
          <w:rFonts w:hint="eastAsia" w:ascii="宋体" w:hAnsi="宋体" w:cs="宋体" w:eastAsiaTheme="minorEastAsia"/>
          <w:b w:val="0"/>
          <w:bCs w:val="0"/>
          <w:color w:val="FF0000"/>
          <w:kern w:val="0"/>
          <w:sz w:val="24"/>
          <w:szCs w:val="21"/>
          <w:lang w:val="en-US" w:eastAsia="zh-CN" w:bidi="ar-SA"/>
        </w:rPr>
        <w:t>）。</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3.中标单位受理案件后须协助配合采购人或保险经纪人收集案件相关资料。</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4.中标单位有义务协助保险经纪人或采购人进行保险理赔协调处理工作。</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5.中标人在规定时限内完成保险合同签订，并完善商议部分内容。</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6.中标单位需提供保险期内日常保险咨询及防灾防损咨询服务。</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7.中标单位需定期与采购人及保险经纪人召开保险业务会议，安排业务相关人员积极参加。</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red"/>
          <w:lang w:val="en-US" w:eastAsia="zh-CN" w:bidi="ar-SA"/>
        </w:rPr>
      </w:pPr>
      <w:r>
        <w:rPr>
          <w:rFonts w:hint="eastAsia" w:ascii="宋体" w:hAnsi="宋体" w:eastAsia="宋体" w:cs="Times New Roman"/>
          <w:b w:val="0"/>
          <w:bCs w:val="0"/>
          <w:color w:val="auto"/>
          <w:kern w:val="2"/>
          <w:sz w:val="24"/>
          <w:szCs w:val="24"/>
          <w:highlight w:val="none"/>
          <w:lang w:val="en-US" w:eastAsia="zh-CN" w:bidi="ar-SA"/>
        </w:rPr>
        <w:t>8.本项目接受中标单位按照国家金融监督管理总局</w:t>
      </w:r>
      <w:bookmarkStart w:id="25" w:name="_GoBack"/>
      <w:bookmarkEnd w:id="25"/>
      <w:r>
        <w:rPr>
          <w:rFonts w:hint="eastAsia" w:ascii="宋体" w:hAnsi="宋体" w:eastAsia="宋体" w:cs="Times New Roman"/>
          <w:b w:val="0"/>
          <w:bCs w:val="0"/>
          <w:color w:val="auto"/>
          <w:kern w:val="2"/>
          <w:sz w:val="24"/>
          <w:szCs w:val="24"/>
          <w:highlight w:val="none"/>
          <w:lang w:val="en-US" w:eastAsia="zh-CN" w:bidi="ar-SA"/>
        </w:rPr>
        <w:t>《关于加强财产保险共保业务管理的通知》要求安排共保及再保，但中标单位必须作为主承保人负责承保、理赔服务，不得将承保、理赔服务分配其他参与共保公司服务。</w:t>
      </w:r>
    </w:p>
    <w:p>
      <w:pPr>
        <w:widowControl w:val="0"/>
        <w:numPr>
          <w:ilvl w:val="0"/>
          <w:numId w:val="0"/>
        </w:numPr>
        <w:spacing w:line="360" w:lineRule="auto"/>
        <w:ind w:left="0" w:leftChars="0" w:firstLine="482"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（二）关于合同服务期限</w:t>
      </w:r>
    </w:p>
    <w:p>
      <w:pPr>
        <w:widowControl w:val="0"/>
        <w:numPr>
          <w:ilvl w:val="0"/>
          <w:numId w:val="0"/>
        </w:numPr>
        <w:spacing w:line="360" w:lineRule="auto"/>
        <w:ind w:left="0" w:leftChars="0" w:firstLine="482"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一年。</w:t>
      </w:r>
      <w:r>
        <w:rPr>
          <w:rFonts w:hint="eastAsia" w:ascii="宋体" w:hAnsi="宋体" w:eastAsia="宋体" w:cs="Times New Roman"/>
          <w:b w:val="0"/>
          <w:bCs w:val="0"/>
          <w:color w:val="auto"/>
          <w:kern w:val="2"/>
          <w:sz w:val="24"/>
          <w:szCs w:val="24"/>
          <w:lang w:val="en-US" w:eastAsia="zh-CN" w:bidi="ar-SA"/>
        </w:rPr>
        <w:t>采购单位将根据第一年的项目执行情况授予第二年、第三年的服务合同，合同履行期限最长不超过三十六个月。</w:t>
      </w:r>
    </w:p>
    <w:p>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（三）关于付款方式</w:t>
      </w:r>
    </w:p>
    <w:p>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双方签订合同，采购人在收到中标方提供的合法有效发票后15个工作日内一次性将保险费全额付清。</w:t>
      </w:r>
    </w:p>
    <w:p>
      <w:pPr>
        <w:widowControl w:val="0"/>
        <w:numPr>
          <w:ilvl w:val="0"/>
          <w:numId w:val="0"/>
        </w:numPr>
        <w:spacing w:line="360" w:lineRule="auto"/>
        <w:ind w:left="0" w:leftChars="0" w:firstLine="0" w:firstLineChars="0"/>
        <w:jc w:val="both"/>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br w:type="page"/>
      </w:r>
    </w:p>
    <w:p>
      <w:pPr>
        <w:pStyle w:val="14"/>
        <w:tabs>
          <w:tab w:val="left" w:pos="426"/>
        </w:tabs>
        <w:jc w:val="center"/>
        <w:rPr>
          <w:rFonts w:hint="eastAsia" w:asciiTheme="minorEastAsia" w:hAnsiTheme="minorEastAsia" w:eastAsiaTheme="minorEastAsia" w:cstheme="minorEastAsia"/>
          <w:b/>
          <w:bCs/>
          <w:sz w:val="24"/>
          <w:szCs w:val="24"/>
          <w:highlight w:val="none"/>
        </w:rPr>
      </w:pPr>
      <w:r>
        <w:rPr>
          <w:rFonts w:hint="eastAsia" w:ascii="Cambria" w:hAnsi="Cambria" w:cs="Times New Roman" w:eastAsiaTheme="minorEastAsia"/>
          <w:b/>
          <w:bCs/>
          <w:kern w:val="28"/>
          <w:sz w:val="28"/>
          <w:szCs w:val="32"/>
          <w:highlight w:val="none"/>
          <w:lang w:val="en-US" w:eastAsia="zh-CN" w:bidi="ar-SA"/>
        </w:rPr>
        <w:t>第四章   投标文件的组成、格式</w:t>
      </w:r>
    </w:p>
    <w:p>
      <w:pPr>
        <w:spacing w:line="420" w:lineRule="exact"/>
        <w:ind w:firstLine="480" w:firstLineChars="200"/>
        <w:rPr>
          <w:rFonts w:hint="eastAsia" w:asciiTheme="minorEastAsia" w:hAnsiTheme="minorEastAsia" w:eastAsiaTheme="minorEastAsia" w:cstheme="minorEastAsia"/>
          <w:sz w:val="24"/>
          <w:szCs w:val="24"/>
          <w:highlight w:val="none"/>
        </w:rPr>
      </w:pPr>
    </w:p>
    <w:p>
      <w:pPr>
        <w:tabs>
          <w:tab w:val="left" w:pos="360"/>
        </w:tabs>
        <w:spacing w:line="460" w:lineRule="exact"/>
        <w:ind w:left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投标文件组成</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封面</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目录指引</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val="en-US" w:eastAsia="zh-CN"/>
        </w:rPr>
        <w:t>投标函</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投标及履约承诺函</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五、</w:t>
      </w:r>
      <w:r>
        <w:rPr>
          <w:rFonts w:hint="eastAsia" w:asciiTheme="minorEastAsia" w:hAnsiTheme="minorEastAsia" w:eastAsiaTheme="minorEastAsia" w:cstheme="minorEastAsia"/>
          <w:b w:val="0"/>
          <w:bCs w:val="0"/>
          <w:sz w:val="24"/>
          <w:szCs w:val="24"/>
          <w:highlight w:val="none"/>
          <w:lang w:val="en-US" w:eastAsia="zh-CN"/>
        </w:rPr>
        <w:t>采购违法行为风险知悉确认书</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六、投标人基本情况及资格证明文件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（一）供应商基本情况表及供应商基本情况表附件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（二）资格证明文件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（三）法定代表人证明书</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w:t>
      </w:r>
      <w:r>
        <w:rPr>
          <w:rFonts w:hint="default" w:asciiTheme="minorEastAsia" w:hAnsiTheme="minorEastAsia" w:cstheme="minorEastAsia"/>
          <w:b w:val="0"/>
          <w:bCs w:val="0"/>
          <w:sz w:val="24"/>
          <w:szCs w:val="24"/>
          <w:highlight w:val="none"/>
          <w:lang w:val="en-US" w:eastAsia="zh-CN"/>
        </w:rPr>
        <w:t>四</w:t>
      </w:r>
      <w:r>
        <w:rPr>
          <w:rFonts w:hint="eastAsia" w:asciiTheme="minorEastAsia" w:hAnsiTheme="minorEastAsia" w:cstheme="minorEastAsia"/>
          <w:b w:val="0"/>
          <w:bCs w:val="0"/>
          <w:sz w:val="24"/>
          <w:szCs w:val="24"/>
          <w:highlight w:val="none"/>
          <w:lang w:val="en-US" w:eastAsia="zh-CN"/>
        </w:rPr>
        <w:t>）法定代表人授权书格式（投标人代表为法定代表人的无需提供本格式）</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七、项目报价（格式自拟）</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八、响应评分的内容及佐证材料</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bookmarkStart w:id="22" w:name="_Toc313109535"/>
      <w:r>
        <w:rPr>
          <w:rFonts w:hint="eastAsia" w:asciiTheme="minorEastAsia" w:hAnsiTheme="minorEastAsia" w:cstheme="minorEastAsia"/>
          <w:b w:val="0"/>
          <w:bCs w:val="0"/>
          <w:sz w:val="24"/>
          <w:szCs w:val="24"/>
          <w:highlight w:val="none"/>
          <w:lang w:val="en-US" w:eastAsia="zh-CN"/>
        </w:rPr>
        <w:t>九、投标人认为需要补充的其他资料（如有）</w:t>
      </w:r>
      <w:bookmarkEnd w:id="22"/>
    </w:p>
    <w:p>
      <w:pPr>
        <w:tabs>
          <w:tab w:val="left" w:pos="360"/>
        </w:tabs>
        <w:spacing w:line="460" w:lineRule="exact"/>
        <w:jc w:val="both"/>
        <w:rPr>
          <w:rFonts w:hint="default" w:asciiTheme="minorEastAsia" w:hAnsiTheme="minorEastAsia" w:eastAsiaTheme="minorEastAsia" w:cstheme="minorEastAsia"/>
          <w:sz w:val="24"/>
          <w:szCs w:val="24"/>
          <w:highlight w:val="none"/>
          <w:lang w:val="en-US" w:eastAsia="zh-CN"/>
        </w:rPr>
      </w:pPr>
    </w:p>
    <w:p>
      <w:pPr>
        <w:tabs>
          <w:tab w:val="left" w:pos="360"/>
        </w:tabs>
        <w:spacing w:line="460" w:lineRule="exact"/>
        <w:ind w:firstLine="480" w:firstLineChars="200"/>
        <w:jc w:val="both"/>
        <w:rPr>
          <w:rFonts w:hint="eastAsia" w:asciiTheme="minorEastAsia" w:hAnsiTheme="minorEastAsia" w:eastAsiaTheme="minorEastAsia" w:cstheme="minorEastAsia"/>
          <w:color w:val="F79646" w:themeColor="accent6"/>
          <w:sz w:val="24"/>
          <w:szCs w:val="24"/>
          <w:highlight w:val="none"/>
          <w:lang w:eastAsia="zh-CN"/>
          <w14:textFill>
            <w14:solidFill>
              <w14:schemeClr w14:val="accent6"/>
            </w14:solidFill>
          </w14:textFill>
        </w:rPr>
      </w:pPr>
      <w:r>
        <w:rPr>
          <w:rFonts w:hint="eastAsia" w:asciiTheme="minorEastAsia" w:hAnsiTheme="minorEastAsia" w:eastAsiaTheme="minorEastAsia" w:cstheme="minorEastAsia"/>
          <w:color w:val="FF0000"/>
          <w:sz w:val="24"/>
          <w:szCs w:val="24"/>
          <w:highlight w:val="none"/>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Theme="minorEastAsia" w:hAnsiTheme="minorEastAsia" w:eastAsiaTheme="minorEastAsia" w:cstheme="minorEastAsia"/>
          <w:color w:val="FF0000"/>
          <w:sz w:val="24"/>
          <w:szCs w:val="24"/>
          <w:highlight w:val="none"/>
          <w:lang w:eastAsia="zh-CN"/>
        </w:rPr>
        <w:t>，</w:t>
      </w:r>
      <w:r>
        <w:rPr>
          <w:rFonts w:hint="eastAsia" w:ascii="宋体" w:hAnsi="宋体" w:eastAsia="宋体" w:cs="宋体"/>
          <w:bCs/>
          <w:color w:val="F79646" w:themeColor="accent6"/>
          <w:kern w:val="0"/>
          <w:sz w:val="24"/>
          <w:szCs w:val="24"/>
          <w:highlight w:val="none"/>
          <w:shd w:val="clear" w:color="auto" w:fill="FFFFFF"/>
          <w:lang w:val="en-US" w:eastAsia="zh-CN" w:bidi="ar-SA"/>
          <w14:textFill>
            <w14:solidFill>
              <w14:schemeClr w14:val="accent6"/>
            </w14:solidFill>
          </w14:textFill>
        </w:rPr>
        <w:t>电子文件一份，U盘储存（投标文件正本盖章后的扫描件，PDF格式）</w:t>
      </w:r>
      <w:r>
        <w:rPr>
          <w:rFonts w:hint="eastAsia" w:asciiTheme="minorEastAsia" w:hAnsiTheme="minorEastAsia" w:eastAsiaTheme="minorEastAsia" w:cstheme="minorEastAsia"/>
          <w:color w:val="F79646" w:themeColor="accent6"/>
          <w:sz w:val="24"/>
          <w:szCs w:val="24"/>
          <w:highlight w:val="none"/>
          <w14:textFill>
            <w14:solidFill>
              <w14:schemeClr w14:val="accent6"/>
            </w14:solidFill>
          </w14:textFill>
        </w:rPr>
        <w:t>）</w:t>
      </w:r>
      <w:r>
        <w:rPr>
          <w:rFonts w:hint="eastAsia" w:asciiTheme="minorEastAsia" w:hAnsiTheme="minorEastAsia" w:cstheme="minorEastAsia"/>
          <w:color w:val="F79646" w:themeColor="accent6"/>
          <w:sz w:val="24"/>
          <w:szCs w:val="24"/>
          <w:highlight w:val="none"/>
          <w:lang w:eastAsia="zh-CN"/>
          <w14:textFill>
            <w14:solidFill>
              <w14:schemeClr w14:val="accent6"/>
            </w14:solidFill>
          </w14:textFill>
        </w:rPr>
        <w:t>。</w:t>
      </w:r>
    </w:p>
    <w:p>
      <w:pPr>
        <w:keepNext/>
        <w:keepLines/>
        <w:spacing w:line="420" w:lineRule="exact"/>
        <w:outlineLvl w:val="3"/>
        <w:rPr>
          <w:rFonts w:hint="eastAsia" w:asciiTheme="minorEastAsia" w:hAnsiTheme="minorEastAsia" w:eastAsiaTheme="minorEastAsia" w:cstheme="minorEastAsia"/>
          <w:b/>
          <w:bCs/>
          <w:color w:val="F79646" w:themeColor="accent6"/>
          <w:sz w:val="21"/>
          <w:szCs w:val="21"/>
          <w:highlight w:val="none"/>
          <w14:textFill>
            <w14:solidFill>
              <w14:schemeClr w14:val="accent6"/>
            </w14:solidFill>
          </w14:textFill>
        </w:rPr>
      </w:pPr>
    </w:p>
    <w:p>
      <w:pPr>
        <w:pStyle w:val="33"/>
        <w:rPr>
          <w:rFonts w:hint="eastAsia"/>
          <w:color w:val="F79646" w:themeColor="accent6"/>
          <w:highlight w:val="none"/>
          <w14:textFill>
            <w14:solidFill>
              <w14:schemeClr w14:val="accent6"/>
            </w14:solidFill>
          </w14:textFill>
        </w:rPr>
      </w:pPr>
    </w:p>
    <w:p>
      <w:pPr>
        <w:keepNext/>
        <w:keepLines/>
        <w:spacing w:line="420" w:lineRule="exact"/>
        <w:outlineLvl w:val="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jc w:val="both"/>
        <w:rPr>
          <w:rFonts w:hint="eastAsia"/>
          <w:sz w:val="44"/>
          <w:szCs w:val="44"/>
          <w:highlight w:val="none"/>
          <w:u w:val="single"/>
        </w:rPr>
      </w:pPr>
    </w:p>
    <w:p>
      <w:pPr>
        <w:jc w:val="right"/>
        <w:rPr>
          <w:rFonts w:hint="eastAsia"/>
          <w:sz w:val="44"/>
          <w:szCs w:val="44"/>
          <w:highlight w:val="none"/>
          <w:u w:val="single"/>
        </w:rPr>
      </w:pPr>
    </w:p>
    <w:p>
      <w:pPr>
        <w:jc w:val="right"/>
        <w:rPr>
          <w:sz w:val="44"/>
          <w:szCs w:val="44"/>
          <w:highlight w:val="none"/>
          <w:u w:val="single"/>
        </w:rPr>
      </w:pPr>
      <w:r>
        <w:rPr>
          <w:rFonts w:hint="eastAsia"/>
          <w:sz w:val="44"/>
          <w:szCs w:val="44"/>
          <w:highlight w:val="none"/>
          <w:u w:val="single"/>
        </w:rPr>
        <w:t>（□正本 □副本）</w:t>
      </w:r>
    </w:p>
    <w:p>
      <w:pPr>
        <w:jc w:val="center"/>
        <w:rPr>
          <w:sz w:val="44"/>
          <w:szCs w:val="44"/>
          <w:highlight w:val="none"/>
          <w:u w:val="single"/>
        </w:rPr>
      </w:pPr>
    </w:p>
    <w:p>
      <w:pPr>
        <w:jc w:val="center"/>
        <w:rPr>
          <w:rFonts w:hint="eastAsia"/>
          <w:sz w:val="44"/>
          <w:szCs w:val="44"/>
          <w:highlight w:val="none"/>
          <w:u w:val="single"/>
        </w:rPr>
      </w:pPr>
    </w:p>
    <w:p>
      <w:pPr>
        <w:jc w:val="center"/>
        <w:rPr>
          <w:sz w:val="44"/>
          <w:szCs w:val="44"/>
          <w:highlight w:val="none"/>
          <w:u w:val="single"/>
        </w:rPr>
      </w:pPr>
      <w:r>
        <w:rPr>
          <w:rFonts w:hint="eastAsia"/>
          <w:sz w:val="44"/>
          <w:szCs w:val="44"/>
          <w:highlight w:val="none"/>
          <w:u w:val="single"/>
        </w:rPr>
        <w:t>（项目名称全称）</w:t>
      </w:r>
    </w:p>
    <w:p>
      <w:pPr>
        <w:jc w:val="center"/>
        <w:rPr>
          <w:sz w:val="44"/>
          <w:szCs w:val="44"/>
          <w:highlight w:val="none"/>
        </w:rPr>
      </w:pPr>
      <w:r>
        <w:rPr>
          <w:rFonts w:hint="eastAsia"/>
          <w:sz w:val="44"/>
          <w:szCs w:val="44"/>
          <w:highlight w:val="none"/>
        </w:rPr>
        <w:t>投标文件</w:t>
      </w:r>
    </w:p>
    <w:p>
      <w:pPr>
        <w:rPr>
          <w:highlight w:val="none"/>
        </w:rPr>
      </w:pPr>
    </w:p>
    <w:p>
      <w:pPr>
        <w:pStyle w:val="66"/>
        <w:ind w:firstLine="480"/>
        <w:rPr>
          <w:highlight w:val="none"/>
        </w:rPr>
      </w:pPr>
    </w:p>
    <w:p>
      <w:pPr>
        <w:tabs>
          <w:tab w:val="left" w:pos="426"/>
        </w:tabs>
        <w:rPr>
          <w:highlight w:val="none"/>
        </w:rPr>
      </w:pPr>
    </w:p>
    <w:p>
      <w:pPr>
        <w:tabs>
          <w:tab w:val="left" w:pos="426"/>
        </w:tabs>
        <w:ind w:firstLine="960" w:firstLineChars="300"/>
        <w:rPr>
          <w:rFonts w:hint="eastAsia"/>
          <w:sz w:val="32"/>
          <w:szCs w:val="32"/>
          <w:highlight w:val="none"/>
        </w:rPr>
      </w:pP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 xml:space="preserve">项目编号： </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highlight w:val="none"/>
          <w:u w:val="single"/>
        </w:rPr>
      </w:pPr>
      <w:r>
        <w:rPr>
          <w:rFonts w:hint="eastAsia"/>
          <w:sz w:val="32"/>
          <w:szCs w:val="32"/>
          <w:highlight w:val="none"/>
        </w:rPr>
        <w:t>项目名称：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投标单位名称（公章）：</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投标单位地址：</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联系人：</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联系电话：</w:t>
      </w:r>
      <w:r>
        <w:rPr>
          <w:rFonts w:hint="eastAsia"/>
          <w:sz w:val="32"/>
          <w:szCs w:val="32"/>
          <w:highlight w:val="none"/>
          <w:u w:val="single"/>
        </w:rPr>
        <w:t xml:space="preserve">                               </w:t>
      </w:r>
      <w:r>
        <w:rPr>
          <w:rFonts w:hint="eastAsia"/>
          <w:sz w:val="32"/>
          <w:szCs w:val="32"/>
          <w:highlight w:val="none"/>
        </w:rPr>
        <w:t xml:space="preserve">                            </w:t>
      </w:r>
    </w:p>
    <w:p>
      <w:pPr>
        <w:tabs>
          <w:tab w:val="left" w:pos="426"/>
        </w:tabs>
        <w:rPr>
          <w:szCs w:val="21"/>
          <w:highlight w:val="none"/>
        </w:rPr>
      </w:pPr>
    </w:p>
    <w:p>
      <w:pPr>
        <w:pStyle w:val="14"/>
        <w:tabs>
          <w:tab w:val="left" w:pos="426"/>
        </w:tabs>
        <w:ind w:firstLine="960" w:firstLineChars="300"/>
        <w:rPr>
          <w:highlight w:val="none"/>
        </w:rPr>
      </w:pPr>
      <w:r>
        <w:rPr>
          <w:rFonts w:hint="eastAsia"/>
          <w:sz w:val="32"/>
          <w:szCs w:val="32"/>
          <w:highlight w:val="none"/>
        </w:rPr>
        <w:t>时    间</w:t>
      </w:r>
      <w:r>
        <w:rPr>
          <w:rFonts w:hint="eastAsia"/>
          <w:sz w:val="32"/>
          <w:szCs w:val="32"/>
          <w:highlight w:val="none"/>
          <w:u w:val="single"/>
          <w:lang w:val="en-US" w:eastAsia="zh-CN"/>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rPr>
        <w:t>日</w:t>
      </w:r>
      <w:r>
        <w:rPr>
          <w:rFonts w:hint="eastAsia"/>
          <w:highlight w:val="none"/>
        </w:rPr>
        <w:t xml:space="preserve">   </w:t>
      </w:r>
    </w:p>
    <w:p>
      <w:pPr>
        <w:pStyle w:val="14"/>
        <w:tabs>
          <w:tab w:val="left" w:pos="426"/>
        </w:tabs>
        <w:ind w:firstLine="630" w:firstLineChars="300"/>
        <w:rPr>
          <w:highlight w:val="none"/>
        </w:rPr>
      </w:pPr>
    </w:p>
    <w:p>
      <w:pPr>
        <w:pStyle w:val="14"/>
        <w:tabs>
          <w:tab w:val="left" w:pos="426"/>
        </w:tabs>
        <w:ind w:firstLine="630" w:firstLineChars="300"/>
        <w:rPr>
          <w:highlight w:val="none"/>
        </w:rPr>
      </w:pPr>
    </w:p>
    <w:p>
      <w:pPr>
        <w:pStyle w:val="14"/>
        <w:tabs>
          <w:tab w:val="left" w:pos="426"/>
        </w:tabs>
        <w:ind w:firstLine="630" w:firstLineChars="300"/>
        <w:rPr>
          <w:highlight w:val="none"/>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4"/>
          <w:szCs w:val="24"/>
          <w:highlight w:val="none"/>
          <w:lang w:val="en-US" w:eastAsia="zh-CN"/>
        </w:rPr>
      </w:pPr>
    </w:p>
    <w:p>
      <w:pPr>
        <w:spacing w:line="420" w:lineRule="exact"/>
        <w:outlineLvl w:val="3"/>
        <w:rPr>
          <w:rFonts w:hint="eastAsia" w:asciiTheme="minorEastAsia" w:hAnsiTheme="minorEastAsia" w:cstheme="minorEastAsia"/>
          <w:b/>
          <w:bCs/>
          <w:sz w:val="24"/>
          <w:szCs w:val="24"/>
          <w:highlight w:val="none"/>
          <w:lang w:val="en-US" w:eastAsia="zh-CN"/>
        </w:rPr>
        <w:sectPr>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420" w:lineRule="exact"/>
        <w:outlineLvl w:val="3"/>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二、目录指引</w:t>
      </w:r>
    </w:p>
    <w:p>
      <w:pPr>
        <w:rPr>
          <w:rFonts w:hint="eastAsia"/>
          <w:b/>
          <w:bCs/>
          <w:color w:val="FF0000"/>
          <w:highlight w:val="none"/>
        </w:rPr>
      </w:pPr>
      <w:r>
        <w:rPr>
          <w:rFonts w:hint="eastAsia"/>
          <w:b w:val="0"/>
          <w:bCs w:val="0"/>
          <w:color w:val="FF0000"/>
          <w:highlight w:val="none"/>
          <w:lang w:eastAsia="zh-CN"/>
        </w:rPr>
        <w:t>（</w:t>
      </w:r>
      <w:r>
        <w:rPr>
          <w:rFonts w:hint="eastAsia"/>
          <w:b w:val="0"/>
          <w:bCs w:val="0"/>
          <w:color w:val="FF0000"/>
          <w:highlight w:val="none"/>
        </w:rPr>
        <w:t>按照</w:t>
      </w:r>
      <w:r>
        <w:rPr>
          <w:rFonts w:hint="eastAsia"/>
          <w:b w:val="0"/>
          <w:bCs w:val="0"/>
          <w:color w:val="FF0000"/>
          <w:highlight w:val="none"/>
          <w:lang w:eastAsia="zh-CN"/>
        </w:rPr>
        <w:t>招标</w:t>
      </w:r>
      <w:r>
        <w:rPr>
          <w:rFonts w:hint="eastAsia"/>
          <w:b w:val="0"/>
          <w:bCs w:val="0"/>
          <w:color w:val="FF0000"/>
          <w:highlight w:val="none"/>
        </w:rPr>
        <w:t>文件相应内容，请标明各部分内容的页码。</w:t>
      </w:r>
      <w:r>
        <w:rPr>
          <w:rFonts w:hint="eastAsia"/>
          <w:b w:val="0"/>
          <w:bCs w:val="0"/>
          <w:color w:val="FF0000"/>
          <w:highlight w:val="none"/>
          <w:lang w:eastAsia="zh-CN"/>
        </w:rPr>
        <w:t>）</w:t>
      </w: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pStyle w:val="33"/>
        <w:rPr>
          <w:rFonts w:hint="eastAsia" w:asciiTheme="minorEastAsia" w:hAnsiTheme="minorEastAsia" w:cstheme="minorEastAsia"/>
          <w:b/>
          <w:bCs/>
          <w:sz w:val="21"/>
          <w:szCs w:val="21"/>
          <w:highlight w:val="none"/>
          <w:lang w:val="en-US" w:eastAsia="zh-CN"/>
        </w:rPr>
      </w:pPr>
    </w:p>
    <w:p>
      <w:pPr>
        <w:numPr>
          <w:ilvl w:val="0"/>
          <w:numId w:val="0"/>
        </w:numPr>
        <w:spacing w:line="420" w:lineRule="exact"/>
        <w:ind w:left="0" w:leftChars="0" w:firstLine="0" w:firstLineChars="0"/>
        <w:outlineLvl w:val="3"/>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lang w:val="en-US" w:eastAsia="zh-CN" w:bidi="ar-SA"/>
        </w:rPr>
        <w:t>三</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rPr>
        <w:t>投标函格式</w:t>
      </w:r>
    </w:p>
    <w:p>
      <w:pPr>
        <w:numPr>
          <w:ilvl w:val="0"/>
          <w:numId w:val="0"/>
        </w:numPr>
        <w:spacing w:line="420" w:lineRule="exact"/>
        <w:ind w:leftChars="0"/>
        <w:outlineLvl w:val="3"/>
        <w:rPr>
          <w:rFonts w:hint="eastAsia" w:asciiTheme="minorEastAsia" w:hAnsiTheme="minorEastAsia" w:eastAsiaTheme="minorEastAsia" w:cstheme="minorEastAsia"/>
          <w:b/>
          <w:bCs/>
          <w:sz w:val="24"/>
          <w:szCs w:val="24"/>
          <w:highlight w:val="none"/>
        </w:rPr>
      </w:pPr>
    </w:p>
    <w:p>
      <w:pPr>
        <w:spacing w:line="360" w:lineRule="auto"/>
        <w:ind w:left="120" w:leftChars="50" w:firstLine="375" w:firstLineChars="178"/>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致：</w:t>
      </w:r>
      <w:r>
        <w:rPr>
          <w:rFonts w:hint="eastAsia" w:asciiTheme="minorEastAsia" w:hAnsiTheme="minorEastAsia" w:eastAsiaTheme="minorEastAsia" w:cstheme="minorEastAsia"/>
          <w:b/>
          <w:bCs/>
          <w:sz w:val="21"/>
          <w:szCs w:val="21"/>
          <w:highlight w:val="none"/>
          <w:lang w:val="en-US" w:eastAsia="zh-CN"/>
        </w:rPr>
        <w:t>深圳市龙岗区耳鼻咽喉医院</w:t>
      </w:r>
    </w:p>
    <w:p>
      <w:pPr>
        <w:spacing w:line="360" w:lineRule="auto"/>
        <w:ind w:left="120" w:leftChars="50" w:firstLine="373" w:firstLineChars="178"/>
        <w:rPr>
          <w:rFonts w:ascii="宋体" w:hAnsi="宋体"/>
          <w:sz w:val="21"/>
          <w:szCs w:val="21"/>
          <w:highlight w:val="none"/>
        </w:rPr>
      </w:pPr>
      <w:r>
        <w:rPr>
          <w:rFonts w:hint="eastAsia" w:ascii="宋体" w:hAnsi="宋体"/>
          <w:sz w:val="21"/>
          <w:szCs w:val="21"/>
          <w:highlight w:val="none"/>
        </w:rPr>
        <w:t>我方确认收到贵方</w:t>
      </w:r>
      <w:r>
        <w:rPr>
          <w:rFonts w:hint="eastAsia" w:ascii="宋体" w:hAnsi="宋体"/>
          <w:kern w:val="28"/>
          <w:sz w:val="21"/>
          <w:szCs w:val="21"/>
          <w:highlight w:val="none"/>
          <w:u w:val="single"/>
        </w:rPr>
        <w:t xml:space="preserve">                   </w:t>
      </w:r>
      <w:r>
        <w:rPr>
          <w:rFonts w:hint="eastAsia" w:ascii="宋体" w:hAnsi="宋体"/>
          <w:kern w:val="28"/>
          <w:sz w:val="21"/>
          <w:szCs w:val="21"/>
          <w:highlight w:val="none"/>
        </w:rPr>
        <w:t>采购</w:t>
      </w:r>
      <w:r>
        <w:rPr>
          <w:rFonts w:hint="eastAsia" w:ascii="宋体" w:hAnsi="宋体"/>
          <w:sz w:val="21"/>
          <w:szCs w:val="21"/>
          <w:highlight w:val="none"/>
        </w:rPr>
        <w:t>货物及相关服务的招标文件（项目编号：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w:t>
      </w:r>
      <w:r>
        <w:rPr>
          <w:rFonts w:hint="eastAsia" w:ascii="宋体" w:hAnsi="宋体"/>
          <w:sz w:val="21"/>
          <w:szCs w:val="21"/>
          <w:highlight w:val="none"/>
          <w:u w:val="single"/>
        </w:rPr>
        <w:t xml:space="preserve"> (投标人名称、地址)</w:t>
      </w:r>
      <w:r>
        <w:rPr>
          <w:rFonts w:hint="eastAsia" w:ascii="宋体" w:hAnsi="宋体"/>
          <w:sz w:val="21"/>
          <w:szCs w:val="21"/>
          <w:highlight w:val="none"/>
        </w:rPr>
        <w:t>作为投标人已正式授权</w:t>
      </w:r>
      <w:r>
        <w:rPr>
          <w:rFonts w:hint="eastAsia" w:ascii="宋体" w:hAnsi="宋体"/>
          <w:sz w:val="21"/>
          <w:szCs w:val="21"/>
          <w:highlight w:val="none"/>
          <w:u w:val="single"/>
        </w:rPr>
        <w:t xml:space="preserve"> (被投标人授权代表全名、职务)</w:t>
      </w:r>
      <w:r>
        <w:rPr>
          <w:rFonts w:hint="eastAsia" w:ascii="宋体" w:hAnsi="宋体"/>
          <w:sz w:val="21"/>
          <w:szCs w:val="21"/>
          <w:highlight w:val="none"/>
        </w:rPr>
        <w:t>为我方签名代表，签名代表在此声明并同意：</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我单位愿意遵守招标文件的各项规定，自愿参加投标，并已清楚招标文件的要求及有关文件规定，并严格按照招标文件的规定履行全部责任和义务。</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highlight w:val="none"/>
        </w:rPr>
        <w:t>日历日内有效，并承诺不予撤销已递交的投标文件。</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我单位已经详细地阅读并完全明白了全部招标文件及附件，我单位完全理解本招标文件的要求，我单位同意放弃对招标文件提出不明或误解的一切权利。</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我单位同意提供</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要求的有关投标的一切数据或资料。</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我单位理解</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并无义务必须接受最低报价的投标或其它任何投标，完全</w:t>
      </w:r>
      <w:r>
        <w:rPr>
          <w:rFonts w:hint="eastAsia" w:asciiTheme="minorEastAsia" w:hAnsiTheme="minorEastAsia" w:eastAsiaTheme="minorEastAsia" w:cstheme="minorEastAsia"/>
          <w:b/>
          <w:sz w:val="21"/>
          <w:szCs w:val="21"/>
          <w:highlight w:val="none"/>
          <w:lang w:val="en-US" w:eastAsia="zh-CN"/>
        </w:rPr>
        <w:t>采购人</w:t>
      </w:r>
      <w:r>
        <w:rPr>
          <w:rFonts w:hint="eastAsia" w:asciiTheme="minorEastAsia" w:hAnsiTheme="minorEastAsia" w:eastAsiaTheme="minorEastAsia" w:cstheme="minorEastAsia"/>
          <w:b/>
          <w:sz w:val="21"/>
          <w:szCs w:val="21"/>
          <w:highlight w:val="none"/>
        </w:rPr>
        <w:t>拒绝迟到的任何投标和最低投标报价不是被授予中标的唯一条件。</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如果我单位未对招标文件全部要求作出实质性响应，则完全同意并接受按无效投标处理。 </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如果我单位提供的声明或承诺不真实，则完全同意认定为我司提供虚假材料，并同意作相应处理。</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我单位是依法注册的法人，在法律、财务及运作上完全独立于本项目采购人、用户单位（如有）和采购代理机构。</w:t>
      </w:r>
    </w:p>
    <w:p>
      <w:pPr>
        <w:numPr>
          <w:ilvl w:val="0"/>
          <w:numId w:val="0"/>
        </w:numPr>
        <w:snapToGrid w:val="0"/>
        <w:spacing w:line="360" w:lineRule="auto"/>
        <w:ind w:left="66" w:left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1、投标函中承诺的投标有效期应当不少于招标文件中载明的投标有效期，否则视为无效投标。</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2、除投标有效期承诺的时间外，本投标函内容不得擅自删改，否则视为无效投标。</w:t>
      </w:r>
    </w:p>
    <w:p>
      <w:pPr>
        <w:spacing w:line="360" w:lineRule="auto"/>
        <w:rPr>
          <w:rFonts w:hint="eastAsia" w:asciiTheme="minorEastAsia" w:hAnsiTheme="minorEastAsia" w:eastAsiaTheme="minorEastAsia" w:cstheme="minorEastAsia"/>
          <w:b/>
          <w:bCs/>
          <w:sz w:val="21"/>
          <w:szCs w:val="21"/>
          <w:highlight w:val="none"/>
        </w:rPr>
      </w:pPr>
    </w:p>
    <w:p>
      <w:pPr>
        <w:spacing w:line="360" w:lineRule="auto"/>
        <w:ind w:firstLine="1265" w:firstLineChars="600"/>
        <w:rPr>
          <w:rFonts w:hint="eastAsia"/>
          <w:b/>
          <w:bCs/>
          <w:sz w:val="21"/>
          <w:szCs w:val="21"/>
          <w:highlight w:val="none"/>
        </w:rPr>
      </w:pPr>
    </w:p>
    <w:p>
      <w:pPr>
        <w:spacing w:line="360" w:lineRule="auto"/>
        <w:ind w:firstLine="2741" w:firstLineChars="1300"/>
        <w:rPr>
          <w:sz w:val="21"/>
          <w:szCs w:val="21"/>
          <w:highlight w:val="none"/>
        </w:rPr>
      </w:pPr>
      <w:r>
        <w:rPr>
          <w:rFonts w:hint="eastAsia"/>
          <w:b/>
          <w:bCs/>
          <w:sz w:val="21"/>
          <w:szCs w:val="21"/>
          <w:highlight w:val="none"/>
        </w:rPr>
        <w:t>投标人单位名称（单位盖公章）：</w:t>
      </w:r>
      <w:r>
        <w:rPr>
          <w:rFonts w:hint="eastAsia"/>
          <w:sz w:val="21"/>
          <w:szCs w:val="21"/>
          <w:highlight w:val="none"/>
          <w:u w:val="single"/>
        </w:rPr>
        <w:t xml:space="preserve">                            </w:t>
      </w:r>
      <w:r>
        <w:rPr>
          <w:rFonts w:hint="eastAsia"/>
          <w:sz w:val="21"/>
          <w:szCs w:val="21"/>
          <w:highlight w:val="none"/>
        </w:rPr>
        <w:t xml:space="preserve"> </w:t>
      </w:r>
    </w:p>
    <w:p>
      <w:pPr>
        <w:spacing w:line="360" w:lineRule="auto"/>
        <w:ind w:firstLine="2741" w:firstLineChars="1300"/>
        <w:rPr>
          <w:rFonts w:ascii="宋体" w:hAns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u w:val="single"/>
        </w:rPr>
        <w:t xml:space="preserve">       </w:t>
      </w:r>
      <w:r>
        <w:rPr>
          <w:rFonts w:hint="eastAsia" w:ascii="宋体" w:hAnsi="宋体"/>
          <w:b/>
          <w:bCs/>
          <w:sz w:val="21"/>
          <w:szCs w:val="21"/>
          <w:highlight w:val="none"/>
        </w:rPr>
        <w:t>年</w:t>
      </w:r>
      <w:r>
        <w:rPr>
          <w:rFonts w:hint="eastAsia" w:ascii="宋体" w:hAnsi="宋体"/>
          <w:b/>
          <w:bCs/>
          <w:sz w:val="21"/>
          <w:szCs w:val="21"/>
          <w:highlight w:val="none"/>
          <w:u w:val="single"/>
        </w:rPr>
        <w:t xml:space="preserve">     </w:t>
      </w:r>
      <w:r>
        <w:rPr>
          <w:rFonts w:hint="eastAsia" w:ascii="宋体" w:hAnsi="宋体"/>
          <w:b/>
          <w:bCs/>
          <w:sz w:val="21"/>
          <w:szCs w:val="21"/>
          <w:highlight w:val="none"/>
        </w:rPr>
        <w:t>月</w:t>
      </w:r>
      <w:r>
        <w:rPr>
          <w:rFonts w:hint="eastAsia" w:ascii="宋体" w:hAnsi="宋体"/>
          <w:b/>
          <w:bCs/>
          <w:sz w:val="21"/>
          <w:szCs w:val="21"/>
          <w:highlight w:val="none"/>
          <w:u w:val="single"/>
        </w:rPr>
        <w:t xml:space="preserve">    </w:t>
      </w:r>
      <w:r>
        <w:rPr>
          <w:rFonts w:hint="eastAsia" w:ascii="宋体" w:hAnsi="宋体"/>
          <w:b/>
          <w:bCs/>
          <w:sz w:val="21"/>
          <w:szCs w:val="21"/>
          <w:highlight w:val="none"/>
        </w:rPr>
        <w:t>日</w:t>
      </w:r>
    </w:p>
    <w:p>
      <w:pPr>
        <w:adjustRightInd w:val="0"/>
        <w:snapToGrid w:val="0"/>
        <w:spacing w:line="360" w:lineRule="auto"/>
        <w:rPr>
          <w:rFonts w:ascii="黑体" w:eastAsia="黑体"/>
          <w:b/>
          <w:bCs/>
          <w:sz w:val="21"/>
          <w:szCs w:val="21"/>
          <w:highlight w:val="none"/>
        </w:rPr>
        <w:sectPr>
          <w:footerReference r:id="rId6" w:type="default"/>
          <w:pgSz w:w="11906" w:h="16838"/>
          <w:pgMar w:top="1440" w:right="1286" w:bottom="144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numPr>
          <w:ilvl w:val="0"/>
          <w:numId w:val="0"/>
        </w:numPr>
        <w:spacing w:line="420" w:lineRule="exact"/>
        <w:ind w:left="0" w:leftChars="0" w:firstLine="0" w:firstLineChars="0"/>
        <w:outlineLvl w:val="3"/>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lang w:val="en-US" w:eastAsia="zh-CN" w:bidi="ar-SA"/>
        </w:rPr>
        <w:t>四</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lang w:val="en-US" w:eastAsia="zh-CN"/>
        </w:rPr>
        <w:t>投标及履约承诺函</w:t>
      </w:r>
    </w:p>
    <w:p>
      <w:pPr>
        <w:numPr>
          <w:ilvl w:val="0"/>
          <w:numId w:val="0"/>
        </w:numPr>
        <w:spacing w:line="420" w:lineRule="exact"/>
        <w:ind w:leftChars="0"/>
        <w:outlineLvl w:val="3"/>
        <w:rPr>
          <w:rFonts w:hint="default" w:asciiTheme="minorEastAsia" w:hAnsiTheme="minorEastAsia" w:eastAsiaTheme="minorEastAsia" w:cstheme="minorEastAsia"/>
          <w:b/>
          <w:bCs/>
          <w:sz w:val="24"/>
          <w:szCs w:val="24"/>
          <w:highlight w:val="none"/>
          <w:lang w:val="en-US" w:eastAsia="zh-CN"/>
        </w:rPr>
      </w:pPr>
    </w:p>
    <w:p>
      <w:pPr>
        <w:tabs>
          <w:tab w:val="left" w:pos="426"/>
        </w:tabs>
        <w:adjustRightInd w:val="0"/>
        <w:spacing w:line="420" w:lineRule="exact"/>
        <w:jc w:val="center"/>
        <w:outlineLvl w:val="4"/>
        <w:rPr>
          <w:rFonts w:hint="eastAsia" w:ascii="宋体" w:hAnsi="宋体" w:eastAsia="宋体" w:cs="宋体"/>
          <w:b w:val="0"/>
          <w:bCs/>
          <w:color w:val="333333"/>
          <w:kern w:val="0"/>
          <w:sz w:val="24"/>
          <w:szCs w:val="24"/>
          <w:shd w:val="clear" w:color="auto" w:fill="FFFFFF"/>
          <w:lang w:val="en-US" w:eastAsia="zh-CN" w:bidi="ar-SA"/>
        </w:rPr>
      </w:pPr>
      <w:r>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t>投标及履约承诺函</w:t>
      </w:r>
    </w:p>
    <w:p>
      <w:pPr>
        <w:pStyle w:val="11"/>
        <w:spacing w:line="420" w:lineRule="exact"/>
        <w:rPr>
          <w:rFonts w:hint="eastAsia" w:ascii="宋体" w:hAnsi="宋体" w:eastAsia="宋体" w:cs="宋体"/>
          <w:b w:val="0"/>
          <w:bCs/>
          <w:color w:val="333333"/>
          <w:kern w:val="0"/>
          <w:sz w:val="24"/>
          <w:szCs w:val="24"/>
          <w:shd w:val="clear" w:color="auto" w:fill="FFFFFF"/>
          <w:lang w:val="en-US" w:eastAsia="zh-CN" w:bidi="ar-SA"/>
        </w:rPr>
      </w:pPr>
    </w:p>
    <w:p>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致：深圳市龙岗区耳鼻咽喉医院</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我公司承诺：</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1.我公司参与本项目所投标（响应）的货物或服务未侵犯知识产权。</w:t>
      </w:r>
    </w:p>
    <w:p>
      <w:pPr>
        <w:numPr>
          <w:ilvl w:val="0"/>
          <w:numId w:val="0"/>
        </w:num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pPr>
        <w:numPr>
          <w:ilvl w:val="0"/>
          <w:numId w:val="0"/>
        </w:num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3.我公司参与本项目采购活动时不存在被有关部门禁止参与政府采购活动且在有效期内的情况。</w:t>
      </w:r>
    </w:p>
    <w:p>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4.我公司具备《中华人民共和国政府采购法》第二十二条第一款规定的六项条件。</w:t>
      </w:r>
    </w:p>
    <w:p>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5.我公司未被列入失信被执行人、重大税收违法案件当事人名单、政府采购严重违法失信行为记录名单。</w:t>
      </w:r>
    </w:p>
    <w:p>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11.我公司承诺不非法转包、分包。</w:t>
      </w:r>
    </w:p>
    <w:p>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p>
    <w:p>
      <w:pPr>
        <w:pStyle w:val="11"/>
        <w:spacing w:line="420" w:lineRule="exact"/>
        <w:rPr>
          <w:rFonts w:hint="eastAsia" w:ascii="宋体" w:hAnsi="宋体" w:eastAsia="宋体" w:cs="宋体"/>
          <w:b w:val="0"/>
          <w:bCs/>
          <w:color w:val="333333"/>
          <w:kern w:val="0"/>
          <w:sz w:val="24"/>
          <w:szCs w:val="24"/>
          <w:shd w:val="clear" w:color="auto" w:fill="FFFFFF"/>
          <w:lang w:val="en-US" w:eastAsia="zh-CN" w:bidi="ar-SA"/>
        </w:rPr>
      </w:pPr>
    </w:p>
    <w:p>
      <w:pPr>
        <w:tabs>
          <w:tab w:val="left" w:pos="426"/>
        </w:tabs>
        <w:snapToGrid w:val="0"/>
        <w:spacing w:line="420" w:lineRule="exact"/>
        <w:rPr>
          <w:rFonts w:hint="eastAsia" w:ascii="宋体" w:hAnsi="宋体" w:eastAsia="宋体" w:cs="宋体"/>
          <w:b w:val="0"/>
          <w:bCs/>
          <w:color w:val="333333"/>
          <w:kern w:val="0"/>
          <w:sz w:val="24"/>
          <w:szCs w:val="24"/>
          <w:shd w:val="clear" w:color="auto" w:fill="FFFFFF"/>
          <w:lang w:val="en-US" w:eastAsia="zh-CN" w:bidi="ar-SA"/>
        </w:rPr>
      </w:pPr>
    </w:p>
    <w:p>
      <w:pPr>
        <w:tabs>
          <w:tab w:val="left" w:pos="426"/>
        </w:tabs>
        <w:spacing w:line="420" w:lineRule="exact"/>
        <w:ind w:firstLine="5040" w:firstLineChars="21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投标人单位名称（公章）：</w:t>
      </w:r>
    </w:p>
    <w:p>
      <w:pPr>
        <w:tabs>
          <w:tab w:val="left" w:pos="426"/>
        </w:tabs>
        <w:spacing w:line="420" w:lineRule="exact"/>
        <w:ind w:firstLine="4560" w:firstLineChars="19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法定代表人或其授权代表签名：</w:t>
      </w:r>
    </w:p>
    <w:p>
      <w:pPr>
        <w:tabs>
          <w:tab w:val="left" w:pos="426"/>
        </w:tabs>
        <w:spacing w:line="420" w:lineRule="exact"/>
        <w:ind w:firstLine="4800" w:firstLineChars="20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日期：      年    月    日</w:t>
      </w: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numPr>
          <w:ilvl w:val="0"/>
          <w:numId w:val="0"/>
        </w:numPr>
        <w:spacing w:line="420" w:lineRule="exact"/>
        <w:ind w:left="0"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bidi="ar-SA"/>
        </w:rPr>
        <w:t>五、</w:t>
      </w:r>
      <w:r>
        <w:rPr>
          <w:rFonts w:hint="eastAsia" w:asciiTheme="minorEastAsia" w:hAnsiTheme="minorEastAsia" w:eastAsiaTheme="minorEastAsia" w:cstheme="minorEastAsia"/>
          <w:b/>
          <w:sz w:val="24"/>
          <w:szCs w:val="24"/>
          <w:lang w:val="en-US" w:eastAsia="zh-CN"/>
        </w:rPr>
        <w:t>采购违法行为风险知悉确认书</w:t>
      </w:r>
    </w:p>
    <w:p>
      <w:pPr>
        <w:numPr>
          <w:ilvl w:val="0"/>
          <w:numId w:val="0"/>
        </w:numPr>
        <w:spacing w:line="420" w:lineRule="exact"/>
        <w:rPr>
          <w:rFonts w:hint="eastAsia" w:asciiTheme="minorEastAsia" w:hAnsiTheme="minorEastAsia" w:eastAsiaTheme="minorEastAsia" w:cstheme="minorEastAsia"/>
          <w:b/>
          <w:sz w:val="24"/>
          <w:szCs w:val="24"/>
          <w:lang w:val="en-US" w:eastAsia="zh-CN"/>
        </w:rPr>
      </w:pP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left="120" w:leftChars="50" w:firstLine="373" w:firstLineChars="178"/>
        <w:rPr>
          <w:rFonts w:hint="eastAsia" w:ascii="宋体" w:hAnsi="宋体" w:cs="Times New Roman"/>
          <w:sz w:val="21"/>
          <w:szCs w:val="21"/>
          <w:lang w:val="en-US" w:eastAsia="zh-CN"/>
        </w:rPr>
      </w:pPr>
    </w:p>
    <w:p>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4360" w:leftChars="224" w:hanging="3822" w:hangingChars="18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4329" w:leftChars="1790" w:hanging="33" w:hangingChars="16"/>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法定代表人/项目授权代表签名：                  </w:t>
      </w:r>
    </w:p>
    <w:p>
      <w:pPr>
        <w:spacing w:line="360" w:lineRule="auto"/>
        <w:ind w:firstLine="3570" w:firstLineChars="170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知悉人（公章）：</w:t>
      </w:r>
    </w:p>
    <w:p>
      <w:pPr>
        <w:spacing w:line="360" w:lineRule="auto"/>
        <w:ind w:left="4570" w:leftChars="224" w:hanging="4032" w:hangingChars="19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br w:type="page"/>
      </w:r>
    </w:p>
    <w:p>
      <w:pPr>
        <w:numPr>
          <w:ilvl w:val="0"/>
          <w:numId w:val="0"/>
        </w:numPr>
        <w:spacing w:line="42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bidi="ar-SA"/>
        </w:rPr>
        <w:t>六、</w:t>
      </w:r>
      <w:r>
        <w:rPr>
          <w:rFonts w:hint="eastAsia" w:asciiTheme="minorEastAsia" w:hAnsiTheme="minorEastAsia" w:eastAsiaTheme="minorEastAsia" w:cstheme="minorEastAsia"/>
          <w:b/>
          <w:sz w:val="24"/>
          <w:szCs w:val="24"/>
        </w:rPr>
        <w:t>投标人</w:t>
      </w:r>
      <w:r>
        <w:rPr>
          <w:rFonts w:hint="eastAsia" w:asciiTheme="minorEastAsia" w:hAnsiTheme="minorEastAsia" w:cstheme="minorEastAsia"/>
          <w:b/>
          <w:sz w:val="24"/>
          <w:szCs w:val="24"/>
          <w:lang w:val="en-US" w:eastAsia="zh-CN"/>
        </w:rPr>
        <w:t>基本</w:t>
      </w:r>
      <w:r>
        <w:rPr>
          <w:rFonts w:hint="eastAsia" w:asciiTheme="minorEastAsia" w:hAnsiTheme="minorEastAsia" w:eastAsiaTheme="minorEastAsia" w:cstheme="minorEastAsia"/>
          <w:b/>
          <w:sz w:val="24"/>
          <w:szCs w:val="24"/>
        </w:rPr>
        <w:t>情况及资格证明文件</w:t>
      </w:r>
    </w:p>
    <w:p>
      <w:pPr>
        <w:numPr>
          <w:ilvl w:val="0"/>
          <w:numId w:val="0"/>
        </w:numPr>
        <w:spacing w:line="420" w:lineRule="exact"/>
        <w:ind w:leftChars="0" w:firstLine="0" w:firstLineChars="0"/>
        <w:jc w:val="both"/>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供应商基本情况表及供应商基本情况表附件</w:t>
      </w:r>
    </w:p>
    <w:p>
      <w:pPr>
        <w:numPr>
          <w:ilvl w:val="0"/>
          <w:numId w:val="0"/>
        </w:numPr>
        <w:spacing w:line="420" w:lineRule="exact"/>
        <w:ind w:leftChars="0" w:firstLine="0" w:firstLineChars="0"/>
        <w:jc w:val="both"/>
        <w:rPr>
          <w:rFonts w:hint="default" w:asciiTheme="minorEastAsia" w:hAnsiTheme="minorEastAsia" w:cstheme="minorEastAsia"/>
          <w:b/>
          <w:sz w:val="24"/>
          <w:szCs w:val="24"/>
          <w:lang w:val="en-US" w:eastAsia="zh-CN"/>
        </w:rPr>
      </w:pPr>
    </w:p>
    <w:p>
      <w:pPr>
        <w:pStyle w:val="2"/>
        <w:numPr>
          <w:ilvl w:val="0"/>
          <w:numId w:val="0"/>
        </w:numPr>
        <w:spacing w:line="240" w:lineRule="auto"/>
        <w:ind w:leftChars="0"/>
        <w:jc w:val="center"/>
        <w:rPr>
          <w:rFonts w:asciiTheme="majorEastAsia" w:hAnsiTheme="majorEastAsia" w:eastAsiaTheme="majorEastAsia"/>
          <w:sz w:val="30"/>
          <w:szCs w:val="30"/>
        </w:rPr>
      </w:pPr>
      <w:bookmarkStart w:id="23" w:name="_Toc11498"/>
      <w:r>
        <w:rPr>
          <w:rFonts w:hint="eastAsia" w:asciiTheme="majorEastAsia" w:hAnsiTheme="majorEastAsia" w:eastAsiaTheme="majorEastAsia"/>
          <w:color w:val="auto"/>
          <w:sz w:val="30"/>
          <w:szCs w:val="30"/>
        </w:rPr>
        <w:t>供应商基本情况表</w:t>
      </w:r>
      <w:bookmarkEnd w:id="23"/>
    </w:p>
    <w:p>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pPr>
        <w:spacing w:line="75" w:lineRule="exact"/>
        <w:rPr>
          <w:rFonts w:hint="eastAsia" w:ascii="宋体" w:hAnsi="宋体" w:eastAsia="宋体" w:cs="宋体"/>
          <w:sz w:val="21"/>
          <w:szCs w:val="21"/>
        </w:rPr>
      </w:pPr>
    </w:p>
    <w:tbl>
      <w:tblPr>
        <w:tblStyle w:val="6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416" w:type="dxa"/>
            <w:gridSpan w:val="2"/>
            <w:vAlign w:val="center"/>
          </w:tcPr>
          <w:p>
            <w:pPr>
              <w:pStyle w:val="68"/>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pPr>
              <w:pStyle w:val="68"/>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pPr>
              <w:pStyle w:val="68"/>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pPr>
              <w:jc w:val="center"/>
              <w:rPr>
                <w:rFonts w:hint="eastAsia" w:ascii="宋体" w:hAnsi="宋体" w:eastAsia="宋体" w:cs="宋体"/>
                <w:color w:val="auto"/>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pPr>
              <w:pStyle w:val="68"/>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pPr>
              <w:jc w:val="center"/>
              <w:rPr>
                <w:rFonts w:hint="eastAsia" w:ascii="宋体" w:hAnsi="宋体" w:eastAsia="宋体" w:cs="宋体"/>
                <w:color w:val="auto"/>
                <w:sz w:val="21"/>
                <w:szCs w:val="21"/>
              </w:rPr>
            </w:pPr>
          </w:p>
        </w:tc>
        <w:tc>
          <w:tcPr>
            <w:tcW w:w="1990" w:type="dxa"/>
            <w:gridSpan w:val="2"/>
            <w:vAlign w:val="center"/>
          </w:tcPr>
          <w:p>
            <w:pPr>
              <w:pStyle w:val="68"/>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8"/>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top"/>
          </w:tcPr>
          <w:p>
            <w:pPr>
              <w:pStyle w:val="68"/>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pPr>
              <w:pStyle w:val="68"/>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pPr>
              <w:pStyle w:val="68"/>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pPr>
              <w:pStyle w:val="68"/>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pPr>
              <w:pStyle w:val="68"/>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pPr>
              <w:pStyle w:val="68"/>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61" w:type="dxa"/>
            <w:vAlign w:val="top"/>
          </w:tcPr>
          <w:p>
            <w:pPr>
              <w:spacing w:line="252" w:lineRule="auto"/>
              <w:rPr>
                <w:rFonts w:hint="eastAsia" w:ascii="宋体" w:hAnsi="宋体" w:eastAsia="宋体" w:cs="宋体"/>
                <w:color w:val="auto"/>
                <w:sz w:val="21"/>
                <w:szCs w:val="21"/>
              </w:rPr>
            </w:pPr>
          </w:p>
          <w:p>
            <w:pPr>
              <w:pStyle w:val="68"/>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pPr>
              <w:pStyle w:val="68"/>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6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pPr>
              <w:pStyle w:val="6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61" w:type="dxa"/>
            <w:vAlign w:val="top"/>
          </w:tcPr>
          <w:p>
            <w:pPr>
              <w:pStyle w:val="6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pPr>
              <w:pStyle w:val="6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top"/>
          </w:tcPr>
          <w:p>
            <w:pPr>
              <w:pStyle w:val="6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pPr>
              <w:pStyle w:val="6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top"/>
          </w:tcPr>
          <w:p>
            <w:pPr>
              <w:pStyle w:val="6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pPr>
              <w:pStyle w:val="6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8"/>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8"/>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top"/>
          </w:tcPr>
          <w:p>
            <w:pPr>
              <w:pStyle w:val="68"/>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top"/>
          </w:tcPr>
          <w:p>
            <w:pPr>
              <w:pStyle w:val="68"/>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pPr>
              <w:pStyle w:val="68"/>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pPr>
              <w:pStyle w:val="68"/>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pPr>
              <w:spacing w:line="290" w:lineRule="auto"/>
              <w:rPr>
                <w:rFonts w:hint="eastAsia" w:ascii="宋体" w:hAnsi="宋体" w:eastAsia="宋体" w:cs="宋体"/>
                <w:sz w:val="21"/>
                <w:szCs w:val="21"/>
              </w:rPr>
            </w:pPr>
          </w:p>
          <w:p>
            <w:pPr>
              <w:spacing w:line="290" w:lineRule="auto"/>
              <w:rPr>
                <w:rFonts w:hint="eastAsia" w:ascii="宋体" w:hAnsi="宋体" w:eastAsia="宋体" w:cs="宋体"/>
                <w:sz w:val="21"/>
                <w:szCs w:val="21"/>
              </w:rPr>
            </w:pPr>
          </w:p>
          <w:p>
            <w:pPr>
              <w:pStyle w:val="68"/>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top"/>
          </w:tcPr>
          <w:p>
            <w:pPr>
              <w:spacing w:line="274" w:lineRule="auto"/>
              <w:rPr>
                <w:rFonts w:hint="eastAsia" w:ascii="宋体" w:hAnsi="宋体" w:eastAsia="宋体" w:cs="宋体"/>
                <w:sz w:val="21"/>
                <w:szCs w:val="21"/>
              </w:rPr>
            </w:pPr>
          </w:p>
          <w:p>
            <w:pPr>
              <w:spacing w:line="274" w:lineRule="auto"/>
              <w:rPr>
                <w:rFonts w:hint="eastAsia" w:ascii="宋体" w:hAnsi="宋体" w:eastAsia="宋体" w:cs="宋体"/>
                <w:sz w:val="21"/>
                <w:szCs w:val="21"/>
              </w:rPr>
            </w:pPr>
          </w:p>
          <w:p>
            <w:pPr>
              <w:pStyle w:val="68"/>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top"/>
          </w:tcPr>
          <w:p>
            <w:pPr>
              <w:rPr>
                <w:rFonts w:hint="eastAsia" w:ascii="宋体" w:hAnsi="宋体" w:eastAsia="宋体" w:cs="宋体"/>
                <w:sz w:val="21"/>
                <w:szCs w:val="21"/>
              </w:rPr>
            </w:pPr>
          </w:p>
        </w:tc>
        <w:tc>
          <w:tcPr>
            <w:tcW w:w="4187" w:type="dxa"/>
            <w:gridSpan w:val="3"/>
            <w:vAlign w:val="top"/>
          </w:tcPr>
          <w:p>
            <w:pPr>
              <w:pStyle w:val="68"/>
              <w:spacing w:before="27" w:line="200" w:lineRule="auto"/>
              <w:ind w:left="98" w:right="116" w:firstLine="19"/>
              <w:jc w:val="both"/>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pPr>
              <w:pStyle w:val="68"/>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pPr>
              <w:pStyle w:val="68"/>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top"/>
          </w:tcPr>
          <w:p>
            <w:pPr>
              <w:rPr>
                <w:rFonts w:hint="eastAsia" w:ascii="宋体" w:hAnsi="宋体" w:eastAsia="宋体" w:cs="宋体"/>
                <w:sz w:val="21"/>
                <w:szCs w:val="21"/>
              </w:rPr>
            </w:pPr>
          </w:p>
        </w:tc>
        <w:tc>
          <w:tcPr>
            <w:tcW w:w="4187" w:type="dxa"/>
            <w:gridSpan w:val="3"/>
            <w:vAlign w:val="top"/>
          </w:tcPr>
          <w:p>
            <w:pPr>
              <w:pStyle w:val="68"/>
              <w:spacing w:before="43" w:line="190" w:lineRule="auto"/>
              <w:ind w:left="120"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pPr>
              <w:pStyle w:val="68"/>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pPr>
        <w:rPr>
          <w:rFonts w:hint="eastAsia" w:ascii="宋体" w:hAnsi="宋体" w:eastAsia="宋体" w:cs="宋体"/>
          <w:sz w:val="21"/>
          <w:szCs w:val="21"/>
        </w:rPr>
      </w:pPr>
    </w:p>
    <w:p>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pPr>
        <w:numPr>
          <w:ilvl w:val="0"/>
          <w:numId w:val="2"/>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pPr>
        <w:numPr>
          <w:ilvl w:val="0"/>
          <w:numId w:val="2"/>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pPr>
        <w:numPr>
          <w:ilvl w:val="0"/>
          <w:numId w:val="2"/>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3"/>
        <w:rPr>
          <w:rFonts w:hint="eastAsia" w:ascii="宋体" w:hAnsi="宋体" w:eastAsia="宋体" w:cs="宋体"/>
          <w:sz w:val="21"/>
          <w:szCs w:val="21"/>
          <w:highlight w:val="none"/>
        </w:rPr>
      </w:pPr>
    </w:p>
    <w:p>
      <w:pPr>
        <w:rPr>
          <w:rFonts w:hint="eastAsia"/>
        </w:rPr>
      </w:pPr>
    </w:p>
    <w:p>
      <w:pPr>
        <w:pStyle w:val="2"/>
        <w:numPr>
          <w:ilvl w:val="0"/>
          <w:numId w:val="0"/>
        </w:numPr>
        <w:spacing w:line="240" w:lineRule="auto"/>
        <w:ind w:leftChars="0" w:firstLine="2100" w:firstLineChars="700"/>
        <w:jc w:val="both"/>
        <w:rPr>
          <w:rFonts w:hint="eastAsia" w:asciiTheme="majorEastAsia" w:hAnsiTheme="majorEastAsia" w:eastAsiaTheme="majorEastAsia"/>
          <w:sz w:val="30"/>
          <w:szCs w:val="30"/>
        </w:rPr>
      </w:pPr>
      <w:bookmarkStart w:id="24" w:name="_Toc21942"/>
      <w:r>
        <w:rPr>
          <w:rFonts w:hint="eastAsia" w:asciiTheme="majorEastAsia" w:hAnsiTheme="majorEastAsia" w:eastAsiaTheme="majorEastAsia"/>
          <w:sz w:val="30"/>
          <w:szCs w:val="30"/>
        </w:rPr>
        <w:t>《供应商基本情况表》附件</w:t>
      </w:r>
      <w:bookmarkEnd w:id="24"/>
    </w:p>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highlight w:val="yellow"/>
        </w:rPr>
      </w:pPr>
      <w:r>
        <w:rPr>
          <w:rFonts w:hint="eastAsia" w:ascii="宋体" w:hAnsi="宋体" w:eastAsia="宋体" w:cs="宋体"/>
          <w:b/>
          <w:bCs/>
          <w:sz w:val="21"/>
          <w:szCs w:val="21"/>
          <w:highlight w:val="yellow"/>
          <w:lang w:val="en-US" w:eastAsia="zh-CN"/>
        </w:rPr>
        <w:t>近三个月（含开标当月）中的任意一个月</w:t>
      </w:r>
      <w:r>
        <w:rPr>
          <w:rFonts w:hint="eastAsia" w:ascii="宋体" w:hAnsi="宋体" w:eastAsia="宋体" w:cs="宋体"/>
          <w:b/>
          <w:szCs w:val="21"/>
          <w:highlight w:val="yellow"/>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yellow"/>
          <w:lang w:val="en-US" w:eastAsia="zh-CN"/>
        </w:rPr>
        <w:t>近三个月（含开标当月）中的任意一个月</w:t>
      </w:r>
      <w:r>
        <w:rPr>
          <w:rFonts w:hint="eastAsia" w:ascii="宋体" w:hAnsi="宋体" w:eastAsia="宋体" w:cs="宋体"/>
          <w:b/>
          <w:szCs w:val="21"/>
          <w:highlight w:val="yellow"/>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pPr>
        <w:numPr>
          <w:ilvl w:val="0"/>
          <w:numId w:val="4"/>
        </w:numPr>
        <w:rPr>
          <w:rFonts w:hint="eastAsia" w:ascii="宋体" w:hAnsi="宋体" w:cs="宋体"/>
          <w:b/>
          <w:szCs w:val="21"/>
          <w:lang w:eastAsia="zh-CN"/>
        </w:rPr>
      </w:pP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pPr>
        <w:numPr>
          <w:ilvl w:val="-1"/>
          <w:numId w:val="0"/>
        </w:numPr>
        <w:spacing w:line="240" w:lineRule="auto"/>
        <w:jc w:val="left"/>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br w:type="page"/>
      </w:r>
    </w:p>
    <w:p>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pPr>
        <w:shd w:val="clear" w:color="auto" w:fill="FFFFFF"/>
        <w:tabs>
          <w:tab w:val="left" w:pos="426"/>
        </w:tabs>
        <w:adjustRightInd w:val="0"/>
        <w:snapToGrid w:val="0"/>
        <w:spacing w:line="360" w:lineRule="auto"/>
        <w:ind w:firstLine="0" w:firstLineChars="0"/>
        <w:rPr>
          <w:rFonts w:hint="eastAsia"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1、供应商须是在中华人民共和国境内经注册独立法人单位，具有独立法人资格或者具有独立承担民事责任的能力的其他组织（提供营业执照或事业单位法人证等法人证明扫描件）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auto"/>
          <w:kern w:val="0"/>
          <w:sz w:val="24"/>
          <w:szCs w:val="24"/>
          <w:highlight w:val="none"/>
          <w:shd w:val="clear" w:color="auto" w:fill="FFFFFF"/>
          <w:lang w:val="en-US" w:eastAsia="zh-CN" w:bidi="ar-SA"/>
        </w:rPr>
        <w:t>。</w:t>
      </w:r>
      <w:r>
        <w:rPr>
          <w:rFonts w:hint="eastAsia" w:asciiTheme="minorEastAsia" w:hAnsiTheme="minorEastAsia" w:cstheme="minorEastAsia"/>
          <w:bCs/>
          <w:color w:val="auto"/>
          <w:sz w:val="24"/>
          <w:szCs w:val="24"/>
          <w:lang w:val="en-US" w:eastAsia="zh-CN"/>
        </w:rPr>
        <w:t>【</w:t>
      </w:r>
      <w:r>
        <w:rPr>
          <w:rFonts w:hint="eastAsia" w:ascii="宋体" w:hAnsi="宋体" w:cs="宋体"/>
          <w:color w:val="auto"/>
        </w:rPr>
        <w:t>分支机构投标，须取得具有法人资格的总公司（总所）出具给分支机构的授权书，并提供总公司（总所）和分支机构的营业执照（执业许可证）复印件</w:t>
      </w:r>
      <w:r>
        <w:rPr>
          <w:rFonts w:hint="eastAsia" w:ascii="宋体" w:hAnsi="宋体" w:cs="宋体"/>
          <w:color w:val="auto"/>
          <w:lang w:eastAsia="zh-CN"/>
        </w:rPr>
        <w:t>（</w:t>
      </w:r>
      <w:r>
        <w:rPr>
          <w:rFonts w:hint="eastAsia" w:ascii="宋体" w:hAnsi="宋体" w:cs="宋体"/>
          <w:color w:val="auto"/>
          <w:lang w:val="en-US" w:eastAsia="zh-CN"/>
        </w:rPr>
        <w:t>加盖公章，原件备查</w:t>
      </w:r>
      <w:r>
        <w:rPr>
          <w:rFonts w:hint="eastAsia" w:ascii="宋体" w:hAnsi="宋体" w:cs="宋体"/>
          <w:color w:val="auto"/>
          <w:lang w:eastAsia="zh-CN"/>
        </w:rPr>
        <w:t>）</w:t>
      </w:r>
      <w:r>
        <w:rPr>
          <w:rFonts w:hint="eastAsia" w:ascii="宋体" w:hAnsi="宋体" w:cs="宋体"/>
          <w:color w:val="auto"/>
        </w:rPr>
        <w:t>。已由总公司（总所）授权的，总公司（总所）取得的相关资质证书对分支机构有效，法律法规或者行业另有规定的除外</w:t>
      </w:r>
      <w:r>
        <w:rPr>
          <w:rFonts w:hint="eastAsia" w:ascii="宋体" w:hAnsi="宋体"/>
          <w:bCs/>
          <w:color w:val="auto"/>
          <w:szCs w:val="21"/>
          <w:lang w:val="en-US" w:eastAsia="zh-CN"/>
        </w:rPr>
        <w:t>】。</w:t>
      </w:r>
    </w:p>
    <w:p>
      <w:pPr>
        <w:spacing w:line="360" w:lineRule="auto"/>
        <w:ind w:firstLine="0" w:firstLineChars="0"/>
        <w:rPr>
          <w:rFonts w:hint="eastAsia" w:ascii="宋体" w:hAnsi="宋体"/>
          <w:bCs/>
          <w:szCs w:val="21"/>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投标人必须具有经营保险业务资格，须提供</w:t>
      </w:r>
      <w:r>
        <w:rPr>
          <w:rFonts w:hint="eastAsia" w:ascii="宋体" w:hAnsi="宋体" w:cs="宋体"/>
          <w:b w:val="0"/>
          <w:bCs w:val="0"/>
          <w:color w:val="auto"/>
          <w:kern w:val="0"/>
          <w:sz w:val="24"/>
          <w:szCs w:val="24"/>
          <w:highlight w:val="none"/>
        </w:rPr>
        <w:t>《保险公司法人许可证》</w:t>
      </w:r>
      <w:r>
        <w:rPr>
          <w:rFonts w:hint="eastAsia" w:ascii="宋体" w:hAnsi="宋体" w:cs="宋体"/>
          <w:b w:val="0"/>
          <w:bCs w:val="0"/>
          <w:color w:val="auto"/>
          <w:kern w:val="0"/>
          <w:sz w:val="24"/>
          <w:szCs w:val="24"/>
          <w:highlight w:val="none"/>
          <w:lang w:val="en-US" w:eastAsia="zh-CN"/>
        </w:rPr>
        <w:t>或</w:t>
      </w:r>
      <w:r>
        <w:rPr>
          <w:rFonts w:hint="eastAsia" w:ascii="宋体" w:hAnsi="宋体" w:cs="宋体"/>
          <w:b w:val="0"/>
          <w:bCs w:val="0"/>
          <w:color w:val="auto"/>
          <w:kern w:val="0"/>
          <w:sz w:val="24"/>
          <w:szCs w:val="24"/>
          <w:highlight w:val="none"/>
        </w:rPr>
        <w:t>《经营保险业务许可证》或《保险许可证》</w:t>
      </w:r>
      <w:r>
        <w:rPr>
          <w:rFonts w:hint="eastAsia" w:ascii="宋体" w:hAnsi="宋体" w:cs="宋体"/>
          <w:b w:val="0"/>
          <w:bCs w:val="0"/>
          <w:color w:val="auto"/>
          <w:sz w:val="24"/>
          <w:szCs w:val="24"/>
          <w:highlight w:val="none"/>
        </w:rPr>
        <w:t>（加盖公章</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lang w:val="en-US" w:eastAsia="zh-CN"/>
        </w:rPr>
        <w:t>原件备查</w:t>
      </w:r>
      <w:r>
        <w:rPr>
          <w:rFonts w:hint="eastAsia" w:ascii="宋体" w:hAnsi="宋体" w:cs="宋体"/>
          <w:b w:val="0"/>
          <w:bCs w:val="0"/>
          <w:color w:val="auto"/>
          <w:sz w:val="24"/>
          <w:szCs w:val="24"/>
          <w:highlight w:val="none"/>
        </w:rPr>
        <w:t>）。</w:t>
      </w:r>
    </w:p>
    <w:p>
      <w:pPr>
        <w:pStyle w:val="2"/>
        <w:rPr>
          <w:rFonts w:hint="eastAsia"/>
          <w:lang w:val="en-US" w:eastAsia="zh-CN"/>
        </w:rPr>
      </w:pPr>
    </w:p>
    <w:p>
      <w:pPr>
        <w:pStyle w:val="2"/>
        <w:rPr>
          <w:rFonts w:hint="eastAsia"/>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keepNext w:val="0"/>
        <w:keepLines w:val="0"/>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法定代表人证明书格式</w:t>
      </w:r>
    </w:p>
    <w:p>
      <w:pPr>
        <w:pStyle w:val="4"/>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8A2NsAAAAKAQAADwAAAAAAAAABACAAAAAi&#10;AAAAZHJzL2Rvd25yZXYueG1sUEsBAhQAFAAAAAgAh07iQPmxBrKyAgAA/gcAAA4AAAAAAAAAAQAg&#10;AAAAKgEAAGRycy9lMm9Eb2MueG1sUEsFBgAAAAAGAAYAWQEAAE4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cstheme="minorEastAsia"/>
          <w:b/>
          <w:bCs/>
          <w:sz w:val="24"/>
          <w:szCs w:val="24"/>
          <w:highlight w:val="yellow"/>
          <w:lang w:val="en-US" w:eastAsia="zh-CN"/>
        </w:rPr>
      </w:pPr>
      <w:r>
        <w:rPr>
          <w:rFonts w:hint="eastAsia" w:asciiTheme="minorEastAsia" w:hAnsiTheme="minorEastAsia" w:eastAsiaTheme="minorEastAsia" w:cstheme="minorEastAsia"/>
          <w:b/>
          <w:bCs/>
          <w:color w:val="FF0000"/>
          <w:sz w:val="21"/>
          <w:szCs w:val="21"/>
          <w:highlight w:val="yellow"/>
        </w:rPr>
        <w:t>注：投标人须额外开具《法定代表人证明书》原件，投标人代表递交投标文件并出席开标环节时应携带身份证、《法定代表人授权书》及《法定代表人证明书》原件供</w:t>
      </w:r>
      <w:r>
        <w:rPr>
          <w:rFonts w:hint="eastAsia" w:asciiTheme="minorEastAsia" w:hAnsiTheme="minorEastAsia" w:cstheme="minorEastAsia"/>
          <w:b/>
          <w:bCs/>
          <w:color w:val="FF0000"/>
          <w:sz w:val="21"/>
          <w:szCs w:val="21"/>
          <w:highlight w:val="yellow"/>
          <w:lang w:val="en-US" w:eastAsia="zh-CN"/>
        </w:rPr>
        <w:t>招采办</w:t>
      </w:r>
      <w:r>
        <w:rPr>
          <w:rFonts w:hint="eastAsia" w:asciiTheme="minorEastAsia" w:hAnsiTheme="minorEastAsia" w:eastAsiaTheme="minorEastAsia" w:cstheme="minorEastAsia"/>
          <w:b/>
          <w:bCs/>
          <w:color w:val="FF0000"/>
          <w:sz w:val="21"/>
          <w:szCs w:val="21"/>
          <w:highlight w:val="yellow"/>
        </w:rPr>
        <w:t>工作人员核对身份信息。</w:t>
      </w:r>
    </w:p>
    <w:p>
      <w:pPr>
        <w:numPr>
          <w:ilvl w:val="-1"/>
          <w:numId w:val="0"/>
        </w:numPr>
        <w:spacing w:line="24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法定代表人授权书格式（投标人代表为法定代表人的无需提供本格式）</w:t>
      </w: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pPr>
        <w:spacing w:line="420" w:lineRule="exact"/>
        <w:jc w:val="center"/>
        <w:rPr>
          <w:rFonts w:hint="eastAsia" w:asciiTheme="minorEastAsia" w:hAnsiTheme="minorEastAsia" w:eastAsiaTheme="minorEastAsia" w:cstheme="minorEastAsia"/>
          <w:sz w:val="21"/>
          <w:szCs w:val="21"/>
        </w:rPr>
      </w:pP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0"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bEAibYCAAABCA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9sQCJtgIAAAEI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highlight w:val="yellow"/>
        </w:rPr>
        <w:t>注：投标人须额外开具《法定代表人授权书》原件，投标人代表递交投标文件并出席开标环节时应携带身份证、《法定代表人授权书》及《法定代表人证明书》原件供</w:t>
      </w:r>
      <w:r>
        <w:rPr>
          <w:rFonts w:hint="eastAsia" w:asciiTheme="minorEastAsia" w:hAnsiTheme="minorEastAsia" w:cstheme="minorEastAsia"/>
          <w:b/>
          <w:bCs/>
          <w:color w:val="FF0000"/>
          <w:sz w:val="21"/>
          <w:szCs w:val="21"/>
          <w:highlight w:val="yellow"/>
          <w:lang w:val="en-US" w:eastAsia="zh-CN"/>
        </w:rPr>
        <w:t>招采办</w:t>
      </w:r>
      <w:r>
        <w:rPr>
          <w:rFonts w:hint="eastAsia" w:asciiTheme="minorEastAsia" w:hAnsiTheme="minorEastAsia" w:eastAsiaTheme="minorEastAsia" w:cstheme="minorEastAsia"/>
          <w:b/>
          <w:bCs/>
          <w:color w:val="FF0000"/>
          <w:sz w:val="21"/>
          <w:szCs w:val="21"/>
          <w:highlight w:val="yellow"/>
        </w:rPr>
        <w:t>工作人员核对身份信息。</w:t>
      </w:r>
    </w:p>
    <w:p>
      <w:pPr>
        <w:pStyle w:val="33"/>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b/>
          <w:sz w:val="21"/>
          <w:szCs w:val="21"/>
        </w:rPr>
        <w:br w:type="page"/>
      </w:r>
    </w:p>
    <w:p>
      <w:pPr>
        <w:rPr>
          <w:rFonts w:hint="eastAsia"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w:t>
      </w:r>
      <w:r>
        <w:rPr>
          <w:rFonts w:hint="eastAsia" w:asciiTheme="minorEastAsia" w:hAnsiTheme="minorEastAsia" w:eastAsiaTheme="minorEastAsia" w:cstheme="minorEastAsia"/>
          <w:b/>
          <w:sz w:val="24"/>
          <w:szCs w:val="24"/>
          <w:lang w:val="en-US" w:eastAsia="zh-CN"/>
        </w:rPr>
        <w:t>表（格式自拟）</w:t>
      </w:r>
    </w:p>
    <w:p>
      <w:pPr>
        <w:rPr>
          <w:rFonts w:hint="eastAsia" w:asciiTheme="minorEastAsia" w:hAnsiTheme="minorEastAsia" w:cstheme="minorEastAsia"/>
          <w:b/>
          <w:bCs/>
          <w:sz w:val="24"/>
          <w:szCs w:val="24"/>
          <w:lang w:val="en-US" w:eastAsia="zh-CN"/>
        </w:rPr>
        <w:sectPr>
          <w:headerReference r:id="rId7" w:type="default"/>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p>
    <w:p>
      <w:pPr>
        <w:jc w:val="both"/>
        <w:rPr>
          <w:rFonts w:hint="eastAsia" w:asciiTheme="minorEastAsia" w:hAnsiTheme="minorEastAsia" w:cstheme="minorEastAsia"/>
          <w:b/>
          <w:bCs/>
          <w:color w:val="auto"/>
          <w:kern w:val="2"/>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r>
        <w:rPr>
          <w:rFonts w:hint="eastAsia" w:asciiTheme="minorEastAsia" w:hAnsiTheme="minorEastAsia" w:cstheme="minorEastAsia"/>
          <w:b/>
          <w:bCs/>
          <w:color w:val="auto"/>
          <w:sz w:val="24"/>
          <w:szCs w:val="24"/>
          <w:lang w:val="en-US" w:eastAsia="zh-CN"/>
        </w:rPr>
        <w:t>八、</w:t>
      </w:r>
      <w:r>
        <w:rPr>
          <w:rFonts w:hint="eastAsia" w:asciiTheme="minorEastAsia" w:hAnsiTheme="minorEastAsia" w:cstheme="minorEastAsia"/>
          <w:b/>
          <w:bCs/>
          <w:color w:val="auto"/>
          <w:kern w:val="2"/>
          <w:sz w:val="24"/>
          <w:szCs w:val="24"/>
          <w:lang w:val="en-US" w:eastAsia="zh-CN"/>
        </w:rPr>
        <w:t>响应评分的内容及佐证材料</w:t>
      </w:r>
    </w:p>
    <w:p>
      <w:pPr>
        <w:jc w:val="both"/>
        <w:rPr>
          <w:rFonts w:hint="default" w:asciiTheme="minorEastAsia" w:hAnsiTheme="minorEastAsia" w:cstheme="minorEastAsia"/>
          <w:b/>
          <w:bCs/>
          <w:color w:val="auto"/>
          <w:kern w:val="2"/>
          <w:sz w:val="24"/>
          <w:szCs w:val="24"/>
          <w:lang w:val="en-US" w:eastAsia="zh-CN"/>
        </w:rPr>
      </w:pPr>
      <w:r>
        <w:rPr>
          <w:rFonts w:hint="eastAsia" w:asciiTheme="minorEastAsia" w:hAnsiTheme="minorEastAsia" w:cstheme="minorEastAsia"/>
          <w:b/>
          <w:bCs/>
          <w:sz w:val="24"/>
          <w:szCs w:val="24"/>
          <w:highlight w:val="none"/>
          <w:lang w:val="en-US" w:eastAsia="zh-CN"/>
        </w:rPr>
        <w:t>九、投标人认为需要补充的其他资料（如有）</w:t>
      </w:r>
    </w:p>
    <w:p>
      <w:pPr>
        <w:spacing w:line="560" w:lineRule="exact"/>
        <w:ind w:firstLine="482" w:firstLineChars="200"/>
        <w:jc w:val="both"/>
        <w:rPr>
          <w:rFonts w:hint="default" w:asciiTheme="minorEastAsia" w:hAnsiTheme="minorEastAsia" w:eastAsiaTheme="minorEastAsia" w:cstheme="minorEastAsia"/>
          <w:b/>
          <w:bCs w:val="0"/>
          <w:sz w:val="24"/>
          <w:szCs w:val="24"/>
        </w:rPr>
      </w:pPr>
    </w:p>
    <w:p/>
    <w:p/>
    <w:p/>
    <w:p/>
    <w:p/>
    <w:p/>
    <w:p/>
    <w:p/>
    <w:p/>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u7hcdQAAAAH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11B20"/>
    <w:multiLevelType w:val="singleLevel"/>
    <w:tmpl w:val="B7811B20"/>
    <w:lvl w:ilvl="0" w:tentative="0">
      <w:start w:val="2"/>
      <w:numFmt w:val="decimal"/>
      <w:suff w:val="nothing"/>
      <w:lvlText w:val="（%1）"/>
      <w:lvlJc w:val="left"/>
    </w:lvl>
  </w:abstractNum>
  <w:abstractNum w:abstractNumId="1">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2">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1EC"/>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10E"/>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5509AB"/>
    <w:rsid w:val="0273635F"/>
    <w:rsid w:val="028F379B"/>
    <w:rsid w:val="02922C89"/>
    <w:rsid w:val="029403CC"/>
    <w:rsid w:val="02974BD3"/>
    <w:rsid w:val="029F7205"/>
    <w:rsid w:val="02B212F1"/>
    <w:rsid w:val="02B475FB"/>
    <w:rsid w:val="02BD5D0D"/>
    <w:rsid w:val="02BE1E79"/>
    <w:rsid w:val="02CD30AA"/>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32C74"/>
    <w:rsid w:val="03A3679D"/>
    <w:rsid w:val="03A638A0"/>
    <w:rsid w:val="03D32EE8"/>
    <w:rsid w:val="03D559DB"/>
    <w:rsid w:val="03E5328D"/>
    <w:rsid w:val="04351B1E"/>
    <w:rsid w:val="045D0C58"/>
    <w:rsid w:val="04651CD8"/>
    <w:rsid w:val="04943480"/>
    <w:rsid w:val="04B638C9"/>
    <w:rsid w:val="04EF6F26"/>
    <w:rsid w:val="05120F59"/>
    <w:rsid w:val="05195B6C"/>
    <w:rsid w:val="053B21E5"/>
    <w:rsid w:val="056B42F1"/>
    <w:rsid w:val="057C1322"/>
    <w:rsid w:val="058A7125"/>
    <w:rsid w:val="05952F37"/>
    <w:rsid w:val="05A247CB"/>
    <w:rsid w:val="05CB3411"/>
    <w:rsid w:val="05D25A0A"/>
    <w:rsid w:val="05DE6F97"/>
    <w:rsid w:val="05F1023E"/>
    <w:rsid w:val="060F7F31"/>
    <w:rsid w:val="06187C8D"/>
    <w:rsid w:val="0620091D"/>
    <w:rsid w:val="06212B1B"/>
    <w:rsid w:val="06473D8B"/>
    <w:rsid w:val="065751F3"/>
    <w:rsid w:val="06626E08"/>
    <w:rsid w:val="066C6927"/>
    <w:rsid w:val="0685283F"/>
    <w:rsid w:val="068A3342"/>
    <w:rsid w:val="06963DDF"/>
    <w:rsid w:val="06A55107"/>
    <w:rsid w:val="06B110D8"/>
    <w:rsid w:val="06BC4A49"/>
    <w:rsid w:val="06E02487"/>
    <w:rsid w:val="06E155DE"/>
    <w:rsid w:val="06EA3CD9"/>
    <w:rsid w:val="06EA7FE5"/>
    <w:rsid w:val="06F37A6F"/>
    <w:rsid w:val="06F430C9"/>
    <w:rsid w:val="06F5180B"/>
    <w:rsid w:val="06FC3783"/>
    <w:rsid w:val="072E5257"/>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DA2C94"/>
    <w:rsid w:val="08E9552D"/>
    <w:rsid w:val="08F42600"/>
    <w:rsid w:val="08FC0CCA"/>
    <w:rsid w:val="091927F9"/>
    <w:rsid w:val="0919607C"/>
    <w:rsid w:val="091B157F"/>
    <w:rsid w:val="091B64E9"/>
    <w:rsid w:val="094A684B"/>
    <w:rsid w:val="095437A2"/>
    <w:rsid w:val="097163D3"/>
    <w:rsid w:val="09837CAA"/>
    <w:rsid w:val="098562E3"/>
    <w:rsid w:val="09860C2E"/>
    <w:rsid w:val="099334E6"/>
    <w:rsid w:val="09A6526C"/>
    <w:rsid w:val="09B053A2"/>
    <w:rsid w:val="09BC05EC"/>
    <w:rsid w:val="09DE4B40"/>
    <w:rsid w:val="09E50C48"/>
    <w:rsid w:val="09F4422A"/>
    <w:rsid w:val="09FB4292"/>
    <w:rsid w:val="0A2D0142"/>
    <w:rsid w:val="0A2E381F"/>
    <w:rsid w:val="0A4D1589"/>
    <w:rsid w:val="0A644A1B"/>
    <w:rsid w:val="0A73514E"/>
    <w:rsid w:val="0A8B4C59"/>
    <w:rsid w:val="0A8C50AC"/>
    <w:rsid w:val="0AAD6492"/>
    <w:rsid w:val="0AB74823"/>
    <w:rsid w:val="0B14713B"/>
    <w:rsid w:val="0B446AEB"/>
    <w:rsid w:val="0B494045"/>
    <w:rsid w:val="0B6423BD"/>
    <w:rsid w:val="0B6E6550"/>
    <w:rsid w:val="0BA63302"/>
    <w:rsid w:val="0BAA3F58"/>
    <w:rsid w:val="0BB124BD"/>
    <w:rsid w:val="0BE33E43"/>
    <w:rsid w:val="0C564901"/>
    <w:rsid w:val="0C587DD6"/>
    <w:rsid w:val="0C610FDC"/>
    <w:rsid w:val="0C8B3529"/>
    <w:rsid w:val="0C9A2041"/>
    <w:rsid w:val="0C9C53A2"/>
    <w:rsid w:val="0CA46FA0"/>
    <w:rsid w:val="0CAA4C53"/>
    <w:rsid w:val="0CB50A66"/>
    <w:rsid w:val="0CBE6DEB"/>
    <w:rsid w:val="0CD36378"/>
    <w:rsid w:val="0CD914B5"/>
    <w:rsid w:val="0D003464"/>
    <w:rsid w:val="0D015662"/>
    <w:rsid w:val="0D205F17"/>
    <w:rsid w:val="0D460355"/>
    <w:rsid w:val="0D6C7CF1"/>
    <w:rsid w:val="0D79097F"/>
    <w:rsid w:val="0D7B2DAD"/>
    <w:rsid w:val="0DA0368C"/>
    <w:rsid w:val="0DB16C21"/>
    <w:rsid w:val="0DB47DA7"/>
    <w:rsid w:val="0DBB7AFD"/>
    <w:rsid w:val="0DBF259D"/>
    <w:rsid w:val="0DCF199B"/>
    <w:rsid w:val="0DDA7D20"/>
    <w:rsid w:val="0DF46AF0"/>
    <w:rsid w:val="0DFA10FD"/>
    <w:rsid w:val="0DFE38F7"/>
    <w:rsid w:val="0E107158"/>
    <w:rsid w:val="0E1C3D4F"/>
    <w:rsid w:val="0E2224DB"/>
    <w:rsid w:val="0E236E8B"/>
    <w:rsid w:val="0E347FDD"/>
    <w:rsid w:val="0E611DBF"/>
    <w:rsid w:val="0E6265C1"/>
    <w:rsid w:val="0E706B3D"/>
    <w:rsid w:val="0E920377"/>
    <w:rsid w:val="0E94233C"/>
    <w:rsid w:val="0E963A0F"/>
    <w:rsid w:val="0EAC615B"/>
    <w:rsid w:val="0EB3632D"/>
    <w:rsid w:val="0EC92D8B"/>
    <w:rsid w:val="0EDB14DB"/>
    <w:rsid w:val="0EE27660"/>
    <w:rsid w:val="0EEC778C"/>
    <w:rsid w:val="0F1E5E33"/>
    <w:rsid w:val="0F316BFB"/>
    <w:rsid w:val="0F355602"/>
    <w:rsid w:val="0F4E552B"/>
    <w:rsid w:val="0F6A0D0D"/>
    <w:rsid w:val="0F6E58A0"/>
    <w:rsid w:val="0F7D081D"/>
    <w:rsid w:val="0F9420A9"/>
    <w:rsid w:val="0F976DDE"/>
    <w:rsid w:val="0F9E3B46"/>
    <w:rsid w:val="0FA364D6"/>
    <w:rsid w:val="0FB82358"/>
    <w:rsid w:val="0FBC0D5E"/>
    <w:rsid w:val="0FBF5566"/>
    <w:rsid w:val="0FC90073"/>
    <w:rsid w:val="0FCE1079"/>
    <w:rsid w:val="0FD541B5"/>
    <w:rsid w:val="0FDF089B"/>
    <w:rsid w:val="0FED72D5"/>
    <w:rsid w:val="100E53EF"/>
    <w:rsid w:val="10406DB9"/>
    <w:rsid w:val="104963C3"/>
    <w:rsid w:val="10B25DF3"/>
    <w:rsid w:val="10B74479"/>
    <w:rsid w:val="10CB6DDE"/>
    <w:rsid w:val="10DE213A"/>
    <w:rsid w:val="10DF70F5"/>
    <w:rsid w:val="10ED1235"/>
    <w:rsid w:val="10EE2FE0"/>
    <w:rsid w:val="11236E03"/>
    <w:rsid w:val="11254CC9"/>
    <w:rsid w:val="1133639C"/>
    <w:rsid w:val="11394082"/>
    <w:rsid w:val="11452DE3"/>
    <w:rsid w:val="115668B9"/>
    <w:rsid w:val="115C2A08"/>
    <w:rsid w:val="1168209E"/>
    <w:rsid w:val="11731ED8"/>
    <w:rsid w:val="117A00E2"/>
    <w:rsid w:val="1184614B"/>
    <w:rsid w:val="11BB284B"/>
    <w:rsid w:val="11E06E41"/>
    <w:rsid w:val="12126CB4"/>
    <w:rsid w:val="121F6D3E"/>
    <w:rsid w:val="1222054A"/>
    <w:rsid w:val="122B630F"/>
    <w:rsid w:val="123F4D19"/>
    <w:rsid w:val="1259088B"/>
    <w:rsid w:val="128959F9"/>
    <w:rsid w:val="128A347A"/>
    <w:rsid w:val="129B0BA6"/>
    <w:rsid w:val="12A82A2A"/>
    <w:rsid w:val="12B75243"/>
    <w:rsid w:val="12FC46B3"/>
    <w:rsid w:val="13045342"/>
    <w:rsid w:val="131C12E8"/>
    <w:rsid w:val="13225964"/>
    <w:rsid w:val="132809FA"/>
    <w:rsid w:val="136E36ED"/>
    <w:rsid w:val="13AB3BAB"/>
    <w:rsid w:val="13AC16D1"/>
    <w:rsid w:val="13B860EB"/>
    <w:rsid w:val="13BC015C"/>
    <w:rsid w:val="13C733C8"/>
    <w:rsid w:val="13D57C19"/>
    <w:rsid w:val="13ED53DF"/>
    <w:rsid w:val="140053B6"/>
    <w:rsid w:val="1431319F"/>
    <w:rsid w:val="1449010B"/>
    <w:rsid w:val="145928DC"/>
    <w:rsid w:val="14640782"/>
    <w:rsid w:val="14784A9B"/>
    <w:rsid w:val="148F28CB"/>
    <w:rsid w:val="149547D4"/>
    <w:rsid w:val="149D101A"/>
    <w:rsid w:val="14AF7204"/>
    <w:rsid w:val="14C447F8"/>
    <w:rsid w:val="14EA24B1"/>
    <w:rsid w:val="14EB1960"/>
    <w:rsid w:val="14FA0E93"/>
    <w:rsid w:val="15097B50"/>
    <w:rsid w:val="151A227A"/>
    <w:rsid w:val="153E0A4F"/>
    <w:rsid w:val="15445ABC"/>
    <w:rsid w:val="1553054F"/>
    <w:rsid w:val="157B3F10"/>
    <w:rsid w:val="158D422C"/>
    <w:rsid w:val="158D6F6A"/>
    <w:rsid w:val="159B4676"/>
    <w:rsid w:val="15B23D16"/>
    <w:rsid w:val="15B273C7"/>
    <w:rsid w:val="15D849FF"/>
    <w:rsid w:val="16022814"/>
    <w:rsid w:val="16025167"/>
    <w:rsid w:val="161A5018"/>
    <w:rsid w:val="161C2B3E"/>
    <w:rsid w:val="162D573E"/>
    <w:rsid w:val="1650578E"/>
    <w:rsid w:val="167304E2"/>
    <w:rsid w:val="167E55A7"/>
    <w:rsid w:val="16822CFB"/>
    <w:rsid w:val="16BD2F72"/>
    <w:rsid w:val="16C36211"/>
    <w:rsid w:val="16C61DE9"/>
    <w:rsid w:val="16C759ED"/>
    <w:rsid w:val="16C93880"/>
    <w:rsid w:val="16F46A2C"/>
    <w:rsid w:val="170A3CDB"/>
    <w:rsid w:val="171D3F0E"/>
    <w:rsid w:val="17204729"/>
    <w:rsid w:val="1725511E"/>
    <w:rsid w:val="174B3633"/>
    <w:rsid w:val="174E114A"/>
    <w:rsid w:val="176C18A3"/>
    <w:rsid w:val="17707100"/>
    <w:rsid w:val="177E790E"/>
    <w:rsid w:val="17A10E21"/>
    <w:rsid w:val="17B0794F"/>
    <w:rsid w:val="17C164DE"/>
    <w:rsid w:val="17D13CA1"/>
    <w:rsid w:val="17E26A66"/>
    <w:rsid w:val="17E603C4"/>
    <w:rsid w:val="17EA7578"/>
    <w:rsid w:val="17EE3251"/>
    <w:rsid w:val="17F0491D"/>
    <w:rsid w:val="17F15FA4"/>
    <w:rsid w:val="17F6044A"/>
    <w:rsid w:val="1816603C"/>
    <w:rsid w:val="18191B17"/>
    <w:rsid w:val="185A24B2"/>
    <w:rsid w:val="18600D02"/>
    <w:rsid w:val="18791A18"/>
    <w:rsid w:val="18823AC5"/>
    <w:rsid w:val="18904044"/>
    <w:rsid w:val="18C7749D"/>
    <w:rsid w:val="18CD4E3E"/>
    <w:rsid w:val="18E01A75"/>
    <w:rsid w:val="18F86175"/>
    <w:rsid w:val="190C7E23"/>
    <w:rsid w:val="1922234A"/>
    <w:rsid w:val="193A4695"/>
    <w:rsid w:val="193A762E"/>
    <w:rsid w:val="193F0D7D"/>
    <w:rsid w:val="194B53F3"/>
    <w:rsid w:val="1963339F"/>
    <w:rsid w:val="197A5962"/>
    <w:rsid w:val="19A07438"/>
    <w:rsid w:val="19A44EA1"/>
    <w:rsid w:val="19A45555"/>
    <w:rsid w:val="19A60971"/>
    <w:rsid w:val="19BF56CB"/>
    <w:rsid w:val="19C553D6"/>
    <w:rsid w:val="19E44606"/>
    <w:rsid w:val="19F246D5"/>
    <w:rsid w:val="19FB7274"/>
    <w:rsid w:val="1A141D7E"/>
    <w:rsid w:val="1A364410"/>
    <w:rsid w:val="1A404921"/>
    <w:rsid w:val="1A470D03"/>
    <w:rsid w:val="1A49562F"/>
    <w:rsid w:val="1A7154EF"/>
    <w:rsid w:val="1A7B6CA6"/>
    <w:rsid w:val="1A865494"/>
    <w:rsid w:val="1AA17AB6"/>
    <w:rsid w:val="1AAA269E"/>
    <w:rsid w:val="1AB866A6"/>
    <w:rsid w:val="1AD93C19"/>
    <w:rsid w:val="1ADC3EF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16575"/>
    <w:rsid w:val="1C172A17"/>
    <w:rsid w:val="1C2F6749"/>
    <w:rsid w:val="1C3D55BC"/>
    <w:rsid w:val="1C440353"/>
    <w:rsid w:val="1C441279"/>
    <w:rsid w:val="1C475ABB"/>
    <w:rsid w:val="1C4D79EE"/>
    <w:rsid w:val="1C592E11"/>
    <w:rsid w:val="1C5E6101"/>
    <w:rsid w:val="1C643B19"/>
    <w:rsid w:val="1C7958C4"/>
    <w:rsid w:val="1C9526F9"/>
    <w:rsid w:val="1C9551F4"/>
    <w:rsid w:val="1CA76EDA"/>
    <w:rsid w:val="1CC34A3E"/>
    <w:rsid w:val="1CC41839"/>
    <w:rsid w:val="1CF77E61"/>
    <w:rsid w:val="1D0609AB"/>
    <w:rsid w:val="1D0E51AB"/>
    <w:rsid w:val="1D165353"/>
    <w:rsid w:val="1D9C08F7"/>
    <w:rsid w:val="1DB05200"/>
    <w:rsid w:val="1DC47E64"/>
    <w:rsid w:val="1DCC31FE"/>
    <w:rsid w:val="1DE70AB5"/>
    <w:rsid w:val="1E0B1B21"/>
    <w:rsid w:val="1E4829FC"/>
    <w:rsid w:val="1E746983"/>
    <w:rsid w:val="1E9E304B"/>
    <w:rsid w:val="1EAF0D67"/>
    <w:rsid w:val="1EDB5833"/>
    <w:rsid w:val="1EED7DAE"/>
    <w:rsid w:val="1F1115FD"/>
    <w:rsid w:val="1F167376"/>
    <w:rsid w:val="1F271DA9"/>
    <w:rsid w:val="1F387F65"/>
    <w:rsid w:val="1F3E16E6"/>
    <w:rsid w:val="1F4D1FBA"/>
    <w:rsid w:val="1F5B7EF1"/>
    <w:rsid w:val="1F6F102E"/>
    <w:rsid w:val="1F764083"/>
    <w:rsid w:val="1F7E6617"/>
    <w:rsid w:val="1F8B4890"/>
    <w:rsid w:val="1F973891"/>
    <w:rsid w:val="1F9C4DBA"/>
    <w:rsid w:val="1FC11BEB"/>
    <w:rsid w:val="1FCD5CBB"/>
    <w:rsid w:val="1FD06C40"/>
    <w:rsid w:val="1FE06B4D"/>
    <w:rsid w:val="1FE80216"/>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C508C7"/>
    <w:rsid w:val="20E06A7D"/>
    <w:rsid w:val="21012835"/>
    <w:rsid w:val="21245BCA"/>
    <w:rsid w:val="21257950"/>
    <w:rsid w:val="212A0BF1"/>
    <w:rsid w:val="21425423"/>
    <w:rsid w:val="2152522B"/>
    <w:rsid w:val="215315CA"/>
    <w:rsid w:val="217138E4"/>
    <w:rsid w:val="217C217E"/>
    <w:rsid w:val="218872DA"/>
    <w:rsid w:val="218E2416"/>
    <w:rsid w:val="21962D28"/>
    <w:rsid w:val="21B26DD5"/>
    <w:rsid w:val="21B34857"/>
    <w:rsid w:val="21B76AE0"/>
    <w:rsid w:val="21D249F9"/>
    <w:rsid w:val="21ED1AE9"/>
    <w:rsid w:val="21F25DF0"/>
    <w:rsid w:val="22317062"/>
    <w:rsid w:val="22336391"/>
    <w:rsid w:val="22472815"/>
    <w:rsid w:val="2250761E"/>
    <w:rsid w:val="22633D4D"/>
    <w:rsid w:val="22734C95"/>
    <w:rsid w:val="22745AB0"/>
    <w:rsid w:val="227B42A0"/>
    <w:rsid w:val="227F63FD"/>
    <w:rsid w:val="22806203"/>
    <w:rsid w:val="228F3315"/>
    <w:rsid w:val="229473C8"/>
    <w:rsid w:val="22977147"/>
    <w:rsid w:val="229C47D4"/>
    <w:rsid w:val="22D24CAE"/>
    <w:rsid w:val="22D514B6"/>
    <w:rsid w:val="22DC4FC9"/>
    <w:rsid w:val="22ED1D00"/>
    <w:rsid w:val="22F56BF1"/>
    <w:rsid w:val="22F872D1"/>
    <w:rsid w:val="230279FC"/>
    <w:rsid w:val="231208B3"/>
    <w:rsid w:val="23312AC9"/>
    <w:rsid w:val="23324671"/>
    <w:rsid w:val="23412D64"/>
    <w:rsid w:val="234F5BD5"/>
    <w:rsid w:val="236C49D9"/>
    <w:rsid w:val="237A7227"/>
    <w:rsid w:val="238C6599"/>
    <w:rsid w:val="239C0544"/>
    <w:rsid w:val="23A115DB"/>
    <w:rsid w:val="23B87C1E"/>
    <w:rsid w:val="23C670E9"/>
    <w:rsid w:val="23D0621A"/>
    <w:rsid w:val="23D34A58"/>
    <w:rsid w:val="23E36EF8"/>
    <w:rsid w:val="23E53872"/>
    <w:rsid w:val="24247062"/>
    <w:rsid w:val="242F29EC"/>
    <w:rsid w:val="24383C05"/>
    <w:rsid w:val="243865C5"/>
    <w:rsid w:val="244B2840"/>
    <w:rsid w:val="24B6415E"/>
    <w:rsid w:val="24BA5C95"/>
    <w:rsid w:val="24C56EC3"/>
    <w:rsid w:val="24CA4EA5"/>
    <w:rsid w:val="24D14774"/>
    <w:rsid w:val="24E25D13"/>
    <w:rsid w:val="24E53415"/>
    <w:rsid w:val="24E66D03"/>
    <w:rsid w:val="24F649B4"/>
    <w:rsid w:val="25101CDA"/>
    <w:rsid w:val="25496F5C"/>
    <w:rsid w:val="254D1B3F"/>
    <w:rsid w:val="257F27A2"/>
    <w:rsid w:val="258F28DF"/>
    <w:rsid w:val="25BF5294"/>
    <w:rsid w:val="25D41EFF"/>
    <w:rsid w:val="25D61ECE"/>
    <w:rsid w:val="25DB76D4"/>
    <w:rsid w:val="25E26804"/>
    <w:rsid w:val="25EE5B79"/>
    <w:rsid w:val="25F807A6"/>
    <w:rsid w:val="25FE74CB"/>
    <w:rsid w:val="2602389A"/>
    <w:rsid w:val="261455E0"/>
    <w:rsid w:val="26151588"/>
    <w:rsid w:val="2620319C"/>
    <w:rsid w:val="262F7F34"/>
    <w:rsid w:val="2642284C"/>
    <w:rsid w:val="264473DF"/>
    <w:rsid w:val="264B2DA6"/>
    <w:rsid w:val="264C0596"/>
    <w:rsid w:val="264D4F65"/>
    <w:rsid w:val="2651396B"/>
    <w:rsid w:val="265C403C"/>
    <w:rsid w:val="26914CE6"/>
    <w:rsid w:val="26C83E3F"/>
    <w:rsid w:val="26D1527F"/>
    <w:rsid w:val="26FC7CDF"/>
    <w:rsid w:val="27273128"/>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4160B"/>
    <w:rsid w:val="289A5475"/>
    <w:rsid w:val="289F0C32"/>
    <w:rsid w:val="28B61302"/>
    <w:rsid w:val="28C5217C"/>
    <w:rsid w:val="28DE77F1"/>
    <w:rsid w:val="28EB582E"/>
    <w:rsid w:val="28F57442"/>
    <w:rsid w:val="28F95A2D"/>
    <w:rsid w:val="2903384F"/>
    <w:rsid w:val="29076D93"/>
    <w:rsid w:val="291E0523"/>
    <w:rsid w:val="29220014"/>
    <w:rsid w:val="292A6617"/>
    <w:rsid w:val="29315FA2"/>
    <w:rsid w:val="29334D29"/>
    <w:rsid w:val="294360C5"/>
    <w:rsid w:val="294E7AD1"/>
    <w:rsid w:val="29610315"/>
    <w:rsid w:val="29817026"/>
    <w:rsid w:val="29963748"/>
    <w:rsid w:val="299C4C13"/>
    <w:rsid w:val="299C5BE6"/>
    <w:rsid w:val="29A504DF"/>
    <w:rsid w:val="29A740DD"/>
    <w:rsid w:val="29AC42AB"/>
    <w:rsid w:val="29B74086"/>
    <w:rsid w:val="29C748CC"/>
    <w:rsid w:val="29D302AA"/>
    <w:rsid w:val="29D57ECD"/>
    <w:rsid w:val="29E14AC1"/>
    <w:rsid w:val="2A305EC5"/>
    <w:rsid w:val="2A34234D"/>
    <w:rsid w:val="2A423861"/>
    <w:rsid w:val="2A4A6B02"/>
    <w:rsid w:val="2A63541A"/>
    <w:rsid w:val="2A756F04"/>
    <w:rsid w:val="2A923062"/>
    <w:rsid w:val="2A97058D"/>
    <w:rsid w:val="2A976370"/>
    <w:rsid w:val="2AA9206F"/>
    <w:rsid w:val="2AAF5B40"/>
    <w:rsid w:val="2AF23A05"/>
    <w:rsid w:val="2AF973C0"/>
    <w:rsid w:val="2B09362A"/>
    <w:rsid w:val="2B0A10AB"/>
    <w:rsid w:val="2B105769"/>
    <w:rsid w:val="2B2121F8"/>
    <w:rsid w:val="2B2431AE"/>
    <w:rsid w:val="2B3E27FF"/>
    <w:rsid w:val="2B444AC5"/>
    <w:rsid w:val="2B561E25"/>
    <w:rsid w:val="2B604039"/>
    <w:rsid w:val="2B634FBD"/>
    <w:rsid w:val="2B785E5C"/>
    <w:rsid w:val="2B797161"/>
    <w:rsid w:val="2B807273"/>
    <w:rsid w:val="2BBA7F7A"/>
    <w:rsid w:val="2BE53B88"/>
    <w:rsid w:val="2BFA63EA"/>
    <w:rsid w:val="2C144DE1"/>
    <w:rsid w:val="2C1B1280"/>
    <w:rsid w:val="2C2C2488"/>
    <w:rsid w:val="2C411885"/>
    <w:rsid w:val="2C463031"/>
    <w:rsid w:val="2C673F8F"/>
    <w:rsid w:val="2C734DFA"/>
    <w:rsid w:val="2CA06BC3"/>
    <w:rsid w:val="2CAB07D7"/>
    <w:rsid w:val="2CBE79B0"/>
    <w:rsid w:val="2CCE400E"/>
    <w:rsid w:val="2CCF2B66"/>
    <w:rsid w:val="2CE0417A"/>
    <w:rsid w:val="2CFB2D9A"/>
    <w:rsid w:val="2D2A5DE1"/>
    <w:rsid w:val="2D36550B"/>
    <w:rsid w:val="2D3A0351"/>
    <w:rsid w:val="2D3A44A6"/>
    <w:rsid w:val="2D403226"/>
    <w:rsid w:val="2D406CBA"/>
    <w:rsid w:val="2D4A15DA"/>
    <w:rsid w:val="2D534468"/>
    <w:rsid w:val="2D5D05FB"/>
    <w:rsid w:val="2D687C78"/>
    <w:rsid w:val="2D99286E"/>
    <w:rsid w:val="2DA40A5D"/>
    <w:rsid w:val="2DA509EF"/>
    <w:rsid w:val="2DA87348"/>
    <w:rsid w:val="2DAC5DFC"/>
    <w:rsid w:val="2DBD6C6F"/>
    <w:rsid w:val="2DC72229"/>
    <w:rsid w:val="2DEF7B6A"/>
    <w:rsid w:val="2DFF7E04"/>
    <w:rsid w:val="2E001109"/>
    <w:rsid w:val="2E0D711A"/>
    <w:rsid w:val="2E167A29"/>
    <w:rsid w:val="2E3305CD"/>
    <w:rsid w:val="2E4215F5"/>
    <w:rsid w:val="2E4F036D"/>
    <w:rsid w:val="2E545310"/>
    <w:rsid w:val="2E5A7219"/>
    <w:rsid w:val="2E614626"/>
    <w:rsid w:val="2E97127C"/>
    <w:rsid w:val="2EBE4A4B"/>
    <w:rsid w:val="2EC05705"/>
    <w:rsid w:val="2EC568C9"/>
    <w:rsid w:val="2ED7710B"/>
    <w:rsid w:val="2F145393"/>
    <w:rsid w:val="2F3F4E25"/>
    <w:rsid w:val="2F4538F3"/>
    <w:rsid w:val="2F5177B1"/>
    <w:rsid w:val="2F58713C"/>
    <w:rsid w:val="2F594BBE"/>
    <w:rsid w:val="2F601055"/>
    <w:rsid w:val="2F814263"/>
    <w:rsid w:val="2F874408"/>
    <w:rsid w:val="2FAC37AE"/>
    <w:rsid w:val="2FBB2F70"/>
    <w:rsid w:val="2FC05645"/>
    <w:rsid w:val="2FEC0401"/>
    <w:rsid w:val="2FFF2FA2"/>
    <w:rsid w:val="300262D0"/>
    <w:rsid w:val="300C557A"/>
    <w:rsid w:val="30146BDF"/>
    <w:rsid w:val="30197DF1"/>
    <w:rsid w:val="302A5A00"/>
    <w:rsid w:val="306A5958"/>
    <w:rsid w:val="306B547D"/>
    <w:rsid w:val="306C2C12"/>
    <w:rsid w:val="306F6904"/>
    <w:rsid w:val="30812733"/>
    <w:rsid w:val="30840E28"/>
    <w:rsid w:val="308B29B1"/>
    <w:rsid w:val="30997DD7"/>
    <w:rsid w:val="30AA3266"/>
    <w:rsid w:val="30B27309"/>
    <w:rsid w:val="30C020F7"/>
    <w:rsid w:val="30C419B0"/>
    <w:rsid w:val="30CF21A1"/>
    <w:rsid w:val="30D540AA"/>
    <w:rsid w:val="30E97669"/>
    <w:rsid w:val="30F00157"/>
    <w:rsid w:val="30F009F7"/>
    <w:rsid w:val="31364F41"/>
    <w:rsid w:val="31563212"/>
    <w:rsid w:val="317C521A"/>
    <w:rsid w:val="31850FE1"/>
    <w:rsid w:val="318C2A3B"/>
    <w:rsid w:val="319121DA"/>
    <w:rsid w:val="319A7C78"/>
    <w:rsid w:val="31A2421C"/>
    <w:rsid w:val="31A93189"/>
    <w:rsid w:val="31B1601B"/>
    <w:rsid w:val="31C11645"/>
    <w:rsid w:val="31D030AF"/>
    <w:rsid w:val="31D41A4F"/>
    <w:rsid w:val="322910CA"/>
    <w:rsid w:val="322E33E2"/>
    <w:rsid w:val="322E7A29"/>
    <w:rsid w:val="3240775C"/>
    <w:rsid w:val="32561DED"/>
    <w:rsid w:val="327E0AB0"/>
    <w:rsid w:val="32925305"/>
    <w:rsid w:val="32ED1692"/>
    <w:rsid w:val="32F00F21"/>
    <w:rsid w:val="32F37AFD"/>
    <w:rsid w:val="32FE20EF"/>
    <w:rsid w:val="33016EEC"/>
    <w:rsid w:val="33061057"/>
    <w:rsid w:val="33323549"/>
    <w:rsid w:val="33576347"/>
    <w:rsid w:val="335D4118"/>
    <w:rsid w:val="335F3C12"/>
    <w:rsid w:val="336E17F0"/>
    <w:rsid w:val="3390223F"/>
    <w:rsid w:val="33B05C81"/>
    <w:rsid w:val="33C62FE8"/>
    <w:rsid w:val="33C66A6F"/>
    <w:rsid w:val="33C85C5B"/>
    <w:rsid w:val="33CF2B0E"/>
    <w:rsid w:val="33D23A93"/>
    <w:rsid w:val="33EC53FC"/>
    <w:rsid w:val="33F629CD"/>
    <w:rsid w:val="33F95E15"/>
    <w:rsid w:val="34041CE3"/>
    <w:rsid w:val="341A3182"/>
    <w:rsid w:val="341F5D90"/>
    <w:rsid w:val="34402563"/>
    <w:rsid w:val="34563CEC"/>
    <w:rsid w:val="345E0617"/>
    <w:rsid w:val="347D19AD"/>
    <w:rsid w:val="347F3B76"/>
    <w:rsid w:val="34AE7724"/>
    <w:rsid w:val="34B51B07"/>
    <w:rsid w:val="34CE04B2"/>
    <w:rsid w:val="34D66156"/>
    <w:rsid w:val="34F81471"/>
    <w:rsid w:val="34F8431E"/>
    <w:rsid w:val="34FC60D3"/>
    <w:rsid w:val="35051814"/>
    <w:rsid w:val="35370DDB"/>
    <w:rsid w:val="35442549"/>
    <w:rsid w:val="35516825"/>
    <w:rsid w:val="355339D4"/>
    <w:rsid w:val="35534E88"/>
    <w:rsid w:val="355A0096"/>
    <w:rsid w:val="356660A7"/>
    <w:rsid w:val="357536E0"/>
    <w:rsid w:val="358463F8"/>
    <w:rsid w:val="359B6AF0"/>
    <w:rsid w:val="35C36441"/>
    <w:rsid w:val="35CE0055"/>
    <w:rsid w:val="35CE23D7"/>
    <w:rsid w:val="35D703D8"/>
    <w:rsid w:val="35E16C66"/>
    <w:rsid w:val="3611488F"/>
    <w:rsid w:val="361D1AD4"/>
    <w:rsid w:val="362B41A9"/>
    <w:rsid w:val="36316A75"/>
    <w:rsid w:val="36820D95"/>
    <w:rsid w:val="368D5EF0"/>
    <w:rsid w:val="36A7140B"/>
    <w:rsid w:val="36D71452"/>
    <w:rsid w:val="36DC0522"/>
    <w:rsid w:val="36DE5C94"/>
    <w:rsid w:val="36F75DED"/>
    <w:rsid w:val="36FB00F6"/>
    <w:rsid w:val="37080DA8"/>
    <w:rsid w:val="3729700D"/>
    <w:rsid w:val="372B7928"/>
    <w:rsid w:val="373D1531"/>
    <w:rsid w:val="3748571E"/>
    <w:rsid w:val="37500442"/>
    <w:rsid w:val="3752526E"/>
    <w:rsid w:val="375955DE"/>
    <w:rsid w:val="375C3A5F"/>
    <w:rsid w:val="37627D62"/>
    <w:rsid w:val="37645B6D"/>
    <w:rsid w:val="377A726D"/>
    <w:rsid w:val="379231B9"/>
    <w:rsid w:val="379C4FE6"/>
    <w:rsid w:val="379E4667"/>
    <w:rsid w:val="37A46956"/>
    <w:rsid w:val="37CD7B1B"/>
    <w:rsid w:val="37DD5879"/>
    <w:rsid w:val="38032517"/>
    <w:rsid w:val="38212C49"/>
    <w:rsid w:val="38300535"/>
    <w:rsid w:val="38303DA7"/>
    <w:rsid w:val="38440B86"/>
    <w:rsid w:val="384551E7"/>
    <w:rsid w:val="384A4720"/>
    <w:rsid w:val="38585298"/>
    <w:rsid w:val="385A4B5D"/>
    <w:rsid w:val="38646D95"/>
    <w:rsid w:val="3872263A"/>
    <w:rsid w:val="389F1529"/>
    <w:rsid w:val="38A11087"/>
    <w:rsid w:val="38A327F3"/>
    <w:rsid w:val="38A7676F"/>
    <w:rsid w:val="38B35884"/>
    <w:rsid w:val="38C05E29"/>
    <w:rsid w:val="38CE513F"/>
    <w:rsid w:val="38CE649E"/>
    <w:rsid w:val="38D31755"/>
    <w:rsid w:val="38D76110"/>
    <w:rsid w:val="38DF7924"/>
    <w:rsid w:val="38E86591"/>
    <w:rsid w:val="390337A8"/>
    <w:rsid w:val="390C0398"/>
    <w:rsid w:val="392748D4"/>
    <w:rsid w:val="39321DBB"/>
    <w:rsid w:val="39340367"/>
    <w:rsid w:val="39530C1B"/>
    <w:rsid w:val="396607C6"/>
    <w:rsid w:val="397133C1"/>
    <w:rsid w:val="39902C7F"/>
    <w:rsid w:val="39957106"/>
    <w:rsid w:val="39A045B9"/>
    <w:rsid w:val="39D57E7A"/>
    <w:rsid w:val="39D83FF5"/>
    <w:rsid w:val="39EB2BDE"/>
    <w:rsid w:val="39F21DBF"/>
    <w:rsid w:val="39F871AB"/>
    <w:rsid w:val="3A2B2AA0"/>
    <w:rsid w:val="3A2B5076"/>
    <w:rsid w:val="3A487873"/>
    <w:rsid w:val="3A6A6F4A"/>
    <w:rsid w:val="3A6F486B"/>
    <w:rsid w:val="3A6F51D2"/>
    <w:rsid w:val="3A7909FE"/>
    <w:rsid w:val="3A890CEF"/>
    <w:rsid w:val="3A892B6F"/>
    <w:rsid w:val="3A97523B"/>
    <w:rsid w:val="3A985A30"/>
    <w:rsid w:val="3A9B65BF"/>
    <w:rsid w:val="3AA55634"/>
    <w:rsid w:val="3AC10DF2"/>
    <w:rsid w:val="3AC41D77"/>
    <w:rsid w:val="3ADB2271"/>
    <w:rsid w:val="3ADD069B"/>
    <w:rsid w:val="3AF46516"/>
    <w:rsid w:val="3AFB444F"/>
    <w:rsid w:val="3B110C09"/>
    <w:rsid w:val="3B1A4D04"/>
    <w:rsid w:val="3B1B679F"/>
    <w:rsid w:val="3B414BC4"/>
    <w:rsid w:val="3B4772CF"/>
    <w:rsid w:val="3B4D6458"/>
    <w:rsid w:val="3B4E3ED9"/>
    <w:rsid w:val="3B512C60"/>
    <w:rsid w:val="3B6D0F0B"/>
    <w:rsid w:val="3B731E84"/>
    <w:rsid w:val="3B822519"/>
    <w:rsid w:val="3B8B5823"/>
    <w:rsid w:val="3B912DD7"/>
    <w:rsid w:val="3B962FD7"/>
    <w:rsid w:val="3BA50921"/>
    <w:rsid w:val="3BB9138A"/>
    <w:rsid w:val="3BE13D5E"/>
    <w:rsid w:val="3BF14820"/>
    <w:rsid w:val="3BFF7A0B"/>
    <w:rsid w:val="3C065573"/>
    <w:rsid w:val="3C2D5AC6"/>
    <w:rsid w:val="3C7050E2"/>
    <w:rsid w:val="3C785F45"/>
    <w:rsid w:val="3C821498"/>
    <w:rsid w:val="3C88075E"/>
    <w:rsid w:val="3C8B38E1"/>
    <w:rsid w:val="3CAA23A2"/>
    <w:rsid w:val="3CE05DC4"/>
    <w:rsid w:val="3CF05294"/>
    <w:rsid w:val="3D0D16EF"/>
    <w:rsid w:val="3D5358A8"/>
    <w:rsid w:val="3D5F4F3E"/>
    <w:rsid w:val="3D623944"/>
    <w:rsid w:val="3D6C4254"/>
    <w:rsid w:val="3DA6700D"/>
    <w:rsid w:val="3DA951DC"/>
    <w:rsid w:val="3DAE4A21"/>
    <w:rsid w:val="3DB94353"/>
    <w:rsid w:val="3DCA3FA9"/>
    <w:rsid w:val="3DE07AF7"/>
    <w:rsid w:val="3DFC02BF"/>
    <w:rsid w:val="3E0334CE"/>
    <w:rsid w:val="3E06185A"/>
    <w:rsid w:val="3E064452"/>
    <w:rsid w:val="3E18370D"/>
    <w:rsid w:val="3E1966D0"/>
    <w:rsid w:val="3E297D01"/>
    <w:rsid w:val="3E36391C"/>
    <w:rsid w:val="3E3E7246"/>
    <w:rsid w:val="3E636D6A"/>
    <w:rsid w:val="3E860224"/>
    <w:rsid w:val="3EA220F7"/>
    <w:rsid w:val="3EAD617A"/>
    <w:rsid w:val="3EB86474"/>
    <w:rsid w:val="3ED76D29"/>
    <w:rsid w:val="3EE13DB5"/>
    <w:rsid w:val="3EEC59CA"/>
    <w:rsid w:val="3F1C6E5B"/>
    <w:rsid w:val="3F263A7A"/>
    <w:rsid w:val="3F2A2B0C"/>
    <w:rsid w:val="3F401533"/>
    <w:rsid w:val="3F4150D3"/>
    <w:rsid w:val="3F5462F2"/>
    <w:rsid w:val="3F561F35"/>
    <w:rsid w:val="3F5B1501"/>
    <w:rsid w:val="3F92745C"/>
    <w:rsid w:val="3FB13A48"/>
    <w:rsid w:val="3FB1448E"/>
    <w:rsid w:val="3FE24C5D"/>
    <w:rsid w:val="401A19BA"/>
    <w:rsid w:val="401C3B3D"/>
    <w:rsid w:val="40456A90"/>
    <w:rsid w:val="404C11C3"/>
    <w:rsid w:val="405743EB"/>
    <w:rsid w:val="40577D9B"/>
    <w:rsid w:val="40671125"/>
    <w:rsid w:val="406D6A2A"/>
    <w:rsid w:val="406E309D"/>
    <w:rsid w:val="4093139F"/>
    <w:rsid w:val="409329CB"/>
    <w:rsid w:val="409D5390"/>
    <w:rsid w:val="40BB2DD0"/>
    <w:rsid w:val="40C761D4"/>
    <w:rsid w:val="40D83EF0"/>
    <w:rsid w:val="40E273FB"/>
    <w:rsid w:val="40E9418A"/>
    <w:rsid w:val="40ED2B91"/>
    <w:rsid w:val="41000B68"/>
    <w:rsid w:val="41012E6D"/>
    <w:rsid w:val="41052B1B"/>
    <w:rsid w:val="41061B71"/>
    <w:rsid w:val="41296F19"/>
    <w:rsid w:val="413055B7"/>
    <w:rsid w:val="4133683F"/>
    <w:rsid w:val="414447B0"/>
    <w:rsid w:val="41562D0C"/>
    <w:rsid w:val="415F310E"/>
    <w:rsid w:val="419B108E"/>
    <w:rsid w:val="41A05EB7"/>
    <w:rsid w:val="41B34C68"/>
    <w:rsid w:val="41B71360"/>
    <w:rsid w:val="41B900D4"/>
    <w:rsid w:val="41BE5467"/>
    <w:rsid w:val="41C44DF2"/>
    <w:rsid w:val="41F9564C"/>
    <w:rsid w:val="42021713"/>
    <w:rsid w:val="421538F8"/>
    <w:rsid w:val="421A58D4"/>
    <w:rsid w:val="42212F8E"/>
    <w:rsid w:val="42287095"/>
    <w:rsid w:val="42321352"/>
    <w:rsid w:val="42415557"/>
    <w:rsid w:val="424F183F"/>
    <w:rsid w:val="426C5343"/>
    <w:rsid w:val="428F35C1"/>
    <w:rsid w:val="42AB7105"/>
    <w:rsid w:val="42BA6C89"/>
    <w:rsid w:val="42C86795"/>
    <w:rsid w:val="42E874D3"/>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47178A"/>
    <w:rsid w:val="444F1E34"/>
    <w:rsid w:val="445B15B3"/>
    <w:rsid w:val="44623F43"/>
    <w:rsid w:val="446D66AB"/>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01FB2"/>
    <w:rsid w:val="457A1327"/>
    <w:rsid w:val="45871E15"/>
    <w:rsid w:val="45A10EB6"/>
    <w:rsid w:val="45A260E5"/>
    <w:rsid w:val="45A87057"/>
    <w:rsid w:val="45AD56DD"/>
    <w:rsid w:val="45C1250B"/>
    <w:rsid w:val="45C54BE4"/>
    <w:rsid w:val="45DA6B58"/>
    <w:rsid w:val="45E43639"/>
    <w:rsid w:val="45EF19CA"/>
    <w:rsid w:val="45F33C53"/>
    <w:rsid w:val="45FC3543"/>
    <w:rsid w:val="46191B03"/>
    <w:rsid w:val="462369A1"/>
    <w:rsid w:val="46521562"/>
    <w:rsid w:val="46524FB2"/>
    <w:rsid w:val="4664740A"/>
    <w:rsid w:val="46691411"/>
    <w:rsid w:val="46980B5E"/>
    <w:rsid w:val="46A31C9D"/>
    <w:rsid w:val="46AF0327"/>
    <w:rsid w:val="46C76D34"/>
    <w:rsid w:val="46E577A2"/>
    <w:rsid w:val="46EB5526"/>
    <w:rsid w:val="47000990"/>
    <w:rsid w:val="47157B32"/>
    <w:rsid w:val="47294BC2"/>
    <w:rsid w:val="472E5C1A"/>
    <w:rsid w:val="473D3E13"/>
    <w:rsid w:val="478D5F73"/>
    <w:rsid w:val="47960D7E"/>
    <w:rsid w:val="47A12BAB"/>
    <w:rsid w:val="47AC26D7"/>
    <w:rsid w:val="47D61564"/>
    <w:rsid w:val="47D64E32"/>
    <w:rsid w:val="47E44403"/>
    <w:rsid w:val="47EF1EE1"/>
    <w:rsid w:val="47F46C1C"/>
    <w:rsid w:val="47F54E6A"/>
    <w:rsid w:val="48046EB6"/>
    <w:rsid w:val="48097696"/>
    <w:rsid w:val="481F31DA"/>
    <w:rsid w:val="482254E2"/>
    <w:rsid w:val="48455675"/>
    <w:rsid w:val="48606BC0"/>
    <w:rsid w:val="4875266D"/>
    <w:rsid w:val="48A50CBC"/>
    <w:rsid w:val="48B25ECA"/>
    <w:rsid w:val="48B60F0A"/>
    <w:rsid w:val="48CB107D"/>
    <w:rsid w:val="48F232BB"/>
    <w:rsid w:val="48F30275"/>
    <w:rsid w:val="49041E4A"/>
    <w:rsid w:val="49102650"/>
    <w:rsid w:val="49275D14"/>
    <w:rsid w:val="49403AFB"/>
    <w:rsid w:val="49495EC9"/>
    <w:rsid w:val="49712D0A"/>
    <w:rsid w:val="49920446"/>
    <w:rsid w:val="49A90014"/>
    <w:rsid w:val="49B80E6C"/>
    <w:rsid w:val="49C04C0E"/>
    <w:rsid w:val="49C12AD9"/>
    <w:rsid w:val="49D12082"/>
    <w:rsid w:val="49DE5C2D"/>
    <w:rsid w:val="49E55C77"/>
    <w:rsid w:val="49FF476C"/>
    <w:rsid w:val="4A1E2A29"/>
    <w:rsid w:val="4A342D95"/>
    <w:rsid w:val="4A3E54DC"/>
    <w:rsid w:val="4A5166FB"/>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7D1518"/>
    <w:rsid w:val="4B9C0C9C"/>
    <w:rsid w:val="4BAF1EBA"/>
    <w:rsid w:val="4BBC0C9E"/>
    <w:rsid w:val="4BCA052C"/>
    <w:rsid w:val="4BCB2C12"/>
    <w:rsid w:val="4BD5286C"/>
    <w:rsid w:val="4BD82710"/>
    <w:rsid w:val="4BE478F9"/>
    <w:rsid w:val="4BE56B11"/>
    <w:rsid w:val="4BF873EB"/>
    <w:rsid w:val="4BF91035"/>
    <w:rsid w:val="4C0F5757"/>
    <w:rsid w:val="4C207BF0"/>
    <w:rsid w:val="4C26696E"/>
    <w:rsid w:val="4C5061C1"/>
    <w:rsid w:val="4C584224"/>
    <w:rsid w:val="4C5A4552"/>
    <w:rsid w:val="4C5B1004"/>
    <w:rsid w:val="4C601CDE"/>
    <w:rsid w:val="4C853452"/>
    <w:rsid w:val="4C87625C"/>
    <w:rsid w:val="4C93212D"/>
    <w:rsid w:val="4CAD655A"/>
    <w:rsid w:val="4CC4348E"/>
    <w:rsid w:val="4CC7692E"/>
    <w:rsid w:val="4CCC7F23"/>
    <w:rsid w:val="4CD8739E"/>
    <w:rsid w:val="4D102E74"/>
    <w:rsid w:val="4D334873"/>
    <w:rsid w:val="4D445EFB"/>
    <w:rsid w:val="4D755501"/>
    <w:rsid w:val="4D7D385F"/>
    <w:rsid w:val="4D8A3B75"/>
    <w:rsid w:val="4D9A4EDE"/>
    <w:rsid w:val="4D9C7AE5"/>
    <w:rsid w:val="4DA27D63"/>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32A57"/>
    <w:rsid w:val="4EC40427"/>
    <w:rsid w:val="4ECC4356"/>
    <w:rsid w:val="4ECD3DEF"/>
    <w:rsid w:val="4ECE0434"/>
    <w:rsid w:val="4ED626E7"/>
    <w:rsid w:val="4ED94364"/>
    <w:rsid w:val="4EE33F7B"/>
    <w:rsid w:val="4EE670FE"/>
    <w:rsid w:val="4EFA5A91"/>
    <w:rsid w:val="4F195E9F"/>
    <w:rsid w:val="4F1A5304"/>
    <w:rsid w:val="4F1B7656"/>
    <w:rsid w:val="4F1D3B0A"/>
    <w:rsid w:val="4F2449E5"/>
    <w:rsid w:val="4F416513"/>
    <w:rsid w:val="4F5B14D1"/>
    <w:rsid w:val="4F6232F8"/>
    <w:rsid w:val="4F874A89"/>
    <w:rsid w:val="4FAB39C4"/>
    <w:rsid w:val="4FBD16E0"/>
    <w:rsid w:val="4FD7735B"/>
    <w:rsid w:val="4FDF02B8"/>
    <w:rsid w:val="4FDF15DA"/>
    <w:rsid w:val="4FE35224"/>
    <w:rsid w:val="4FFB4A48"/>
    <w:rsid w:val="500365D1"/>
    <w:rsid w:val="500A17DF"/>
    <w:rsid w:val="50193FF8"/>
    <w:rsid w:val="502226D6"/>
    <w:rsid w:val="503B1837"/>
    <w:rsid w:val="50461F8A"/>
    <w:rsid w:val="50834F8C"/>
    <w:rsid w:val="508A55B1"/>
    <w:rsid w:val="508C2093"/>
    <w:rsid w:val="50B8067E"/>
    <w:rsid w:val="50C34A9C"/>
    <w:rsid w:val="50E161B2"/>
    <w:rsid w:val="50E87B49"/>
    <w:rsid w:val="51261ADC"/>
    <w:rsid w:val="513051B1"/>
    <w:rsid w:val="51385D77"/>
    <w:rsid w:val="51442461"/>
    <w:rsid w:val="51465964"/>
    <w:rsid w:val="515371F8"/>
    <w:rsid w:val="51571481"/>
    <w:rsid w:val="515D338B"/>
    <w:rsid w:val="51860510"/>
    <w:rsid w:val="518965D2"/>
    <w:rsid w:val="51904A15"/>
    <w:rsid w:val="51907920"/>
    <w:rsid w:val="5199796C"/>
    <w:rsid w:val="51C464A2"/>
    <w:rsid w:val="51CB39BF"/>
    <w:rsid w:val="51DE7D80"/>
    <w:rsid w:val="51ED2148"/>
    <w:rsid w:val="51F17CFE"/>
    <w:rsid w:val="520E31AE"/>
    <w:rsid w:val="524349D3"/>
    <w:rsid w:val="52722ED3"/>
    <w:rsid w:val="528278EA"/>
    <w:rsid w:val="52884ADC"/>
    <w:rsid w:val="528A34C2"/>
    <w:rsid w:val="52B64958"/>
    <w:rsid w:val="52BA2DC0"/>
    <w:rsid w:val="52C12C52"/>
    <w:rsid w:val="52D15024"/>
    <w:rsid w:val="52E26A0A"/>
    <w:rsid w:val="53010C0B"/>
    <w:rsid w:val="53416241"/>
    <w:rsid w:val="534F175F"/>
    <w:rsid w:val="53697924"/>
    <w:rsid w:val="536D0121"/>
    <w:rsid w:val="53996156"/>
    <w:rsid w:val="53CA4C80"/>
    <w:rsid w:val="53CE6F7A"/>
    <w:rsid w:val="53EA66AD"/>
    <w:rsid w:val="53F23262"/>
    <w:rsid w:val="53FD045B"/>
    <w:rsid w:val="53FD32A8"/>
    <w:rsid w:val="540A6B94"/>
    <w:rsid w:val="540D3A6F"/>
    <w:rsid w:val="54190C85"/>
    <w:rsid w:val="541F2B8E"/>
    <w:rsid w:val="54311BAF"/>
    <w:rsid w:val="543A1E06"/>
    <w:rsid w:val="545D58DB"/>
    <w:rsid w:val="546148FC"/>
    <w:rsid w:val="547316D7"/>
    <w:rsid w:val="547F7301"/>
    <w:rsid w:val="548E44C7"/>
    <w:rsid w:val="54AB3A77"/>
    <w:rsid w:val="54C65E82"/>
    <w:rsid w:val="54C75926"/>
    <w:rsid w:val="54F02B1C"/>
    <w:rsid w:val="54FB72AA"/>
    <w:rsid w:val="550A3F74"/>
    <w:rsid w:val="551940AB"/>
    <w:rsid w:val="551C085F"/>
    <w:rsid w:val="55242A1A"/>
    <w:rsid w:val="552B1DC7"/>
    <w:rsid w:val="55301DC2"/>
    <w:rsid w:val="55432CF1"/>
    <w:rsid w:val="554D59FE"/>
    <w:rsid w:val="556C05F6"/>
    <w:rsid w:val="556D3658"/>
    <w:rsid w:val="557B66CE"/>
    <w:rsid w:val="55990DAE"/>
    <w:rsid w:val="559B0682"/>
    <w:rsid w:val="55BB5C2C"/>
    <w:rsid w:val="55BE109B"/>
    <w:rsid w:val="55D75763"/>
    <w:rsid w:val="55D86806"/>
    <w:rsid w:val="55E0078B"/>
    <w:rsid w:val="55E8012F"/>
    <w:rsid w:val="55EC1E85"/>
    <w:rsid w:val="55F46D30"/>
    <w:rsid w:val="55F67FAE"/>
    <w:rsid w:val="561D19DF"/>
    <w:rsid w:val="5640190F"/>
    <w:rsid w:val="564C5721"/>
    <w:rsid w:val="566F67D3"/>
    <w:rsid w:val="56762305"/>
    <w:rsid w:val="56885586"/>
    <w:rsid w:val="568F4307"/>
    <w:rsid w:val="569F0646"/>
    <w:rsid w:val="56AE57C6"/>
    <w:rsid w:val="570C52FA"/>
    <w:rsid w:val="570F289C"/>
    <w:rsid w:val="572341DD"/>
    <w:rsid w:val="57245405"/>
    <w:rsid w:val="573F74F2"/>
    <w:rsid w:val="575171CD"/>
    <w:rsid w:val="57A07817"/>
    <w:rsid w:val="57B0086C"/>
    <w:rsid w:val="57B204EC"/>
    <w:rsid w:val="57BA337A"/>
    <w:rsid w:val="57BD3902"/>
    <w:rsid w:val="57D7222F"/>
    <w:rsid w:val="57D73F48"/>
    <w:rsid w:val="57F36E25"/>
    <w:rsid w:val="581140DE"/>
    <w:rsid w:val="58117561"/>
    <w:rsid w:val="5818245E"/>
    <w:rsid w:val="58406E56"/>
    <w:rsid w:val="58466FCB"/>
    <w:rsid w:val="58470002"/>
    <w:rsid w:val="585039A6"/>
    <w:rsid w:val="586B571C"/>
    <w:rsid w:val="58791557"/>
    <w:rsid w:val="58A310F9"/>
    <w:rsid w:val="58B00C60"/>
    <w:rsid w:val="58C70034"/>
    <w:rsid w:val="58CB4787"/>
    <w:rsid w:val="58CE0838"/>
    <w:rsid w:val="58CF5440"/>
    <w:rsid w:val="58E74D32"/>
    <w:rsid w:val="58F16C7A"/>
    <w:rsid w:val="58FA5DED"/>
    <w:rsid w:val="58FC6D00"/>
    <w:rsid w:val="58FF3A11"/>
    <w:rsid w:val="59260BAB"/>
    <w:rsid w:val="592E6ADF"/>
    <w:rsid w:val="593A7614"/>
    <w:rsid w:val="593B00D4"/>
    <w:rsid w:val="595C4851"/>
    <w:rsid w:val="597F010F"/>
    <w:rsid w:val="59A90346"/>
    <w:rsid w:val="59B07FB1"/>
    <w:rsid w:val="59BC7647"/>
    <w:rsid w:val="59DA3A14"/>
    <w:rsid w:val="59DD7B7C"/>
    <w:rsid w:val="59F2429E"/>
    <w:rsid w:val="59FC4B45"/>
    <w:rsid w:val="5A1B5462"/>
    <w:rsid w:val="5A465698"/>
    <w:rsid w:val="5A47527D"/>
    <w:rsid w:val="5A555911"/>
    <w:rsid w:val="5A5C174F"/>
    <w:rsid w:val="5A65689F"/>
    <w:rsid w:val="5A832484"/>
    <w:rsid w:val="5A906A56"/>
    <w:rsid w:val="5A916423"/>
    <w:rsid w:val="5A9C7455"/>
    <w:rsid w:val="5A9E5903"/>
    <w:rsid w:val="5AA6774A"/>
    <w:rsid w:val="5AA80549"/>
    <w:rsid w:val="5AB1123A"/>
    <w:rsid w:val="5ABE04EF"/>
    <w:rsid w:val="5AD563E4"/>
    <w:rsid w:val="5AD65B96"/>
    <w:rsid w:val="5B1769FD"/>
    <w:rsid w:val="5B372B47"/>
    <w:rsid w:val="5B4F0440"/>
    <w:rsid w:val="5B5154DF"/>
    <w:rsid w:val="5B7B6323"/>
    <w:rsid w:val="5B8C73EB"/>
    <w:rsid w:val="5BA25B21"/>
    <w:rsid w:val="5BB9748C"/>
    <w:rsid w:val="5BD60FBC"/>
    <w:rsid w:val="5BF501EB"/>
    <w:rsid w:val="5BF925A6"/>
    <w:rsid w:val="5BFE5E0F"/>
    <w:rsid w:val="5C0351D3"/>
    <w:rsid w:val="5C0F5926"/>
    <w:rsid w:val="5C187076"/>
    <w:rsid w:val="5C235838"/>
    <w:rsid w:val="5C4D79EA"/>
    <w:rsid w:val="5C576F8B"/>
    <w:rsid w:val="5C646D60"/>
    <w:rsid w:val="5C741646"/>
    <w:rsid w:val="5C767E09"/>
    <w:rsid w:val="5C793BE9"/>
    <w:rsid w:val="5C9761B3"/>
    <w:rsid w:val="5C981DBF"/>
    <w:rsid w:val="5C9E261E"/>
    <w:rsid w:val="5CA50038"/>
    <w:rsid w:val="5CB85D2B"/>
    <w:rsid w:val="5CBE7C34"/>
    <w:rsid w:val="5CF3268D"/>
    <w:rsid w:val="5CF81070"/>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513430"/>
    <w:rsid w:val="5E702CD8"/>
    <w:rsid w:val="5E9F014A"/>
    <w:rsid w:val="5E9F7A2D"/>
    <w:rsid w:val="5EB55B71"/>
    <w:rsid w:val="5ED75D25"/>
    <w:rsid w:val="5EF219E8"/>
    <w:rsid w:val="5F0955FB"/>
    <w:rsid w:val="5F0977F9"/>
    <w:rsid w:val="5F0A5510"/>
    <w:rsid w:val="5F0D497A"/>
    <w:rsid w:val="5F164911"/>
    <w:rsid w:val="5F2D4A41"/>
    <w:rsid w:val="5F3E69CE"/>
    <w:rsid w:val="5F482B61"/>
    <w:rsid w:val="5F4B3119"/>
    <w:rsid w:val="5F7E116D"/>
    <w:rsid w:val="5F802CBB"/>
    <w:rsid w:val="5FA82319"/>
    <w:rsid w:val="5FAA3AFF"/>
    <w:rsid w:val="5FBD5066"/>
    <w:rsid w:val="5FBE05A1"/>
    <w:rsid w:val="5FCC21F2"/>
    <w:rsid w:val="5FDA6A4F"/>
    <w:rsid w:val="5FEF4354"/>
    <w:rsid w:val="5FF2368F"/>
    <w:rsid w:val="60013EE8"/>
    <w:rsid w:val="60052F14"/>
    <w:rsid w:val="601644B3"/>
    <w:rsid w:val="601B3C4D"/>
    <w:rsid w:val="6025124B"/>
    <w:rsid w:val="60513B15"/>
    <w:rsid w:val="605A0420"/>
    <w:rsid w:val="60624F0A"/>
    <w:rsid w:val="60705E47"/>
    <w:rsid w:val="607B1C59"/>
    <w:rsid w:val="607E307A"/>
    <w:rsid w:val="60851A34"/>
    <w:rsid w:val="60852569"/>
    <w:rsid w:val="60991209"/>
    <w:rsid w:val="60C70EC5"/>
    <w:rsid w:val="60D31618"/>
    <w:rsid w:val="610F0176"/>
    <w:rsid w:val="611565D4"/>
    <w:rsid w:val="61205F8C"/>
    <w:rsid w:val="61246BCA"/>
    <w:rsid w:val="61377E0E"/>
    <w:rsid w:val="613F1004"/>
    <w:rsid w:val="61774636"/>
    <w:rsid w:val="61786679"/>
    <w:rsid w:val="61850EBD"/>
    <w:rsid w:val="61B73BDF"/>
    <w:rsid w:val="61D44372"/>
    <w:rsid w:val="61D71F16"/>
    <w:rsid w:val="61DF7322"/>
    <w:rsid w:val="61E36936"/>
    <w:rsid w:val="61FB637A"/>
    <w:rsid w:val="62441245"/>
    <w:rsid w:val="62543D0E"/>
    <w:rsid w:val="625933C2"/>
    <w:rsid w:val="626A7D5A"/>
    <w:rsid w:val="62711AE2"/>
    <w:rsid w:val="627A00A5"/>
    <w:rsid w:val="62CA2770"/>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77DE9"/>
    <w:rsid w:val="655353B2"/>
    <w:rsid w:val="655A5D7E"/>
    <w:rsid w:val="65955D1A"/>
    <w:rsid w:val="65B20B63"/>
    <w:rsid w:val="65B975F2"/>
    <w:rsid w:val="65C533DA"/>
    <w:rsid w:val="65C60736"/>
    <w:rsid w:val="65DF7832"/>
    <w:rsid w:val="65F20792"/>
    <w:rsid w:val="65F23134"/>
    <w:rsid w:val="65F47E78"/>
    <w:rsid w:val="66063E6E"/>
    <w:rsid w:val="660B1322"/>
    <w:rsid w:val="662F72F1"/>
    <w:rsid w:val="66377FD0"/>
    <w:rsid w:val="663D6361"/>
    <w:rsid w:val="66421AD5"/>
    <w:rsid w:val="66456B14"/>
    <w:rsid w:val="66672A19"/>
    <w:rsid w:val="669B5175"/>
    <w:rsid w:val="66A42A73"/>
    <w:rsid w:val="66A912E3"/>
    <w:rsid w:val="66D1263E"/>
    <w:rsid w:val="66D9547D"/>
    <w:rsid w:val="66E910CF"/>
    <w:rsid w:val="6700790A"/>
    <w:rsid w:val="67010066"/>
    <w:rsid w:val="670535DB"/>
    <w:rsid w:val="670F0ED0"/>
    <w:rsid w:val="672023BD"/>
    <w:rsid w:val="67273ED7"/>
    <w:rsid w:val="673832E7"/>
    <w:rsid w:val="676B34F8"/>
    <w:rsid w:val="678A0557"/>
    <w:rsid w:val="67B562A1"/>
    <w:rsid w:val="67C71B3D"/>
    <w:rsid w:val="67D01C2B"/>
    <w:rsid w:val="67E50E81"/>
    <w:rsid w:val="67E74384"/>
    <w:rsid w:val="67EA0B8C"/>
    <w:rsid w:val="68064677"/>
    <w:rsid w:val="680B7043"/>
    <w:rsid w:val="680C3831"/>
    <w:rsid w:val="680E4244"/>
    <w:rsid w:val="68133F4F"/>
    <w:rsid w:val="681A693D"/>
    <w:rsid w:val="682B16F7"/>
    <w:rsid w:val="6846520B"/>
    <w:rsid w:val="684C637D"/>
    <w:rsid w:val="6857237B"/>
    <w:rsid w:val="686626D4"/>
    <w:rsid w:val="689F44B1"/>
    <w:rsid w:val="68B867D3"/>
    <w:rsid w:val="68BA215E"/>
    <w:rsid w:val="68BE7DE7"/>
    <w:rsid w:val="68C92778"/>
    <w:rsid w:val="68D221B5"/>
    <w:rsid w:val="68EE7135"/>
    <w:rsid w:val="68EF4BB6"/>
    <w:rsid w:val="68F9484C"/>
    <w:rsid w:val="68FC1011"/>
    <w:rsid w:val="6908763F"/>
    <w:rsid w:val="692A45F1"/>
    <w:rsid w:val="694C74CE"/>
    <w:rsid w:val="695348DB"/>
    <w:rsid w:val="69692B1A"/>
    <w:rsid w:val="69794A5B"/>
    <w:rsid w:val="69987B6E"/>
    <w:rsid w:val="69D62B3D"/>
    <w:rsid w:val="69E676CD"/>
    <w:rsid w:val="69EA5D24"/>
    <w:rsid w:val="69F76CC0"/>
    <w:rsid w:val="69FB3DEF"/>
    <w:rsid w:val="69FC3EFA"/>
    <w:rsid w:val="6A0B4089"/>
    <w:rsid w:val="6A0C6288"/>
    <w:rsid w:val="6A1F142A"/>
    <w:rsid w:val="6A2D1679"/>
    <w:rsid w:val="6A3E0F0E"/>
    <w:rsid w:val="6A470981"/>
    <w:rsid w:val="6A670F20"/>
    <w:rsid w:val="6A694D9B"/>
    <w:rsid w:val="6A696621"/>
    <w:rsid w:val="6A7E0B45"/>
    <w:rsid w:val="6A806C6B"/>
    <w:rsid w:val="6A885221"/>
    <w:rsid w:val="6A9605C9"/>
    <w:rsid w:val="6AA40D85"/>
    <w:rsid w:val="6AC14AB2"/>
    <w:rsid w:val="6AC95741"/>
    <w:rsid w:val="6ACE6346"/>
    <w:rsid w:val="6AD92158"/>
    <w:rsid w:val="6AE911BC"/>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332827"/>
    <w:rsid w:val="6C384A25"/>
    <w:rsid w:val="6C3A7DF6"/>
    <w:rsid w:val="6C5B6DD1"/>
    <w:rsid w:val="6C61675C"/>
    <w:rsid w:val="6C693B68"/>
    <w:rsid w:val="6C6A4E6D"/>
    <w:rsid w:val="6C7F5731"/>
    <w:rsid w:val="6CB90E3A"/>
    <w:rsid w:val="6CC17318"/>
    <w:rsid w:val="6CD66256"/>
    <w:rsid w:val="6CE54BAD"/>
    <w:rsid w:val="6CEF3D02"/>
    <w:rsid w:val="6CF17718"/>
    <w:rsid w:val="6CF215BD"/>
    <w:rsid w:val="6D167504"/>
    <w:rsid w:val="6D342B2B"/>
    <w:rsid w:val="6D3A5802"/>
    <w:rsid w:val="6D4F0C03"/>
    <w:rsid w:val="6D523A87"/>
    <w:rsid w:val="6D7D1C6D"/>
    <w:rsid w:val="6D812437"/>
    <w:rsid w:val="6D8D0DA1"/>
    <w:rsid w:val="6D8F1190"/>
    <w:rsid w:val="6DB22C06"/>
    <w:rsid w:val="6DB34C84"/>
    <w:rsid w:val="6DBB3B60"/>
    <w:rsid w:val="6DC14D72"/>
    <w:rsid w:val="6DC71E97"/>
    <w:rsid w:val="6DFD3F7F"/>
    <w:rsid w:val="6DFE1A00"/>
    <w:rsid w:val="6E197A95"/>
    <w:rsid w:val="6E1D2124"/>
    <w:rsid w:val="6E364DD3"/>
    <w:rsid w:val="6E447FE6"/>
    <w:rsid w:val="6E8354DD"/>
    <w:rsid w:val="6E8A4C37"/>
    <w:rsid w:val="6E9F0000"/>
    <w:rsid w:val="6EA92939"/>
    <w:rsid w:val="6EB10C80"/>
    <w:rsid w:val="6EB87E27"/>
    <w:rsid w:val="6EC07DDC"/>
    <w:rsid w:val="6EC7787C"/>
    <w:rsid w:val="6EE2146D"/>
    <w:rsid w:val="6EEC0CAE"/>
    <w:rsid w:val="6EEE4B8C"/>
    <w:rsid w:val="6F050034"/>
    <w:rsid w:val="6F0D763F"/>
    <w:rsid w:val="6F1005C4"/>
    <w:rsid w:val="6F162E82"/>
    <w:rsid w:val="6F2914EE"/>
    <w:rsid w:val="6F311862"/>
    <w:rsid w:val="6F3F6524"/>
    <w:rsid w:val="6F407D0F"/>
    <w:rsid w:val="6F663551"/>
    <w:rsid w:val="6F674856"/>
    <w:rsid w:val="6F786CEE"/>
    <w:rsid w:val="6F854425"/>
    <w:rsid w:val="6F867775"/>
    <w:rsid w:val="6F893432"/>
    <w:rsid w:val="6F9B278B"/>
    <w:rsid w:val="6FDA1311"/>
    <w:rsid w:val="6FE14660"/>
    <w:rsid w:val="6FF44D17"/>
    <w:rsid w:val="6FFFD95E"/>
    <w:rsid w:val="700F04E7"/>
    <w:rsid w:val="702E2F9A"/>
    <w:rsid w:val="70352925"/>
    <w:rsid w:val="703B647C"/>
    <w:rsid w:val="7056616B"/>
    <w:rsid w:val="705A0172"/>
    <w:rsid w:val="706C4FFD"/>
    <w:rsid w:val="706D6302"/>
    <w:rsid w:val="707A385E"/>
    <w:rsid w:val="708364BB"/>
    <w:rsid w:val="70851EE2"/>
    <w:rsid w:val="70974F48"/>
    <w:rsid w:val="70983E7D"/>
    <w:rsid w:val="70B51F79"/>
    <w:rsid w:val="70BC5C25"/>
    <w:rsid w:val="70C857AB"/>
    <w:rsid w:val="70D0347E"/>
    <w:rsid w:val="70D10D69"/>
    <w:rsid w:val="70ED2282"/>
    <w:rsid w:val="70EF3E1D"/>
    <w:rsid w:val="710970B2"/>
    <w:rsid w:val="71270023"/>
    <w:rsid w:val="71306040"/>
    <w:rsid w:val="715560C8"/>
    <w:rsid w:val="716F71A9"/>
    <w:rsid w:val="717410B3"/>
    <w:rsid w:val="717E19C2"/>
    <w:rsid w:val="719921EC"/>
    <w:rsid w:val="719F7978"/>
    <w:rsid w:val="71A212BE"/>
    <w:rsid w:val="71BB658E"/>
    <w:rsid w:val="71C468B3"/>
    <w:rsid w:val="71CC33DE"/>
    <w:rsid w:val="71FD448F"/>
    <w:rsid w:val="720555E9"/>
    <w:rsid w:val="7217743E"/>
    <w:rsid w:val="72221950"/>
    <w:rsid w:val="724A08F1"/>
    <w:rsid w:val="72563C24"/>
    <w:rsid w:val="726915C0"/>
    <w:rsid w:val="728C6DF8"/>
    <w:rsid w:val="728E308E"/>
    <w:rsid w:val="729D2129"/>
    <w:rsid w:val="72A46E5D"/>
    <w:rsid w:val="72DF0A71"/>
    <w:rsid w:val="72E262D5"/>
    <w:rsid w:val="72E65B6A"/>
    <w:rsid w:val="72E70F53"/>
    <w:rsid w:val="72F21DD2"/>
    <w:rsid w:val="730E1803"/>
    <w:rsid w:val="73106B62"/>
    <w:rsid w:val="73171C8B"/>
    <w:rsid w:val="731C6E4F"/>
    <w:rsid w:val="731D2368"/>
    <w:rsid w:val="73757170"/>
    <w:rsid w:val="73761E19"/>
    <w:rsid w:val="738A3CA6"/>
    <w:rsid w:val="738C3CA1"/>
    <w:rsid w:val="739E0A22"/>
    <w:rsid w:val="73AD3C4B"/>
    <w:rsid w:val="73B10648"/>
    <w:rsid w:val="73B90110"/>
    <w:rsid w:val="73C46FA3"/>
    <w:rsid w:val="73CA1587"/>
    <w:rsid w:val="73DB035D"/>
    <w:rsid w:val="73FD72CB"/>
    <w:rsid w:val="73FF32F7"/>
    <w:rsid w:val="740343AD"/>
    <w:rsid w:val="74213FF1"/>
    <w:rsid w:val="743E2DF5"/>
    <w:rsid w:val="7463285B"/>
    <w:rsid w:val="74666E87"/>
    <w:rsid w:val="74693BB6"/>
    <w:rsid w:val="74793BE8"/>
    <w:rsid w:val="74882C70"/>
    <w:rsid w:val="74AC5FB0"/>
    <w:rsid w:val="74B549A6"/>
    <w:rsid w:val="74BD7896"/>
    <w:rsid w:val="74D54F3C"/>
    <w:rsid w:val="74F00593"/>
    <w:rsid w:val="74F80974"/>
    <w:rsid w:val="752949C6"/>
    <w:rsid w:val="75336768"/>
    <w:rsid w:val="753C2362"/>
    <w:rsid w:val="754504E2"/>
    <w:rsid w:val="755425CC"/>
    <w:rsid w:val="75627117"/>
    <w:rsid w:val="756560C4"/>
    <w:rsid w:val="75673072"/>
    <w:rsid w:val="758B0767"/>
    <w:rsid w:val="759926FC"/>
    <w:rsid w:val="75C46DC3"/>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A2174"/>
    <w:rsid w:val="77185B7F"/>
    <w:rsid w:val="77230004"/>
    <w:rsid w:val="77281E9E"/>
    <w:rsid w:val="773647F3"/>
    <w:rsid w:val="77417297"/>
    <w:rsid w:val="775D6EE5"/>
    <w:rsid w:val="77792F92"/>
    <w:rsid w:val="777D2475"/>
    <w:rsid w:val="77A15B74"/>
    <w:rsid w:val="77AA0898"/>
    <w:rsid w:val="77B519B5"/>
    <w:rsid w:val="77CA6C13"/>
    <w:rsid w:val="77EF0E28"/>
    <w:rsid w:val="77FC65B3"/>
    <w:rsid w:val="78104AA8"/>
    <w:rsid w:val="783720CB"/>
    <w:rsid w:val="78405B2D"/>
    <w:rsid w:val="78426C1C"/>
    <w:rsid w:val="78476634"/>
    <w:rsid w:val="7868724C"/>
    <w:rsid w:val="78695554"/>
    <w:rsid w:val="786E7AE3"/>
    <w:rsid w:val="788E239D"/>
    <w:rsid w:val="7890275A"/>
    <w:rsid w:val="78904407"/>
    <w:rsid w:val="78A413FA"/>
    <w:rsid w:val="78A75C02"/>
    <w:rsid w:val="78BA6E21"/>
    <w:rsid w:val="78C63250"/>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A003D09"/>
    <w:rsid w:val="7A0D4354"/>
    <w:rsid w:val="7A326F58"/>
    <w:rsid w:val="7A6B1472"/>
    <w:rsid w:val="7AC06271"/>
    <w:rsid w:val="7ACC4083"/>
    <w:rsid w:val="7ACC4282"/>
    <w:rsid w:val="7AF83CFD"/>
    <w:rsid w:val="7B0D6371"/>
    <w:rsid w:val="7B0E3521"/>
    <w:rsid w:val="7B1D346E"/>
    <w:rsid w:val="7B335EA5"/>
    <w:rsid w:val="7B412AB0"/>
    <w:rsid w:val="7B741218"/>
    <w:rsid w:val="7B835FAF"/>
    <w:rsid w:val="7B866F34"/>
    <w:rsid w:val="7B875081"/>
    <w:rsid w:val="7B9207C8"/>
    <w:rsid w:val="7B963BCC"/>
    <w:rsid w:val="7B9B74D6"/>
    <w:rsid w:val="7BC4009E"/>
    <w:rsid w:val="7BCD518A"/>
    <w:rsid w:val="7BD75A22"/>
    <w:rsid w:val="7BE72BDA"/>
    <w:rsid w:val="7BEE5100"/>
    <w:rsid w:val="7BFD5C79"/>
    <w:rsid w:val="7C016BE2"/>
    <w:rsid w:val="7C1742A4"/>
    <w:rsid w:val="7C3749CC"/>
    <w:rsid w:val="7C511181"/>
    <w:rsid w:val="7C572CA5"/>
    <w:rsid w:val="7C5A278F"/>
    <w:rsid w:val="7C6158D2"/>
    <w:rsid w:val="7C640B20"/>
    <w:rsid w:val="7C7429D4"/>
    <w:rsid w:val="7C99137B"/>
    <w:rsid w:val="7CB55428"/>
    <w:rsid w:val="7CBB76D8"/>
    <w:rsid w:val="7CC279FA"/>
    <w:rsid w:val="7CED61AC"/>
    <w:rsid w:val="7CF46211"/>
    <w:rsid w:val="7D1312C2"/>
    <w:rsid w:val="7D1A4DCC"/>
    <w:rsid w:val="7D2221D8"/>
    <w:rsid w:val="7D3746FC"/>
    <w:rsid w:val="7D3C4514"/>
    <w:rsid w:val="7D3D40B9"/>
    <w:rsid w:val="7D594632"/>
    <w:rsid w:val="7D626845"/>
    <w:rsid w:val="7D6A3C51"/>
    <w:rsid w:val="7D837B99"/>
    <w:rsid w:val="7D967F99"/>
    <w:rsid w:val="7DB30D8D"/>
    <w:rsid w:val="7DB704CD"/>
    <w:rsid w:val="7DBA173E"/>
    <w:rsid w:val="7DC61607"/>
    <w:rsid w:val="7DD76804"/>
    <w:rsid w:val="7DE21857"/>
    <w:rsid w:val="7DEE3433"/>
    <w:rsid w:val="7DF63CDF"/>
    <w:rsid w:val="7DFF912C"/>
    <w:rsid w:val="7E1A44FE"/>
    <w:rsid w:val="7E490835"/>
    <w:rsid w:val="7E576346"/>
    <w:rsid w:val="7E710C4D"/>
    <w:rsid w:val="7E765088"/>
    <w:rsid w:val="7E7D2D38"/>
    <w:rsid w:val="7E856690"/>
    <w:rsid w:val="7E882DA4"/>
    <w:rsid w:val="7E8D2AAF"/>
    <w:rsid w:val="7EA52354"/>
    <w:rsid w:val="7EA65BD8"/>
    <w:rsid w:val="7EC86628"/>
    <w:rsid w:val="7ED06A1C"/>
    <w:rsid w:val="7ED408EA"/>
    <w:rsid w:val="7EFD4FD2"/>
    <w:rsid w:val="7F135B46"/>
    <w:rsid w:val="7F330CBF"/>
    <w:rsid w:val="7F3F33E6"/>
    <w:rsid w:val="7F460E2D"/>
    <w:rsid w:val="7F6E5620"/>
    <w:rsid w:val="7F7854E1"/>
    <w:rsid w:val="7F945543"/>
    <w:rsid w:val="7F957A5E"/>
    <w:rsid w:val="7F9F53FB"/>
    <w:rsid w:val="7FA91A6A"/>
    <w:rsid w:val="7FC7261C"/>
    <w:rsid w:val="7FC76F2D"/>
    <w:rsid w:val="7FCF2FF2"/>
    <w:rsid w:val="7FDF7F40"/>
    <w:rsid w:val="7FE522A5"/>
    <w:rsid w:val="7FE63DDB"/>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2">
    <w:name w:val="heading 2"/>
    <w:basedOn w:val="1"/>
    <w:next w:val="1"/>
    <w:link w:val="34"/>
    <w:qFormat/>
    <w:uiPriority w:val="0"/>
    <w:pPr>
      <w:adjustRightInd w:val="0"/>
      <w:jc w:val="center"/>
      <w:textAlignment w:val="baseline"/>
      <w:outlineLvl w:val="1"/>
    </w:pPr>
    <w:rPr>
      <w:szCs w:val="20"/>
    </w:rPr>
  </w:style>
  <w:style w:type="paragraph" w:styleId="4">
    <w:name w:val="heading 3"/>
    <w:basedOn w:val="5"/>
    <w:next w:val="1"/>
    <w:link w:val="49"/>
    <w:qFormat/>
    <w:uiPriority w:val="9"/>
    <w:pPr>
      <w:spacing w:before="260" w:after="260"/>
      <w:outlineLvl w:val="2"/>
    </w:pPr>
    <w:rPr>
      <w:rFonts w:ascii="宋体" w:hAnsi="宋体" w:eastAsia="宋体"/>
      <w:szCs w:val="32"/>
    </w:rPr>
  </w:style>
  <w:style w:type="paragraph" w:styleId="5">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caption"/>
    <w:basedOn w:val="1"/>
    <w:next w:val="1"/>
    <w:qFormat/>
    <w:uiPriority w:val="0"/>
    <w:pPr>
      <w:spacing w:line="360" w:lineRule="auto"/>
      <w:ind w:firstLine="1940" w:firstLineChars="920"/>
    </w:pPr>
    <w:rPr>
      <w:rFonts w:ascii="宋体" w:hAnsi="宋体"/>
      <w:b/>
      <w:bCs/>
      <w:sz w:val="20"/>
      <w:szCs w:val="20"/>
    </w:rPr>
  </w:style>
  <w:style w:type="paragraph" w:styleId="8">
    <w:name w:val="annotation text"/>
    <w:basedOn w:val="1"/>
    <w:link w:val="42"/>
    <w:qFormat/>
    <w:uiPriority w:val="0"/>
  </w:style>
  <w:style w:type="paragraph" w:styleId="9">
    <w:name w:val="index 6"/>
    <w:basedOn w:val="1"/>
    <w:next w:val="1"/>
    <w:qFormat/>
    <w:uiPriority w:val="0"/>
    <w:pPr>
      <w:ind w:left="2100"/>
    </w:pPr>
  </w:style>
  <w:style w:type="paragraph" w:styleId="10">
    <w:name w:val="Body Text 3"/>
    <w:basedOn w:val="1"/>
    <w:qFormat/>
    <w:uiPriority w:val="0"/>
    <w:pPr>
      <w:spacing w:after="120"/>
    </w:pPr>
    <w:rPr>
      <w:sz w:val="16"/>
      <w:szCs w:val="16"/>
    </w:rPr>
  </w:style>
  <w:style w:type="paragraph" w:styleId="11">
    <w:name w:val="Body Text"/>
    <w:basedOn w:val="1"/>
    <w:next w:val="1"/>
    <w:unhideWhenUsed/>
    <w:qFormat/>
    <w:uiPriority w:val="99"/>
    <w:rPr>
      <w:rFonts w:asciiTheme="minorHAnsi" w:hAnsiTheme="minorHAnsi" w:cstheme="minorBidi"/>
      <w:szCs w:val="22"/>
    </w:rPr>
  </w:style>
  <w:style w:type="paragraph" w:styleId="12">
    <w:name w:val="Body Text Indent"/>
    <w:basedOn w:val="1"/>
    <w:qFormat/>
    <w:uiPriority w:val="0"/>
    <w:pPr>
      <w:spacing w:line="360" w:lineRule="auto"/>
      <w:ind w:firstLine="420" w:firstLineChars="200"/>
    </w:pPr>
  </w:style>
  <w:style w:type="paragraph" w:styleId="13">
    <w:name w:val="Block Text"/>
    <w:basedOn w:val="1"/>
    <w:qFormat/>
    <w:uiPriority w:val="99"/>
    <w:pPr>
      <w:spacing w:line="360" w:lineRule="auto"/>
      <w:ind w:left="-85" w:right="-244" w:firstLine="435"/>
    </w:pPr>
  </w:style>
  <w:style w:type="paragraph" w:styleId="14">
    <w:name w:val="Plain Text"/>
    <w:basedOn w:val="1"/>
    <w:link w:val="44"/>
    <w:unhideWhenUsed/>
    <w:qFormat/>
    <w:uiPriority w:val="0"/>
    <w:pPr>
      <w:widowControl w:val="0"/>
      <w:jc w:val="both"/>
    </w:pPr>
    <w:rPr>
      <w:rFonts w:ascii="宋体" w:hAnsi="Courier New" w:eastAsia="宋体"/>
      <w:kern w:val="2"/>
      <w:sz w:val="21"/>
      <w:szCs w:val="20"/>
    </w:rPr>
  </w:style>
  <w:style w:type="paragraph" w:styleId="15">
    <w:name w:val="Balloon Text"/>
    <w:basedOn w:val="1"/>
    <w:link w:val="39"/>
    <w:qFormat/>
    <w:uiPriority w:val="0"/>
    <w:rPr>
      <w:sz w:val="18"/>
      <w:szCs w:val="18"/>
    </w:rPr>
  </w:style>
  <w:style w:type="paragraph" w:styleId="16">
    <w:name w:val="footer"/>
    <w:basedOn w:val="1"/>
    <w:link w:val="41"/>
    <w:qFormat/>
    <w:uiPriority w:val="0"/>
    <w:pPr>
      <w:tabs>
        <w:tab w:val="center" w:pos="4153"/>
        <w:tab w:val="right" w:pos="8306"/>
      </w:tabs>
      <w:snapToGrid w:val="0"/>
    </w:pPr>
    <w:rPr>
      <w:sz w:val="18"/>
      <w:szCs w:val="18"/>
    </w:rPr>
  </w:style>
  <w:style w:type="paragraph" w:styleId="17">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0">
    <w:name w:val="Body Text 2"/>
    <w:basedOn w:val="1"/>
    <w:qFormat/>
    <w:uiPriority w:val="0"/>
    <w:pPr>
      <w:spacing w:line="360" w:lineRule="auto"/>
    </w:pPr>
    <w:rPr>
      <w:sz w:val="24"/>
    </w:rPr>
  </w:style>
  <w:style w:type="paragraph" w:styleId="21">
    <w:name w:val="Normal (Web)"/>
    <w:basedOn w:val="1"/>
    <w:link w:val="36"/>
    <w:qFormat/>
    <w:uiPriority w:val="99"/>
  </w:style>
  <w:style w:type="paragraph" w:styleId="2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3">
    <w:name w:val="annotation subject"/>
    <w:basedOn w:val="8"/>
    <w:next w:val="8"/>
    <w:link w:val="43"/>
    <w:qFormat/>
    <w:uiPriority w:val="0"/>
    <w:rPr>
      <w:b/>
      <w:bCs/>
    </w:rPr>
  </w:style>
  <w:style w:type="paragraph" w:styleId="24">
    <w:name w:val="Body Text First Indent 2"/>
    <w:basedOn w:val="12"/>
    <w:next w:val="1"/>
    <w:semiHidden/>
    <w:unhideWhenUsed/>
    <w:qFormat/>
    <w:uiPriority w:val="99"/>
    <w:pPr>
      <w:spacing w:afterLines="25"/>
    </w:pPr>
  </w:style>
  <w:style w:type="table" w:styleId="26">
    <w:name w:val="Table Grid"/>
    <w:basedOn w:val="25"/>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ascii="Tahoma" w:hAnsi="Tahoma" w:eastAsia="宋体"/>
      <w:b/>
      <w:bCs/>
      <w:spacing w:val="10"/>
      <w:kern w:val="2"/>
      <w:sz w:val="24"/>
      <w:szCs w:val="24"/>
      <w:lang w:val="en-US" w:eastAsia="zh-CN" w:bidi="ar-SA"/>
    </w:rPr>
  </w:style>
  <w:style w:type="character" w:styleId="29">
    <w:name w:val="FollowedHyperlink"/>
    <w:basedOn w:val="27"/>
    <w:semiHidden/>
    <w:unhideWhenUsed/>
    <w:qFormat/>
    <w:uiPriority w:val="0"/>
    <w:rPr>
      <w:rFonts w:hint="eastAsia" w:ascii="微软雅黑" w:hAnsi="微软雅黑" w:eastAsia="微软雅黑" w:cs="微软雅黑"/>
      <w:color w:val="02396F"/>
      <w:u w:val="single"/>
    </w:rPr>
  </w:style>
  <w:style w:type="character" w:styleId="30">
    <w:name w:val="Hyperlink"/>
    <w:basedOn w:val="27"/>
    <w:semiHidden/>
    <w:unhideWhenUsed/>
    <w:qFormat/>
    <w:uiPriority w:val="0"/>
    <w:rPr>
      <w:rFonts w:hint="eastAsia" w:ascii="微软雅黑" w:hAnsi="微软雅黑" w:eastAsia="微软雅黑" w:cs="微软雅黑"/>
      <w:color w:val="02396F"/>
      <w:u w:val="single"/>
    </w:rPr>
  </w:style>
  <w:style w:type="character" w:styleId="31">
    <w:name w:val="annotation reference"/>
    <w:basedOn w:val="27"/>
    <w:qFormat/>
    <w:uiPriority w:val="0"/>
    <w:rPr>
      <w:sz w:val="21"/>
      <w:szCs w:val="21"/>
    </w:rPr>
  </w:style>
  <w:style w:type="paragraph" w:styleId="32">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customStyle="1" w:styleId="33">
    <w:name w:val="表格文字"/>
    <w:basedOn w:val="1"/>
    <w:qFormat/>
    <w:uiPriority w:val="99"/>
    <w:pPr>
      <w:spacing w:before="25" w:after="25"/>
    </w:pPr>
    <w:rPr>
      <w:spacing w:val="10"/>
    </w:rPr>
  </w:style>
  <w:style w:type="character" w:customStyle="1" w:styleId="34">
    <w:name w:val="标题 2 Char"/>
    <w:link w:val="2"/>
    <w:qFormat/>
    <w:uiPriority w:val="0"/>
    <w:rPr>
      <w:rFonts w:ascii="宋体" w:hAnsi="宋体" w:eastAsia="宋体"/>
      <w:b/>
      <w:bCs/>
      <w:sz w:val="24"/>
      <w:lang w:val="en-US" w:eastAsia="zh-CN" w:bidi="ar-SA"/>
    </w:rPr>
  </w:style>
  <w:style w:type="character" w:customStyle="1" w:styleId="35">
    <w:name w:val="标题 1 Char"/>
    <w:link w:val="3"/>
    <w:qFormat/>
    <w:uiPriority w:val="9"/>
    <w:rPr>
      <w:rFonts w:ascii="宋体" w:hAnsi="宋体" w:eastAsia="黑体"/>
      <w:b/>
      <w:bCs/>
      <w:kern w:val="44"/>
      <w:sz w:val="28"/>
      <w:szCs w:val="44"/>
      <w:lang w:val="en-US" w:eastAsia="zh-CN" w:bidi="ar-SA"/>
    </w:rPr>
  </w:style>
  <w:style w:type="character" w:customStyle="1" w:styleId="36">
    <w:name w:val="普通(网站) Char"/>
    <w:link w:val="21"/>
    <w:qFormat/>
    <w:uiPriority w:val="0"/>
    <w:rPr>
      <w:kern w:val="2"/>
      <w:sz w:val="24"/>
      <w:szCs w:val="24"/>
    </w:rPr>
  </w:style>
  <w:style w:type="character" w:customStyle="1" w:styleId="37">
    <w:name w:val="标题 4 Char"/>
    <w:link w:val="5"/>
    <w:qFormat/>
    <w:uiPriority w:val="9"/>
    <w:rPr>
      <w:rFonts w:ascii="Arial" w:hAnsi="Arial" w:eastAsia="黑体"/>
      <w:b/>
      <w:bCs/>
      <w:kern w:val="2"/>
      <w:sz w:val="28"/>
      <w:szCs w:val="28"/>
      <w:lang w:val="en-US" w:eastAsia="zh-CN" w:bidi="ar-SA"/>
    </w:rPr>
  </w:style>
  <w:style w:type="character" w:customStyle="1" w:styleId="38">
    <w:name w:val="标题 3 Char1"/>
    <w:qFormat/>
    <w:uiPriority w:val="9"/>
    <w:rPr>
      <w:rFonts w:ascii="宋体" w:hAnsi="宋体" w:eastAsia="宋体"/>
      <w:b/>
      <w:bCs/>
      <w:kern w:val="2"/>
      <w:sz w:val="28"/>
      <w:szCs w:val="32"/>
      <w:lang w:val="en-US" w:eastAsia="zh-CN" w:bidi="ar-SA"/>
    </w:rPr>
  </w:style>
  <w:style w:type="character" w:customStyle="1" w:styleId="39">
    <w:name w:val="批注框文本 Char"/>
    <w:basedOn w:val="27"/>
    <w:link w:val="15"/>
    <w:qFormat/>
    <w:uiPriority w:val="0"/>
    <w:rPr>
      <w:sz w:val="18"/>
      <w:szCs w:val="18"/>
    </w:rPr>
  </w:style>
  <w:style w:type="character" w:customStyle="1" w:styleId="40">
    <w:name w:val="页眉 Char"/>
    <w:basedOn w:val="27"/>
    <w:link w:val="18"/>
    <w:qFormat/>
    <w:uiPriority w:val="0"/>
    <w:rPr>
      <w:sz w:val="18"/>
      <w:szCs w:val="18"/>
    </w:rPr>
  </w:style>
  <w:style w:type="character" w:customStyle="1" w:styleId="41">
    <w:name w:val="页脚 Char"/>
    <w:basedOn w:val="27"/>
    <w:link w:val="16"/>
    <w:qFormat/>
    <w:uiPriority w:val="0"/>
    <w:rPr>
      <w:sz w:val="18"/>
      <w:szCs w:val="18"/>
    </w:rPr>
  </w:style>
  <w:style w:type="character" w:customStyle="1" w:styleId="42">
    <w:name w:val="批注文字 Char"/>
    <w:basedOn w:val="27"/>
    <w:link w:val="8"/>
    <w:qFormat/>
    <w:uiPriority w:val="0"/>
    <w:rPr>
      <w:sz w:val="24"/>
      <w:szCs w:val="24"/>
    </w:rPr>
  </w:style>
  <w:style w:type="character" w:customStyle="1" w:styleId="43">
    <w:name w:val="批注主题 Char"/>
    <w:basedOn w:val="42"/>
    <w:link w:val="23"/>
    <w:qFormat/>
    <w:uiPriority w:val="0"/>
    <w:rPr>
      <w:b/>
      <w:bCs/>
      <w:sz w:val="24"/>
      <w:szCs w:val="24"/>
    </w:rPr>
  </w:style>
  <w:style w:type="character" w:customStyle="1" w:styleId="44">
    <w:name w:val="纯文本 Char"/>
    <w:basedOn w:val="27"/>
    <w:link w:val="14"/>
    <w:semiHidden/>
    <w:qFormat/>
    <w:uiPriority w:val="99"/>
    <w:rPr>
      <w:rFonts w:ascii="宋体" w:hAnsi="Courier New" w:eastAsia="宋体"/>
      <w:kern w:val="2"/>
      <w:sz w:val="21"/>
    </w:rPr>
  </w:style>
  <w:style w:type="paragraph" w:styleId="45">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6">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7">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8">
    <w:name w:val="NormalCharacter"/>
    <w:semiHidden/>
    <w:qFormat/>
    <w:uiPriority w:val="0"/>
    <w:rPr>
      <w:kern w:val="2"/>
      <w:sz w:val="21"/>
      <w:szCs w:val="24"/>
      <w:lang w:val="en-US" w:eastAsia="zh-CN" w:bidi="ar-SA"/>
    </w:rPr>
  </w:style>
  <w:style w:type="character" w:customStyle="1" w:styleId="49">
    <w:name w:val="标题 3 Char"/>
    <w:link w:val="4"/>
    <w:qFormat/>
    <w:uiPriority w:val="0"/>
    <w:rPr>
      <w:rFonts w:ascii="宋体" w:hAnsi="宋体" w:eastAsia="宋体"/>
      <w:b/>
      <w:kern w:val="2"/>
      <w:sz w:val="28"/>
    </w:rPr>
  </w:style>
  <w:style w:type="paragraph" w:customStyle="1" w:styleId="50">
    <w:name w:val="Default"/>
    <w:next w:val="9"/>
    <w:qFormat/>
    <w:uiPriority w:val="0"/>
    <w:pPr>
      <w:widowControl w:val="0"/>
    </w:pPr>
    <w:rPr>
      <w:rFonts w:ascii="Arial Narrow" w:hAnsi="Arial Narrow" w:eastAsia="宋体" w:cs="Arial Narrow"/>
      <w:color w:val="000000"/>
      <w:kern w:val="2"/>
      <w:sz w:val="24"/>
      <w:lang w:val="en-US" w:eastAsia="zh-CN" w:bidi="ar-SA"/>
    </w:rPr>
  </w:style>
  <w:style w:type="paragraph" w:customStyle="1" w:styleId="51">
    <w:name w:val="题注4"/>
    <w:basedOn w:val="1"/>
    <w:next w:val="7"/>
    <w:qFormat/>
    <w:uiPriority w:val="0"/>
    <w:pPr>
      <w:ind w:left="-132" w:leftChars="-64" w:right="-105" w:rightChars="-50" w:hanging="2"/>
      <w:jc w:val="center"/>
    </w:pPr>
    <w:rPr>
      <w:b/>
      <w:color w:val="FF0000"/>
      <w:szCs w:val="21"/>
      <w:lang w:val="en-GB"/>
    </w:rPr>
  </w:style>
  <w:style w:type="paragraph" w:customStyle="1" w:styleId="52">
    <w:name w:val="*正文"/>
    <w:basedOn w:val="1"/>
    <w:qFormat/>
    <w:uiPriority w:val="0"/>
    <w:pPr>
      <w:spacing w:line="360" w:lineRule="auto"/>
      <w:ind w:firstLine="200" w:firstLineChars="200"/>
    </w:pPr>
    <w:rPr>
      <w:rFonts w:ascii="仿宋_GB2312" w:hAnsi="Calibri"/>
      <w:szCs w:val="28"/>
      <w:lang w:val="zh-CN"/>
    </w:rPr>
  </w:style>
  <w:style w:type="paragraph" w:customStyle="1" w:styleId="53">
    <w:name w:val="二号标题"/>
    <w:basedOn w:val="1"/>
    <w:qFormat/>
    <w:uiPriority w:val="0"/>
    <w:pPr>
      <w:tabs>
        <w:tab w:val="left" w:pos="663"/>
      </w:tabs>
      <w:spacing w:before="200"/>
      <w:outlineLvl w:val="1"/>
    </w:pPr>
    <w:rPr>
      <w:rFonts w:eastAsia="黑体"/>
      <w:b/>
      <w:bCs/>
      <w:sz w:val="28"/>
      <w:szCs w:val="28"/>
    </w:rPr>
  </w:style>
  <w:style w:type="paragraph" w:customStyle="1" w:styleId="54">
    <w:name w:val="王越的表格"/>
    <w:basedOn w:val="1"/>
    <w:qFormat/>
    <w:uiPriority w:val="0"/>
    <w:pPr>
      <w:widowControl w:val="0"/>
    </w:pPr>
    <w:rPr>
      <w:kern w:val="2"/>
    </w:rPr>
  </w:style>
  <w:style w:type="character" w:customStyle="1" w:styleId="55">
    <w:name w:val="qxdate"/>
    <w:basedOn w:val="27"/>
    <w:qFormat/>
    <w:uiPriority w:val="0"/>
    <w:rPr>
      <w:color w:val="333333"/>
      <w:sz w:val="18"/>
      <w:szCs w:val="18"/>
    </w:rPr>
  </w:style>
  <w:style w:type="character" w:customStyle="1" w:styleId="56">
    <w:name w:val="cfdate"/>
    <w:basedOn w:val="27"/>
    <w:qFormat/>
    <w:uiPriority w:val="0"/>
    <w:rPr>
      <w:color w:val="333333"/>
      <w:sz w:val="18"/>
      <w:szCs w:val="18"/>
    </w:rPr>
  </w:style>
  <w:style w:type="character" w:customStyle="1" w:styleId="57">
    <w:name w:val="redfilefwwh"/>
    <w:basedOn w:val="27"/>
    <w:qFormat/>
    <w:uiPriority w:val="0"/>
    <w:rPr>
      <w:color w:val="BA2636"/>
      <w:sz w:val="18"/>
      <w:szCs w:val="18"/>
    </w:rPr>
  </w:style>
  <w:style w:type="character" w:customStyle="1" w:styleId="58">
    <w:name w:val="redfilenumber"/>
    <w:basedOn w:val="27"/>
    <w:qFormat/>
    <w:uiPriority w:val="0"/>
    <w:rPr>
      <w:color w:val="BA2636"/>
      <w:sz w:val="18"/>
      <w:szCs w:val="18"/>
    </w:rPr>
  </w:style>
  <w:style w:type="character" w:customStyle="1" w:styleId="59">
    <w:name w:val="gjfg"/>
    <w:basedOn w:val="27"/>
    <w:qFormat/>
    <w:uiPriority w:val="0"/>
  </w:style>
  <w:style w:type="character" w:customStyle="1" w:styleId="60">
    <w:name w:val="prev"/>
    <w:basedOn w:val="27"/>
    <w:qFormat/>
    <w:uiPriority w:val="0"/>
    <w:rPr>
      <w:rFonts w:ascii="微软雅黑" w:hAnsi="微软雅黑" w:eastAsia="微软雅黑" w:cs="微软雅黑"/>
      <w:sz w:val="21"/>
      <w:szCs w:val="21"/>
    </w:rPr>
  </w:style>
  <w:style w:type="character" w:customStyle="1" w:styleId="61">
    <w:name w:val="next"/>
    <w:basedOn w:val="27"/>
    <w:qFormat/>
    <w:uiPriority w:val="0"/>
    <w:rPr>
      <w:rFonts w:hint="eastAsia" w:ascii="微软雅黑" w:hAnsi="微软雅黑" w:eastAsia="微软雅黑" w:cs="微软雅黑"/>
      <w:sz w:val="21"/>
      <w:szCs w:val="21"/>
    </w:rPr>
  </w:style>
  <w:style w:type="character" w:customStyle="1" w:styleId="62">
    <w:name w:val="next1"/>
    <w:basedOn w:val="27"/>
    <w:qFormat/>
    <w:uiPriority w:val="0"/>
    <w:rPr>
      <w:color w:val="888888"/>
    </w:rPr>
  </w:style>
  <w:style w:type="character" w:customStyle="1" w:styleId="63">
    <w:name w:val="displayarti"/>
    <w:basedOn w:val="27"/>
    <w:qFormat/>
    <w:uiPriority w:val="0"/>
    <w:rPr>
      <w:color w:val="FFFFFF"/>
      <w:shd w:val="clear" w:color="auto" w:fill="A00000"/>
    </w:rPr>
  </w:style>
  <w:style w:type="character" w:customStyle="1" w:styleId="64">
    <w:name w:val="纯文本 字符"/>
    <w:qFormat/>
    <w:uiPriority w:val="0"/>
    <w:rPr>
      <w:rFonts w:ascii="宋体" w:hAnsi="Courier New" w:eastAsia="宋体"/>
      <w:kern w:val="2"/>
      <w:sz w:val="21"/>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正文"/>
    <w:basedOn w:val="1"/>
    <w:qFormat/>
    <w:uiPriority w:val="0"/>
    <w:pPr>
      <w:spacing w:beforeLines="50"/>
      <w:ind w:firstLine="200" w:firstLineChars="200"/>
    </w:pPr>
    <w:rPr>
      <w:rFonts w:ascii="Calibri" w:hAnsi="Calibri" w:eastAsia="华文仿宋"/>
      <w:szCs w:val="22"/>
    </w:rPr>
  </w:style>
  <w:style w:type="paragraph" w:customStyle="1" w:styleId="71">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72">
    <w:name w:val="Body Text Indent Char"/>
    <w:link w:val="73"/>
    <w:qFormat/>
    <w:uiPriority w:val="0"/>
    <w:rPr>
      <w:rFonts w:ascii="仿宋_GB2312" w:eastAsia="仿宋_GB2312"/>
      <w:sz w:val="32"/>
    </w:rPr>
  </w:style>
  <w:style w:type="paragraph" w:customStyle="1" w:styleId="73">
    <w:name w:val="正文文本缩进1"/>
    <w:basedOn w:val="1"/>
    <w:link w:val="72"/>
    <w:qFormat/>
    <w:uiPriority w:val="0"/>
    <w:pPr>
      <w:ind w:firstLine="830" w:firstLineChars="352"/>
    </w:pPr>
    <w:rPr>
      <w:rFonts w:ascii="仿宋_GB2312" w:eastAsia="仿宋_GB2312"/>
      <w:sz w:val="32"/>
    </w:rPr>
  </w:style>
  <w:style w:type="paragraph" w:customStyle="1" w:styleId="74">
    <w:name w:val="样式2"/>
    <w:basedOn w:val="2"/>
    <w:qFormat/>
    <w:uiPriority w:val="0"/>
    <w:pPr>
      <w:spacing w:before="0" w:after="0" w:line="360" w:lineRule="auto"/>
      <w:ind w:left="482" w:hanging="482" w:hangingChars="200"/>
    </w:pPr>
    <w:rPr>
      <w:rFonts w:cs="Times New Roman"/>
      <w:kern w:val="44"/>
      <w:sz w:val="24"/>
      <w:szCs w:val="24"/>
      <w:shd w:val="clear" w:color="auto" w:fill="FFFFFF"/>
      <w:lang w:val="hr-H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167</Words>
  <Characters>179</Characters>
  <Lines>127</Lines>
  <Paragraphs>35</Paragraphs>
  <TotalTime>2</TotalTime>
  <ScaleCrop>false</ScaleCrop>
  <LinksUpToDate>false</LinksUpToDate>
  <CharactersWithSpaces>217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沈少敏（区耳鼻咽喉医院）</cp:lastModifiedBy>
  <cp:lastPrinted>2024-07-04T03:35:00Z</cp:lastPrinted>
  <dcterms:modified xsi:type="dcterms:W3CDTF">2025-09-15T07:51:17Z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B58A73CBDBE8459B994A0BE9196C1E53</vt:lpwstr>
  </property>
  <property fmtid="{D5CDD505-2E9C-101B-9397-08002B2CF9AE}" pid="4" name="KSOTemplateDocerSaveRecord">
    <vt:lpwstr>eyJoZGlkIjoiZWNlMGI2NzFjZDAyMzZkOTE4OTkyMDZmODFlZjcwMWQiLCJ1c2VySWQiOiIyNTA5OTM3OTcifQ==</vt:lpwstr>
  </property>
</Properties>
</file>