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rPr>
      </w:pPr>
    </w:p>
    <w:p>
      <w:pPr>
        <w:jc w:val="center"/>
        <w:rPr>
          <w:rFonts w:ascii="宋体" w:hAnsi="宋体"/>
          <w:b/>
          <w:bCs/>
          <w:sz w:val="44"/>
        </w:rPr>
      </w:pPr>
      <w:r>
        <w:rPr>
          <w:rFonts w:hint="eastAsia" w:ascii="宋体" w:hAnsi="宋体"/>
          <w:b/>
          <w:bCs/>
          <w:sz w:val="44"/>
        </w:rPr>
        <w:t>深圳市龙岗区第七人民医院</w:t>
      </w:r>
    </w:p>
    <w:p>
      <w:pPr>
        <w:jc w:val="center"/>
        <w:rPr>
          <w:rFonts w:ascii="宋体" w:hAnsi="宋体"/>
          <w:b/>
          <w:bCs/>
          <w:sz w:val="44"/>
        </w:rPr>
      </w:pPr>
      <w:r>
        <w:rPr>
          <w:rFonts w:hint="eastAsia" w:ascii="宋体" w:hAnsi="宋体"/>
          <w:b/>
          <w:bCs/>
          <w:sz w:val="44"/>
        </w:rPr>
        <w:t>院内采购标书</w:t>
      </w:r>
    </w:p>
    <w:p>
      <w:pPr>
        <w:rPr>
          <w:rFonts w:ascii="宋体" w:hAnsi="宋体"/>
          <w:b/>
          <w:bCs/>
          <w:sz w:val="44"/>
        </w:rPr>
      </w:pPr>
    </w:p>
    <w:p>
      <w:pPr>
        <w:jc w:val="center"/>
        <w:rPr>
          <w:rFonts w:ascii="宋体" w:hAnsi="宋体"/>
          <w:b/>
          <w:bCs/>
          <w:sz w:val="44"/>
        </w:rPr>
      </w:pPr>
      <w:r>
        <w:rPr>
          <w:rFonts w:hint="eastAsia" w:ascii="宋体" w:hAnsi="宋体"/>
          <w:b/>
          <w:bCs/>
          <w:sz w:val="44"/>
        </w:rPr>
        <w:t>招标文件信息</w:t>
      </w:r>
    </w:p>
    <w:p>
      <w:pPr>
        <w:jc w:val="center"/>
        <w:rPr>
          <w:rFonts w:ascii="宋体" w:hAnsi="宋体"/>
          <w:b/>
          <w:bCs/>
          <w:sz w:val="44"/>
        </w:rPr>
      </w:pPr>
    </w:p>
    <w:p>
      <w:pPr>
        <w:pStyle w:val="9"/>
      </w:pP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采购项目：</w:t>
      </w:r>
      <w:r>
        <w:rPr>
          <w:rFonts w:hint="eastAsia" w:ascii="仿宋_GB2312" w:hAnsi="仿宋_GB2312" w:eastAsia="仿宋_GB2312" w:cs="仿宋_GB2312"/>
          <w:sz w:val="36"/>
          <w:szCs w:val="36"/>
        </w:rPr>
        <w:t>深圳市龙岗区第七人民医院机房迁移项目</w:t>
      </w:r>
    </w:p>
    <w:p>
      <w:pPr>
        <w:snapToGrid w:val="0"/>
        <w:spacing w:line="360" w:lineRule="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sz w:val="36"/>
          <w:szCs w:val="36"/>
        </w:rPr>
        <w:t>深龙七医采[LGQY2025XX004]</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rPr>
        <w:t>服务类</w:t>
      </w:r>
    </w:p>
    <w:p>
      <w:pPr>
        <w:snapToGrid w:val="0"/>
        <w:spacing w:line="360" w:lineRule="auto"/>
        <w:rPr>
          <w:rFonts w:eastAsia="仿宋_GB2312"/>
        </w:rPr>
      </w:pP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rPr>
        <w:t>1项</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院内公开采购</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：人民币</w:t>
      </w:r>
    </w:p>
    <w:p>
      <w:pPr>
        <w:pStyle w:val="10"/>
        <w:rPr>
          <w:rFonts w:hint="default"/>
        </w:rPr>
      </w:pPr>
    </w:p>
    <w:p>
      <w:pPr>
        <w:pStyle w:val="10"/>
        <w:rPr>
          <w:rFonts w:hint="default"/>
          <w:szCs w:val="20"/>
        </w:rPr>
      </w:pPr>
    </w:p>
    <w:p>
      <w:pPr>
        <w:pStyle w:val="5"/>
      </w:pPr>
    </w:p>
    <w:p/>
    <w:p>
      <w:pPr>
        <w:pStyle w:val="2"/>
      </w:pPr>
    </w:p>
    <w:p/>
    <w:p>
      <w:pPr>
        <w:pStyle w:val="2"/>
        <w:ind w:firstLine="1920" w:firstLineChars="600"/>
        <w:rPr>
          <w:rFonts w:cs="宋体"/>
          <w:sz w:val="40"/>
          <w:szCs w:val="40"/>
        </w:rPr>
      </w:pPr>
      <w:r>
        <w:rPr>
          <w:rFonts w:ascii="仿宋_GB2312" w:hAnsi="仿宋_GB2312" w:eastAsia="仿宋_GB2312" w:cs="仿宋_GB2312"/>
          <w:sz w:val="32"/>
          <w:szCs w:val="32"/>
        </w:rPr>
        <w:t>日期：     年    月    日</w:t>
      </w:r>
    </w:p>
    <w:p>
      <w:pPr>
        <w:spacing w:line="360" w:lineRule="auto"/>
        <w:rPr>
          <w:rFonts w:ascii="宋体" w:hAnsi="宋体" w:cs="宋体"/>
          <w:b/>
          <w:bCs/>
          <w:sz w:val="40"/>
          <w:szCs w:val="40"/>
        </w:rPr>
      </w:pPr>
    </w:p>
    <w:p>
      <w:pPr>
        <w:spacing w:line="360" w:lineRule="auto"/>
        <w:jc w:val="center"/>
        <w:rPr>
          <w:rFonts w:ascii="宋体" w:hAnsi="宋体" w:cs="宋体"/>
          <w:b/>
          <w:bCs/>
          <w:sz w:val="40"/>
          <w:szCs w:val="40"/>
        </w:rPr>
      </w:pPr>
    </w:p>
    <w:p>
      <w:pPr>
        <w:pStyle w:val="9"/>
      </w:pPr>
    </w:p>
    <w:p>
      <w:pPr>
        <w:spacing w:line="360" w:lineRule="auto"/>
        <w:jc w:val="center"/>
        <w:rPr>
          <w:rFonts w:ascii="仿宋_GB2312" w:hAnsi="仿宋_GB2312" w:eastAsia="仿宋_GB2312" w:cs="仿宋_GB2312"/>
          <w:b/>
          <w:bCs/>
          <w:sz w:val="36"/>
          <w:szCs w:val="36"/>
        </w:rPr>
      </w:pPr>
      <w:r>
        <w:rPr>
          <w:rFonts w:hint="eastAsia" w:ascii="宋体" w:hAnsi="宋体" w:cs="宋体"/>
          <w:b/>
          <w:bCs/>
          <w:sz w:val="40"/>
          <w:szCs w:val="40"/>
        </w:rPr>
        <w:t>第一章</w:t>
      </w:r>
    </w:p>
    <w:p>
      <w:pPr>
        <w:pStyle w:val="25"/>
        <w:spacing w:line="460" w:lineRule="exact"/>
        <w:ind w:firstLine="0" w:firstLineChars="0"/>
        <w:jc w:val="center"/>
        <w:rPr>
          <w:rFonts w:ascii="宋体" w:hAnsi="宋体" w:eastAsia="宋体" w:cs="黑体"/>
          <w:color w:val="000000"/>
          <w:kern w:val="0"/>
          <w:sz w:val="40"/>
          <w:szCs w:val="40"/>
        </w:rPr>
      </w:pPr>
      <w:r>
        <w:rPr>
          <w:rFonts w:hint="eastAsia" w:ascii="宋体" w:hAnsi="宋体" w:eastAsia="宋体" w:cs="黑体"/>
          <w:color w:val="000000"/>
          <w:kern w:val="0"/>
          <w:sz w:val="40"/>
          <w:szCs w:val="40"/>
        </w:rPr>
        <w:t>深圳市龙岗区第七人民医院机房迁移项目院内</w:t>
      </w:r>
    </w:p>
    <w:p>
      <w:pPr>
        <w:pStyle w:val="25"/>
        <w:spacing w:line="460" w:lineRule="exact"/>
        <w:ind w:firstLine="0" w:firstLineChars="0"/>
        <w:jc w:val="center"/>
        <w:rPr>
          <w:rFonts w:ascii="宋体" w:hAnsi="宋体" w:eastAsia="宋体" w:cs="黑体"/>
          <w:color w:val="000000"/>
          <w:kern w:val="0"/>
          <w:sz w:val="40"/>
          <w:szCs w:val="40"/>
        </w:rPr>
      </w:pPr>
      <w:r>
        <w:rPr>
          <w:rFonts w:hint="eastAsia" w:ascii="宋体" w:hAnsi="宋体" w:eastAsia="宋体" w:cs="黑体"/>
          <w:color w:val="000000"/>
          <w:kern w:val="0"/>
          <w:sz w:val="40"/>
          <w:szCs w:val="40"/>
        </w:rPr>
        <w:t>公开采购的公告</w:t>
      </w:r>
    </w:p>
    <w:p>
      <w:pPr>
        <w:spacing w:line="480" w:lineRule="exact"/>
        <w:ind w:firstLine="560" w:firstLineChars="200"/>
        <w:rPr>
          <w:rFonts w:ascii="仿宋_GB2312" w:hAnsi="宋体" w:eastAsia="仿宋_GB2312"/>
          <w:sz w:val="28"/>
          <w:szCs w:val="28"/>
        </w:rPr>
      </w:pP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根据政府采购的相关规定和《深圳市龙岗区第七人民医院采购管理办法》的有关规定，我院拟对以下项目进行院内公开招标，欢迎符合条件具有供应能力的供应商前来报名参加。</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一、采购项目</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（一）项目编号：深龙七医采[LGQY2025XX004]</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（二）项目名称：深圳市龙岗区第七人民医院机房迁移项目</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（三）采购数量：1项</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（四）预算金额/最高限价：19万元</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二、资质要求</w:t>
      </w:r>
    </w:p>
    <w:p>
      <w:pPr>
        <w:pStyle w:val="25"/>
      </w:pPr>
      <w:r>
        <w:rPr>
          <w:rFonts w:hint="eastAsia"/>
        </w:rPr>
        <w:t>（一）满足《中华人民共和国政府采购法》第二十二条规定（须提供具有独立承担民事责任能力的法人或其他组织或个体工商户的营业执照或法人证书等证明材料复印件或扫描件）。如果是分支机构参与投标，还须同时提供其具有独立法人资格的上级主体出具的有效授权书及上级主体的营业执照或法人证书等证明材料的复印件或扫描件加盖投标人公章；本项目不接受总公司与分支机构同时参与投标，也不接受同一总公司有两个或以上分支机构参与投标，如出现以上情形，该两家或以上投标人均按无效投标处理。</w:t>
      </w:r>
    </w:p>
    <w:p>
      <w:pPr>
        <w:pStyle w:val="25"/>
      </w:pPr>
      <w:r>
        <w:rPr>
          <w:rFonts w:hint="eastAsia"/>
        </w:rPr>
        <w:t>（二）本项目的特定资格要求（须按本项目投标文件格式要求提供《投标及履约承诺函》加盖投标人公章）：</w:t>
      </w:r>
    </w:p>
    <w:p>
      <w:pPr>
        <w:pStyle w:val="25"/>
      </w:pPr>
      <w:r>
        <w:rPr>
          <w:rFonts w:hint="eastAsia"/>
        </w:rPr>
        <w:t>1.参与本项目采购活动前三年内，在经营活动中没有重大违法记录；</w:t>
      </w:r>
    </w:p>
    <w:p>
      <w:pPr>
        <w:pStyle w:val="25"/>
      </w:pPr>
      <w:r>
        <w:rPr>
          <w:rFonts w:hint="eastAsia"/>
        </w:rPr>
        <w:t>2.参与本项目采购活动时不存在被有关部门禁止参与政府采购活动且在有效期内的情况；</w:t>
      </w:r>
    </w:p>
    <w:p>
      <w:pPr>
        <w:pStyle w:val="25"/>
      </w:pPr>
      <w:r>
        <w:rPr>
          <w:rFonts w:hint="eastAsia"/>
        </w:rPr>
        <w:t>3.除单一来源采购项目外，为采购项目提供整体设计、规范编制或者项目管理、监理、检测等服务的供应商，不得再参加该采购项目的其他采购活动；</w:t>
      </w:r>
    </w:p>
    <w:p>
      <w:pPr>
        <w:pStyle w:val="25"/>
      </w:pPr>
      <w:r>
        <w:rPr>
          <w:rFonts w:hint="eastAsia"/>
        </w:rPr>
        <w:t>4.参与本项目采购活动不存在与其他采购参加人串通投标，隐瞒真实情况，提供虚假资料等违法违规情形；</w:t>
      </w:r>
    </w:p>
    <w:p>
      <w:pPr>
        <w:pStyle w:val="25"/>
      </w:pPr>
      <w:r>
        <w:rPr>
          <w:rFonts w:hint="eastAsia"/>
        </w:rPr>
        <w:t>5.单位负责人为同一人或者存在直接控股、管理关系的不同供应商，不得参加同一合同项下的政府采购活动；不同供应商的法定代表人、主要经营负责人、项目投标授权代表人、项目负责人、主要技术人员不得为同一人、属于同一单位或者在同一单位缴纳社会保险；不同投标供应商的投标文件不得由同一单位或者同一人编制；</w:t>
      </w:r>
    </w:p>
    <w:p>
      <w:pPr>
        <w:pStyle w:val="25"/>
      </w:pPr>
      <w:r>
        <w:rPr>
          <w:rFonts w:hint="eastAsia"/>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市政府采购监管网为投标人信用信息查询渠道，相关信息以开标当日的查询结果为准）；</w:t>
      </w:r>
    </w:p>
    <w:p>
      <w:pPr>
        <w:pStyle w:val="25"/>
        <w:rPr>
          <w:rStyle w:val="23"/>
          <w:rFonts w:ascii="Calibri" w:hAnsi="Calibri" w:eastAsia="宋体" w:cs="黑体"/>
          <w:color w:val="auto"/>
        </w:rPr>
      </w:pPr>
      <w:r>
        <w:rPr>
          <w:rFonts w:hint="eastAsia"/>
        </w:rPr>
        <w:t>7.法律、行政法规和国家有关规定对供应商从事特定经营活动有资质、资格规定的，供应商应当具备的相应条件；</w:t>
      </w:r>
    </w:p>
    <w:p>
      <w:pPr>
        <w:pStyle w:val="25"/>
        <w:rPr>
          <w:rStyle w:val="23"/>
          <w:rFonts w:ascii="Calibri" w:hAnsi="Calibri" w:eastAsia="宋体" w:cs="黑体"/>
          <w:color w:val="auto"/>
        </w:rPr>
      </w:pPr>
      <w:r>
        <w:rPr>
          <w:rFonts w:hint="eastAsia"/>
        </w:rPr>
        <w:t>8.本项目不接受联合体投标，不允许非法分包或转包。</w:t>
      </w:r>
    </w:p>
    <w:p>
      <w:pPr>
        <w:pStyle w:val="25"/>
      </w:pPr>
      <w:r>
        <w:rPr>
          <w:rFonts w:hint="eastAsia"/>
        </w:rPr>
        <w:t>所有资质文件均需在有效期内并加盖投标方公章。</w:t>
      </w:r>
    </w:p>
    <w:p>
      <w:pPr>
        <w:pStyle w:val="26"/>
        <w:spacing w:line="400" w:lineRule="exact"/>
        <w:ind w:firstLine="560"/>
        <w:jc w:val="left"/>
        <w:rPr>
          <w:rFonts w:ascii="仿宋_GB2312" w:hAnsi="仿宋_GB2312" w:eastAsia="仿宋_GB2312" w:cs="仿宋_GB2312"/>
          <w:sz w:val="28"/>
          <w:szCs w:val="28"/>
        </w:rPr>
      </w:pPr>
      <w:r>
        <w:rPr>
          <w:rFonts w:ascii="仿宋_GB2312" w:hAnsi="仿宋_GB2312" w:eastAsia="仿宋_GB2312" w:cs="仿宋_GB2312"/>
          <w:sz w:val="28"/>
          <w:szCs w:val="28"/>
        </w:rPr>
        <w:t>三</w:t>
      </w:r>
      <w:r>
        <w:rPr>
          <w:rFonts w:hint="eastAsia" w:ascii="仿宋_GB2312" w:hAnsi="仿宋_GB2312" w:eastAsia="仿宋_GB2312" w:cs="仿宋_GB2312"/>
          <w:sz w:val="28"/>
          <w:szCs w:val="28"/>
        </w:rPr>
        <w:t>、采购方式：院内公开招标</w:t>
      </w:r>
    </w:p>
    <w:p>
      <w:pPr>
        <w:pStyle w:val="26"/>
        <w:spacing w:line="400" w:lineRule="exact"/>
        <w:ind w:firstLine="560"/>
        <w:jc w:val="left"/>
        <w:rPr>
          <w:rFonts w:ascii="仿宋_GB2312" w:hAnsi="仿宋_GB2312" w:eastAsia="仿宋_GB2312" w:cs="仿宋_GB2312"/>
          <w:sz w:val="28"/>
          <w:szCs w:val="28"/>
        </w:rPr>
      </w:pPr>
      <w:r>
        <w:rPr>
          <w:rFonts w:ascii="仿宋_GB2312" w:hAnsi="仿宋_GB2312" w:eastAsia="仿宋_GB2312" w:cs="仿宋_GB2312"/>
          <w:sz w:val="28"/>
          <w:szCs w:val="28"/>
        </w:rPr>
        <w:t>四</w:t>
      </w:r>
      <w:r>
        <w:rPr>
          <w:rFonts w:hint="eastAsia" w:ascii="仿宋_GB2312" w:hAnsi="仿宋_GB2312" w:eastAsia="仿宋_GB2312" w:cs="仿宋_GB2312"/>
          <w:sz w:val="28"/>
          <w:szCs w:val="28"/>
        </w:rPr>
        <w:t>、评标方法：综合评分法</w:t>
      </w:r>
    </w:p>
    <w:p>
      <w:pPr>
        <w:pStyle w:val="26"/>
        <w:spacing w:line="400" w:lineRule="exact"/>
        <w:ind w:firstLine="560"/>
        <w:jc w:val="left"/>
        <w:rPr>
          <w:rFonts w:ascii="仿宋_GB2312" w:hAnsi="仿宋_GB2312" w:eastAsia="仿宋_GB2312" w:cs="仿宋_GB2312"/>
          <w:sz w:val="28"/>
          <w:szCs w:val="28"/>
        </w:rPr>
      </w:pPr>
      <w:r>
        <w:rPr>
          <w:rFonts w:ascii="仿宋_GB2312" w:hAnsi="仿宋_GB2312" w:eastAsia="仿宋_GB2312" w:cs="仿宋_GB2312"/>
          <w:sz w:val="28"/>
          <w:szCs w:val="28"/>
        </w:rPr>
        <w:t>五</w:t>
      </w:r>
      <w:r>
        <w:rPr>
          <w:rFonts w:hint="eastAsia" w:ascii="仿宋_GB2312" w:hAnsi="仿宋_GB2312" w:eastAsia="仿宋_GB2312" w:cs="仿宋_GB2312"/>
          <w:sz w:val="28"/>
          <w:szCs w:val="28"/>
        </w:rPr>
        <w:t>、投标人报名资料要求</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（一）院内采购报名表。</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（二）法定代表人参加的提供法定代表人资格证明书及个人身份证复印件；非法定代表人参加的须提供法定代表人资格证明书及法定代表人身份证复印件、法定代表人授权书及授权代表人身份证复印件。</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（三）供应商须提供具有独立承担民事责任能力的法人或其他组织或个体工商户的营业执照或法人证书等证明材料复印件或扫描件。</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（四）供应商基本情况表（须按本项目投标文件格式要求提供《供应商基本情况表》相关信息）。</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（五）提供法定代表人、主要经营负责人、投标授权代表人、项目负责人（如有）、主要技术人员（如有）最近一个月的社保证明。</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（六）通过以下3个官网的信用信息查询记录网络截图件并加盖投标人公章：①信用中国②中国政府采购网③深圳市政府采购监管网。相关信息以开标当日的查询结果为准。</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（七）投标及履约承诺函。</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以上资料均需在有效期内并加盖投标方公章。本项目实行资格预审，投标人报名时将进行资格审查，未经审查或审查未通过的不能参与投标。</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六、报名截止时间及地点：2025年9月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日17:00，简竹护理院行政楼三楼招采办。</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七、递交投标文件及开标时间及地点：2025年9月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:00，深圳市龙岗区南湾街道吉厦社区简竹路12号简竹护理院行政楼五楼活动室（如有变动，另行通知）。</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八、联系人及联系电话：陈女士，0755-2</w:t>
      </w:r>
      <w:bookmarkStart w:id="24" w:name="_GoBack"/>
      <w:bookmarkEnd w:id="24"/>
      <w:r>
        <w:rPr>
          <w:rFonts w:hint="eastAsia" w:ascii="仿宋_GB2312" w:hAnsi="仿宋_GB2312" w:eastAsia="仿宋_GB2312" w:cs="仿宋_GB2312"/>
          <w:sz w:val="28"/>
          <w:szCs w:val="28"/>
        </w:rPr>
        <w:t>8740471。</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九、公告日期：自公告发布之日起5个工作日。</w:t>
      </w:r>
    </w:p>
    <w:p>
      <w:pPr>
        <w:pStyle w:val="26"/>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26"/>
        <w:spacing w:line="400" w:lineRule="exact"/>
        <w:ind w:firstLine="56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25"/>
      </w:pPr>
      <w:r>
        <w:rPr>
          <w:rFonts w:hint="eastAsia"/>
        </w:rPr>
        <w:t>2.</w:t>
      </w:r>
      <w:r>
        <w:rPr>
          <w:rFonts w:hint="eastAsia" w:hAnsi="宋体"/>
        </w:rPr>
        <w:t>深圳市龙岗区第七人民医院机房迁移项目招标</w:t>
      </w:r>
      <w:r>
        <w:rPr>
          <w:rFonts w:hint="eastAsia"/>
        </w:rPr>
        <w:t>文件</w:t>
      </w:r>
    </w:p>
    <w:p>
      <w:pPr>
        <w:pStyle w:val="26"/>
        <w:spacing w:line="400" w:lineRule="exact"/>
        <w:ind w:firstLine="0" w:firstLineChars="0"/>
        <w:rPr>
          <w:rFonts w:ascii="仿宋_GB2312" w:eastAsia="仿宋_GB2312"/>
          <w:sz w:val="28"/>
          <w:szCs w:val="28"/>
        </w:rPr>
      </w:pPr>
    </w:p>
    <w:p>
      <w:pPr>
        <w:pStyle w:val="26"/>
        <w:spacing w:line="400" w:lineRule="exact"/>
        <w:ind w:firstLine="0" w:firstLineChars="0"/>
        <w:rPr>
          <w:rFonts w:ascii="仿宋_GB2312" w:eastAsia="仿宋_GB2312"/>
          <w:sz w:val="28"/>
          <w:szCs w:val="28"/>
        </w:rPr>
      </w:pPr>
    </w:p>
    <w:p>
      <w:pPr>
        <w:pStyle w:val="26"/>
        <w:spacing w:line="400" w:lineRule="exact"/>
        <w:ind w:firstLine="560"/>
        <w:jc w:val="center"/>
        <w:rPr>
          <w:rFonts w:ascii="仿宋_GB2312" w:eastAsia="仿宋_GB2312"/>
          <w:sz w:val="28"/>
          <w:szCs w:val="28"/>
        </w:rPr>
      </w:pPr>
      <w:r>
        <w:rPr>
          <w:rFonts w:hint="eastAsia" w:ascii="仿宋_GB2312" w:eastAsia="仿宋_GB2312"/>
          <w:sz w:val="28"/>
          <w:szCs w:val="28"/>
        </w:rPr>
        <w:t xml:space="preserve">                             深圳市龙岗区第七人民医院</w:t>
      </w:r>
    </w:p>
    <w:p>
      <w:pPr>
        <w:pStyle w:val="26"/>
        <w:spacing w:line="400" w:lineRule="exact"/>
        <w:ind w:firstLine="560"/>
        <w:jc w:val="center"/>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color w:val="FFC000"/>
          <w:sz w:val="28"/>
          <w:szCs w:val="28"/>
        </w:rPr>
        <w:t xml:space="preserve">  </w:t>
      </w:r>
      <w:r>
        <w:rPr>
          <w:rFonts w:hint="eastAsia" w:ascii="仿宋_GB2312" w:eastAsia="仿宋_GB2312"/>
          <w:sz w:val="28"/>
          <w:szCs w:val="28"/>
        </w:rPr>
        <w:t xml:space="preserve">  2025年9月1</w:t>
      </w:r>
      <w:r>
        <w:rPr>
          <w:rFonts w:hint="eastAsia" w:ascii="仿宋_GB2312" w:eastAsia="仿宋_GB2312"/>
          <w:sz w:val="28"/>
          <w:szCs w:val="28"/>
          <w:lang w:val="en-US" w:eastAsia="zh-CN"/>
        </w:rPr>
        <w:t>5</w:t>
      </w:r>
      <w:r>
        <w:rPr>
          <w:rFonts w:hint="eastAsia" w:ascii="仿宋_GB2312" w:eastAsia="仿宋_GB2312"/>
          <w:sz w:val="28"/>
          <w:szCs w:val="28"/>
        </w:rPr>
        <w:t>日</w:t>
      </w:r>
    </w:p>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60" w:lineRule="auto"/>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第二章  院内公开采购项目需求</w:t>
      </w:r>
    </w:p>
    <w:p>
      <w:pPr>
        <w:widowControl/>
        <w:spacing w:line="500" w:lineRule="exact"/>
        <w:ind w:firstLine="560" w:firstLineChars="200"/>
        <w:jc w:val="left"/>
        <w:rPr>
          <w:rFonts w:ascii="仿宋_GB2312" w:hAnsi="仿宋_GB2312" w:eastAsia="仿宋_GB2312" w:cs="仿宋_GB2312"/>
          <w:sz w:val="28"/>
          <w:szCs w:val="28"/>
        </w:rPr>
      </w:pPr>
    </w:p>
    <w:p>
      <w:pPr>
        <w:adjustRightInd w:val="0"/>
        <w:snapToGrid w:val="0"/>
        <w:ind w:firstLine="562"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kern w:val="0"/>
          <w:sz w:val="28"/>
          <w:szCs w:val="28"/>
        </w:rPr>
        <w:t>一、项目概况</w:t>
      </w:r>
      <w:r>
        <w:rPr>
          <w:rFonts w:hint="eastAsia" w:ascii="仿宋_GB2312" w:hAnsi="仿宋_GB2312" w:eastAsia="仿宋_GB2312" w:cs="仿宋_GB2312"/>
          <w:b/>
          <w:bCs/>
          <w:sz w:val="28"/>
          <w:szCs w:val="28"/>
        </w:rPr>
        <w:t>：</w:t>
      </w:r>
      <w:r>
        <w:rPr>
          <w:rFonts w:hint="eastAsia" w:ascii="仿宋_GB2312" w:hAnsi="仿宋_GB2312" w:eastAsia="仿宋_GB2312" w:cs="仿宋_GB2312"/>
          <w:color w:val="000000" w:themeColor="text1"/>
          <w:sz w:val="28"/>
          <w:szCs w:val="28"/>
          <w14:textFill>
            <w14:solidFill>
              <w14:schemeClr w14:val="tx1"/>
            </w14:solidFill>
          </w14:textFill>
        </w:rPr>
        <w:t>深圳市龙岗区第七人民医院简竹护理院机房作为护理院信息化支撑用地建设机房，自2022年投用以来，为龙岗区第七人民医院简竹护理院信息化建设工作提供了基础支撑。现我院计划搬迁至龙岗区布吉吉华路175号</w:t>
      </w:r>
      <w:bookmarkStart w:id="0" w:name="_Toc16397"/>
      <w:r>
        <w:rPr>
          <w:rFonts w:hint="eastAsia" w:ascii="仿宋_GB2312" w:hAnsi="仿宋_GB2312" w:eastAsia="仿宋_GB2312" w:cs="仿宋_GB2312"/>
          <w:color w:val="000000" w:themeColor="text1"/>
          <w:sz w:val="28"/>
          <w:szCs w:val="28"/>
          <w14:textFill>
            <w14:solidFill>
              <w14:schemeClr w14:val="tx1"/>
            </w14:solidFill>
          </w14:textFill>
        </w:rPr>
        <w:t>【原龙岗区第二人民医院（龙岭院区）】，原龙岗区第二人民医院（龙岭院区）分为两个机房，要求搬迁后的机房具备投产条件，可容纳现在搬迁设备使用环境标准。</w:t>
      </w:r>
      <w:bookmarkEnd w:id="0"/>
      <w:r>
        <w:rPr>
          <w:rFonts w:hint="eastAsia" w:ascii="仿宋_GB2312" w:hAnsi="仿宋_GB2312" w:eastAsia="仿宋_GB2312" w:cs="仿宋_GB2312"/>
          <w:color w:val="000000" w:themeColor="text1"/>
          <w:sz w:val="28"/>
          <w:szCs w:val="28"/>
          <w14:textFill>
            <w14:solidFill>
              <w14:schemeClr w14:val="tx1"/>
            </w14:solidFill>
          </w14:textFill>
        </w:rPr>
        <w:t>为可靠高效完成机房搬迁工作，拟开展</w:t>
      </w:r>
      <w:r>
        <w:rPr>
          <w:rFonts w:hint="eastAsia" w:ascii="仿宋_GB2312" w:hAnsi="仿宋_GB2312" w:eastAsia="仿宋_GB2312" w:cs="仿宋_GB2312"/>
          <w:sz w:val="28"/>
          <w:szCs w:val="28"/>
        </w:rPr>
        <w:t>机房迁移项目，</w:t>
      </w:r>
      <w:r>
        <w:rPr>
          <w:rFonts w:hint="eastAsia" w:ascii="仿宋_GB2312" w:hAnsi="仿宋_GB2312" w:eastAsia="仿宋_GB2312" w:cs="仿宋_GB2312"/>
          <w:color w:val="000000" w:themeColor="text1"/>
          <w:sz w:val="28"/>
          <w:szCs w:val="28"/>
          <w14:textFill>
            <w14:solidFill>
              <w14:schemeClr w14:val="tx1"/>
            </w14:solidFill>
          </w14:textFill>
        </w:rPr>
        <w:t>投标人须对医院系统涉及信息化设备、模块化机房、进行详细的梳理并出具整体搬迁实施方案。</w:t>
      </w:r>
    </w:p>
    <w:p>
      <w:pPr>
        <w:pStyle w:val="25"/>
        <w:ind w:firstLine="562"/>
        <w:rPr>
          <w:b/>
          <w:bCs/>
        </w:rPr>
      </w:pPr>
      <w:r>
        <w:rPr>
          <w:rFonts w:hint="eastAsia"/>
          <w:b/>
          <w:bCs/>
        </w:rPr>
        <w:t>二、采购组织形式（勾选）：</w:t>
      </w:r>
      <w:r>
        <w:rPr>
          <w:rFonts w:hint="eastAsia"/>
        </w:rPr>
        <w:t>政府集中采购□、院内集中采购</w:t>
      </w:r>
      <w:r>
        <w:rPr>
          <w:rFonts w:hint="eastAsia" w:ascii="MS Gothic" w:hAnsi="MS Gothic" w:eastAsia="MS Gothic" w:cs="MS Gothic"/>
        </w:rPr>
        <w:t>☑</w:t>
      </w:r>
      <w:r>
        <w:rPr>
          <w:rFonts w:hint="eastAsia"/>
        </w:rPr>
        <w:t>、院内委托代理采购□、集团联合采购□、其他□。</w:t>
      </w:r>
    </w:p>
    <w:p>
      <w:pPr>
        <w:spacing w:line="400" w:lineRule="exact"/>
      </w:pPr>
      <w:r>
        <w:rPr>
          <w:rFonts w:hint="eastAsia" w:ascii="仿宋_GB2312" w:hAnsi="仿宋_GB2312" w:eastAsia="仿宋_GB2312" w:cs="仿宋_GB2312"/>
          <w:b/>
          <w:bCs/>
          <w:sz w:val="28"/>
          <w:szCs w:val="28"/>
        </w:rPr>
        <w:t xml:space="preserve">    三、采购方式（勾选）：</w:t>
      </w:r>
      <w:r>
        <w:rPr>
          <w:rFonts w:hint="eastAsia" w:ascii="仿宋_GB2312" w:hAnsi="仿宋_GB2312" w:eastAsia="仿宋_GB2312" w:cs="仿宋_GB2312"/>
          <w:sz w:val="28"/>
          <w:szCs w:val="28"/>
        </w:rPr>
        <w:t>院内招标☑、院内竞价□、院内邀标□、院内询价□、竞争性磋商□、院内直接议价□、其他□。</w:t>
      </w:r>
    </w:p>
    <w:p>
      <w:pPr>
        <w:widowControl/>
        <w:spacing w:line="40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四、投标人资格要求</w:t>
      </w:r>
    </w:p>
    <w:p>
      <w:pPr>
        <w:pStyle w:val="25"/>
      </w:pPr>
      <w:r>
        <w:rPr>
          <w:rFonts w:hint="eastAsia"/>
        </w:rPr>
        <w:t>（一）满足《中华人民共和国政府采购法》第二十二条规定（须提供具有独立承担民事责任能力的法人或其他组织或个体工商户的营业执照或法人证书等证明材料复印件或扫描件）。如果是分支机构参与投标，还须同时提供其具有独立法人资格的上级主体出具的有效授权书及上级主体的营业执照或法人证书等证明材料的复印件或扫描件加盖投标人公章；本项目不接受总公司与分支机构同时参与投标，也不接受同一总公司有两个或以上分支机构参与投标，如出现以上情形，该两家或以上投标人均按无效投标处理。</w:t>
      </w:r>
    </w:p>
    <w:p>
      <w:pPr>
        <w:pStyle w:val="25"/>
      </w:pPr>
      <w:r>
        <w:rPr>
          <w:rFonts w:hint="eastAsia"/>
        </w:rPr>
        <w:t>（二）本项目的特定资格要求（须按本项目投标文件格式要求提供《投标及履约承诺函》加盖投标人公章）：</w:t>
      </w:r>
    </w:p>
    <w:p>
      <w:pPr>
        <w:pStyle w:val="25"/>
      </w:pPr>
      <w:r>
        <w:rPr>
          <w:rFonts w:hint="eastAsia"/>
        </w:rPr>
        <w:t>1.参与本项目采购活动前三年内，在经营活动中没有重大违法记录；</w:t>
      </w:r>
    </w:p>
    <w:p>
      <w:pPr>
        <w:pStyle w:val="25"/>
      </w:pPr>
      <w:r>
        <w:rPr>
          <w:rFonts w:hint="eastAsia"/>
        </w:rPr>
        <w:t>2.参与本项目采购活动时不存在被有关部门禁止参与政府采购活动且在有效期内的情况；</w:t>
      </w:r>
    </w:p>
    <w:p>
      <w:pPr>
        <w:pStyle w:val="25"/>
      </w:pPr>
      <w:r>
        <w:rPr>
          <w:rFonts w:hint="eastAsia"/>
        </w:rPr>
        <w:t>3.除单一来源采购项目外，为采购项目提供整体设计、规范编制或者项目管理、监理、检测等服务的供应商，不得再参加该采购项目的其他采购活动；</w:t>
      </w:r>
    </w:p>
    <w:p>
      <w:pPr>
        <w:pStyle w:val="25"/>
      </w:pPr>
      <w:r>
        <w:rPr>
          <w:rFonts w:hint="eastAsia"/>
        </w:rPr>
        <w:t>4.参与本项目采购活动不存在与其他采购参加人串通投标，隐瞒真实情况，提供虚假资料等违法违规情形；</w:t>
      </w:r>
    </w:p>
    <w:p>
      <w:pPr>
        <w:pStyle w:val="25"/>
      </w:pPr>
      <w:r>
        <w:rPr>
          <w:rFonts w:hint="eastAsia"/>
        </w:rPr>
        <w:t>5.单位负责人为同一人或者存在直接控股、管理关系的不同供应商，不得参加同一合同项下的政府采购活动；不同供应商的法定代表人、主要经营负责人、项目投标授权代表人、项目负责人、主要技术人员不得为同一人、属于同一单位或者在同一单位缴纳社会保险；不同投标供应商的投标文件不得由同一单位或者同一人编制。（须按本项目投标文件格式要求提供《供应商基本情况表》相关信息）；</w:t>
      </w:r>
    </w:p>
    <w:p>
      <w:pPr>
        <w:pStyle w:val="25"/>
      </w:pPr>
      <w:r>
        <w:rPr>
          <w:rFonts w:hint="eastAsia"/>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市政府采购监管网为投标人信用信息查询渠道，相关信息以开标当日的查询结果为准）；</w:t>
      </w:r>
    </w:p>
    <w:p>
      <w:pPr>
        <w:pStyle w:val="25"/>
      </w:pPr>
      <w:r>
        <w:rPr>
          <w:rFonts w:hint="eastAsia"/>
        </w:rPr>
        <w:t>7.法律、行政法规和国家有关规定对供应商从事特定经营活动有资质、资格规定的，供应商应当具备的相应条件；</w:t>
      </w:r>
    </w:p>
    <w:p>
      <w:pPr>
        <w:pStyle w:val="25"/>
      </w:pPr>
      <w:r>
        <w:rPr>
          <w:rFonts w:hint="eastAsia"/>
        </w:rPr>
        <w:t>8.本项目不接受联合体投标，不允许非法分包或转包。</w:t>
      </w:r>
    </w:p>
    <w:p>
      <w:pPr>
        <w:pStyle w:val="25"/>
      </w:pPr>
      <w:r>
        <w:rPr>
          <w:rFonts w:hint="eastAsia"/>
        </w:rPr>
        <w:t>所有资质文件均需在有效期内并加盖投标方公章。</w:t>
      </w:r>
    </w:p>
    <w:p>
      <w:pPr>
        <w:pStyle w:val="25"/>
        <w:ind w:firstLine="562" w:firstLineChars="0"/>
        <w:rPr>
          <w:b/>
          <w:bCs/>
          <w:color w:val="auto"/>
        </w:rPr>
      </w:pPr>
      <w:r>
        <w:rPr>
          <w:rFonts w:hint="eastAsia"/>
          <w:b/>
          <w:bCs/>
          <w:color w:val="auto"/>
        </w:rPr>
        <w:t>五、服务内容及要求</w:t>
      </w:r>
    </w:p>
    <w:p>
      <w:pPr>
        <w:adjustRightInd w:val="0"/>
        <w:snapToGrid w:val="0"/>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（一）服务需求内容</w:t>
      </w:r>
    </w:p>
    <w:p>
      <w:pPr>
        <w:adjustRightInd w:val="0"/>
        <w:snapToGrid w:val="0"/>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中标人主要完成以下机房迁移工作，分别提交服务确认单由采购人进行审核：</w:t>
      </w:r>
    </w:p>
    <w:p>
      <w:pPr>
        <w:pStyle w:val="25"/>
        <w:numPr>
          <w:ilvl w:val="0"/>
          <w:numId w:val="0"/>
        </w:numPr>
        <w:ind w:firstLine="560" w:firstLineChars="200"/>
        <w:rPr>
          <w:rFonts w:hint="eastAsia"/>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w:t>
      </w:r>
      <w:r>
        <w:rPr>
          <w:rFonts w:hint="eastAsia"/>
        </w:rPr>
        <w:t>设备清单内容</w:t>
      </w:r>
    </w:p>
    <w:tbl>
      <w:tblPr>
        <w:tblStyle w:val="18"/>
        <w:tblW w:w="9202" w:type="dxa"/>
        <w:tblInd w:w="98" w:type="dxa"/>
        <w:tblLayout w:type="fixed"/>
        <w:tblCellMar>
          <w:top w:w="0" w:type="dxa"/>
          <w:left w:w="108" w:type="dxa"/>
          <w:bottom w:w="0" w:type="dxa"/>
          <w:right w:w="108" w:type="dxa"/>
        </w:tblCellMar>
      </w:tblPr>
      <w:tblGrid>
        <w:gridCol w:w="600"/>
        <w:gridCol w:w="2318"/>
        <w:gridCol w:w="930"/>
        <w:gridCol w:w="2180"/>
        <w:gridCol w:w="1220"/>
        <w:gridCol w:w="814"/>
        <w:gridCol w:w="1140"/>
      </w:tblGrid>
      <w:tr>
        <w:tblPrEx>
          <w:tblCellMar>
            <w:top w:w="0" w:type="dxa"/>
            <w:left w:w="108" w:type="dxa"/>
            <w:bottom w:w="0" w:type="dxa"/>
            <w:right w:w="108" w:type="dxa"/>
          </w:tblCellMar>
        </w:tblPrEx>
        <w:trPr>
          <w:trHeight w:val="2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设备名称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品牌</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型号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搬迁至</w:t>
            </w:r>
          </w:p>
        </w:tc>
      </w:tr>
      <w:tr>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1</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态势感知2（分析平台）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网神</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奇安信网神新一代安全感知系统TSS10000/V4.0-TSS10000-A57-WS</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2</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态势感知2（流量传感器）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网神</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奇安信网神新一代安全感知系统 TSS10000/V4.0-TSS10000-S52-WS</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3</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下一代防火墙2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深信服</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深信服防火墙AF-1000 V8.0（千兆）防火墙（增强级）-AF-1000-B1810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4</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上网行为管理2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深信服</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深信服上网行为管理系统AC-1000/V12.0网络通讯安全审计类（基本级）-AC-1000-B1500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5</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入侵防御系统2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启明星辰</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天清入侵防御系统V6.0（千兆）NIPS（三级）-NGIPS5000-B-M</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6</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数据库审计2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网神</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奇安信网神数据库审计与防护系统DAS/V6.0 数据库安全审计类（增强级）-DAS3000-TF10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7</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日志审计2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网神</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网神SecFox日志收集与分析系统（LAS）V5.0-LAS-R32M</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8</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堡垒机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任子行</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任子行运维安全审计系统SURF-HAC V10.1 运维安全管理产品（基本级）-SURF-HAC-H570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9</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终端安全管理系统-PC终端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奇安信</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360天擎终端安全管理系统V6.0内网主机监测（一级）-360天擎终端安全管理系统V6.0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10</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终端安全管理系统</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服务器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奇安信</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360天擎终端安全管理系统V6.0内网主机监测（一级）-360天擎终端安全管理系统V6.0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11</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网络安全准入系统2（硬件）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奇安信</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360天擎网络安全准入系统NAC/V6.0终端接入控制（一级）-NAC-1000BX-N</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2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12</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服务器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华为</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5885H V5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2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13</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防火墙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华为</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USG6585E</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2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kern w:val="0"/>
                <w:sz w:val="22"/>
                <w:szCs w:val="22"/>
                <w:lang w:bidi="ar"/>
              </w:rPr>
            </w:pPr>
            <w:r>
              <w:rPr>
                <w:rFonts w:hint="eastAsia" w:ascii="宋体" w:hAnsi="宋体" w:cs="宋体"/>
                <w:b w:val="0"/>
                <w:bCs w:val="0"/>
                <w:color w:val="000000"/>
                <w:kern w:val="0"/>
                <w:sz w:val="22"/>
                <w:szCs w:val="22"/>
                <w:lang w:bidi="ar"/>
              </w:rPr>
              <w:t>14</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服务器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国产</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2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15</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磁盘阵列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华为</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OceanStor 5310 V5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2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16</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交换机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华为</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S5735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2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17</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服务器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华为</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2288H V5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2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18</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交换机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华为</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s7706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龙岭院区</w:t>
            </w:r>
          </w:p>
        </w:tc>
      </w:tr>
      <w:tr>
        <w:tblPrEx>
          <w:tblCellMar>
            <w:top w:w="0" w:type="dxa"/>
            <w:left w:w="108" w:type="dxa"/>
            <w:bottom w:w="0" w:type="dxa"/>
            <w:right w:w="108" w:type="dxa"/>
          </w:tblCellMar>
        </w:tblPrEx>
        <w:trPr>
          <w:trHeight w:val="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kern w:val="0"/>
                <w:sz w:val="22"/>
                <w:szCs w:val="22"/>
                <w:lang w:bidi="ar"/>
              </w:rPr>
            </w:pPr>
            <w:r>
              <w:rPr>
                <w:rFonts w:hint="eastAsia" w:ascii="宋体" w:hAnsi="宋体" w:cs="宋体"/>
                <w:b w:val="0"/>
                <w:bCs w:val="0"/>
                <w:color w:val="000000"/>
                <w:kern w:val="0"/>
                <w:sz w:val="22"/>
                <w:szCs w:val="22"/>
                <w:lang w:bidi="ar"/>
              </w:rPr>
              <w:t>19</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服务器机柜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华为</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华为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6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罗岗院区</w:t>
            </w:r>
          </w:p>
        </w:tc>
      </w:tr>
      <w:tr>
        <w:tblPrEx>
          <w:tblCellMar>
            <w:top w:w="0" w:type="dxa"/>
            <w:left w:w="108" w:type="dxa"/>
            <w:bottom w:w="0" w:type="dxa"/>
            <w:right w:w="108" w:type="dxa"/>
          </w:tblCellMar>
        </w:tblPrEx>
        <w:trPr>
          <w:trHeight w:val="1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kern w:val="0"/>
                <w:sz w:val="22"/>
                <w:szCs w:val="22"/>
                <w:lang w:bidi="ar"/>
              </w:rPr>
            </w:pPr>
            <w:r>
              <w:rPr>
                <w:rFonts w:hint="eastAsia" w:ascii="宋体" w:hAnsi="宋体" w:cs="宋体"/>
                <w:b w:val="0"/>
                <w:bCs w:val="0"/>
                <w:color w:val="000000"/>
                <w:kern w:val="0"/>
                <w:sz w:val="22"/>
                <w:szCs w:val="22"/>
                <w:lang w:bidi="ar"/>
              </w:rPr>
              <w:t>20</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密闭通道组件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华为</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华为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罗岗院区</w:t>
            </w:r>
          </w:p>
        </w:tc>
      </w:tr>
      <w:tr>
        <w:tblPrEx>
          <w:tblCellMar>
            <w:top w:w="0" w:type="dxa"/>
            <w:left w:w="108" w:type="dxa"/>
            <w:bottom w:w="0" w:type="dxa"/>
            <w:right w:w="108" w:type="dxa"/>
          </w:tblCellMar>
        </w:tblPrEx>
        <w:trPr>
          <w:trHeight w:val="2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kern w:val="0"/>
                <w:sz w:val="22"/>
                <w:szCs w:val="22"/>
                <w:lang w:bidi="ar"/>
              </w:rPr>
            </w:pPr>
            <w:r>
              <w:rPr>
                <w:rFonts w:hint="eastAsia" w:ascii="宋体" w:hAnsi="宋体" w:cs="宋体"/>
                <w:b w:val="0"/>
                <w:bCs w:val="0"/>
                <w:color w:val="000000"/>
                <w:kern w:val="0"/>
                <w:sz w:val="22"/>
                <w:szCs w:val="22"/>
                <w:lang w:bidi="ar"/>
              </w:rPr>
              <w:t>21</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一体化UPS</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华为</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华为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罗岗院区</w:t>
            </w:r>
          </w:p>
        </w:tc>
      </w:tr>
      <w:tr>
        <w:tblPrEx>
          <w:tblCellMar>
            <w:top w:w="0" w:type="dxa"/>
            <w:left w:w="108" w:type="dxa"/>
            <w:bottom w:w="0" w:type="dxa"/>
            <w:right w:w="108" w:type="dxa"/>
          </w:tblCellMar>
        </w:tblPrEx>
        <w:trPr>
          <w:trHeight w:val="2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kern w:val="0"/>
                <w:sz w:val="22"/>
                <w:szCs w:val="22"/>
                <w:lang w:bidi="ar"/>
              </w:rPr>
            </w:pPr>
            <w:r>
              <w:rPr>
                <w:rFonts w:hint="eastAsia" w:ascii="宋体" w:hAnsi="宋体" w:cs="宋体"/>
                <w:b w:val="0"/>
                <w:bCs w:val="0"/>
                <w:color w:val="000000"/>
                <w:kern w:val="0"/>
                <w:sz w:val="22"/>
                <w:szCs w:val="22"/>
                <w:lang w:bidi="ar"/>
              </w:rPr>
              <w:t>22</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锂电池柜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华为</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磷酸铁锂，1个模组</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含8个储能模块，每个模块20个电芯</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。储能模块-64V,40Ah-200mm*592mm*155mm</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罗岗院区</w:t>
            </w:r>
          </w:p>
        </w:tc>
      </w:tr>
      <w:tr>
        <w:tblPrEx>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kern w:val="0"/>
                <w:sz w:val="22"/>
                <w:szCs w:val="22"/>
                <w:lang w:bidi="ar"/>
              </w:rPr>
            </w:pPr>
            <w:r>
              <w:rPr>
                <w:rFonts w:hint="eastAsia" w:ascii="宋体" w:hAnsi="宋体" w:cs="宋体"/>
                <w:b w:val="0"/>
                <w:bCs w:val="0"/>
                <w:color w:val="000000"/>
                <w:kern w:val="0"/>
                <w:sz w:val="22"/>
                <w:szCs w:val="22"/>
                <w:lang w:bidi="ar"/>
              </w:rPr>
              <w:t>23</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行级精密空调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华为</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35</w:t>
            </w:r>
            <w:r>
              <w:rPr>
                <w:rFonts w:hint="eastAsia" w:ascii="宋体" w:hAnsi="宋体" w:cs="宋体"/>
                <w:color w:val="000000"/>
                <w:kern w:val="0"/>
                <w:sz w:val="22"/>
                <w:szCs w:val="22"/>
                <w:lang w:eastAsia="zh-CN" w:bidi="ar"/>
              </w:rPr>
              <w:t>kW</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2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罗岗院区</w:t>
            </w:r>
          </w:p>
        </w:tc>
      </w:tr>
      <w:tr>
        <w:tblPrEx>
          <w:tblCellMar>
            <w:top w:w="0" w:type="dxa"/>
            <w:left w:w="108" w:type="dxa"/>
            <w:bottom w:w="0" w:type="dxa"/>
            <w:right w:w="108" w:type="dxa"/>
          </w:tblCellMar>
        </w:tblPrEx>
        <w:trPr>
          <w:trHeight w:val="2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val="0"/>
                <w:bCs w:val="0"/>
                <w:color w:val="000000"/>
                <w:kern w:val="0"/>
                <w:sz w:val="22"/>
                <w:szCs w:val="22"/>
                <w:lang w:bidi="ar"/>
              </w:rPr>
            </w:pPr>
            <w:r>
              <w:rPr>
                <w:rFonts w:hint="eastAsia" w:ascii="宋体" w:hAnsi="宋体" w:cs="宋体"/>
                <w:b w:val="0"/>
                <w:bCs w:val="0"/>
                <w:color w:val="000000"/>
                <w:kern w:val="0"/>
                <w:sz w:val="22"/>
                <w:szCs w:val="22"/>
                <w:lang w:bidi="ar"/>
              </w:rPr>
              <w:t>24</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模块监控组件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华为</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华为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11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罗岗院区</w:t>
            </w:r>
          </w:p>
        </w:tc>
      </w:tr>
    </w:tbl>
    <w:p>
      <w:pPr>
        <w:pStyle w:val="25"/>
      </w:pPr>
      <w:r>
        <w:rPr>
          <w:rFonts w:hint="eastAsia"/>
        </w:rPr>
        <w:t>2.搬迁实施方案及实施计划</w:t>
      </w:r>
    </w:p>
    <w:p>
      <w:pPr>
        <w:pStyle w:val="25"/>
      </w:pPr>
      <w:r>
        <w:rPr>
          <w:rFonts w:hint="eastAsia"/>
        </w:rPr>
        <w:t>中标人编制的实施方案及实施计划包括但不限于项目技术服务体系，模块化机房搬迁，</w:t>
      </w:r>
      <w:r>
        <w:rPr>
          <w:rFonts w:hint="eastAsia"/>
          <w:lang w:eastAsia="zh-CN"/>
        </w:rPr>
        <w:t>网络</w:t>
      </w:r>
      <w:r>
        <w:rPr>
          <w:rFonts w:hint="eastAsia"/>
        </w:rPr>
        <w:t>设备、服务器、存储、安全等设备搬迁，搬迁验证、应急预案等集成管理。</w:t>
      </w:r>
    </w:p>
    <w:p>
      <w:pPr>
        <w:pStyle w:val="25"/>
      </w:pPr>
      <w:r>
        <w:rPr>
          <w:rFonts w:hint="eastAsia"/>
        </w:rPr>
        <w:t>3.设备的迁移</w:t>
      </w:r>
    </w:p>
    <w:p>
      <w:pPr>
        <w:adjustRightInd w:val="0"/>
        <w:snapToGrid w:val="0"/>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中标人完成深圳市龙岗区第七人民医院简竹护理院机房的服务器、存储、网络等设备下电搬迁到深圳市龙岗区布吉吉华路175号【原龙岗区第二人民医院（龙岭院区）】，模块化机房、UPS、空调等设备下电搬迁到深圳市</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龙岗区</w:t>
      </w:r>
      <w:r>
        <w:rPr>
          <w:rFonts w:hint="eastAsia" w:ascii="仿宋_GB2312" w:hAnsi="仿宋_GB2312" w:eastAsia="仿宋_GB2312" w:cs="仿宋_GB2312"/>
          <w:bCs/>
          <w:color w:val="000000" w:themeColor="text1"/>
          <w:sz w:val="28"/>
          <w:szCs w:val="28"/>
          <w14:textFill>
            <w14:solidFill>
              <w14:schemeClr w14:val="tx1"/>
            </w14:solidFill>
          </w14:textFill>
        </w:rPr>
        <w:t>第二人民医院（罗岗院区）。</w:t>
      </w:r>
    </w:p>
    <w:p>
      <w:pPr>
        <w:adjustRightInd w:val="0"/>
        <w:snapToGrid w:val="0"/>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（2）搬迁后安装调试，满足投标人正常使用需求。</w:t>
      </w:r>
    </w:p>
    <w:p>
      <w:pPr>
        <w:adjustRightInd w:val="0"/>
        <w:snapToGrid w:val="0"/>
        <w:ind w:firstLine="560" w:firstLineChars="200"/>
        <w:rPr>
          <w:rFonts w:ascii="仿宋_GB2312" w:hAnsi="仿宋_GB2312" w:eastAsia="仿宋_GB2312" w:cs="仿宋_GB2312"/>
          <w:bCs/>
          <w:color w:val="000000" w:themeColor="text1"/>
          <w:sz w:val="28"/>
          <w:szCs w:val="28"/>
          <w:highlight w:val="yellow"/>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（3）中标人提供迁后安装设备需要的辅材（模块化机房的空调、UPS、网络设备等安装的跳线辅材，制冷剂、空调防水围堰等）。</w:t>
      </w:r>
    </w:p>
    <w:p>
      <w:pPr>
        <w:adjustRightInd w:val="0"/>
        <w:snapToGrid w:val="0"/>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（4）中标人针对深圳市龙岗区第七人民医院简竹护理院机房搬迁的情况做好相关材料的记录，以周/报的形式提交采购人。</w:t>
      </w:r>
    </w:p>
    <w:p>
      <w:pPr>
        <w:adjustRightInd w:val="0"/>
        <w:snapToGrid w:val="0"/>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4.人员要求</w:t>
      </w:r>
    </w:p>
    <w:tbl>
      <w:tblPr>
        <w:tblStyle w:val="18"/>
        <w:tblW w:w="52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266"/>
        <w:gridCol w:w="1131"/>
        <w:gridCol w:w="1604"/>
        <w:gridCol w:w="4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★人员类别</w:t>
            </w:r>
          </w:p>
        </w:tc>
        <w:tc>
          <w:tcPr>
            <w:tcW w:w="55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★人员数量</w:t>
            </w:r>
          </w:p>
        </w:tc>
        <w:tc>
          <w:tcPr>
            <w:tcW w:w="79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★人员必须具备条件</w:t>
            </w:r>
          </w:p>
        </w:tc>
        <w:tc>
          <w:tcPr>
            <w:tcW w:w="24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人员可偏离条件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项目负责人</w:t>
            </w:r>
          </w:p>
        </w:tc>
        <w:tc>
          <w:tcPr>
            <w:tcW w:w="55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9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1.投标人自有员工</w:t>
            </w:r>
          </w:p>
        </w:tc>
        <w:tc>
          <w:tcPr>
            <w:tcW w:w="2443"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具有中级或以上计算机技术与软件专业技术资格证书（专业：网络工程师</w:t>
            </w:r>
            <w:r>
              <w:rPr>
                <w:rFonts w:hint="eastAsia" w:cs="宋体" w:asciiTheme="minorEastAsia" w:hAnsiTheme="minorEastAsia" w:eastAsiaTheme="minorEastAsia"/>
                <w:szCs w:val="21"/>
                <w:lang w:val="en-US" w:eastAsia="zh-CN"/>
              </w:rPr>
              <w:t>或</w:t>
            </w:r>
            <w:r>
              <w:rPr>
                <w:rFonts w:hint="eastAsia" w:cs="宋体" w:asciiTheme="minorEastAsia" w:hAnsiTheme="minorEastAsia" w:eastAsiaTheme="minorEastAsia"/>
                <w:i w:val="0"/>
                <w:iCs w:val="0"/>
                <w:caps w:val="0"/>
                <w:spacing w:val="0"/>
                <w:sz w:val="21"/>
                <w:szCs w:val="21"/>
                <w:shd w:val="clear"/>
              </w:rPr>
              <w:t>信息系统项目管理师</w:t>
            </w:r>
            <w:r>
              <w:rPr>
                <w:rFonts w:hint="eastAsia" w:cs="宋体" w:asciiTheme="minorEastAsia" w:hAnsiTheme="minorEastAsia" w:eastAsiaTheme="minorEastAsia"/>
                <w:szCs w:val="21"/>
              </w:rPr>
              <w:t>）；</w:t>
            </w:r>
          </w:p>
          <w:p>
            <w:pPr>
              <w:autoSpaceDE w:val="0"/>
              <w:autoSpaceDN w:val="0"/>
              <w:jc w:val="left"/>
              <w:rPr>
                <w:rFonts w:ascii="仿宋_GB2312" w:hAnsi="仿宋_GB2312" w:cs="仿宋_GB2312"/>
                <w:kern w:val="0"/>
                <w:sz w:val="24"/>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近3年（2022年8月1日至投标截止</w:t>
            </w:r>
            <w:r>
              <w:rPr>
                <w:rFonts w:hint="eastAsia" w:cs="宋体" w:asciiTheme="minorEastAsia" w:hAnsiTheme="minorEastAsia" w:eastAsiaTheme="minorEastAsia"/>
                <w:szCs w:val="21"/>
                <w:lang w:val="en-US" w:eastAsia="zh-CN"/>
              </w:rPr>
              <w:t>日</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具有</w:t>
            </w:r>
            <w:r>
              <w:rPr>
                <w:rFonts w:hint="eastAsia" w:cs="宋体" w:asciiTheme="minorEastAsia" w:hAnsiTheme="minorEastAsia" w:eastAsiaTheme="minorEastAsia"/>
                <w:szCs w:val="21"/>
              </w:rPr>
              <w:t>担任</w:t>
            </w:r>
            <w:r>
              <w:rPr>
                <w:rFonts w:hint="eastAsia" w:cs="宋体" w:asciiTheme="minorEastAsia" w:hAnsiTheme="minorEastAsia" w:eastAsiaTheme="minorEastAsia"/>
                <w:szCs w:val="21"/>
                <w:lang w:val="en-US" w:eastAsia="zh-CN"/>
              </w:rPr>
              <w:t>过机房搬迁类</w:t>
            </w:r>
            <w:r>
              <w:rPr>
                <w:rFonts w:hint="eastAsia" w:cs="宋体" w:asciiTheme="minorEastAsia" w:hAnsiTheme="minorEastAsia" w:eastAsiaTheme="minorEastAsia"/>
                <w:szCs w:val="21"/>
              </w:rPr>
              <w:t>项目负责人</w:t>
            </w:r>
            <w:r>
              <w:rPr>
                <w:rFonts w:hint="eastAsia" w:cs="宋体" w:asciiTheme="minorEastAsia" w:hAnsiTheme="minorEastAsia" w:eastAsiaTheme="minorEastAsia"/>
                <w:szCs w:val="21"/>
                <w:lang w:val="en-US" w:eastAsia="zh-CN"/>
              </w:rPr>
              <w:t>的工作</w:t>
            </w:r>
            <w:r>
              <w:rPr>
                <w:rFonts w:hint="eastAsia" w:cs="宋体" w:asciiTheme="minorEastAsia" w:hAnsiTheme="minorEastAsia" w:eastAsiaTheme="minorEastAsia"/>
                <w:szCs w:val="21"/>
              </w:rPr>
              <w:t>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项目团队成员</w:t>
            </w:r>
          </w:p>
        </w:tc>
        <w:tc>
          <w:tcPr>
            <w:tcW w:w="55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79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投标人自有员工</w:t>
            </w:r>
          </w:p>
        </w:tc>
        <w:tc>
          <w:tcPr>
            <w:tcW w:w="2443"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1.具有国内外厂商或专业机构颁发的专家级（IE Level）认证（认证领域包括但不限于：网络技术、网络安全、数据中心），包括华为HCIE或思科CCIE、或Juniper JNCIE或华三H3CIE认证证书；</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具有国内外厂商或专业机构颁发的高级（IP Level）认证（认证领域包括但不限于：网络技术、网络安全、数据中心），包括华为HCIP或思科CCNP、或Juniper JNCIP或华三H3CSE认证证书；</w:t>
            </w:r>
          </w:p>
          <w:p>
            <w:pPr>
              <w:widowControl/>
              <w:numPr>
                <w:ilvl w:val="255"/>
                <w:numId w:val="0"/>
              </w:numPr>
              <w:jc w:val="left"/>
              <w:rPr>
                <w:rFonts w:ascii="仿宋_GB2312" w:hAnsi="仿宋_GB2312" w:eastAsia="仿宋_GB2312" w:cs="仿宋_GB2312"/>
                <w:kern w:val="0"/>
                <w:sz w:val="24"/>
              </w:rPr>
            </w:pPr>
            <w:r>
              <w:rPr>
                <w:rFonts w:hint="eastAsia" w:cs="宋体" w:asciiTheme="minorEastAsia" w:hAnsiTheme="minorEastAsia" w:eastAsiaTheme="minorEastAsia"/>
                <w:color w:val="auto"/>
                <w:szCs w:val="21"/>
              </w:rPr>
              <w:t>（3）具有项目相关特定领域认证的团队成员证明，包括 ITIL（IT服务管理）或ISO27001（信息安全管理）或HCISPP（医疗信息安全）或CISSP（信息安全）认证证书。</w:t>
            </w:r>
          </w:p>
        </w:tc>
      </w:tr>
    </w:tbl>
    <w:p>
      <w:pPr>
        <w:adjustRightInd w:val="0"/>
        <w:snapToGrid w:val="0"/>
        <w:ind w:firstLine="560" w:firstLineChars="200"/>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Cs/>
          <w:color w:val="000000" w:themeColor="text1"/>
          <w:sz w:val="28"/>
          <w:szCs w:val="28"/>
          <w14:textFill>
            <w14:solidFill>
              <w14:schemeClr w14:val="tx1"/>
            </w14:solidFill>
          </w14:textFill>
        </w:rPr>
        <w:t>商务要求</w:t>
      </w:r>
    </w:p>
    <w:tbl>
      <w:tblPr>
        <w:tblStyle w:val="18"/>
        <w:tblW w:w="52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667"/>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 w:type="pct"/>
            <w:vAlign w:val="center"/>
          </w:tcPr>
          <w:p>
            <w:pPr>
              <w:jc w:val="center"/>
              <w:rPr>
                <w:rFonts w:ascii="宋体" w:hAnsi="宋体"/>
                <w:b/>
                <w:szCs w:val="21"/>
              </w:rPr>
            </w:pPr>
            <w:r>
              <w:rPr>
                <w:rFonts w:hint="eastAsia" w:ascii="宋体" w:hAnsi="宋体"/>
                <w:b/>
                <w:szCs w:val="21"/>
              </w:rPr>
              <w:t>序号</w:t>
            </w:r>
          </w:p>
        </w:tc>
        <w:tc>
          <w:tcPr>
            <w:tcW w:w="886" w:type="pct"/>
            <w:vAlign w:val="center"/>
          </w:tcPr>
          <w:p>
            <w:pPr>
              <w:jc w:val="center"/>
              <w:rPr>
                <w:rFonts w:ascii="宋体" w:hAnsi="宋体"/>
                <w:b/>
                <w:szCs w:val="21"/>
              </w:rPr>
            </w:pPr>
            <w:r>
              <w:rPr>
                <w:rFonts w:hint="eastAsia" w:ascii="宋体" w:hAnsi="宋体"/>
                <w:b/>
                <w:szCs w:val="21"/>
              </w:rPr>
              <w:t>商务需求项</w:t>
            </w:r>
          </w:p>
        </w:tc>
        <w:tc>
          <w:tcPr>
            <w:tcW w:w="3821" w:type="pct"/>
            <w:vAlign w:val="center"/>
          </w:tcPr>
          <w:p>
            <w:pPr>
              <w:jc w:val="center"/>
              <w:rPr>
                <w:rFonts w:ascii="宋体" w:hAnsi="宋体"/>
                <w:b/>
                <w:szCs w:val="21"/>
              </w:rPr>
            </w:pPr>
            <w:r>
              <w:rPr>
                <w:rFonts w:hint="eastAsia" w:ascii="宋体" w:hAnsi="宋体"/>
                <w:b/>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vAlign w:val="center"/>
          </w:tcPr>
          <w:p>
            <w:pPr>
              <w:rPr>
                <w:rFonts w:ascii="宋体" w:hAnsi="宋体"/>
                <w:b/>
                <w:szCs w:val="21"/>
              </w:rPr>
            </w:pPr>
            <w:r>
              <w:rPr>
                <w:rFonts w:hint="eastAsia" w:ascii="宋体" w:hAnsi="宋体"/>
                <w:b/>
                <w:szCs w:val="21"/>
              </w:rPr>
              <w:t>（一）免费售后服务要求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 w:type="pct"/>
            <w:vAlign w:val="center"/>
          </w:tcPr>
          <w:p>
            <w:pPr>
              <w:jc w:val="center"/>
              <w:rPr>
                <w:rFonts w:ascii="宋体" w:hAnsi="宋体"/>
                <w:bCs/>
                <w:szCs w:val="21"/>
              </w:rPr>
            </w:pPr>
            <w:r>
              <w:rPr>
                <w:rFonts w:hint="eastAsia" w:ascii="宋体" w:hAnsi="宋体"/>
                <w:bCs/>
                <w:szCs w:val="21"/>
              </w:rPr>
              <w:t>1</w:t>
            </w:r>
          </w:p>
        </w:tc>
        <w:tc>
          <w:tcPr>
            <w:tcW w:w="886" w:type="pct"/>
            <w:vAlign w:val="center"/>
          </w:tcPr>
          <w:p>
            <w:pPr>
              <w:jc w:val="center"/>
              <w:rPr>
                <w:rStyle w:val="21"/>
                <w:rFonts w:ascii="宋体" w:hAnsi="宋体" w:cs="宋体"/>
                <w:color w:val="000000"/>
                <w:szCs w:val="21"/>
              </w:rPr>
            </w:pPr>
            <w:r>
              <w:rPr>
                <w:rFonts w:hint="eastAsia" w:ascii="宋体" w:hAnsi="宋体" w:cs="宋体"/>
                <w:szCs w:val="21"/>
              </w:rPr>
              <w:t>服务（售后）条款</w:t>
            </w:r>
          </w:p>
        </w:tc>
        <w:tc>
          <w:tcPr>
            <w:tcW w:w="3821" w:type="pct"/>
            <w:vAlign w:val="center"/>
          </w:tcPr>
          <w:p>
            <w:pPr>
              <w:adjustRightInd w:val="0"/>
              <w:snapToGrid w:val="0"/>
              <w:ind w:firstLine="420" w:firstLineChars="200"/>
              <w:rPr>
                <w:rFonts w:ascii="宋体" w:hAnsi="宋体" w:cs="宋体"/>
                <w:szCs w:val="21"/>
              </w:rPr>
            </w:pPr>
            <w:r>
              <w:rPr>
                <w:rFonts w:hint="eastAsia" w:ascii="宋体" w:hAnsi="宋体" w:cs="宋体"/>
                <w:szCs w:val="21"/>
              </w:rPr>
              <w:t>1.事件响应及时性</w:t>
            </w:r>
          </w:p>
          <w:p>
            <w:pPr>
              <w:adjustRightInd w:val="0"/>
              <w:snapToGrid w:val="0"/>
              <w:ind w:firstLine="420" w:firstLineChars="200"/>
              <w:rPr>
                <w:rFonts w:ascii="宋体" w:hAnsi="宋体" w:cs="宋体"/>
                <w:szCs w:val="21"/>
              </w:rPr>
            </w:pPr>
            <w:r>
              <w:rPr>
                <w:rFonts w:hint="eastAsia" w:ascii="宋体" w:hAnsi="宋体" w:cs="宋体"/>
                <w:szCs w:val="21"/>
              </w:rPr>
              <w:t>中标人应及时受理客户服务请求的工作时间，1小时内到现场，满足“7×24小时”，指1星期（7天）全天候（24小时）均能受理客户服务请求。</w:t>
            </w:r>
          </w:p>
          <w:p>
            <w:pPr>
              <w:adjustRightInd w:val="0"/>
              <w:snapToGrid w:val="0"/>
              <w:ind w:firstLine="420" w:firstLineChars="200"/>
              <w:rPr>
                <w:rFonts w:ascii="宋体" w:hAnsi="宋体" w:cs="宋体"/>
                <w:szCs w:val="21"/>
              </w:rPr>
            </w:pPr>
            <w:r>
              <w:rPr>
                <w:rFonts w:hint="eastAsia" w:ascii="宋体" w:hAnsi="宋体" w:cs="宋体"/>
                <w:szCs w:val="21"/>
              </w:rPr>
              <w:t>（1）中标人应按时参加采购人组织的相关会议，因故不能参加应提前请假并说明。</w:t>
            </w:r>
          </w:p>
          <w:p>
            <w:pPr>
              <w:adjustRightInd w:val="0"/>
              <w:snapToGrid w:val="0"/>
              <w:ind w:firstLine="420" w:firstLineChars="200"/>
              <w:rPr>
                <w:rFonts w:ascii="宋体" w:hAnsi="宋体" w:cs="宋体"/>
                <w:szCs w:val="21"/>
              </w:rPr>
            </w:pPr>
            <w:r>
              <w:rPr>
                <w:rFonts w:hint="eastAsia" w:ascii="宋体" w:hAnsi="宋体" w:cs="宋体"/>
                <w:szCs w:val="21"/>
              </w:rPr>
              <w:t>（2）中标人应配合采购人和各信息系统责任部门的工作，对于职责内的任务及时予以完成。因故不能接收任务或无法按时完成，须说明原因并获得信息系统责任部门及采购人的许可。</w:t>
            </w:r>
          </w:p>
          <w:p>
            <w:pPr>
              <w:adjustRightInd w:val="0"/>
              <w:snapToGrid w:val="0"/>
              <w:ind w:firstLine="420" w:firstLineChars="200"/>
              <w:rPr>
                <w:rFonts w:ascii="宋体" w:hAnsi="宋体" w:cs="宋体"/>
                <w:szCs w:val="21"/>
              </w:rPr>
            </w:pPr>
            <w:r>
              <w:rPr>
                <w:rFonts w:hint="eastAsia" w:ascii="宋体" w:hAnsi="宋体" w:cs="宋体"/>
                <w:szCs w:val="21"/>
              </w:rPr>
              <w:t>2.服务请求响应及时性</w:t>
            </w:r>
          </w:p>
          <w:p>
            <w:pPr>
              <w:adjustRightInd w:val="0"/>
              <w:snapToGrid w:val="0"/>
              <w:ind w:firstLine="420" w:firstLineChars="200"/>
              <w:rPr>
                <w:rFonts w:ascii="宋体" w:hAnsi="宋体" w:cs="宋体"/>
                <w:szCs w:val="21"/>
              </w:rPr>
            </w:pPr>
            <w:r>
              <w:rPr>
                <w:rFonts w:hint="eastAsia" w:ascii="宋体" w:hAnsi="宋体" w:cs="宋体"/>
                <w:szCs w:val="21"/>
              </w:rPr>
              <w:t>当机房业务迁移使用部门和采购人提出服务及故障处理请求时，中标人应在规定的时间作出响应。</w:t>
            </w:r>
          </w:p>
          <w:p>
            <w:pPr>
              <w:adjustRightInd w:val="0"/>
              <w:snapToGrid w:val="0"/>
              <w:ind w:firstLine="420" w:firstLineChars="200"/>
              <w:rPr>
                <w:rFonts w:ascii="宋体" w:hAnsi="宋体" w:cs="宋体"/>
                <w:szCs w:val="21"/>
              </w:rPr>
            </w:pPr>
            <w:r>
              <w:rPr>
                <w:rFonts w:hint="eastAsia" w:ascii="宋体" w:hAnsi="宋体" w:cs="宋体"/>
                <w:szCs w:val="21"/>
              </w:rPr>
              <w:t>响应时间以中标人与信息系统责任单位协商并进行登记备案的内容为准；未进行协商或未登记备案的，以管理部门的标准规定为准。</w:t>
            </w:r>
          </w:p>
          <w:p>
            <w:pPr>
              <w:adjustRightInd w:val="0"/>
              <w:snapToGrid w:val="0"/>
              <w:ind w:firstLine="420" w:firstLineChars="200"/>
              <w:rPr>
                <w:rFonts w:ascii="宋体" w:hAnsi="宋体" w:cs="宋体"/>
                <w:szCs w:val="21"/>
              </w:rPr>
            </w:pPr>
            <w:r>
              <w:rPr>
                <w:rFonts w:hint="eastAsia" w:ascii="宋体" w:hAnsi="宋体" w:cs="宋体"/>
                <w:szCs w:val="21"/>
              </w:rPr>
              <w:t>中标人在规定的时限内指派了人员通过现场或远程协助的方式，开始着手为客户提供服务，提供随时响应服务。</w:t>
            </w:r>
          </w:p>
          <w:p>
            <w:pPr>
              <w:adjustRightInd w:val="0"/>
              <w:snapToGrid w:val="0"/>
              <w:ind w:firstLine="420" w:firstLineChars="200"/>
              <w:rPr>
                <w:rFonts w:ascii="宋体" w:hAnsi="宋体" w:cs="宋体"/>
                <w:szCs w:val="21"/>
              </w:rPr>
            </w:pPr>
            <w:r>
              <w:rPr>
                <w:rFonts w:hint="eastAsia" w:ascii="宋体" w:hAnsi="宋体" w:cs="宋体"/>
                <w:szCs w:val="21"/>
              </w:rPr>
              <w:t>3.服务处理</w:t>
            </w:r>
          </w:p>
          <w:p>
            <w:pPr>
              <w:adjustRightInd w:val="0"/>
              <w:snapToGrid w:val="0"/>
              <w:ind w:firstLine="420" w:firstLineChars="200"/>
              <w:rPr>
                <w:rFonts w:ascii="宋体" w:hAnsi="宋体" w:cs="宋体"/>
                <w:szCs w:val="21"/>
              </w:rPr>
            </w:pPr>
            <w:r>
              <w:rPr>
                <w:rFonts w:hint="eastAsia" w:ascii="宋体" w:hAnsi="宋体" w:cs="宋体"/>
                <w:szCs w:val="21"/>
              </w:rPr>
              <w:t>服务请求及故障处理，应在规定的处理时限内予以恢复或解决。</w:t>
            </w:r>
          </w:p>
          <w:p>
            <w:pPr>
              <w:adjustRightInd w:val="0"/>
              <w:snapToGrid w:val="0"/>
              <w:ind w:firstLine="420" w:firstLineChars="200"/>
              <w:rPr>
                <w:rFonts w:ascii="宋体" w:hAnsi="宋体" w:cs="宋体"/>
                <w:szCs w:val="21"/>
              </w:rPr>
            </w:pPr>
            <w:r>
              <w:rPr>
                <w:rFonts w:hint="eastAsia" w:ascii="宋体" w:hAnsi="宋体" w:cs="宋体"/>
                <w:szCs w:val="21"/>
              </w:rPr>
              <w:t>处理时限以中标人与信息系统责任单位协商并进行登记备案的内容为准；未进行协商或未登记备案的，以管理部门的标准规定为准。</w:t>
            </w:r>
          </w:p>
          <w:p>
            <w:pPr>
              <w:adjustRightInd w:val="0"/>
              <w:snapToGrid w:val="0"/>
              <w:ind w:firstLine="420" w:firstLineChars="200"/>
              <w:rPr>
                <w:rFonts w:ascii="宋体" w:hAnsi="宋体" w:cs="宋体"/>
                <w:szCs w:val="21"/>
              </w:rPr>
            </w:pPr>
            <w:r>
              <w:rPr>
                <w:rFonts w:hint="eastAsia" w:ascii="宋体" w:hAnsi="宋体" w:cs="宋体"/>
                <w:szCs w:val="21"/>
              </w:rPr>
              <w:t>故障处理及时性指在故障上报、服务恢复及提交故障报告环节具体响应时间超过要求时限，同时单个故障处理及时性违约金系数之和上限为20%。响应时间须经采购人及中标人确认，若确认结果不一致，由各方协商解决。有关时间如下：</w:t>
            </w:r>
          </w:p>
          <w:p>
            <w:pPr>
              <w:adjustRightInd w:val="0"/>
              <w:snapToGrid w:val="0"/>
              <w:ind w:firstLine="420" w:firstLineChars="200"/>
              <w:rPr>
                <w:rFonts w:ascii="宋体" w:hAnsi="宋体" w:cs="宋体"/>
                <w:szCs w:val="21"/>
              </w:rPr>
            </w:pPr>
            <w:r>
              <w:rPr>
                <w:rFonts w:hint="eastAsia" w:ascii="宋体" w:hAnsi="宋体" w:cs="宋体"/>
                <w:szCs w:val="21"/>
              </w:rPr>
              <w:t>（1）故障发生时间是指通过对告警分析、日志分析、主动巡检、用户报障等渠道能追溯到的故障发生的最初时间，若通过以上渠道无法确定，则按收到与故障有关信息的最早时间确定；</w:t>
            </w:r>
          </w:p>
          <w:p>
            <w:pPr>
              <w:adjustRightInd w:val="0"/>
              <w:snapToGrid w:val="0"/>
              <w:ind w:firstLine="420" w:firstLineChars="200"/>
              <w:rPr>
                <w:rFonts w:ascii="宋体" w:hAnsi="宋体" w:cs="宋体"/>
                <w:szCs w:val="21"/>
              </w:rPr>
            </w:pPr>
            <w:r>
              <w:rPr>
                <w:rFonts w:hint="eastAsia" w:ascii="宋体" w:hAnsi="宋体" w:cs="宋体"/>
                <w:szCs w:val="21"/>
              </w:rPr>
              <w:t>（2）故障上报时间是指中标人通过邮件或其他即时通信工具上报故障情况至采购人的时间；</w:t>
            </w:r>
          </w:p>
          <w:p>
            <w:pPr>
              <w:adjustRightInd w:val="0"/>
              <w:snapToGrid w:val="0"/>
              <w:ind w:firstLine="420" w:firstLineChars="200"/>
              <w:rPr>
                <w:rFonts w:ascii="宋体" w:hAnsi="宋体" w:cs="宋体"/>
                <w:szCs w:val="21"/>
              </w:rPr>
            </w:pPr>
            <w:r>
              <w:rPr>
                <w:rFonts w:hint="eastAsia" w:ascii="宋体" w:hAnsi="宋体" w:cs="宋体"/>
                <w:szCs w:val="21"/>
              </w:rPr>
              <w:t>（3）服务恢复时间是指中标人修复故障后，经使用单位确认后的时间；</w:t>
            </w:r>
          </w:p>
          <w:p>
            <w:pPr>
              <w:adjustRightInd w:val="0"/>
              <w:snapToGrid w:val="0"/>
              <w:ind w:firstLine="420" w:firstLineChars="200"/>
              <w:rPr>
                <w:rFonts w:ascii="宋体" w:hAnsi="宋体" w:cs="宋体"/>
                <w:color w:val="000000"/>
                <w:szCs w:val="21"/>
              </w:rPr>
            </w:pPr>
            <w:r>
              <w:rPr>
                <w:rFonts w:hint="eastAsia" w:ascii="宋体" w:hAnsi="宋体" w:cs="宋体"/>
                <w:szCs w:val="21"/>
              </w:rPr>
              <w:t>（4）提交故障报告时间是指中标人通过邮件或纸质材料提交故障报告至采购人的时间。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 w:type="pct"/>
            <w:vAlign w:val="center"/>
          </w:tcPr>
          <w:p>
            <w:pPr>
              <w:jc w:val="center"/>
              <w:rPr>
                <w:rFonts w:ascii="宋体" w:hAnsi="宋体"/>
                <w:szCs w:val="21"/>
              </w:rPr>
            </w:pPr>
            <w:r>
              <w:rPr>
                <w:rFonts w:hint="eastAsia" w:ascii="宋体" w:hAnsi="宋体"/>
                <w:szCs w:val="21"/>
              </w:rPr>
              <w:t>2</w:t>
            </w:r>
          </w:p>
        </w:tc>
        <w:tc>
          <w:tcPr>
            <w:tcW w:w="886" w:type="pct"/>
            <w:vAlign w:val="center"/>
          </w:tcPr>
          <w:p>
            <w:pPr>
              <w:jc w:val="center"/>
              <w:rPr>
                <w:rStyle w:val="21"/>
                <w:rFonts w:ascii="宋体" w:hAnsi="宋体" w:cs="宋体"/>
                <w:color w:val="000000"/>
                <w:szCs w:val="21"/>
              </w:rPr>
            </w:pPr>
            <w:r>
              <w:rPr>
                <w:rStyle w:val="21"/>
                <w:rFonts w:hint="eastAsia" w:ascii="宋体" w:hAnsi="宋体" w:cs="宋体"/>
                <w:color w:val="000000"/>
                <w:szCs w:val="21"/>
              </w:rPr>
              <w:t>免费保修期</w:t>
            </w:r>
          </w:p>
        </w:tc>
        <w:tc>
          <w:tcPr>
            <w:tcW w:w="3821" w:type="pct"/>
            <w:vAlign w:val="center"/>
          </w:tcPr>
          <w:p>
            <w:pPr>
              <w:adjustRightInd w:val="0"/>
              <w:snapToGrid w:val="0"/>
              <w:rPr>
                <w:rFonts w:ascii="宋体" w:hAnsi="宋体" w:cs="宋体"/>
                <w:color w:val="000000"/>
                <w:szCs w:val="21"/>
              </w:rPr>
            </w:pPr>
            <w:r>
              <w:rPr>
                <w:rFonts w:hint="eastAsia" w:ascii="宋体" w:hAnsi="宋体" w:cs="宋体"/>
                <w:kern w:val="0"/>
                <w:szCs w:val="21"/>
              </w:rPr>
              <w:t>项目验收后，中标人继续支持搬迁后3个月的现场及远程技术指导</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 w:type="pct"/>
            <w:vAlign w:val="center"/>
          </w:tcPr>
          <w:p>
            <w:pPr>
              <w:jc w:val="center"/>
              <w:rPr>
                <w:rFonts w:ascii="宋体" w:hAnsi="宋体"/>
                <w:bCs/>
                <w:szCs w:val="21"/>
              </w:rPr>
            </w:pPr>
            <w:r>
              <w:rPr>
                <w:rFonts w:hint="eastAsia" w:ascii="宋体" w:hAnsi="宋体"/>
                <w:bCs/>
                <w:szCs w:val="21"/>
              </w:rPr>
              <w:t>3</w:t>
            </w:r>
          </w:p>
        </w:tc>
        <w:tc>
          <w:tcPr>
            <w:tcW w:w="886" w:type="pct"/>
            <w:vAlign w:val="center"/>
          </w:tcPr>
          <w:p>
            <w:pPr>
              <w:jc w:val="center"/>
              <w:rPr>
                <w:rStyle w:val="21"/>
                <w:rFonts w:ascii="宋体" w:hAnsi="宋体" w:cs="宋体"/>
                <w:color w:val="000000"/>
                <w:szCs w:val="21"/>
              </w:rPr>
            </w:pPr>
            <w:r>
              <w:rPr>
                <w:rStyle w:val="21"/>
                <w:rFonts w:hint="eastAsia" w:ascii="宋体" w:hAnsi="宋体" w:cs="宋体"/>
                <w:color w:val="000000"/>
                <w:szCs w:val="21"/>
              </w:rPr>
              <w:t>安装调试</w:t>
            </w:r>
          </w:p>
        </w:tc>
        <w:tc>
          <w:tcPr>
            <w:tcW w:w="3821" w:type="pct"/>
            <w:vAlign w:val="center"/>
          </w:tcPr>
          <w:p>
            <w:pPr>
              <w:rPr>
                <w:rFonts w:ascii="宋体" w:hAnsi="宋体" w:cs="宋体"/>
                <w:color w:val="000000"/>
                <w:szCs w:val="21"/>
              </w:rPr>
            </w:pPr>
            <w:r>
              <w:rPr>
                <w:rFonts w:hint="eastAsia" w:ascii="宋体" w:hAnsi="宋体" w:cs="宋体"/>
                <w:color w:val="000000"/>
                <w:szCs w:val="21"/>
              </w:rPr>
              <w:t>投标人承担的设备运输、安装调试</w:t>
            </w:r>
            <w:r>
              <w:rPr>
                <w:rFonts w:hint="eastAsia" w:ascii="宋体" w:hAnsi="宋体" w:cs="宋体"/>
                <w:color w:val="000000"/>
                <w:szCs w:val="21"/>
                <w:lang w:eastAsia="zh-CN"/>
              </w:rPr>
              <w:t>等</w:t>
            </w:r>
            <w:r>
              <w:rPr>
                <w:rFonts w:hint="eastAsia" w:ascii="宋体" w:hAnsi="宋体" w:cs="宋体"/>
                <w:color w:val="000000"/>
                <w:szCs w:val="21"/>
              </w:rPr>
              <w:t>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vAlign w:val="center"/>
          </w:tcPr>
          <w:p>
            <w:pPr>
              <w:rPr>
                <w:rFonts w:ascii="宋体" w:hAnsi="宋体"/>
                <w:b/>
                <w:szCs w:val="21"/>
              </w:rPr>
            </w:pPr>
            <w:r>
              <w:rPr>
                <w:rFonts w:hint="eastAsia" w:ascii="宋体" w:hAnsi="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 w:type="pct"/>
            <w:vAlign w:val="center"/>
          </w:tcPr>
          <w:p>
            <w:pPr>
              <w:jc w:val="center"/>
              <w:rPr>
                <w:rFonts w:hint="eastAsia" w:ascii="宋体" w:hAnsi="宋体" w:eastAsia="宋体"/>
                <w:b w:val="0"/>
                <w:bCs/>
                <w:szCs w:val="21"/>
                <w:lang w:eastAsia="zh-CN"/>
              </w:rPr>
            </w:pPr>
            <w:r>
              <w:rPr>
                <w:rFonts w:hint="eastAsia" w:ascii="宋体" w:hAnsi="宋体"/>
                <w:b w:val="0"/>
                <w:bCs/>
                <w:szCs w:val="21"/>
                <w:lang w:val="en-US" w:eastAsia="zh-CN"/>
              </w:rPr>
              <w:t>4</w:t>
            </w:r>
          </w:p>
        </w:tc>
        <w:tc>
          <w:tcPr>
            <w:tcW w:w="886" w:type="pct"/>
            <w:vAlign w:val="center"/>
          </w:tcPr>
          <w:p>
            <w:pPr>
              <w:jc w:val="center"/>
              <w:rPr>
                <w:rFonts w:ascii="宋体" w:hAnsi="宋体"/>
                <w:b/>
                <w:szCs w:val="21"/>
              </w:rPr>
            </w:pPr>
            <w:r>
              <w:rPr>
                <w:rFonts w:hint="eastAsia" w:ascii="宋体" w:hAnsi="宋体"/>
                <w:b/>
                <w:szCs w:val="21"/>
              </w:rPr>
              <w:t>必备条款</w:t>
            </w:r>
            <w:r>
              <w:rPr>
                <w:rFonts w:hint="eastAsia" w:ascii="宋体" w:hAnsi="宋体" w:cs="宋体"/>
                <w:szCs w:val="21"/>
              </w:rPr>
              <w:t>（提供承诺函，格式自拟）</w:t>
            </w:r>
          </w:p>
        </w:tc>
        <w:tc>
          <w:tcPr>
            <w:tcW w:w="3821" w:type="pct"/>
            <w:vAlign w:val="center"/>
          </w:tcPr>
          <w:p>
            <w:pPr>
              <w:rPr>
                <w:rFonts w:ascii="宋体" w:hAnsi="宋体" w:cs="宋体"/>
                <w:color w:val="000000"/>
                <w:szCs w:val="21"/>
              </w:rPr>
            </w:pPr>
            <w:r>
              <w:rPr>
                <w:rFonts w:hint="eastAsia"/>
                <w:b/>
                <w:color w:val="auto"/>
              </w:rPr>
              <w:t>★</w:t>
            </w:r>
            <w:r>
              <w:rPr>
                <w:rFonts w:hint="eastAsia" w:ascii="宋体" w:hAnsi="宋体" w:eastAsia="宋体" w:cs="宋体"/>
                <w:b w:val="0"/>
                <w:bCs w:val="0"/>
                <w:color w:val="000000"/>
                <w:sz w:val="21"/>
                <w:szCs w:val="21"/>
              </w:rPr>
              <w:t>服务期限：</w:t>
            </w:r>
            <w:r>
              <w:rPr>
                <w:rFonts w:hint="eastAsia" w:ascii="宋体" w:hAnsi="宋体" w:eastAsia="宋体" w:cs="宋体"/>
                <w:bCs w:val="0"/>
                <w:color w:val="000000"/>
                <w:sz w:val="21"/>
                <w:szCs w:val="21"/>
              </w:rPr>
              <w:t>自合同签订之日起20个工作日内，按采购文件及合同约定要求完成深圳市龙岗区第七人民医院简竹护理院机房迁移。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1" w:type="pct"/>
            <w:vAlign w:val="center"/>
          </w:tcPr>
          <w:p>
            <w:pPr>
              <w:jc w:val="center"/>
              <w:rPr>
                <w:rFonts w:hint="eastAsia" w:ascii="宋体" w:hAnsi="宋体" w:eastAsia="宋体"/>
                <w:b w:val="0"/>
                <w:bCs/>
                <w:szCs w:val="21"/>
                <w:lang w:eastAsia="zh-CN"/>
              </w:rPr>
            </w:pPr>
            <w:r>
              <w:rPr>
                <w:rFonts w:hint="eastAsia" w:ascii="宋体" w:hAnsi="宋体"/>
                <w:b w:val="0"/>
                <w:bCs/>
                <w:szCs w:val="21"/>
                <w:lang w:val="en-US" w:eastAsia="zh-CN"/>
              </w:rPr>
              <w:t>5</w:t>
            </w:r>
          </w:p>
        </w:tc>
        <w:tc>
          <w:tcPr>
            <w:tcW w:w="886" w:type="pct"/>
            <w:vAlign w:val="center"/>
          </w:tcPr>
          <w:p>
            <w:pPr>
              <w:jc w:val="center"/>
              <w:rPr>
                <w:rFonts w:ascii="宋体" w:hAnsi="宋体"/>
                <w:color w:val="000000"/>
                <w:szCs w:val="21"/>
              </w:rPr>
            </w:pPr>
            <w:r>
              <w:rPr>
                <w:rStyle w:val="21"/>
                <w:rFonts w:hint="eastAsia" w:ascii="宋体" w:hAnsi="宋体" w:cs="宋体"/>
                <w:color w:val="000000"/>
                <w:szCs w:val="21"/>
              </w:rPr>
              <w:t>运输、安装条件</w:t>
            </w:r>
          </w:p>
        </w:tc>
        <w:tc>
          <w:tcPr>
            <w:tcW w:w="3821" w:type="pct"/>
            <w:vAlign w:val="center"/>
          </w:tcPr>
          <w:p>
            <w:pPr>
              <w:tabs>
                <w:tab w:val="left" w:pos="1260"/>
              </w:tabs>
              <w:rPr>
                <w:rFonts w:ascii="宋体" w:hAnsi="宋体"/>
                <w:bCs/>
                <w:color w:val="000000"/>
                <w:szCs w:val="21"/>
              </w:rPr>
            </w:pPr>
            <w:r>
              <w:rPr>
                <w:rFonts w:hint="eastAsia" w:ascii="宋体" w:hAnsi="宋体" w:cs="宋体"/>
                <w:color w:val="000000"/>
                <w:szCs w:val="21"/>
              </w:rPr>
              <w:t>投标人承担的设备运输、安装调试、验收检测和提供设备操作说明书、图纸等其他类似的义务。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jc w:val="center"/>
        </w:trPr>
        <w:tc>
          <w:tcPr>
            <w:tcW w:w="291" w:type="pct"/>
            <w:vAlign w:val="center"/>
          </w:tcPr>
          <w:p>
            <w:pPr>
              <w:jc w:val="center"/>
              <w:rPr>
                <w:rFonts w:hint="eastAsia" w:ascii="宋体" w:hAnsi="宋体" w:eastAsia="宋体"/>
                <w:b w:val="0"/>
                <w:bCs/>
                <w:szCs w:val="21"/>
                <w:lang w:eastAsia="zh-CN"/>
              </w:rPr>
            </w:pPr>
            <w:r>
              <w:rPr>
                <w:rFonts w:hint="eastAsia" w:ascii="宋体" w:hAnsi="宋体"/>
                <w:b w:val="0"/>
                <w:bCs/>
                <w:szCs w:val="21"/>
                <w:lang w:val="en-US" w:eastAsia="zh-CN"/>
              </w:rPr>
              <w:t>6</w:t>
            </w:r>
          </w:p>
        </w:tc>
        <w:tc>
          <w:tcPr>
            <w:tcW w:w="886" w:type="pct"/>
            <w:vAlign w:val="center"/>
          </w:tcPr>
          <w:p>
            <w:pPr>
              <w:jc w:val="center"/>
              <w:rPr>
                <w:rFonts w:ascii="宋体" w:hAnsi="宋体"/>
                <w:b/>
                <w:szCs w:val="21"/>
              </w:rPr>
            </w:pPr>
            <w:r>
              <w:rPr>
                <w:rFonts w:ascii="宋体" w:hAnsi="宋体"/>
                <w:b/>
                <w:szCs w:val="21"/>
              </w:rPr>
              <w:t>培训</w:t>
            </w:r>
          </w:p>
        </w:tc>
        <w:tc>
          <w:tcPr>
            <w:tcW w:w="3821" w:type="pct"/>
            <w:vAlign w:val="center"/>
          </w:tcPr>
          <w:p>
            <w:pPr>
              <w:adjustRightInd w:val="0"/>
              <w:snapToGrid w:val="0"/>
              <w:rPr>
                <w:rFonts w:ascii="宋体" w:hAnsi="宋体" w:cs="宋体"/>
                <w:kern w:val="0"/>
                <w:szCs w:val="21"/>
              </w:rPr>
            </w:pPr>
            <w:r>
              <w:rPr>
                <w:rFonts w:hint="eastAsia" w:ascii="宋体" w:hAnsi="宋体" w:cs="宋体"/>
                <w:kern w:val="0"/>
                <w:szCs w:val="21"/>
              </w:rPr>
              <w:t>1.培训方式</w:t>
            </w:r>
          </w:p>
          <w:p>
            <w:pPr>
              <w:adjustRightInd w:val="0"/>
              <w:snapToGrid w:val="0"/>
              <w:ind w:firstLine="420" w:firstLineChars="200"/>
              <w:rPr>
                <w:rFonts w:ascii="宋体" w:hAnsi="宋体" w:cs="宋体"/>
                <w:kern w:val="0"/>
                <w:szCs w:val="21"/>
              </w:rPr>
            </w:pPr>
            <w:r>
              <w:rPr>
                <w:rFonts w:hint="eastAsia" w:ascii="宋体" w:hAnsi="宋体" w:cs="宋体"/>
                <w:kern w:val="0"/>
                <w:szCs w:val="21"/>
              </w:rPr>
              <w:t xml:space="preserve">针对本项目的业务主管人员、系统管理人员、平台运维人员、提供灵活的培训方式，采用的培训方式如下：  </w:t>
            </w:r>
          </w:p>
          <w:p>
            <w:pPr>
              <w:adjustRightInd w:val="0"/>
              <w:snapToGrid w:val="0"/>
              <w:ind w:firstLine="420" w:firstLineChars="200"/>
              <w:rPr>
                <w:rFonts w:ascii="宋体" w:hAnsi="宋体" w:cs="宋体"/>
                <w:kern w:val="0"/>
                <w:szCs w:val="21"/>
              </w:rPr>
            </w:pPr>
            <w:r>
              <w:rPr>
                <w:rFonts w:hint="eastAsia" w:ascii="宋体" w:hAnsi="宋体" w:cs="宋体"/>
                <w:kern w:val="0"/>
                <w:szCs w:val="21"/>
              </w:rPr>
              <w:t>集中培训：使用采购人办公会议室或社会培训中心，安排集中培训，提高项目业务主管人员、系统管理人员、平台运维人员专业水平，促进相关人员对项目所涉及的信息技术深入了解和掌握。</w:t>
            </w:r>
          </w:p>
          <w:p>
            <w:pPr>
              <w:adjustRightInd w:val="0"/>
              <w:snapToGrid w:val="0"/>
              <w:rPr>
                <w:rFonts w:ascii="宋体" w:hAnsi="宋体" w:cs="宋体"/>
                <w:kern w:val="0"/>
                <w:szCs w:val="21"/>
              </w:rPr>
            </w:pPr>
            <w:r>
              <w:rPr>
                <w:rFonts w:hint="eastAsia" w:ascii="宋体" w:hAnsi="宋体" w:cs="宋体"/>
                <w:kern w:val="0"/>
                <w:szCs w:val="21"/>
              </w:rPr>
              <w:t>2.参与培训人员</w:t>
            </w:r>
          </w:p>
          <w:p>
            <w:pPr>
              <w:adjustRightInd w:val="0"/>
              <w:snapToGrid w:val="0"/>
              <w:ind w:firstLine="420" w:firstLineChars="200"/>
              <w:rPr>
                <w:rFonts w:ascii="宋体" w:hAnsi="宋体" w:cs="宋体"/>
                <w:kern w:val="0"/>
                <w:szCs w:val="21"/>
              </w:rPr>
            </w:pPr>
            <w:r>
              <w:rPr>
                <w:rFonts w:hint="eastAsia" w:ascii="宋体" w:hAnsi="宋体" w:cs="宋体"/>
                <w:kern w:val="0"/>
                <w:szCs w:val="21"/>
              </w:rPr>
              <w:t>项目管理人员、系统管理人员、平台运维操作人员等。</w:t>
            </w:r>
          </w:p>
          <w:p>
            <w:pPr>
              <w:adjustRightInd w:val="0"/>
              <w:snapToGrid w:val="0"/>
              <w:rPr>
                <w:rFonts w:ascii="宋体" w:hAnsi="宋体" w:cs="宋体"/>
                <w:kern w:val="0"/>
                <w:szCs w:val="21"/>
              </w:rPr>
            </w:pPr>
            <w:r>
              <w:rPr>
                <w:rFonts w:hint="eastAsia" w:ascii="宋体" w:hAnsi="宋体" w:cs="宋体"/>
                <w:kern w:val="0"/>
                <w:szCs w:val="21"/>
              </w:rPr>
              <w:t>3.培训内容</w:t>
            </w:r>
          </w:p>
          <w:p>
            <w:pPr>
              <w:numPr>
                <w:ilvl w:val="255"/>
                <w:numId w:val="0"/>
              </w:numPr>
              <w:adjustRightInd w:val="0"/>
              <w:snapToGrid w:val="0"/>
              <w:ind w:firstLine="420" w:firstLineChars="200"/>
              <w:rPr>
                <w:rFonts w:hint="eastAsia" w:ascii="宋体" w:hAnsi="宋体" w:cs="宋体"/>
                <w:kern w:val="0"/>
                <w:szCs w:val="21"/>
              </w:rPr>
            </w:pPr>
            <w:r>
              <w:rPr>
                <w:rFonts w:hint="eastAsia" w:ascii="宋体" w:hAnsi="宋体" w:cs="宋体"/>
                <w:kern w:val="0"/>
                <w:szCs w:val="21"/>
              </w:rPr>
              <w:t>3.1集中培训：投标人须提供详细培训方案，提供对采购人以及使用单位技术人员在内的培训服务。具体内容包括：数据中心搬迁总结培训；主机迁移、存储迁移、网络迁移技术培训。培训讲师应为设备存储、网络等原厂技术专家。</w:t>
            </w:r>
          </w:p>
          <w:p>
            <w:pPr>
              <w:numPr>
                <w:ilvl w:val="255"/>
                <w:numId w:val="0"/>
              </w:numPr>
              <w:adjustRightInd w:val="0"/>
              <w:snapToGrid w:val="0"/>
              <w:ind w:firstLine="420" w:firstLineChars="200"/>
              <w:rPr>
                <w:rFonts w:hint="eastAsia" w:ascii="宋体" w:hAnsi="宋体" w:cs="宋体"/>
                <w:kern w:val="0"/>
                <w:szCs w:val="21"/>
              </w:rPr>
            </w:pPr>
            <w:r>
              <w:rPr>
                <w:rFonts w:hint="eastAsia" w:ascii="宋体" w:hAnsi="宋体" w:cs="宋体"/>
                <w:color w:val="000000"/>
                <w:szCs w:val="21"/>
              </w:rPr>
              <w:t>3.2现场培训：投标供应商应提供现场技术培训，保证使用人员正常操作设备的各种功能。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91" w:type="pct"/>
            <w:vAlign w:val="center"/>
          </w:tcPr>
          <w:p>
            <w:pPr>
              <w:jc w:val="center"/>
              <w:rPr>
                <w:rFonts w:hint="eastAsia" w:ascii="宋体" w:hAnsi="宋体" w:eastAsia="宋体"/>
                <w:b/>
                <w:szCs w:val="21"/>
                <w:lang w:eastAsia="zh-CN"/>
              </w:rPr>
            </w:pPr>
            <w:r>
              <w:rPr>
                <w:rFonts w:hint="eastAsia" w:ascii="宋体" w:hAnsi="宋体"/>
                <w:b w:val="0"/>
                <w:bCs/>
                <w:szCs w:val="21"/>
                <w:lang w:val="en-US" w:eastAsia="zh-CN"/>
              </w:rPr>
              <w:t>7</w:t>
            </w:r>
          </w:p>
        </w:tc>
        <w:tc>
          <w:tcPr>
            <w:tcW w:w="886" w:type="pct"/>
            <w:vAlign w:val="center"/>
          </w:tcPr>
          <w:p>
            <w:pPr>
              <w:jc w:val="center"/>
              <w:rPr>
                <w:rFonts w:ascii="宋体" w:hAnsi="宋体"/>
                <w:b/>
                <w:szCs w:val="21"/>
              </w:rPr>
            </w:pPr>
            <w:r>
              <w:rPr>
                <w:rFonts w:ascii="宋体" w:hAnsi="宋体"/>
                <w:b/>
                <w:color w:val="000000"/>
                <w:szCs w:val="21"/>
              </w:rPr>
              <w:t>其他</w:t>
            </w:r>
          </w:p>
        </w:tc>
        <w:tc>
          <w:tcPr>
            <w:tcW w:w="3821" w:type="pct"/>
            <w:vAlign w:val="center"/>
          </w:tcPr>
          <w:p>
            <w:pPr>
              <w:rPr>
                <w:rFonts w:ascii="宋体" w:hAnsi="宋体"/>
                <w:szCs w:val="21"/>
              </w:rPr>
            </w:pPr>
            <w:r>
              <w:rPr>
                <w:rFonts w:hint="eastAsia" w:ascii="宋体" w:hAnsi="宋体" w:cs="宋体"/>
                <w:color w:val="000000"/>
                <w:szCs w:val="21"/>
              </w:rPr>
              <w:t>投标供应商应按其投标文件中的承诺，进行其他售后服务工作。</w:t>
            </w:r>
          </w:p>
        </w:tc>
      </w:tr>
    </w:tbl>
    <w:p>
      <w:pPr>
        <w:pStyle w:val="25"/>
        <w:ind w:firstLine="562"/>
        <w:rPr>
          <w:b/>
          <w:bCs/>
          <w:color w:val="auto"/>
        </w:rPr>
      </w:pPr>
      <w:r>
        <w:rPr>
          <w:rFonts w:hint="eastAsia"/>
          <w:b/>
          <w:bCs/>
          <w:color w:val="auto"/>
        </w:rPr>
        <w:t>六、报价及付款方式</w:t>
      </w:r>
    </w:p>
    <w:p>
      <w:pPr>
        <w:pStyle w:val="25"/>
      </w:pPr>
      <w:r>
        <w:rPr>
          <w:rFonts w:hint="eastAsia"/>
        </w:rPr>
        <w:t>（一）人民币报价：</w:t>
      </w:r>
      <w:r>
        <w:rPr>
          <w:rFonts w:hint="eastAsia"/>
          <w:bCs/>
        </w:rPr>
        <w:t>投标总价（人民币）须是完成该项目的一切费用总和，包括设备费、运输费、装卸费、保险费、技术培训费、设备安装费、调试费、售后服务费、国家规定的各项税费等全部费用；</w:t>
      </w:r>
      <w:r>
        <w:rPr>
          <w:rFonts w:hint="eastAsia"/>
        </w:rPr>
        <w:t>本项目最高投标限价为19万元，投标总价超出最高投标限价作无效投标处理。</w:t>
      </w:r>
    </w:p>
    <w:p>
      <w:pPr>
        <w:pStyle w:val="25"/>
      </w:pPr>
      <w:r>
        <w:rPr>
          <w:rFonts w:hint="eastAsia"/>
        </w:rPr>
        <w:t>（二）付款方式</w:t>
      </w:r>
    </w:p>
    <w:p>
      <w:pPr>
        <w:pStyle w:val="25"/>
        <w:rPr>
          <w:color w:val="auto"/>
        </w:rPr>
      </w:pPr>
      <w:r>
        <w:rPr>
          <w:rFonts w:hint="eastAsia"/>
          <w:color w:val="auto"/>
        </w:rPr>
        <w:t>（1）签订合同后30个工作日内，支付合同金额的50%首付款；</w:t>
      </w:r>
    </w:p>
    <w:p>
      <w:pPr>
        <w:pStyle w:val="25"/>
        <w:rPr>
          <w:highlight w:val="yellow"/>
        </w:rPr>
      </w:pPr>
      <w:r>
        <w:rPr>
          <w:rFonts w:hint="eastAsia"/>
          <w:color w:val="auto"/>
        </w:rPr>
        <w:t>（2）项目验收后30个工作日内，支付合同金额的50%尾款。</w:t>
      </w:r>
    </w:p>
    <w:p>
      <w:pPr>
        <w:pStyle w:val="25"/>
        <w:spacing w:line="500" w:lineRule="exact"/>
        <w:ind w:firstLine="562"/>
        <w:rPr>
          <w:b/>
          <w:bCs/>
          <w:color w:val="auto"/>
        </w:rPr>
      </w:pPr>
      <w:r>
        <w:rPr>
          <w:rFonts w:hint="eastAsia"/>
          <w:b/>
          <w:bCs/>
          <w:color w:val="auto"/>
          <w:lang w:val="en-US" w:eastAsia="zh-CN"/>
        </w:rPr>
        <w:t>七</w:t>
      </w:r>
      <w:r>
        <w:rPr>
          <w:rFonts w:hint="eastAsia"/>
          <w:b/>
          <w:bCs/>
          <w:color w:val="auto"/>
        </w:rPr>
        <w:t>、验收方案</w:t>
      </w:r>
    </w:p>
    <w:p>
      <w:pPr>
        <w:pStyle w:val="25"/>
        <w:spacing w:line="400" w:lineRule="exact"/>
        <w:rPr>
          <w:bCs/>
        </w:rPr>
      </w:pPr>
      <w:r>
        <w:rPr>
          <w:rFonts w:hint="eastAsia"/>
          <w:bCs/>
        </w:rPr>
        <w:t>（一）投标人已按照合同规定提供了全部技术资料。</w:t>
      </w:r>
    </w:p>
    <w:p>
      <w:pPr>
        <w:pStyle w:val="25"/>
        <w:spacing w:line="400" w:lineRule="exact"/>
        <w:rPr>
          <w:bCs/>
        </w:rPr>
      </w:pPr>
      <w:r>
        <w:rPr>
          <w:rFonts w:hint="eastAsia"/>
          <w:bCs/>
        </w:rPr>
        <w:t>（二）服务项目符合招标文件的服务要求。</w:t>
      </w:r>
    </w:p>
    <w:p>
      <w:pPr>
        <w:pStyle w:val="25"/>
        <w:spacing w:line="400" w:lineRule="exact"/>
        <w:rPr>
          <w:bCs/>
        </w:rPr>
      </w:pPr>
      <w:r>
        <w:rPr>
          <w:rFonts w:hint="eastAsia"/>
          <w:bCs/>
        </w:rPr>
        <w:t>以上服务通过采购人审核确认后，由采购人组织验收并签署项目验收报告。</w:t>
      </w:r>
    </w:p>
    <w:p>
      <w:pPr>
        <w:spacing w:line="40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、项目地点：深圳市龙岗区第七人民医院指定地点。</w:t>
      </w:r>
    </w:p>
    <w:p>
      <w:pPr>
        <w:spacing w:line="440" w:lineRule="exact"/>
        <w:ind w:firstLine="562" w:firstLineChars="200"/>
        <w:rPr>
          <w:rFonts w:ascii="仿宋" w:hAnsi="仿宋" w:eastAsia="仿宋"/>
          <w:kern w:val="0"/>
          <w:sz w:val="28"/>
          <w:szCs w:val="28"/>
        </w:rPr>
      </w:pP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、签订合同</w:t>
      </w:r>
    </w:p>
    <w:p>
      <w:pPr>
        <w:adjustRightInd w:val="0"/>
        <w:snapToGrid w:val="0"/>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采购人和中标供应商应当自中标通知书发出之日起十日内，按照招标文件和中标供应商的投标文件订立书面合同。</w:t>
      </w:r>
    </w:p>
    <w:p>
      <w:pPr>
        <w:numPr>
          <w:ilvl w:val="255"/>
          <w:numId w:val="0"/>
        </w:numPr>
        <w:spacing w:line="44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十、评标标准</w:t>
      </w:r>
    </w:p>
    <w:tbl>
      <w:tblPr>
        <w:tblStyle w:val="18"/>
        <w:tblW w:w="9078" w:type="dxa"/>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1"/>
        <w:gridCol w:w="681"/>
        <w:gridCol w:w="1768"/>
        <w:gridCol w:w="856"/>
        <w:gridCol w:w="50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tblCellSpacing w:w="0" w:type="dxa"/>
          <w:jc w:val="center"/>
        </w:trPr>
        <w:tc>
          <w:tcPr>
            <w:tcW w:w="681"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rFonts w:ascii="宋体" w:hAnsi="宋体" w:cs="宋体"/>
                <w:b/>
                <w:bCs/>
                <w:sz w:val="24"/>
              </w:rPr>
            </w:pPr>
            <w:r>
              <w:rPr>
                <w:rFonts w:hint="eastAsia" w:ascii="宋体" w:hAnsi="宋体" w:cs="宋体"/>
                <w:b/>
                <w:bCs/>
                <w:kern w:val="0"/>
                <w:sz w:val="24"/>
              </w:rPr>
              <w:t>序号</w:t>
            </w:r>
          </w:p>
        </w:tc>
        <w:tc>
          <w:tcPr>
            <w:tcW w:w="3305"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rFonts w:ascii="宋体" w:hAnsi="宋体" w:cs="宋体"/>
                <w:b/>
                <w:bCs/>
                <w:sz w:val="24"/>
              </w:rPr>
            </w:pPr>
            <w:r>
              <w:rPr>
                <w:rFonts w:hint="eastAsia" w:ascii="宋体" w:hAnsi="宋体" w:cs="宋体"/>
                <w:b/>
                <w:bCs/>
                <w:kern w:val="0"/>
                <w:sz w:val="24"/>
              </w:rPr>
              <w:t>评分项</w:t>
            </w:r>
          </w:p>
        </w:tc>
        <w:tc>
          <w:tcPr>
            <w:tcW w:w="5092"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rFonts w:ascii="宋体" w:hAnsi="宋体" w:cs="宋体"/>
                <w:b/>
                <w:bCs/>
                <w:sz w:val="24"/>
              </w:rPr>
            </w:pPr>
            <w:r>
              <w:rPr>
                <w:rFonts w:hint="eastAsia" w:ascii="宋体" w:hAnsi="宋体" w:cs="宋体"/>
                <w:b/>
                <w:bCs/>
                <w:kern w:val="0"/>
                <w:sz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rPr>
              <w:t>1</w:t>
            </w:r>
          </w:p>
        </w:tc>
        <w:tc>
          <w:tcPr>
            <w:tcW w:w="330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rPr>
              <w:t>价格</w:t>
            </w:r>
          </w:p>
        </w:tc>
        <w:tc>
          <w:tcPr>
            <w:tcW w:w="50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color="auto" w:fill="auto"/>
          </w:tcPr>
          <w:p>
            <w:pPr>
              <w:widowControl/>
              <w:wordWrap w:val="0"/>
              <w:jc w:val="left"/>
              <w:rPr>
                <w:rFonts w:ascii="宋体" w:hAnsi="宋体" w:cs="宋体"/>
                <w:kern w:val="0"/>
                <w:szCs w:val="21"/>
              </w:rPr>
            </w:pPr>
            <w:r>
              <w:rPr>
                <w:rFonts w:hint="eastAsia" w:ascii="宋体" w:hAnsi="宋体" w:cs="宋体"/>
                <w:kern w:val="0"/>
                <w:szCs w:val="21"/>
              </w:rPr>
              <w:t>1.综合评分法中的价格分统一采用低价优先法计算。即满足采购文件要求且投标价格最低的投标报价为评标基准价，其价格分为满分。其他投标人的价格分统一按照下列公式计算：投标报价得分=（评标基准价/投标报价）×分值</w:t>
            </w:r>
          </w:p>
          <w:p>
            <w:pPr>
              <w:widowControl/>
              <w:wordWrap w:val="0"/>
              <w:jc w:val="left"/>
              <w:rPr>
                <w:rFonts w:ascii="宋体" w:hAnsi="宋体" w:cs="宋体"/>
                <w:kern w:val="0"/>
                <w:szCs w:val="21"/>
              </w:rPr>
            </w:pPr>
            <w:r>
              <w:rPr>
                <w:rFonts w:hint="eastAsia" w:ascii="宋体" w:hAnsi="宋体" w:cs="宋体"/>
                <w:kern w:val="0"/>
                <w:szCs w:val="21"/>
              </w:rPr>
              <w:t>备注：</w:t>
            </w:r>
          </w:p>
          <w:p>
            <w:pPr>
              <w:widowControl/>
              <w:wordWrap w:val="0"/>
              <w:jc w:val="left"/>
              <w:rPr>
                <w:rFonts w:ascii="宋体" w:hAnsi="宋体" w:cs="宋体"/>
                <w:kern w:val="0"/>
                <w:szCs w:val="21"/>
              </w:rPr>
            </w:pPr>
            <w:r>
              <w:rPr>
                <w:rFonts w:hint="eastAsia" w:ascii="宋体" w:hAnsi="宋体" w:cs="宋体"/>
                <w:kern w:val="0"/>
                <w:szCs w:val="21"/>
              </w:rPr>
              <w:t>2.投标报价得分四舍五入后，小数点后保留两位有效数。</w:t>
            </w:r>
          </w:p>
          <w:p>
            <w:pPr>
              <w:widowControl/>
              <w:wordWrap w:val="0"/>
              <w:jc w:val="left"/>
              <w:rPr>
                <w:rFonts w:ascii="宋体" w:hAnsi="宋体" w:cs="宋体"/>
                <w:szCs w:val="21"/>
              </w:rPr>
            </w:pPr>
            <w:r>
              <w:rPr>
                <w:rFonts w:hint="eastAsia" w:ascii="宋体" w:hAnsi="宋体" w:cs="宋体"/>
                <w:kern w:val="0"/>
                <w:szCs w:val="21"/>
              </w:rPr>
              <w:t>因落实政府采购政策进行价格调整的，以调整后的价格计算评标基准价和投标报价。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restart"/>
            <w:tcBorders>
              <w:top w:val="single" w:color="000000" w:sz="8" w:space="0"/>
              <w:left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rPr>
              <w:t>2</w:t>
            </w:r>
          </w:p>
        </w:tc>
        <w:tc>
          <w:tcPr>
            <w:tcW w:w="330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rPr>
              <w:t>技术部分</w:t>
            </w:r>
          </w:p>
        </w:tc>
        <w:tc>
          <w:tcPr>
            <w:tcW w:w="50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pPr>
            <w:r>
              <w:rPr>
                <w:rFonts w:hint="eastAsia" w:ascii="宋体" w:hAnsi="宋体" w:cs="宋体"/>
                <w:b/>
                <w:bCs/>
                <w:color w:val="0000FF"/>
                <w:sz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left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left w:val="single" w:color="000000" w:sz="8" w:space="0"/>
              <w:right w:val="single" w:color="000000" w:sz="8" w:space="0"/>
            </w:tcBorders>
            <w:shd w:val="clear" w:color="auto" w:fill="E6EFFA"/>
            <w:vAlign w:val="center"/>
          </w:tcPr>
          <w:p>
            <w:pPr>
              <w:jc w:val="center"/>
              <w:rPr>
                <w:rFonts w:ascii="宋体" w:hAnsi="宋体" w:cs="宋体"/>
                <w:b/>
                <w:bCs/>
                <w:color w:val="0000FF"/>
                <w:sz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rPr>
              <w:t>序号</w:t>
            </w:r>
          </w:p>
        </w:tc>
        <w:tc>
          <w:tcPr>
            <w:tcW w:w="176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rPr>
              <w:t>评分因素</w:t>
            </w:r>
          </w:p>
        </w:tc>
        <w:tc>
          <w:tcPr>
            <w:tcW w:w="85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rPr>
              <w:t>分值</w:t>
            </w:r>
          </w:p>
        </w:tc>
        <w:tc>
          <w:tcPr>
            <w:tcW w:w="509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left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Cs w:val="21"/>
              </w:rPr>
            </w:pPr>
            <w:r>
              <w:rPr>
                <w:rFonts w:hint="eastAsia" w:ascii="宋体" w:hAnsi="宋体" w:cs="宋体"/>
                <w:szCs w:val="21"/>
              </w:rPr>
              <w:t>1</w:t>
            </w:r>
          </w:p>
        </w:tc>
        <w:tc>
          <w:tcPr>
            <w:tcW w:w="1768"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Cs w:val="21"/>
              </w:rPr>
            </w:pPr>
            <w:r>
              <w:rPr>
                <w:rFonts w:hint="eastAsia" w:ascii="宋体" w:hAnsi="宋体" w:cs="宋体"/>
                <w:sz w:val="24"/>
              </w:rPr>
              <w:t>拟安排项目团队成员</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Cs w:val="21"/>
              </w:rPr>
            </w:pPr>
            <w:r>
              <w:rPr>
                <w:rFonts w:hint="eastAsia" w:ascii="宋体" w:hAnsi="宋体" w:cs="宋体"/>
                <w:sz w:val="24"/>
              </w:rPr>
              <w:t>15</w:t>
            </w:r>
          </w:p>
        </w:tc>
        <w:tc>
          <w:tcPr>
            <w:tcW w:w="5092"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line="271" w:lineRule="auto"/>
              <w:rPr>
                <w:rFonts w:ascii="宋体" w:hAnsi="宋体" w:cs="宋体"/>
                <w:b/>
                <w:bCs/>
                <w:sz w:val="24"/>
              </w:rPr>
            </w:pPr>
            <w:r>
              <w:rPr>
                <w:rFonts w:hint="eastAsia" w:ascii="宋体" w:hAnsi="宋体" w:cs="宋体"/>
                <w:b/>
                <w:bCs/>
                <w:sz w:val="24"/>
              </w:rPr>
              <w:t>（一）评分内容</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拟安排项目团队成员为投标单位自有员工，在此基础上，按照以下规则评分：</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1.项目负责人1人：</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（1）具有中级或以上计算机技术与软件专业技术资格证书（专业：网络工程师</w:t>
            </w:r>
            <w:r>
              <w:rPr>
                <w:rFonts w:hint="eastAsia" w:cs="宋体" w:asciiTheme="minorEastAsia" w:hAnsiTheme="minorEastAsia" w:eastAsiaTheme="minorEastAsia"/>
                <w:szCs w:val="21"/>
                <w:lang w:val="en-US" w:eastAsia="zh-CN"/>
              </w:rPr>
              <w:t>或</w:t>
            </w:r>
            <w:r>
              <w:rPr>
                <w:rFonts w:hint="eastAsia" w:cs="宋体" w:asciiTheme="minorEastAsia" w:hAnsiTheme="minorEastAsia" w:eastAsiaTheme="minorEastAsia"/>
                <w:i w:val="0"/>
                <w:iCs w:val="0"/>
                <w:caps w:val="0"/>
                <w:spacing w:val="0"/>
                <w:sz w:val="21"/>
                <w:szCs w:val="21"/>
                <w:shd w:val="clear"/>
              </w:rPr>
              <w:t>信息系统项目管理师</w:t>
            </w:r>
            <w:r>
              <w:rPr>
                <w:rFonts w:hint="eastAsia" w:cs="宋体" w:asciiTheme="minorEastAsia" w:hAnsiTheme="minorEastAsia" w:eastAsiaTheme="minorEastAsia"/>
                <w:szCs w:val="21"/>
              </w:rPr>
              <w:t>），得3分；</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（2）近3年（2022年8月1日至投标截止</w:t>
            </w:r>
            <w:r>
              <w:rPr>
                <w:rFonts w:hint="eastAsia" w:cs="宋体" w:asciiTheme="minorEastAsia" w:hAnsiTheme="minorEastAsia" w:eastAsiaTheme="minorEastAsia"/>
                <w:szCs w:val="21"/>
                <w:lang w:val="en-US" w:eastAsia="zh-CN"/>
              </w:rPr>
              <w:t>日</w:t>
            </w:r>
            <w:r>
              <w:rPr>
                <w:rFonts w:hint="eastAsia" w:cs="宋体" w:asciiTheme="minorEastAsia" w:hAnsiTheme="minorEastAsia" w:eastAsiaTheme="minorEastAsia"/>
                <w:szCs w:val="21"/>
              </w:rPr>
              <w:t>）担任</w:t>
            </w:r>
            <w:r>
              <w:rPr>
                <w:rFonts w:hint="eastAsia" w:cs="宋体" w:asciiTheme="minorEastAsia" w:hAnsiTheme="minorEastAsia" w:eastAsiaTheme="minorEastAsia"/>
                <w:szCs w:val="21"/>
                <w:lang w:val="en-US" w:eastAsia="zh-CN"/>
              </w:rPr>
              <w:t>过机房搬迁类</w:t>
            </w:r>
            <w:r>
              <w:rPr>
                <w:rFonts w:hint="eastAsia" w:cs="宋体" w:asciiTheme="minorEastAsia" w:hAnsiTheme="minorEastAsia" w:eastAsiaTheme="minorEastAsia"/>
                <w:szCs w:val="21"/>
              </w:rPr>
              <w:t>项目负责人，</w:t>
            </w:r>
            <w:r>
              <w:rPr>
                <w:rFonts w:hint="eastAsia" w:cs="宋体" w:asciiTheme="minorEastAsia" w:hAnsiTheme="minorEastAsia" w:eastAsiaTheme="minorEastAsia"/>
                <w:szCs w:val="21"/>
                <w:lang w:val="en-US" w:eastAsia="zh-CN"/>
              </w:rPr>
              <w:t>每</w:t>
            </w:r>
            <w:r>
              <w:rPr>
                <w:rFonts w:hint="eastAsia" w:cs="宋体" w:asciiTheme="minorEastAsia" w:hAnsiTheme="minorEastAsia" w:eastAsiaTheme="minorEastAsia"/>
                <w:szCs w:val="21"/>
              </w:rPr>
              <w:t>提供一</w:t>
            </w:r>
            <w:r>
              <w:rPr>
                <w:rFonts w:hint="eastAsia" w:cs="宋体" w:asciiTheme="minorEastAsia" w:hAnsiTheme="minorEastAsia" w:eastAsiaTheme="minorEastAsia"/>
                <w:szCs w:val="21"/>
                <w:lang w:val="en-US" w:eastAsia="zh-CN"/>
              </w:rPr>
              <w:t>个</w:t>
            </w:r>
            <w:r>
              <w:rPr>
                <w:rFonts w:hint="eastAsia" w:cs="宋体" w:asciiTheme="minorEastAsia" w:hAnsiTheme="minorEastAsia" w:eastAsiaTheme="minorEastAsia"/>
                <w:szCs w:val="21"/>
              </w:rPr>
              <w:t>项目经验得</w:t>
            </w:r>
            <w:r>
              <w:rPr>
                <w:rFonts w:hint="eastAsia" w:cs="宋体" w:asciiTheme="minorEastAsia" w:hAnsiTheme="minorEastAsia" w:eastAsiaTheme="minorEastAsia"/>
                <w:szCs w:val="21"/>
                <w:lang w:val="en-US" w:eastAsia="zh-CN"/>
              </w:rPr>
              <w:t>1.5</w:t>
            </w:r>
            <w:r>
              <w:rPr>
                <w:rFonts w:hint="eastAsia" w:cs="宋体" w:asciiTheme="minorEastAsia" w:hAnsiTheme="minorEastAsia" w:eastAsiaTheme="minorEastAsia"/>
                <w:szCs w:val="21"/>
              </w:rPr>
              <w:t>分，</w:t>
            </w:r>
            <w:r>
              <w:rPr>
                <w:rFonts w:hint="eastAsia" w:cs="宋体" w:asciiTheme="minorEastAsia" w:hAnsiTheme="minorEastAsia" w:eastAsiaTheme="minorEastAsia"/>
                <w:szCs w:val="21"/>
                <w:lang w:val="en-US" w:eastAsia="zh-CN"/>
              </w:rPr>
              <w:t>最高</w:t>
            </w:r>
            <w:r>
              <w:rPr>
                <w:rFonts w:hint="eastAsia" w:cs="宋体" w:asciiTheme="minorEastAsia" w:hAnsiTheme="minorEastAsia" w:eastAsiaTheme="minorEastAsia"/>
                <w:szCs w:val="21"/>
              </w:rPr>
              <w:t>得3分。</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上述</w:t>
            </w:r>
            <w:r>
              <w:rPr>
                <w:rFonts w:hint="eastAsia" w:cs="宋体" w:asciiTheme="minorEastAsia" w:hAnsiTheme="minorEastAsia" w:eastAsiaTheme="minorEastAsia"/>
                <w:szCs w:val="21"/>
                <w:lang w:val="en-US" w:eastAsia="zh-CN"/>
              </w:rPr>
              <w:t>二</w:t>
            </w:r>
            <w:r>
              <w:rPr>
                <w:rFonts w:hint="eastAsia" w:cs="宋体" w:asciiTheme="minorEastAsia" w:hAnsiTheme="minorEastAsia" w:eastAsiaTheme="minorEastAsia"/>
                <w:szCs w:val="21"/>
              </w:rPr>
              <w:t>项累计最高得6分。</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2.项目团队成员（除项目负责人外）： </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（1）提供持有国内外厂商或专业机构颁发的专家级（IE Level）认证（认证领域包括但不限于：网络技术、网络安全、数据中心），包括华为HCIE或思科CCIE、或Juniper JNCIE或华三H3CIE认证证书，每提供一人得1.5分，最高得3分；</w:t>
            </w:r>
          </w:p>
          <w:p>
            <w:pPr>
              <w:rPr>
                <w:rFonts w:hint="eastAsia" w:cs="宋体" w:asciiTheme="minorEastAsia" w:hAnsiTheme="minorEastAsia" w:eastAsiaTheme="minorEastAsia"/>
                <w:sz w:val="21"/>
                <w:szCs w:val="21"/>
              </w:rPr>
            </w:pPr>
            <w:r>
              <w:rPr>
                <w:rFonts w:hint="eastAsia" w:cs="宋体" w:asciiTheme="minorEastAsia" w:hAnsiTheme="minorEastAsia" w:eastAsiaTheme="minorEastAsia"/>
                <w:kern w:val="2"/>
                <w:sz w:val="21"/>
                <w:szCs w:val="21"/>
              </w:rPr>
              <w:t>提供持有国内外厂商或专业机构颁发的高级（IP Level）认证</w:t>
            </w:r>
            <w:r>
              <w:rPr>
                <w:rFonts w:hint="eastAsia" w:cs="宋体" w:asciiTheme="minorEastAsia" w:hAnsiTheme="minorEastAsia" w:eastAsiaTheme="minorEastAsia"/>
                <w:sz w:val="21"/>
                <w:szCs w:val="21"/>
              </w:rPr>
              <w:t>（认证领域包括但不限于：网络技术、网络安全、数据中心）</w:t>
            </w:r>
            <w:r>
              <w:rPr>
                <w:rFonts w:hint="eastAsia" w:cs="宋体" w:asciiTheme="minorEastAsia" w:hAnsiTheme="minorEastAsia" w:eastAsiaTheme="minorEastAsia"/>
                <w:kern w:val="2"/>
                <w:sz w:val="21"/>
                <w:szCs w:val="21"/>
              </w:rPr>
              <w:t>，包括</w:t>
            </w:r>
            <w:r>
              <w:rPr>
                <w:rFonts w:hint="eastAsia" w:cs="宋体" w:asciiTheme="minorEastAsia" w:hAnsiTheme="minorEastAsia" w:eastAsiaTheme="minorEastAsia"/>
                <w:sz w:val="21"/>
                <w:szCs w:val="21"/>
              </w:rPr>
              <w:t>华为HCIP或思科CCNP、或Juniper JNCIP或华三H3CSE认证证书</w:t>
            </w:r>
            <w:r>
              <w:rPr>
                <w:rFonts w:hint="eastAsia" w:cs="宋体" w:asciiTheme="minorEastAsia" w:hAnsiTheme="minorEastAsia" w:eastAsiaTheme="minorEastAsia"/>
                <w:kern w:val="2"/>
                <w:sz w:val="21"/>
                <w:szCs w:val="21"/>
              </w:rPr>
              <w:t>，</w:t>
            </w:r>
            <w:r>
              <w:rPr>
                <w:rFonts w:hint="eastAsia" w:cs="宋体" w:asciiTheme="minorEastAsia" w:hAnsiTheme="minorEastAsia" w:eastAsiaTheme="minorEastAsia"/>
                <w:sz w:val="21"/>
                <w:szCs w:val="21"/>
              </w:rPr>
              <w:t>每提供一人得1分，最高得3分；</w:t>
            </w:r>
          </w:p>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（3）提供持有项目相关特定领域认证的团队成员证明，包括ITIL（IT服务管理）或ISO27001（信息安全管理）或HCISPP（医疗信息安全）或CISSP（信息安全）认证证书，每提供一人得1分，最高得3分。</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上述三项最高累计得9分，同一名成员满足多项要求不重复得分。</w:t>
            </w:r>
          </w:p>
          <w:p>
            <w:pPr>
              <w:wordWrap w:val="0"/>
              <w:spacing w:line="271" w:lineRule="auto"/>
              <w:rPr>
                <w:rFonts w:ascii="宋体" w:hAnsi="宋体" w:cs="宋体"/>
                <w:b/>
                <w:bCs/>
                <w:sz w:val="24"/>
              </w:rPr>
            </w:pPr>
            <w:r>
              <w:rPr>
                <w:rFonts w:hint="eastAsia" w:ascii="宋体" w:hAnsi="宋体" w:cs="宋体"/>
                <w:b/>
                <w:bCs/>
                <w:sz w:val="24"/>
              </w:rPr>
              <w:t>（二）评分依据</w:t>
            </w:r>
          </w:p>
          <w:p>
            <w:pPr>
              <w:rPr>
                <w:rFonts w:cs="宋体" w:asciiTheme="minorEastAsia" w:hAnsiTheme="minorEastAsia" w:eastAsiaTheme="minorEastAsia"/>
                <w:szCs w:val="21"/>
              </w:rPr>
            </w:pPr>
            <w:r>
              <w:rPr>
                <w:rFonts w:hint="eastAsia" w:cs="宋体" w:asciiTheme="minorEastAsia" w:hAnsiTheme="minorEastAsia" w:eastAsiaTheme="minorEastAsia"/>
                <w:szCs w:val="21"/>
              </w:rPr>
              <w:t>1.要求提供通过投标人为上述人员缴纳的载有政府部门公章（或专用章）的近三个月（含开标当月）的任意一个月的社保缴交证明材料（社保缴交证明须体现缴费单位名称，只体现代码的需同时提供其代码与缴费单位名称对应的证明材料（具体指系统查询证明或税务部门出具的证明），否则不予认可）作为本单位员工的证明依据。如供应商成立不足一个月或员工入职不足一个月的，提供加盖公章的情况说明函（格式自拟），无需提供相关人员社保，亦可得分。</w:t>
            </w:r>
          </w:p>
          <w:p>
            <w:pPr>
              <w:rPr>
                <w:rFonts w:cs="宋体" w:asciiTheme="minorEastAsia" w:hAnsiTheme="minorEastAsia" w:eastAsiaTheme="minorEastAsia"/>
                <w:szCs w:val="21"/>
              </w:rPr>
            </w:pPr>
            <w:r>
              <w:rPr>
                <w:rFonts w:hint="eastAsia" w:cs="宋体" w:asciiTheme="minorEastAsia" w:hAnsiTheme="minorEastAsia" w:eastAsiaTheme="minorEastAsia"/>
                <w:szCs w:val="21"/>
              </w:rPr>
              <w:t>2.要求提供上述人员相关证书证明资料作为得分依据。如证书颁发单位为协会等社会组织的，还需同时提供该组织在“中国社会组织政务服务平台（全国社会组织信用信息公示平台）”的查询截图（状态为正常）。</w:t>
            </w:r>
          </w:p>
          <w:p>
            <w:pPr>
              <w:numPr>
                <w:ilvl w:val="-1"/>
                <w:numId w:val="0"/>
              </w:numPr>
              <w:autoSpaceDE/>
              <w:autoSpaceDN/>
              <w:adjustRightInd/>
              <w:spacing w:line="240" w:lineRule="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b w:val="0"/>
                <w:bCs w:val="0"/>
                <w:kern w:val="2"/>
                <w:sz w:val="21"/>
                <w:szCs w:val="21"/>
                <w:lang w:val="en-US" w:eastAsia="zh-CN"/>
              </w:rPr>
              <w:t>涉及考察人员工作经验，要求提供项目合同或劳动合同关键信息（需体现相应工作经验及时间）作为得分依据，通过合同关键信息无法判断是否得分的，可以提供其他证明文件（加盖公章或业务章）。</w:t>
            </w:r>
          </w:p>
          <w:p>
            <w:pPr>
              <w:jc w:val="left"/>
              <w:rPr>
                <w:rFonts w:ascii="宋体" w:hAnsi="宋体" w:cs="宋体"/>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.以上资料均要求提供扫描件或复印件，并加盖投标人公章，原件备查。评分中出现无证明资料或专家无法凭所提供资料判断是否得分的情况，一律作不得分处理。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left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 w:val="24"/>
              </w:rPr>
            </w:pPr>
            <w:r>
              <w:rPr>
                <w:rFonts w:hint="eastAsia" w:ascii="宋体" w:hAnsi="宋体" w:cs="宋体"/>
                <w:sz w:val="24"/>
              </w:rPr>
              <w:t>2</w:t>
            </w:r>
          </w:p>
        </w:tc>
        <w:tc>
          <w:tcPr>
            <w:tcW w:w="1768"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 w:val="24"/>
              </w:rPr>
            </w:pPr>
            <w:r>
              <w:rPr>
                <w:rFonts w:hint="eastAsia" w:ascii="宋体" w:hAnsi="宋体"/>
                <w:szCs w:val="21"/>
              </w:rPr>
              <w:t>实施方案</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 w:val="24"/>
              </w:rPr>
            </w:pPr>
            <w:r>
              <w:rPr>
                <w:rFonts w:hint="eastAsia" w:ascii="宋体" w:hAnsi="宋体" w:cs="宋体"/>
                <w:sz w:val="24"/>
              </w:rPr>
              <w:t>15</w:t>
            </w:r>
          </w:p>
        </w:tc>
        <w:tc>
          <w:tcPr>
            <w:tcW w:w="509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000000"/>
                <w:kern w:val="0"/>
                <w:sz w:val="20"/>
                <w:szCs w:val="20"/>
              </w:rPr>
            </w:pPr>
            <w:r>
              <w:rPr>
                <w:rFonts w:hint="eastAsia" w:ascii="宋体" w:hAnsi="宋体" w:cs="宋体"/>
                <w:b/>
                <w:bCs/>
                <w:sz w:val="24"/>
              </w:rPr>
              <w:t>（一）评分内容</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在投标文件中详细说明项目</w:t>
            </w:r>
            <w:r>
              <w:rPr>
                <w:rFonts w:hint="eastAsia" w:ascii="宋体" w:hAnsi="宋体"/>
                <w:szCs w:val="21"/>
              </w:rPr>
              <w:t>实施方案</w:t>
            </w:r>
            <w:r>
              <w:rPr>
                <w:rFonts w:hint="eastAsia" w:cs="宋体" w:asciiTheme="minorEastAsia" w:hAnsiTheme="minorEastAsia" w:eastAsiaTheme="minorEastAsia"/>
                <w:szCs w:val="21"/>
              </w:rPr>
              <w:t>，评标委员会根据以下响应情况评审：</w:t>
            </w:r>
          </w:p>
          <w:p>
            <w:pPr>
              <w:numPr>
                <w:ilvl w:val="255"/>
                <w:numId w:val="0"/>
              </w:numPr>
              <w:jc w:val="left"/>
              <w:rPr>
                <w:rFonts w:cs="宋体" w:asciiTheme="minorEastAsia" w:hAnsiTheme="minorEastAsia" w:eastAsiaTheme="minorEastAsia"/>
                <w:szCs w:val="21"/>
              </w:rPr>
            </w:pPr>
            <w:r>
              <w:rPr>
                <w:rFonts w:hint="eastAsia" w:cs="宋体" w:asciiTheme="minorEastAsia" w:hAnsiTheme="minorEastAsia" w:eastAsiaTheme="minorEastAsia"/>
                <w:szCs w:val="21"/>
              </w:rPr>
              <w:t>（1）项目技术服务体系；</w:t>
            </w:r>
          </w:p>
          <w:p>
            <w:pPr>
              <w:numPr>
                <w:ilvl w:val="255"/>
                <w:numId w:val="0"/>
              </w:numPr>
              <w:jc w:val="left"/>
              <w:rPr>
                <w:rFonts w:cs="宋体" w:asciiTheme="minorEastAsia" w:hAnsiTheme="minorEastAsia" w:eastAsiaTheme="minorEastAsia"/>
                <w:szCs w:val="21"/>
              </w:rPr>
            </w:pPr>
            <w:r>
              <w:rPr>
                <w:rFonts w:hint="eastAsia" w:cs="宋体" w:asciiTheme="minorEastAsia" w:hAnsiTheme="minorEastAsia" w:eastAsiaTheme="minorEastAsia"/>
                <w:szCs w:val="21"/>
              </w:rPr>
              <w:t>（2）模块化机房搬迁；</w:t>
            </w:r>
          </w:p>
          <w:p>
            <w:pPr>
              <w:numPr>
                <w:ilvl w:val="255"/>
                <w:numId w:val="0"/>
              </w:numPr>
              <w:jc w:val="lef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eastAsia="zh-CN"/>
              </w:rPr>
              <w:t>网络</w:t>
            </w:r>
            <w:r>
              <w:rPr>
                <w:rFonts w:hint="eastAsia" w:cs="宋体" w:asciiTheme="minorEastAsia" w:hAnsiTheme="minorEastAsia" w:eastAsiaTheme="minorEastAsia"/>
                <w:szCs w:val="21"/>
              </w:rPr>
              <w:t>设备、服务器、存储、安全等设备搬迁；</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（4）搬迁验证、应急预案等集成管理。</w:t>
            </w:r>
          </w:p>
          <w:p>
            <w:pPr>
              <w:rPr>
                <w:rFonts w:ascii="宋体" w:hAnsi="宋体" w:cs="宋体"/>
                <w:b/>
                <w:bCs/>
                <w:sz w:val="24"/>
              </w:rPr>
            </w:pPr>
            <w:r>
              <w:rPr>
                <w:rFonts w:hint="eastAsia" w:ascii="宋体" w:hAnsi="宋体" w:cs="宋体"/>
                <w:b/>
                <w:bCs/>
                <w:sz w:val="24"/>
              </w:rPr>
              <w:t>（二）评分依据</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考察以上方案，满足任意一点得</w:t>
            </w:r>
            <w:r>
              <w:rPr>
                <w:rFonts w:cs="宋体" w:asciiTheme="minorEastAsia" w:hAnsiTheme="minorEastAsia" w:eastAsiaTheme="minorEastAsia"/>
                <w:szCs w:val="21"/>
              </w:rPr>
              <w:t>2</w:t>
            </w:r>
            <w:r>
              <w:rPr>
                <w:rFonts w:hint="eastAsia" w:cs="宋体" w:asciiTheme="minorEastAsia" w:hAnsiTheme="minorEastAsia" w:eastAsiaTheme="minorEastAsia"/>
                <w:szCs w:val="21"/>
              </w:rPr>
              <w:t>分，如果全部满足得</w:t>
            </w:r>
            <w:r>
              <w:rPr>
                <w:rFonts w:cs="宋体" w:asciiTheme="minorEastAsia" w:hAnsiTheme="minorEastAsia" w:eastAsiaTheme="minorEastAsia"/>
                <w:szCs w:val="21"/>
              </w:rPr>
              <w:t>6</w:t>
            </w:r>
            <w:r>
              <w:rPr>
                <w:rFonts w:hint="eastAsia" w:cs="宋体" w:asciiTheme="minorEastAsia" w:hAnsiTheme="minorEastAsia" w:eastAsiaTheme="minorEastAsia"/>
                <w:szCs w:val="21"/>
              </w:rPr>
              <w:t>分，其他情况不得分。在此基础上，专家根据各供应商的具体响应内容按照量化的评审因素指标进一步评审：</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评价为优（实施方案全面、具体，针对性强，科学合理可操作性强）的加</w:t>
            </w:r>
            <w:r>
              <w:rPr>
                <w:rFonts w:cs="宋体" w:asciiTheme="minorEastAsia" w:hAnsiTheme="minorEastAsia" w:eastAsiaTheme="minorEastAsia"/>
                <w:szCs w:val="21"/>
              </w:rPr>
              <w:t>9</w:t>
            </w:r>
            <w:r>
              <w:rPr>
                <w:rFonts w:hint="eastAsia" w:cs="宋体" w:asciiTheme="minorEastAsia" w:hAnsiTheme="minorEastAsia" w:eastAsiaTheme="minorEastAsia"/>
                <w:szCs w:val="21"/>
              </w:rPr>
              <w:t>分；</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评价为良（实施方案较全面，针对性较强，科学合理可操作性较好）的加</w:t>
            </w:r>
            <w:r>
              <w:rPr>
                <w:rFonts w:cs="宋体" w:asciiTheme="minorEastAsia" w:hAnsiTheme="minorEastAsia" w:eastAsiaTheme="minorEastAsia"/>
                <w:szCs w:val="21"/>
              </w:rPr>
              <w:t>5</w:t>
            </w:r>
            <w:r>
              <w:rPr>
                <w:rFonts w:hint="eastAsia" w:cs="宋体" w:asciiTheme="minorEastAsia" w:hAnsiTheme="minorEastAsia" w:eastAsiaTheme="minorEastAsia"/>
                <w:szCs w:val="21"/>
              </w:rPr>
              <w:t>分；</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评价为中（实施方案针对性一般，合理及可操作性一般）的加</w:t>
            </w:r>
            <w:r>
              <w:rPr>
                <w:rFonts w:cs="宋体" w:asciiTheme="minorEastAsia" w:hAnsiTheme="minorEastAsia" w:eastAsiaTheme="minorEastAsia"/>
                <w:szCs w:val="21"/>
              </w:rPr>
              <w:t>3</w:t>
            </w:r>
            <w:r>
              <w:rPr>
                <w:rFonts w:hint="eastAsia" w:cs="宋体" w:asciiTheme="minorEastAsia" w:hAnsiTheme="minorEastAsia" w:eastAsiaTheme="minorEastAsia"/>
                <w:szCs w:val="21"/>
              </w:rPr>
              <w:t>分；</w:t>
            </w:r>
          </w:p>
          <w:p>
            <w:pPr>
              <w:rPr>
                <w:rFonts w:ascii="宋体" w:hAnsi="宋体" w:cs="宋体"/>
                <w:sz w:val="24"/>
              </w:rPr>
            </w:pPr>
            <w:r>
              <w:rPr>
                <w:rFonts w:hint="eastAsia" w:cs="宋体" w:asciiTheme="minorEastAsia" w:hAnsiTheme="minorEastAsia" w:eastAsiaTheme="minorEastAsia"/>
                <w:szCs w:val="21"/>
              </w:rPr>
              <w:t>评价为差（实施方案较差，无可操作性）或未提供方案的不加分。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left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 w:val="24"/>
              </w:rPr>
            </w:pPr>
            <w:r>
              <w:rPr>
                <w:rFonts w:hint="eastAsia" w:ascii="宋体" w:hAnsi="宋体" w:cs="宋体"/>
                <w:sz w:val="24"/>
              </w:rPr>
              <w:t>3</w:t>
            </w:r>
          </w:p>
        </w:tc>
        <w:tc>
          <w:tcPr>
            <w:tcW w:w="1768"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 w:val="24"/>
              </w:rPr>
            </w:pPr>
            <w:r>
              <w:rPr>
                <w:rFonts w:hint="eastAsia" w:ascii="宋体" w:hAnsi="宋体"/>
                <w:szCs w:val="21"/>
              </w:rPr>
              <w:t>项目重难点分析、应对措施和合理化建议</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 w:val="24"/>
              </w:rPr>
            </w:pPr>
            <w:r>
              <w:rPr>
                <w:rFonts w:hint="eastAsia" w:ascii="宋体" w:hAnsi="宋体" w:cs="宋体"/>
                <w:sz w:val="24"/>
              </w:rPr>
              <w:t>10</w:t>
            </w:r>
          </w:p>
        </w:tc>
        <w:tc>
          <w:tcPr>
            <w:tcW w:w="5092"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rPr>
                <w:rFonts w:ascii="宋体" w:hAnsi="宋体" w:cs="宋体"/>
                <w:b/>
                <w:bCs/>
                <w:sz w:val="24"/>
              </w:rPr>
            </w:pPr>
            <w:r>
              <w:rPr>
                <w:rFonts w:hint="eastAsia" w:ascii="宋体" w:hAnsi="宋体" w:cs="宋体"/>
                <w:b/>
                <w:bCs/>
                <w:sz w:val="24"/>
              </w:rPr>
              <w:t>（一）评分内容</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在投标文件中详细说明项目重难点分析、应对措施和合理化建议，评标委员会根据以下响应情况评审：</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1.项目重点难点分析；</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2.应对措施；</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3.相关的合理化建议。</w:t>
            </w:r>
          </w:p>
          <w:p>
            <w:pPr>
              <w:widowControl/>
              <w:jc w:val="left"/>
              <w:rPr>
                <w:rFonts w:ascii="宋体" w:hAnsi="宋体" w:cs="宋体"/>
                <w:b/>
                <w:bCs/>
                <w:sz w:val="24"/>
              </w:rPr>
            </w:pPr>
            <w:r>
              <w:rPr>
                <w:rFonts w:hint="eastAsia" w:ascii="宋体" w:hAnsi="宋体" w:cs="宋体"/>
                <w:b/>
                <w:bCs/>
                <w:sz w:val="24"/>
              </w:rPr>
              <w:t>（二）评分依据</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考察以上方案，每满足任意一点得1分，如果全部满足得3分，其他不得分。在此基础上，专家根据各供应商的具体响应内容按照量化的评审因素指标进一步评审：</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评价为优（项目重点难点分析、应对措施及相关的合理化建议考虑周到，流程合理）的加7分；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评价为良（项目重点难点分析、应对措施及相关的合理化建议考虑较周到，流程较合理）的加5分；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评价为中（项目重点难点分析、应对措施及相关的合理化建议基本周到，流程一般）的加3分；</w:t>
            </w:r>
          </w:p>
          <w:p>
            <w:pPr>
              <w:widowControl/>
              <w:jc w:val="left"/>
              <w:rPr>
                <w:rFonts w:ascii="宋体" w:hAnsi="宋体" w:cs="宋体"/>
                <w:sz w:val="24"/>
              </w:rPr>
            </w:pPr>
            <w:r>
              <w:rPr>
                <w:rFonts w:hint="eastAsia" w:cs="宋体" w:asciiTheme="minorEastAsia" w:hAnsiTheme="minorEastAsia" w:eastAsiaTheme="minorEastAsia"/>
                <w:szCs w:val="21"/>
              </w:rPr>
              <w:t>评价为差（项目重点难点分析、应对措施及相关的合理化建议考虑欠周到）或未提供方案的不加分。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left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 w:val="24"/>
              </w:rPr>
            </w:pPr>
            <w:r>
              <w:rPr>
                <w:rFonts w:hint="eastAsia" w:ascii="宋体" w:hAnsi="宋体" w:cs="宋体"/>
                <w:sz w:val="24"/>
              </w:rPr>
              <w:t>4</w:t>
            </w:r>
          </w:p>
        </w:tc>
        <w:tc>
          <w:tcPr>
            <w:tcW w:w="1768"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szCs w:val="21"/>
              </w:rPr>
            </w:pPr>
            <w:r>
              <w:rPr>
                <w:rFonts w:hint="eastAsia" w:ascii="宋体" w:hAnsi="宋体"/>
                <w:szCs w:val="21"/>
              </w:rPr>
              <w:t>质量保障措施</w:t>
            </w:r>
          </w:p>
          <w:p>
            <w:pPr>
              <w:wordWrap w:val="0"/>
              <w:jc w:val="center"/>
              <w:rPr>
                <w:rFonts w:ascii="宋体" w:hAnsi="宋体" w:cs="宋体"/>
                <w:sz w:val="24"/>
              </w:rPr>
            </w:pPr>
            <w:r>
              <w:rPr>
                <w:rFonts w:hint="eastAsia" w:ascii="宋体" w:hAnsi="宋体"/>
                <w:szCs w:val="21"/>
              </w:rPr>
              <w:t>及方案</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 w:val="24"/>
              </w:rPr>
            </w:pPr>
            <w:r>
              <w:rPr>
                <w:rFonts w:hint="eastAsia" w:ascii="宋体" w:hAnsi="宋体" w:cs="宋体"/>
                <w:sz w:val="24"/>
              </w:rPr>
              <w:t>10</w:t>
            </w:r>
          </w:p>
        </w:tc>
        <w:tc>
          <w:tcPr>
            <w:tcW w:w="5092"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jc w:val="left"/>
              <w:rPr>
                <w:rFonts w:cs="宋体" w:asciiTheme="minorEastAsia" w:hAnsiTheme="minorEastAsia" w:eastAsiaTheme="minorEastAsia"/>
                <w:szCs w:val="21"/>
              </w:rPr>
            </w:pPr>
            <w:r>
              <w:rPr>
                <w:rFonts w:hint="eastAsia" w:ascii="宋体" w:hAnsi="宋体" w:cs="宋体"/>
                <w:b/>
                <w:bCs/>
                <w:sz w:val="24"/>
              </w:rPr>
              <w:t>（一）评分内容</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投标人制定符合本项目的质量保障措施及方案，具体内容包括但不限于：</w:t>
            </w:r>
          </w:p>
          <w:p>
            <w:pPr>
              <w:rPr>
                <w:rFonts w:cs="宋体" w:asciiTheme="minorEastAsia" w:hAnsiTheme="minorEastAsia" w:eastAsiaTheme="minorEastAsia"/>
                <w:szCs w:val="21"/>
              </w:rPr>
            </w:pPr>
            <w:r>
              <w:rPr>
                <w:rFonts w:hint="eastAsia" w:cs="宋体" w:asciiTheme="minorEastAsia" w:hAnsiTheme="minorEastAsia" w:eastAsiaTheme="minorEastAsia"/>
                <w:szCs w:val="21"/>
              </w:rPr>
              <w:t>1.项目质量保证方案；</w:t>
            </w:r>
          </w:p>
          <w:p>
            <w:pPr>
              <w:rPr>
                <w:rFonts w:cs="宋体" w:asciiTheme="minorEastAsia" w:hAnsiTheme="minorEastAsia" w:eastAsiaTheme="minorEastAsia"/>
                <w:szCs w:val="21"/>
              </w:rPr>
            </w:pPr>
            <w:r>
              <w:rPr>
                <w:rFonts w:hint="eastAsia" w:cs="宋体" w:asciiTheme="minorEastAsia" w:hAnsiTheme="minorEastAsia" w:eastAsiaTheme="minorEastAsia"/>
                <w:szCs w:val="21"/>
              </w:rPr>
              <w:t>2.项目推进过程中安全保障措施；</w:t>
            </w:r>
          </w:p>
          <w:p>
            <w:pPr>
              <w:rPr>
                <w:rFonts w:cs="宋体" w:asciiTheme="minorEastAsia" w:hAnsiTheme="minorEastAsia" w:eastAsiaTheme="minorEastAsia"/>
                <w:szCs w:val="21"/>
              </w:rPr>
            </w:pPr>
            <w:r>
              <w:rPr>
                <w:rFonts w:hint="eastAsia" w:cs="宋体" w:asciiTheme="minorEastAsia" w:hAnsiTheme="minorEastAsia" w:eastAsiaTheme="minorEastAsia"/>
                <w:szCs w:val="21"/>
              </w:rPr>
              <w:t>3.项目整体推进进度计划表；</w:t>
            </w:r>
          </w:p>
          <w:p>
            <w:pPr>
              <w:rPr>
                <w:rFonts w:cs="宋体" w:asciiTheme="minorEastAsia" w:hAnsiTheme="minorEastAsia" w:eastAsiaTheme="minorEastAsia"/>
                <w:szCs w:val="21"/>
              </w:rPr>
            </w:pPr>
            <w:r>
              <w:rPr>
                <w:rFonts w:hint="eastAsia" w:cs="宋体" w:asciiTheme="minorEastAsia" w:hAnsiTheme="minorEastAsia" w:eastAsiaTheme="minorEastAsia"/>
                <w:szCs w:val="21"/>
              </w:rPr>
              <w:t>4.项目应急保障及回退方案。</w:t>
            </w:r>
          </w:p>
          <w:p>
            <w:pPr>
              <w:widowControl/>
              <w:jc w:val="left"/>
              <w:rPr>
                <w:rFonts w:cs="宋体" w:asciiTheme="minorEastAsia" w:hAnsiTheme="minorEastAsia" w:eastAsiaTheme="minorEastAsia"/>
                <w:szCs w:val="21"/>
              </w:rPr>
            </w:pPr>
            <w:r>
              <w:rPr>
                <w:rFonts w:hint="eastAsia" w:ascii="宋体" w:hAnsi="宋体" w:cs="宋体"/>
                <w:b/>
                <w:bCs/>
                <w:sz w:val="24"/>
              </w:rPr>
              <w:t>（二）评分依据</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满足以上四项要求得4分；满足以上任意三项得3分；满足以上任意两项得2分；满足以上任意一项得1分；其他情况不得分。在此基础上，评审委员会专家根据各投标人的具体响应内容按照以下的评审因素指标进一步评审：</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评审为优（保障措施及方案内容全面，具体，表达清晰，针对性强，科学合理）的，加6分；</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评审为良（保障措施及方案内容较全面，较具体，表达较清晰，针对性较强，较科学合理）的，加4分；</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评审为中（保障措施及方案内容全面一般，具体一般，表达一般，针对性一般，合理性一般）的，加2分；</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评审为差（未提供保障措施及方案，或保障措施及方案内容差，表达差，针对性差，合理性差）的，加0分。</w:t>
            </w:r>
          </w:p>
          <w:p>
            <w:pPr>
              <w:jc w:val="left"/>
              <w:rPr>
                <w:rFonts w:ascii="宋体" w:hAnsi="宋体" w:cs="宋体"/>
                <w:color w:val="000000"/>
                <w:kern w:val="0"/>
                <w:sz w:val="20"/>
                <w:szCs w:val="20"/>
              </w:rPr>
            </w:pPr>
            <w:r>
              <w:rPr>
                <w:rFonts w:hint="eastAsia" w:cs="宋体" w:asciiTheme="minorEastAsia" w:hAnsiTheme="minorEastAsia" w:eastAsiaTheme="minorEastAsia"/>
                <w:szCs w:val="21"/>
              </w:rPr>
              <w:t>如果评审为差，要求专家书面说明理由，并记录在档。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rPr>
              <w:t>3</w:t>
            </w:r>
          </w:p>
        </w:tc>
        <w:tc>
          <w:tcPr>
            <w:tcW w:w="330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rPr>
              <w:t>商务部分</w:t>
            </w:r>
          </w:p>
        </w:tc>
        <w:tc>
          <w:tcPr>
            <w:tcW w:w="50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hint="eastAsia" w:ascii="宋体" w:hAnsi="宋体" w:eastAsia="宋体" w:cs="宋体"/>
                <w:b/>
                <w:bCs/>
                <w:color w:val="0000FF"/>
                <w:sz w:val="24"/>
                <w:lang w:eastAsia="zh-CN"/>
              </w:rPr>
            </w:pPr>
            <w:r>
              <w:rPr>
                <w:rFonts w:hint="eastAsia" w:ascii="宋体" w:hAnsi="宋体" w:cs="宋体"/>
                <w:b/>
                <w:bCs/>
                <w:color w:val="0000FF"/>
                <w:sz w:val="24"/>
              </w:rPr>
              <w:t>3</w:t>
            </w:r>
            <w:r>
              <w:rPr>
                <w:rFonts w:hint="eastAsia" w:ascii="宋体" w:hAnsi="宋体" w:cs="宋体"/>
                <w:b/>
                <w:bCs/>
                <w:color w:val="0000FF"/>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color w:val="0000FF"/>
                <w:sz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rPr>
              <w:t>序号</w:t>
            </w:r>
          </w:p>
        </w:tc>
        <w:tc>
          <w:tcPr>
            <w:tcW w:w="176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rPr>
              <w:t>评分因素</w:t>
            </w:r>
          </w:p>
        </w:tc>
        <w:tc>
          <w:tcPr>
            <w:tcW w:w="85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rPr>
              <w:t>分值</w:t>
            </w:r>
          </w:p>
        </w:tc>
        <w:tc>
          <w:tcPr>
            <w:tcW w:w="509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Cs w:val="21"/>
              </w:rPr>
            </w:pPr>
            <w:r>
              <w:rPr>
                <w:rFonts w:hint="eastAsia" w:ascii="宋体" w:hAnsi="宋体" w:cs="宋体"/>
                <w:sz w:val="24"/>
              </w:rPr>
              <w:t>1</w:t>
            </w:r>
          </w:p>
        </w:tc>
        <w:tc>
          <w:tcPr>
            <w:tcW w:w="17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Cs w:val="21"/>
              </w:rPr>
            </w:pPr>
            <w:r>
              <w:rPr>
                <w:rFonts w:hint="eastAsia" w:ascii="宋体" w:hAnsi="宋体"/>
                <w:szCs w:val="21"/>
              </w:rPr>
              <w:t>商务条款响应情况评价</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Cs w:val="21"/>
              </w:rPr>
            </w:pPr>
            <w:r>
              <w:rPr>
                <w:rFonts w:hint="eastAsia" w:ascii="宋体" w:hAnsi="宋体" w:cs="宋体"/>
                <w:szCs w:val="21"/>
              </w:rPr>
              <w:t>7</w:t>
            </w:r>
          </w:p>
        </w:tc>
        <w:tc>
          <w:tcPr>
            <w:tcW w:w="509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b/>
                <w:bCs/>
                <w:sz w:val="24"/>
              </w:rPr>
            </w:pPr>
            <w:r>
              <w:rPr>
                <w:rFonts w:hint="eastAsia" w:ascii="宋体" w:hAnsi="宋体" w:cs="宋体"/>
                <w:b/>
                <w:bCs/>
                <w:sz w:val="24"/>
              </w:rPr>
              <w:t>（一）评分内容</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投标人应如实填写《商务要求偏离表》中要求部分，评审委员会根据响应情况进行打分，全部满足要求的得7分，每负偏离一项扣1分，扣完为止。</w:t>
            </w:r>
          </w:p>
          <w:p>
            <w:pPr>
              <w:rPr>
                <w:rFonts w:ascii="宋体" w:hAnsi="宋体" w:cs="宋体"/>
                <w:b/>
                <w:bCs/>
                <w:sz w:val="24"/>
              </w:rPr>
            </w:pPr>
            <w:r>
              <w:rPr>
                <w:rFonts w:hint="eastAsia" w:ascii="宋体" w:hAnsi="宋体" w:cs="宋体"/>
                <w:b/>
                <w:bCs/>
                <w:sz w:val="24"/>
              </w:rPr>
              <w:t>（二）评分依据</w:t>
            </w:r>
          </w:p>
          <w:p>
            <w:pPr>
              <w:rPr>
                <w:rFonts w:ascii="宋体" w:hAnsi="宋体" w:cs="宋体"/>
                <w:szCs w:val="21"/>
              </w:rPr>
            </w:pPr>
            <w:r>
              <w:rPr>
                <w:rFonts w:hint="eastAsia" w:cs="宋体" w:asciiTheme="minorEastAsia" w:hAnsiTheme="minorEastAsia" w:eastAsiaTheme="minorEastAsia"/>
                <w:szCs w:val="21"/>
              </w:rPr>
              <w:t>《商务要求偏离表》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Cs w:val="21"/>
              </w:rPr>
            </w:pPr>
            <w:r>
              <w:rPr>
                <w:rFonts w:hint="eastAsia" w:ascii="宋体" w:hAnsi="宋体" w:cs="宋体"/>
                <w:sz w:val="24"/>
              </w:rPr>
              <w:t>2</w:t>
            </w:r>
          </w:p>
        </w:tc>
        <w:tc>
          <w:tcPr>
            <w:tcW w:w="1768"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szCs w:val="21"/>
              </w:rPr>
            </w:pPr>
            <w:r>
              <w:rPr>
                <w:rFonts w:hint="eastAsia" w:ascii="宋体" w:hAnsi="宋体"/>
                <w:szCs w:val="21"/>
              </w:rPr>
              <w:t>投标人通过相关资质认证情况</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szCs w:val="21"/>
              </w:rPr>
            </w:pPr>
            <w:r>
              <w:rPr>
                <w:rFonts w:hint="eastAsia" w:ascii="宋体" w:hAnsi="宋体" w:cs="宋体"/>
                <w:sz w:val="24"/>
                <w:szCs w:val="20"/>
              </w:rPr>
              <w:t>6</w:t>
            </w:r>
          </w:p>
        </w:tc>
        <w:tc>
          <w:tcPr>
            <w:tcW w:w="5092" w:type="dxa"/>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1"/>
              </w:numPr>
              <w:rPr>
                <w:rFonts w:ascii="宋体" w:hAnsi="宋体" w:cs="宋体"/>
                <w:b/>
                <w:bCs/>
                <w:sz w:val="24"/>
                <w:szCs w:val="20"/>
              </w:rPr>
            </w:pPr>
            <w:r>
              <w:rPr>
                <w:rFonts w:hint="eastAsia" w:ascii="宋体" w:hAnsi="宋体" w:cs="宋体"/>
                <w:b/>
                <w:bCs/>
                <w:sz w:val="24"/>
                <w:szCs w:val="20"/>
              </w:rPr>
              <w:t>评分内容：</w:t>
            </w:r>
          </w:p>
          <w:p>
            <w:pPr>
              <w:rPr>
                <w:rFonts w:cs="宋体" w:asciiTheme="minorEastAsia" w:hAnsiTheme="minorEastAsia" w:eastAsiaTheme="minorEastAsia"/>
                <w:szCs w:val="21"/>
              </w:rPr>
            </w:pPr>
            <w:r>
              <w:rPr>
                <w:rFonts w:hint="eastAsia" w:cs="宋体" w:asciiTheme="minorEastAsia" w:hAnsiTheme="minorEastAsia" w:eastAsiaTheme="minorEastAsia"/>
                <w:szCs w:val="21"/>
              </w:rPr>
              <w:t>1.投标人具有有效的以下相关资质认证情况：</w:t>
            </w:r>
          </w:p>
          <w:p>
            <w:pPr>
              <w:rPr>
                <w:rFonts w:cs="宋体" w:asciiTheme="minorEastAsia" w:hAnsiTheme="minorEastAsia" w:eastAsiaTheme="minorEastAsia"/>
                <w:szCs w:val="21"/>
              </w:rPr>
            </w:pPr>
            <w:r>
              <w:rPr>
                <w:rFonts w:hint="eastAsia" w:cs="宋体" w:asciiTheme="minorEastAsia" w:hAnsiTheme="minorEastAsia" w:eastAsiaTheme="minorEastAsia"/>
                <w:szCs w:val="21"/>
              </w:rPr>
              <w:t>（1）职业健康安全管理体系认证；</w:t>
            </w:r>
          </w:p>
          <w:p>
            <w:pPr>
              <w:rPr>
                <w:rFonts w:cs="宋体" w:asciiTheme="minorEastAsia" w:hAnsiTheme="minorEastAsia" w:eastAsiaTheme="minorEastAsia"/>
                <w:szCs w:val="21"/>
              </w:rPr>
            </w:pPr>
            <w:r>
              <w:rPr>
                <w:rFonts w:hint="eastAsia" w:cs="宋体" w:asciiTheme="minorEastAsia" w:hAnsiTheme="minorEastAsia" w:eastAsiaTheme="minorEastAsia"/>
                <w:szCs w:val="21"/>
              </w:rPr>
              <w:t>（2）环境管理体系认证；</w:t>
            </w:r>
          </w:p>
          <w:p>
            <w:pPr>
              <w:rPr>
                <w:rFonts w:cs="宋体" w:asciiTheme="minorEastAsia" w:hAnsiTheme="minorEastAsia" w:eastAsiaTheme="minorEastAsia"/>
                <w:szCs w:val="21"/>
              </w:rPr>
            </w:pPr>
            <w:r>
              <w:rPr>
                <w:rFonts w:hint="eastAsia" w:cs="宋体" w:asciiTheme="minorEastAsia" w:hAnsiTheme="minorEastAsia" w:eastAsiaTheme="minorEastAsia"/>
                <w:szCs w:val="21"/>
              </w:rPr>
              <w:t>（3）质量管理体系认证证书。</w:t>
            </w:r>
          </w:p>
          <w:p>
            <w:pPr>
              <w:numPr>
                <w:ilvl w:val="-1"/>
                <w:numId w:val="0"/>
              </w:numPr>
              <w:rPr>
                <w:rFonts w:cs="宋体" w:asciiTheme="minorEastAsia" w:hAnsiTheme="minorEastAsia" w:eastAsiaTheme="minorEastAsia"/>
                <w:szCs w:val="21"/>
              </w:rPr>
            </w:pPr>
            <w:r>
              <w:rPr>
                <w:rFonts w:hint="eastAsia" w:cs="宋体" w:asciiTheme="minorEastAsia" w:hAnsiTheme="minorEastAsia" w:eastAsiaTheme="minorEastAsia"/>
                <w:szCs w:val="21"/>
              </w:rPr>
              <w:t>每具有一项得2分，本小项最高得6分。</w:t>
            </w:r>
          </w:p>
          <w:p>
            <w:pPr>
              <w:numPr>
                <w:ilvl w:val="0"/>
                <w:numId w:val="1"/>
              </w:numPr>
              <w:rPr>
                <w:rFonts w:ascii="宋体" w:hAnsi="宋体" w:cs="宋体"/>
                <w:b/>
                <w:bCs/>
                <w:sz w:val="24"/>
                <w:szCs w:val="20"/>
              </w:rPr>
            </w:pPr>
            <w:r>
              <w:rPr>
                <w:rFonts w:hint="eastAsia" w:ascii="宋体" w:hAnsi="宋体" w:cs="宋体"/>
                <w:b/>
                <w:bCs/>
                <w:sz w:val="24"/>
                <w:szCs w:val="20"/>
              </w:rPr>
              <w:t>评分依据</w:t>
            </w:r>
          </w:p>
          <w:p>
            <w:pPr>
              <w:adjustRightInd w:val="0"/>
              <w:snapToGrid w:val="0"/>
              <w:rPr>
                <w:rFonts w:ascii="宋体" w:hAnsi="宋体" w:cs="宋体"/>
                <w:szCs w:val="21"/>
              </w:rPr>
            </w:pPr>
            <w:r>
              <w:rPr>
                <w:rFonts w:hint="eastAsia" w:cs="宋体" w:asciiTheme="minorEastAsia" w:hAnsiTheme="minorEastAsia" w:eastAsiaTheme="minorEastAsia"/>
                <w:szCs w:val="21"/>
              </w:rPr>
              <w:t>要求提供投标人相关资质证明文件有效期内的认证证书复印件及认证信息查询截图加盖投标人公章（截图需显示证书状态为有效）作为得分依据提供证书扫描件。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Cs w:val="21"/>
              </w:rPr>
            </w:pPr>
            <w:r>
              <w:rPr>
                <w:rFonts w:hint="eastAsia" w:ascii="宋体" w:hAnsi="宋体" w:cs="宋体"/>
                <w:sz w:val="24"/>
              </w:rPr>
              <w:t>3</w:t>
            </w:r>
          </w:p>
        </w:tc>
        <w:tc>
          <w:tcPr>
            <w:tcW w:w="1768"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szCs w:val="21"/>
              </w:rPr>
            </w:pPr>
            <w:r>
              <w:rPr>
                <w:rFonts w:hint="eastAsia" w:ascii="宋体" w:hAnsi="宋体"/>
                <w:szCs w:val="21"/>
              </w:rPr>
              <w:t>投标人同类项目业绩情况</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left="-63" w:leftChars="-30" w:right="-88" w:rightChars="-42"/>
              <w:jc w:val="center"/>
              <w:rPr>
                <w:rFonts w:ascii="宋体" w:hAnsi="宋体" w:cs="宋体"/>
                <w:szCs w:val="21"/>
              </w:rPr>
            </w:pPr>
            <w:r>
              <w:rPr>
                <w:rFonts w:hint="eastAsia" w:ascii="宋体" w:hAnsi="宋体" w:cs="宋体"/>
                <w:sz w:val="24"/>
                <w:szCs w:val="20"/>
              </w:rPr>
              <w:t>8</w:t>
            </w:r>
          </w:p>
        </w:tc>
        <w:tc>
          <w:tcPr>
            <w:tcW w:w="5092" w:type="dxa"/>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2"/>
              </w:numPr>
              <w:adjustRightInd w:val="0"/>
              <w:snapToGrid w:val="0"/>
              <w:rPr>
                <w:rFonts w:ascii="宋体" w:hAnsi="宋体" w:cs="宋体"/>
                <w:b/>
                <w:bCs/>
                <w:sz w:val="24"/>
                <w:szCs w:val="20"/>
              </w:rPr>
            </w:pPr>
            <w:r>
              <w:rPr>
                <w:rFonts w:hint="eastAsia" w:ascii="宋体" w:hAnsi="宋体" w:cs="宋体"/>
                <w:b/>
                <w:bCs/>
                <w:sz w:val="24"/>
                <w:szCs w:val="20"/>
              </w:rPr>
              <w:t>评分内容：</w:t>
            </w:r>
          </w:p>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投标人自2022年8月1日至本项目投标截止日（以合同签订时间为准）有机房搬迁项目</w:t>
            </w:r>
            <w:r>
              <w:rPr>
                <w:rFonts w:hint="eastAsia" w:cs="宋体" w:asciiTheme="minorEastAsia" w:hAnsiTheme="minorEastAsia" w:eastAsiaTheme="minorEastAsia"/>
                <w:szCs w:val="21"/>
                <w:lang w:val="en-US" w:eastAsia="zh-CN"/>
              </w:rPr>
              <w:t>同类业绩</w:t>
            </w:r>
            <w:r>
              <w:rPr>
                <w:rFonts w:hint="eastAsia" w:cs="宋体" w:asciiTheme="minorEastAsia" w:hAnsiTheme="minorEastAsia" w:eastAsiaTheme="minorEastAsia"/>
                <w:szCs w:val="21"/>
              </w:rPr>
              <w:t>，每提供一项得2分，最高得8分。</w:t>
            </w:r>
          </w:p>
          <w:p>
            <w:pPr>
              <w:spacing w:after="60"/>
              <w:rPr>
                <w:rFonts w:ascii="宋体" w:hAnsi="宋体" w:cs="宋体"/>
                <w:b/>
                <w:bCs/>
                <w:sz w:val="24"/>
                <w:szCs w:val="20"/>
              </w:rPr>
            </w:pPr>
            <w:r>
              <w:rPr>
                <w:rFonts w:hint="eastAsia" w:ascii="宋体" w:hAnsi="宋体" w:cs="宋体"/>
                <w:b/>
                <w:bCs/>
                <w:sz w:val="24"/>
                <w:szCs w:val="20"/>
              </w:rPr>
              <w:t>（二）评分依据：</w:t>
            </w:r>
          </w:p>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1.要求提供合同关键信息（需包含项目名称、服务内容、合同签字盖章页、签订日期的关键信息）扫描件。</w:t>
            </w:r>
          </w:p>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2.通过合同关键信息无法判断是否得分的，还须同时提供能证明得分的其它证明资料。</w:t>
            </w:r>
          </w:p>
          <w:p>
            <w:pPr>
              <w:adjustRightInd w:val="0"/>
              <w:snapToGrid w:val="0"/>
              <w:rPr>
                <w:rFonts w:ascii="宋体" w:hAnsi="宋体" w:cs="宋体"/>
                <w:szCs w:val="21"/>
              </w:rPr>
            </w:pPr>
            <w:r>
              <w:rPr>
                <w:rFonts w:hint="eastAsia" w:cs="宋体" w:asciiTheme="minorEastAsia" w:hAnsiTheme="minorEastAsia" w:eastAsiaTheme="minorEastAsia"/>
                <w:szCs w:val="21"/>
              </w:rPr>
              <w:t>3.以上资料均要求提供扫描件。评分中出现无证明资料或专家无法凭所提供资料判断是否得分的情况，一律作不得分处理。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 w:val="24"/>
              </w:rPr>
            </w:pPr>
            <w:r>
              <w:rPr>
                <w:rFonts w:hint="eastAsia" w:ascii="宋体" w:hAnsi="宋体" w:cs="宋体"/>
                <w:sz w:val="24"/>
              </w:rPr>
              <w:t>4</w:t>
            </w:r>
          </w:p>
        </w:tc>
        <w:tc>
          <w:tcPr>
            <w:tcW w:w="1768"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Cs w:val="21"/>
              </w:rPr>
            </w:pPr>
            <w:r>
              <w:rPr>
                <w:rFonts w:hint="eastAsia" w:ascii="宋体" w:hAnsi="宋体"/>
                <w:szCs w:val="21"/>
              </w:rPr>
              <w:t>项目完成（服务期满）后的服务承诺</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Cs w:val="21"/>
              </w:rPr>
            </w:pPr>
            <w:r>
              <w:rPr>
                <w:rFonts w:hint="eastAsia" w:ascii="宋体" w:hAnsi="宋体" w:cs="宋体"/>
                <w:sz w:val="24"/>
              </w:rPr>
              <w:t>5</w:t>
            </w:r>
          </w:p>
        </w:tc>
        <w:tc>
          <w:tcPr>
            <w:tcW w:w="509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投标人承诺以下全部二项的得5分，否则不得分。</w:t>
            </w: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1.服务期满后提交并删除项目所有相关文档；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2.服务期满，</w:t>
            </w:r>
            <w:r>
              <w:rPr>
                <w:rFonts w:hint="eastAsia" w:cs="宋体" w:asciiTheme="minorEastAsia" w:hAnsiTheme="minorEastAsia" w:eastAsiaTheme="minorEastAsia"/>
                <w:kern w:val="0"/>
                <w:szCs w:val="21"/>
              </w:rPr>
              <w:t>投标人继续支持搬迁后的远程技术指导</w:t>
            </w:r>
            <w:r>
              <w:rPr>
                <w:rFonts w:hint="eastAsia" w:cs="宋体" w:asciiTheme="minorEastAsia" w:hAnsiTheme="minorEastAsia" w:eastAsiaTheme="minorEastAsia"/>
                <w:szCs w:val="21"/>
              </w:rPr>
              <w:t>。</w:t>
            </w:r>
          </w:p>
          <w:p>
            <w:pPr>
              <w:wordWrap w:val="0"/>
              <w:rPr>
                <w:rFonts w:ascii="宋体" w:hAnsi="宋体" w:cs="宋体"/>
                <w:szCs w:val="21"/>
              </w:rPr>
            </w:pPr>
            <w:r>
              <w:rPr>
                <w:rFonts w:hint="eastAsia" w:cs="宋体" w:asciiTheme="minorEastAsia" w:hAnsiTheme="minorEastAsia" w:eastAsiaTheme="minorEastAsia"/>
                <w:szCs w:val="21"/>
              </w:rPr>
              <w:t>要求提供承诺（格式自定）作为得分依据，未提供承诺或承诺内容不满足要求不得分。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 w:val="24"/>
              </w:rPr>
            </w:pPr>
            <w:r>
              <w:rPr>
                <w:rFonts w:hint="eastAsia" w:ascii="宋体" w:hAnsi="宋体" w:cs="宋体"/>
                <w:sz w:val="24"/>
              </w:rPr>
              <w:t>5</w:t>
            </w:r>
          </w:p>
        </w:tc>
        <w:tc>
          <w:tcPr>
            <w:tcW w:w="1768"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Cs w:val="21"/>
              </w:rPr>
            </w:pPr>
            <w:r>
              <w:rPr>
                <w:rFonts w:hint="eastAsia" w:ascii="宋体" w:hAnsi="宋体"/>
                <w:szCs w:val="21"/>
              </w:rPr>
              <w:t>违约承诺</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rPr>
                <w:rFonts w:ascii="宋体" w:hAnsi="宋体" w:cs="宋体"/>
                <w:szCs w:val="21"/>
              </w:rPr>
            </w:pPr>
            <w:r>
              <w:rPr>
                <w:rFonts w:hint="eastAsia" w:ascii="宋体" w:hAnsi="宋体" w:cs="宋体"/>
                <w:szCs w:val="21"/>
              </w:rPr>
              <w:t>4</w:t>
            </w:r>
          </w:p>
        </w:tc>
        <w:tc>
          <w:tcPr>
            <w:tcW w:w="509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投标人承诺以下全部三项的得</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分，否则不得分。</w:t>
            </w:r>
          </w:p>
          <w:p>
            <w:pPr>
              <w:rPr>
                <w:rFonts w:cs="宋体" w:asciiTheme="minorEastAsia" w:hAnsiTheme="minorEastAsia" w:eastAsiaTheme="minorEastAsia"/>
                <w:szCs w:val="21"/>
              </w:rPr>
            </w:pPr>
            <w:r>
              <w:rPr>
                <w:rFonts w:hint="eastAsia" w:cs="宋体" w:asciiTheme="minorEastAsia" w:hAnsiTheme="minorEastAsia" w:eastAsiaTheme="minorEastAsia"/>
                <w:szCs w:val="21"/>
              </w:rPr>
              <w:t>1.人员严格按照招标文件及投标承诺配置；</w:t>
            </w:r>
          </w:p>
          <w:p>
            <w:pPr>
              <w:rPr>
                <w:rFonts w:cs="宋体" w:asciiTheme="minorEastAsia" w:hAnsiTheme="minorEastAsia" w:eastAsiaTheme="minorEastAsia"/>
                <w:szCs w:val="21"/>
              </w:rPr>
            </w:pPr>
            <w:r>
              <w:rPr>
                <w:rFonts w:hint="eastAsia" w:cs="宋体" w:asciiTheme="minorEastAsia" w:hAnsiTheme="minorEastAsia" w:eastAsiaTheme="minorEastAsia"/>
                <w:szCs w:val="21"/>
              </w:rPr>
              <w:t>2.服务质量达到招标文件要求；</w:t>
            </w:r>
          </w:p>
          <w:p>
            <w:pPr>
              <w:rPr>
                <w:rFonts w:cs="宋体" w:asciiTheme="minorEastAsia" w:hAnsiTheme="minorEastAsia" w:eastAsiaTheme="minorEastAsia"/>
                <w:szCs w:val="21"/>
              </w:rPr>
            </w:pPr>
            <w:r>
              <w:rPr>
                <w:rFonts w:hint="eastAsia" w:cs="宋体" w:asciiTheme="minorEastAsia" w:hAnsiTheme="minorEastAsia" w:eastAsiaTheme="minorEastAsia"/>
                <w:szCs w:val="21"/>
              </w:rPr>
              <w:t>3.对未能达到的管理要求承担管理责任。</w:t>
            </w:r>
          </w:p>
          <w:p>
            <w:pPr>
              <w:wordWrap w:val="0"/>
              <w:rPr>
                <w:rFonts w:ascii="宋体" w:hAnsi="宋体" w:cs="宋体"/>
                <w:szCs w:val="21"/>
              </w:rPr>
            </w:pPr>
            <w:r>
              <w:rPr>
                <w:rFonts w:hint="eastAsia" w:cs="宋体" w:asciiTheme="minorEastAsia" w:hAnsiTheme="minorEastAsia" w:eastAsiaTheme="minorEastAsia"/>
                <w:szCs w:val="21"/>
              </w:rPr>
              <w:t>要求提供承诺（格式自定）作为得分依据，未提供承诺或承诺内容不满足要求不得分。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rPr>
              <w:t>5</w:t>
            </w:r>
          </w:p>
        </w:tc>
        <w:tc>
          <w:tcPr>
            <w:tcW w:w="330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rPr>
              <w:t>诚信情况</w:t>
            </w:r>
          </w:p>
        </w:tc>
        <w:tc>
          <w:tcPr>
            <w:tcW w:w="50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color w:val="0000FF"/>
                <w:sz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rPr>
              <w:t>序号</w:t>
            </w:r>
          </w:p>
        </w:tc>
        <w:tc>
          <w:tcPr>
            <w:tcW w:w="176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rPr>
              <w:t>评分因素</w:t>
            </w:r>
          </w:p>
        </w:tc>
        <w:tc>
          <w:tcPr>
            <w:tcW w:w="85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rPr>
              <w:t>分值</w:t>
            </w:r>
          </w:p>
        </w:tc>
        <w:tc>
          <w:tcPr>
            <w:tcW w:w="509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cs="宋体"/>
              </w:rPr>
              <w:t>6</w:t>
            </w:r>
          </w:p>
        </w:tc>
        <w:tc>
          <w:tcPr>
            <w:tcW w:w="176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szCs w:val="21"/>
              </w:rPr>
              <w:t>诚信情况</w:t>
            </w:r>
          </w:p>
        </w:tc>
        <w:tc>
          <w:tcPr>
            <w:tcW w:w="8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cs="宋体"/>
              </w:rPr>
              <w:t>5</w:t>
            </w:r>
          </w:p>
        </w:tc>
        <w:tc>
          <w:tcPr>
            <w:tcW w:w="5092" w:type="dxa"/>
            <w:tcBorders>
              <w:top w:val="single" w:color="000000" w:sz="8" w:space="0"/>
              <w:left w:val="single" w:color="000000" w:sz="8" w:space="0"/>
              <w:bottom w:val="single" w:color="000000" w:sz="8" w:space="0"/>
              <w:right w:val="single" w:color="000000" w:sz="8" w:space="0"/>
            </w:tcBorders>
            <w:shd w:val="clear" w:color="auto" w:fill="auto"/>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pPr>
              <w:adjustRightInd w:val="0"/>
              <w:snapToGrid w:val="0"/>
              <w:rPr>
                <w:rFonts w:ascii="宋体" w:hAnsi="宋体" w:cs="宋体"/>
              </w:rPr>
            </w:pPr>
            <w:r>
              <w:rPr>
                <w:rFonts w:hint="eastAsia" w:cs="宋体" w:asciiTheme="minorEastAsia" w:hAnsiTheme="minorEastAsia" w:eastAsiaTheme="minorEastAsia"/>
                <w:szCs w:val="21"/>
              </w:rPr>
              <w:t>查询渠道：通过“信用中国”下载信用信息报告、“中国政府采购网”以及“深圳市政府采购监管网”查询供应商信用信息，信用信息以开标当日的查询结果为准。</w:t>
            </w:r>
          </w:p>
        </w:tc>
      </w:tr>
    </w:tbl>
    <w:p>
      <w:pPr>
        <w:pStyle w:val="25"/>
        <w:ind w:firstLine="562"/>
        <w:rPr>
          <w:b/>
          <w:bCs/>
          <w:color w:val="auto"/>
        </w:rPr>
      </w:pPr>
      <w:r>
        <w:rPr>
          <w:rFonts w:hint="eastAsia"/>
          <w:b/>
          <w:bCs/>
          <w:color w:val="auto"/>
        </w:rPr>
        <w:t>十二、政策导向</w:t>
      </w:r>
    </w:p>
    <w:p>
      <w:pPr>
        <w:spacing w:line="40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（1）投标人提供的服务</w:t>
      </w:r>
      <w:r>
        <w:rPr>
          <w:rFonts w:hint="eastAsia" w:ascii="仿宋_GB2312" w:hAnsi="仿宋_GB2312" w:eastAsia="仿宋_GB2312" w:cs="仿宋_GB2312"/>
          <w:bCs/>
          <w:kern w:val="0"/>
          <w:sz w:val="28"/>
          <w:szCs w:val="28"/>
          <w:lang w:eastAsia="zh-CN"/>
        </w:rPr>
        <w:t>全部</w:t>
      </w:r>
      <w:r>
        <w:rPr>
          <w:rFonts w:hint="eastAsia" w:ascii="仿宋_GB2312" w:hAnsi="仿宋_GB2312" w:eastAsia="仿宋_GB2312" w:cs="仿宋_GB2312"/>
          <w:bCs/>
          <w:kern w:val="0"/>
          <w:sz w:val="28"/>
          <w:szCs w:val="28"/>
        </w:rPr>
        <w:t>由优惠主体承接，则对其投标总价给予</w:t>
      </w:r>
      <w:r>
        <w:rPr>
          <w:rFonts w:hint="eastAsia" w:ascii="仿宋_GB2312" w:hAnsi="仿宋_GB2312" w:eastAsia="仿宋_GB2312" w:cs="仿宋_GB2312"/>
          <w:b/>
          <w:kern w:val="0"/>
          <w:sz w:val="28"/>
          <w:szCs w:val="28"/>
          <w:u w:val="single"/>
        </w:rPr>
        <w:t>10%</w:t>
      </w:r>
      <w:r>
        <w:rPr>
          <w:rFonts w:hint="eastAsia" w:ascii="仿宋_GB2312" w:hAnsi="仿宋_GB2312" w:eastAsia="仿宋_GB2312" w:cs="仿宋_GB2312"/>
          <w:bCs/>
          <w:kern w:val="0"/>
          <w:sz w:val="28"/>
          <w:szCs w:val="28"/>
        </w:rPr>
        <w:t>的扣除，用扣除后的价格参与评审。满足多项优惠政策的企业，不重复享受多项价格扣除政策。</w:t>
      </w:r>
    </w:p>
    <w:p>
      <w:pPr>
        <w:spacing w:line="40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spacing w:line="40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根据《工业和信息化部、国家统计局、国家发展和改革委员会、财政部关于印发中小企业划型标准规定的通知》（工信部联企业〔2011〕300号），本项目采购标的（项目需求）对应的中小企业划分标准所属行业为</w:t>
      </w:r>
      <w:r>
        <w:rPr>
          <w:rStyle w:val="21"/>
          <w:rFonts w:ascii="Segoe UI" w:hAnsi="Segoe UI" w:eastAsia="Segoe UI" w:cs="Segoe UI"/>
          <w:bCs/>
          <w:color w:val="404040"/>
          <w:sz w:val="24"/>
          <w:u w:val="single"/>
          <w:shd w:val="clear" w:color="auto" w:fill="FFFFFF"/>
        </w:rPr>
        <w:t>软件和信息技术服务业</w:t>
      </w:r>
      <w:r>
        <w:rPr>
          <w:rFonts w:hint="eastAsia" w:ascii="仿宋_GB2312" w:hAnsi="仿宋_GB2312" w:eastAsia="仿宋_GB2312" w:cs="仿宋_GB2312"/>
          <w:bCs/>
          <w:kern w:val="0"/>
          <w:sz w:val="28"/>
          <w:szCs w:val="28"/>
        </w:rPr>
        <w:t>。</w:t>
      </w:r>
    </w:p>
    <w:p>
      <w:pPr>
        <w:spacing w:line="40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小型企业、微型企业、残疾人福利性单位作为优惠主体的认定资料为《中小企业声明函》《残疾人福利性单位声明函》；监狱企业作为优惠主体的认定资料为省级以上监狱管理局、戒毒管理局出具的监狱企业证明文件。监狱企业或者代理提供监狱企业货物的供应商如须享受优惠政策，除上述资料外，还须提供省级以上监狱管理局、戒毒管理局出具的监狱企业证明文件。</w:t>
      </w:r>
    </w:p>
    <w:p>
      <w:pPr>
        <w:spacing w:line="40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享受价格扣除获得政府采购合同的，小微企业不得将合同分包给大中型企业。根据《工业和信息化部、国家统计局、国家发展和改革委员会、财政部关于印发中小企业划型标准规定的通知》（工信部联企业〔2011〕300号），本项目采购标的（项目需求）对应的中小企业划分标准所属行业为工业。</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r>
        <w:rPr>
          <w:rFonts w:ascii="仿宋_GB2312" w:hAnsi="仿宋_GB2312" w:eastAsia="仿宋_GB2312" w:cs="仿宋_GB2312"/>
          <w:b/>
          <w:bCs/>
          <w:sz w:val="36"/>
          <w:szCs w:val="36"/>
        </w:rPr>
        <w:t>第三章</w:t>
      </w:r>
      <w:r>
        <w:rPr>
          <w:rFonts w:hint="eastAsia" w:ascii="仿宋_GB2312" w:hAnsi="仿宋_GB2312" w:eastAsia="仿宋_GB2312" w:cs="仿宋_GB2312"/>
          <w:b/>
          <w:bCs/>
          <w:sz w:val="36"/>
          <w:szCs w:val="36"/>
        </w:rPr>
        <w:t xml:space="preserve">  投标文件初审表</w:t>
      </w:r>
    </w:p>
    <w:p>
      <w:pPr>
        <w:jc w:val="center"/>
        <w:rPr>
          <w:rFonts w:asciiTheme="majorEastAsia" w:hAnsiTheme="majorEastAsia" w:eastAsiaTheme="majorEastAsia"/>
          <w:sz w:val="30"/>
          <w:szCs w:val="30"/>
        </w:rPr>
      </w:pPr>
      <w:r>
        <w:rPr>
          <w:rFonts w:hint="eastAsia" w:ascii="仿宋" w:hAnsi="仿宋" w:eastAsia="仿宋" w:cs="仿宋"/>
          <w:b/>
          <w:sz w:val="22"/>
          <w:szCs w:val="28"/>
        </w:rPr>
        <w:t>（凡未满足下列情形的，投标文件无效，投标作废标处理）</w:t>
      </w:r>
    </w:p>
    <w:p>
      <w:pPr>
        <w:pStyle w:val="2"/>
        <w:spacing w:line="400" w:lineRule="exact"/>
        <w:jc w:val="center"/>
        <w:rPr>
          <w:rFonts w:ascii="宋体" w:hAnsi="宋体" w:cs="宋体"/>
          <w:b/>
          <w:bCs/>
          <w:sz w:val="28"/>
          <w:szCs w:val="28"/>
        </w:rPr>
      </w:pPr>
      <w:r>
        <w:rPr>
          <w:rFonts w:hint="eastAsia" w:ascii="宋体" w:hAnsi="宋体" w:cs="宋体"/>
          <w:b/>
          <w:bCs/>
          <w:sz w:val="28"/>
          <w:szCs w:val="28"/>
        </w:rPr>
        <w:t>（一）资格性审查表</w:t>
      </w:r>
    </w:p>
    <w:tbl>
      <w:tblPr>
        <w:tblStyle w:val="18"/>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rPr>
            </w:pPr>
            <w:r>
              <w:rPr>
                <w:rFonts w:hint="eastAsia" w:ascii="宋体" w:cs="宋体"/>
                <w:b/>
              </w:rPr>
              <w:t>序号</w:t>
            </w:r>
          </w:p>
        </w:tc>
        <w:tc>
          <w:tcPr>
            <w:tcW w:w="8014" w:type="dxa"/>
            <w:vAlign w:val="center"/>
          </w:tcPr>
          <w:p>
            <w:pPr>
              <w:jc w:val="center"/>
              <w:rPr>
                <w:rFonts w:asci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ind w:left="342"/>
              <w:jc w:val="center"/>
              <w:rPr>
                <w:rFonts w:ascii="宋体" w:hAnsi="宋体" w:cs="宋体"/>
              </w:rPr>
            </w:pPr>
          </w:p>
        </w:tc>
        <w:tc>
          <w:tcPr>
            <w:tcW w:w="801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具备招标文件中规定要求的资格，且资格证明文件齐全。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ind w:left="342"/>
              <w:jc w:val="center"/>
              <w:rPr>
                <w:rFonts w:ascii="宋体" w:hAnsi="宋体" w:cs="宋体"/>
              </w:rPr>
            </w:pPr>
          </w:p>
        </w:tc>
        <w:tc>
          <w:tcPr>
            <w:tcW w:w="801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投标及履约承诺函已提交并符合招标文件要求的。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ind w:left="342"/>
              <w:jc w:val="center"/>
              <w:rPr>
                <w:rFonts w:ascii="宋体" w:hAnsi="宋体" w:cs="宋体"/>
              </w:rPr>
            </w:pPr>
            <w:bookmarkStart w:id="1" w:name="_Toc15975"/>
          </w:p>
        </w:tc>
        <w:tc>
          <w:tcPr>
            <w:tcW w:w="801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供应商基本情况表已提交，提供法定代表人、主要经营负责人、项目投标授权代表人、项目负责人（如有）、主要技术人员（如有）最近一个月的社会保险证明。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1.法定代表人、主要经营负责人、项目投标授权代表人的社会保险未由投标人单位缴纳，亦须提供相应单位为其缴纳的社会保险证明。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2.项目负责人和主要技术人员的社会保险须由投标人单位缴纳。</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3.投标人为新成立企业且成立时间不足一个月可提供加盖投标人公章的情况说明或者证明材料亦视为符合。</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4.若为退休人员，提供退休证明。如依法不需要缴纳社会保险的，应提供相应文件证明。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5.若因社保部门原因无法提供的，需提供劳动合同及社保部门官方通知证明（或官网公告截图）。</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6.如本项目未安排项目负责人、主要技术人员的，无需提供项目负责人、主要技术人员的社保。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ind w:left="342"/>
              <w:jc w:val="center"/>
              <w:rPr>
                <w:rFonts w:ascii="宋体" w:hAnsi="宋体" w:cs="宋体"/>
              </w:rPr>
            </w:pPr>
          </w:p>
        </w:tc>
        <w:tc>
          <w:tcPr>
            <w:tcW w:w="801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不同供应商的法定代表人、主要经营负责人、项目投标授权代表人、项目负责人（如有）、主要技术人员（如有）不存在为同一人或在同一单位缴纳社会保险；或者不存在直接控股、管理关系；不存在因违法行为而被禁止参加政府采购活动等情形。</w:t>
            </w:r>
          </w:p>
        </w:tc>
      </w:tr>
    </w:tbl>
    <w:p>
      <w:pPr>
        <w:adjustRightInd w:val="0"/>
        <w:snapToGrid w:val="0"/>
        <w:spacing w:line="360" w:lineRule="auto"/>
        <w:jc w:val="left"/>
        <w:rPr>
          <w:rFonts w:ascii="宋体" w:hAnsi="宋体" w:cs="宋体"/>
        </w:rPr>
      </w:pPr>
    </w:p>
    <w:bookmarkEnd w:id="1"/>
    <w:p/>
    <w:p>
      <w:pPr>
        <w:pStyle w:val="9"/>
      </w:pPr>
    </w:p>
    <w:p>
      <w:pPr>
        <w:pStyle w:val="15"/>
      </w:pPr>
    </w:p>
    <w:p>
      <w:pPr>
        <w:pStyle w:val="15"/>
      </w:pPr>
    </w:p>
    <w:p>
      <w:pPr>
        <w:pStyle w:val="15"/>
      </w:pPr>
    </w:p>
    <w:p>
      <w:pPr>
        <w:pStyle w:val="15"/>
      </w:pPr>
    </w:p>
    <w:p>
      <w:pPr>
        <w:pStyle w:val="15"/>
      </w:pPr>
    </w:p>
    <w:p>
      <w:pPr>
        <w:pStyle w:val="15"/>
      </w:pPr>
    </w:p>
    <w:p>
      <w:pPr>
        <w:pStyle w:val="15"/>
      </w:pPr>
    </w:p>
    <w:p>
      <w:pPr>
        <w:pStyle w:val="15"/>
      </w:pPr>
    </w:p>
    <w:p>
      <w:pPr>
        <w:pStyle w:val="2"/>
        <w:spacing w:line="400" w:lineRule="exact"/>
        <w:jc w:val="center"/>
        <w:rPr>
          <w:rFonts w:ascii="宋体" w:hAnsi="宋体" w:cs="宋体"/>
          <w:b/>
          <w:bCs/>
          <w:sz w:val="28"/>
          <w:szCs w:val="28"/>
        </w:rPr>
      </w:pPr>
      <w:r>
        <w:rPr>
          <w:rFonts w:hint="eastAsia" w:ascii="宋体" w:hAnsi="宋体" w:cs="宋体"/>
          <w:b/>
          <w:bCs/>
          <w:sz w:val="28"/>
          <w:szCs w:val="28"/>
        </w:rPr>
        <w:t>（二）符合性检查表</w:t>
      </w:r>
    </w:p>
    <w:tbl>
      <w:tblPr>
        <w:tblStyle w:val="18"/>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5" w:type="dxa"/>
            <w:noWrap/>
            <w:vAlign w:val="center"/>
          </w:tcPr>
          <w:p>
            <w:pPr>
              <w:jc w:val="center"/>
              <w:rPr>
                <w:rFonts w:ascii="宋体" w:hAnsi="宋体" w:cs="宋体"/>
                <w:b/>
              </w:rPr>
            </w:pPr>
            <w:r>
              <w:rPr>
                <w:rFonts w:hint="eastAsia" w:ascii="宋体" w:hAnsi="宋体" w:cs="宋体"/>
                <w:b/>
              </w:rPr>
              <w:t>序号</w:t>
            </w:r>
          </w:p>
        </w:tc>
        <w:tc>
          <w:tcPr>
            <w:tcW w:w="7929" w:type="dxa"/>
            <w:noWrap/>
            <w:vAlign w:val="center"/>
          </w:tcPr>
          <w:p>
            <w:pPr>
              <w:jc w:val="center"/>
              <w:rPr>
                <w:rFonts w:ascii="宋体" w:hAnsi="宋体" w:cs="宋体"/>
                <w:b/>
              </w:rPr>
            </w:pPr>
            <w:r>
              <w:rPr>
                <w:rFonts w:hint="eastAsia" w:ascii="宋体" w:hAnsi="宋体" w:cs="宋体"/>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sz w:val="22"/>
                <w:szCs w:val="22"/>
              </w:rPr>
            </w:pPr>
            <w:r>
              <w:rPr>
                <w:rFonts w:hint="eastAsia"/>
              </w:rPr>
              <w:t>未</w:t>
            </w:r>
            <w:r>
              <w:rPr>
                <w:rFonts w:hint="eastAsia" w:ascii="宋体" w:hAnsi="宋体" w:cs="宋体"/>
                <w:bCs/>
                <w:sz w:val="22"/>
                <w:szCs w:val="22"/>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2</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招标文件未规定允许有替代方案时，对同一货物投标时，</w:t>
            </w:r>
            <w:r>
              <w:rPr>
                <w:rFonts w:hint="eastAsia"/>
              </w:rPr>
              <w:t>未</w:t>
            </w:r>
            <w:r>
              <w:rPr>
                <w:rFonts w:hint="eastAsia" w:ascii="宋体" w:hAnsi="宋体" w:cs="宋体"/>
                <w:bCs/>
                <w:sz w:val="22"/>
                <w:szCs w:val="22"/>
              </w:rPr>
              <w:t>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3</w:t>
            </w:r>
          </w:p>
        </w:tc>
        <w:tc>
          <w:tcPr>
            <w:tcW w:w="7929" w:type="dxa"/>
            <w:noWrap/>
            <w:vAlign w:val="center"/>
          </w:tcPr>
          <w:p>
            <w:pPr>
              <w:rPr>
                <w:rFonts w:ascii="宋体" w:hAnsi="宋体" w:cs="宋体"/>
                <w:bCs/>
                <w:sz w:val="22"/>
                <w:szCs w:val="22"/>
              </w:rPr>
            </w:pPr>
            <w:r>
              <w:rPr>
                <w:rFonts w:hint="eastAsia" w:ascii="宋体" w:hAnsi="宋体" w:cs="宋体"/>
                <w:color w:val="000000" w:themeColor="text1"/>
                <w:szCs w:val="21"/>
                <w14:textFill>
                  <w14:solidFill>
                    <w14:schemeClr w14:val="tx1"/>
                  </w14:solidFill>
                </w14:textFill>
              </w:rPr>
              <w:t>投标报价按照招标文件要求进行报价，</w:t>
            </w:r>
            <w:r>
              <w:rPr>
                <w:rFonts w:hint="eastAsia" w:ascii="宋体" w:hAnsi="宋体" w:cs="宋体"/>
                <w:bCs/>
                <w:sz w:val="22"/>
                <w:szCs w:val="22"/>
              </w:rPr>
              <w:t>投标总价或分项报价</w:t>
            </w:r>
            <w:r>
              <w:rPr>
                <w:rFonts w:hint="eastAsia"/>
              </w:rPr>
              <w:t>未</w:t>
            </w:r>
            <w:r>
              <w:rPr>
                <w:rFonts w:hint="eastAsia" w:ascii="宋体" w:hAnsi="宋体" w:cs="宋体"/>
                <w:bCs/>
                <w:sz w:val="22"/>
                <w:szCs w:val="22"/>
              </w:rPr>
              <w:t>高于项目预算限额。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4</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人的报价未明显低于其他通过符合性审查投标人的报价，不会影响产品质量或者诚信履约。评委会有权要求投标供应商在规定时间内提供书面说明以及必要的证明材料，投标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5</w:t>
            </w:r>
          </w:p>
        </w:tc>
        <w:tc>
          <w:tcPr>
            <w:tcW w:w="7929" w:type="dxa"/>
            <w:noWrap/>
            <w:vAlign w:val="center"/>
          </w:tcPr>
          <w:p>
            <w:pPr>
              <w:rPr>
                <w:rFonts w:ascii="宋体" w:hAnsi="宋体" w:cs="宋体"/>
                <w:bCs/>
                <w:sz w:val="22"/>
                <w:szCs w:val="22"/>
              </w:rPr>
            </w:pPr>
            <w:r>
              <w:rPr>
                <w:rFonts w:hint="eastAsia" w:ascii="宋体" w:hAnsi="宋体" w:cs="宋体"/>
                <w:bCs/>
                <w:sz w:val="22"/>
                <w:szCs w:val="22"/>
              </w:rPr>
              <w:t>同一项目未出现两个或以上报价、单价汇总与总价不符的情况。评委会有权要求投标供应商在规定时间内进行书面澄清说明，投标供应商不能及时进行澄清说明的，评标委员会应当将其作为无效投标处理。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6</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投标报价无缺漏项目或未对采购文件规定的服务清单项目及数量进行修改。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7</w:t>
            </w:r>
          </w:p>
        </w:tc>
        <w:tc>
          <w:tcPr>
            <w:tcW w:w="7929" w:type="dxa"/>
            <w:noWrap/>
            <w:vAlign w:val="center"/>
          </w:tcPr>
          <w:p>
            <w:pPr>
              <w:rPr>
                <w:rFonts w:ascii="宋体" w:hAnsi="宋体" w:cs="宋体"/>
                <w:bCs/>
                <w:sz w:val="22"/>
                <w:szCs w:val="22"/>
              </w:rPr>
            </w:pPr>
            <w:r>
              <w:rPr>
                <w:rFonts w:hint="eastAsia" w:ascii="宋体" w:hAnsi="宋体" w:cs="宋体"/>
                <w:bCs/>
                <w:sz w:val="22"/>
                <w:szCs w:val="22"/>
              </w:rPr>
              <w:t>所投产品、工程、服务在质量、技术、方案等方面实质性满足采购文件要求，本项目实质性条款以标注“★”条款为准（是否实质性满足招标文件要求，由评审委员会根据《实质性条款响应情况表》作出评判）。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8</w:t>
            </w:r>
          </w:p>
        </w:tc>
        <w:tc>
          <w:tcPr>
            <w:tcW w:w="7929" w:type="dxa"/>
            <w:noWrap/>
            <w:vAlign w:val="center"/>
          </w:tcPr>
          <w:p>
            <w:pPr>
              <w:rPr>
                <w:rFonts w:ascii="宋体" w:hAnsi="宋体" w:cs="宋体"/>
                <w:bCs/>
                <w:sz w:val="22"/>
                <w:szCs w:val="22"/>
              </w:rPr>
            </w:pPr>
            <w:r>
              <w:rPr>
                <w:rFonts w:hint="eastAsia" w:ascii="宋体" w:hAnsi="宋体" w:cs="宋体"/>
                <w:bCs/>
                <w:sz w:val="22"/>
                <w:szCs w:val="22"/>
              </w:rPr>
              <w:t>《开标一览表》《投标及履约承诺函》按采购文件规定的格式和内容响应；按采购文件对投标文件组成的要求提供投标文件的（投标文件组成完整）；按照招标文件要求提供密封投标文件；投标文件的数量、密封、签字盖章符合采购文件要求，提供投标文件电子文档；按照采购文件规定的样式及要求填写“法定代表人资格证明书”或“</w:t>
            </w:r>
            <w:r>
              <w:rPr>
                <w:rFonts w:hint="eastAsia" w:ascii="宋体" w:hAnsi="宋体" w:cs="宋体"/>
                <w:bCs/>
                <w:sz w:val="22"/>
                <w:szCs w:val="22"/>
                <w:lang w:bidi="ar"/>
              </w:rPr>
              <w:t>法定代表人授权书</w:t>
            </w:r>
            <w:r>
              <w:rPr>
                <w:rFonts w:hint="eastAsia" w:ascii="宋体" w:hAnsi="宋体" w:cs="宋体"/>
                <w:bCs/>
                <w:sz w:val="22"/>
                <w:szCs w:val="22"/>
              </w:rPr>
              <w:t>”或“分项报价表”。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9</w:t>
            </w:r>
          </w:p>
        </w:tc>
        <w:tc>
          <w:tcPr>
            <w:tcW w:w="7929" w:type="dxa"/>
            <w:noWrap/>
            <w:vAlign w:val="center"/>
          </w:tcPr>
          <w:p>
            <w:pPr>
              <w:rPr>
                <w:rFonts w:ascii="宋体" w:hAnsi="宋体" w:cs="宋体"/>
                <w:bCs/>
                <w:sz w:val="22"/>
                <w:szCs w:val="22"/>
              </w:rPr>
            </w:pPr>
            <w:r>
              <w:rPr>
                <w:rFonts w:hint="eastAsia" w:ascii="宋体" w:hAnsi="宋体" w:cs="宋体"/>
                <w:bCs/>
                <w:sz w:val="22"/>
                <w:szCs w:val="22"/>
              </w:rPr>
              <w:t>与其他投标供应商的投标文件未存在异常雷同现象的。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10</w:t>
            </w:r>
          </w:p>
        </w:tc>
        <w:tc>
          <w:tcPr>
            <w:tcW w:w="7929" w:type="dxa"/>
            <w:noWrap/>
            <w:vAlign w:val="center"/>
          </w:tcPr>
          <w:p>
            <w:pPr>
              <w:rPr>
                <w:rFonts w:ascii="宋体" w:hAnsi="宋体" w:cs="宋体"/>
                <w:bCs/>
                <w:sz w:val="22"/>
                <w:szCs w:val="22"/>
              </w:rPr>
            </w:pPr>
            <w:r>
              <w:rPr>
                <w:rFonts w:hint="eastAsia" w:ascii="宋体" w:hAnsi="宋体" w:cs="宋体"/>
                <w:bCs/>
                <w:sz w:val="22"/>
                <w:szCs w:val="22"/>
              </w:rPr>
              <w:t>未存在招标文件规定的其他投标无效情形。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11</w:t>
            </w:r>
          </w:p>
        </w:tc>
        <w:tc>
          <w:tcPr>
            <w:tcW w:w="7929" w:type="dxa"/>
            <w:noWrap/>
            <w:vAlign w:val="center"/>
          </w:tcPr>
          <w:p>
            <w:pPr>
              <w:rPr>
                <w:rFonts w:ascii="宋体" w:hAnsi="宋体" w:cs="宋体"/>
                <w:bCs/>
                <w:sz w:val="22"/>
                <w:szCs w:val="22"/>
              </w:rPr>
            </w:pPr>
            <w:r>
              <w:rPr>
                <w:rFonts w:hint="eastAsia" w:ascii="宋体" w:hAnsi="宋体" w:cs="宋体"/>
                <w:bCs/>
                <w:sz w:val="22"/>
                <w:szCs w:val="22"/>
              </w:rPr>
              <w:t>法律、法规规定的其他情形。</w:t>
            </w:r>
          </w:p>
        </w:tc>
      </w:tr>
    </w:tbl>
    <w:p>
      <w:pPr>
        <w:adjustRightInd w:val="0"/>
        <w:snapToGrid w:val="0"/>
        <w:spacing w:line="360" w:lineRule="auto"/>
        <w:jc w:val="left"/>
        <w:rPr>
          <w:rFonts w:ascii="宋体" w:hAnsi="宋体" w:cs="宋体"/>
        </w:rPr>
      </w:pPr>
    </w:p>
    <w:p>
      <w:pPr>
        <w:adjustRightInd w:val="0"/>
        <w:snapToGrid w:val="0"/>
        <w:spacing w:line="360" w:lineRule="auto"/>
        <w:jc w:val="left"/>
        <w:rPr>
          <w:rFonts w:ascii="宋体" w:cs="宋体"/>
          <w:szCs w:val="21"/>
        </w:rPr>
      </w:pPr>
      <w:r>
        <w:rPr>
          <w:rFonts w:hint="eastAsia" w:ascii="宋体" w:hAnsi="宋体" w:cs="宋体"/>
        </w:rPr>
        <w:t>说明：</w:t>
      </w:r>
      <w:r>
        <w:rPr>
          <w:rFonts w:hint="eastAsia" w:ascii="宋体" w:hAnsi="宋体"/>
        </w:rPr>
        <w:t>投标人必须严格按照《资格性审查表》《符合性检查表》的评审内容的要求如实提供材料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
    <w:p/>
    <w:p>
      <w:pPr>
        <w:pStyle w:val="2"/>
        <w:spacing w:line="400" w:lineRule="exact"/>
        <w:jc w:val="center"/>
        <w:rPr>
          <w:rFonts w:ascii="宋体" w:hAnsi="宋体" w:cs="宋体"/>
          <w:b/>
          <w:bCs/>
          <w:sz w:val="32"/>
          <w:szCs w:val="32"/>
        </w:rPr>
      </w:pPr>
      <w:bookmarkStart w:id="2" w:name="_Toc20190"/>
      <w:bookmarkStart w:id="3" w:name="_Toc24877"/>
      <w:bookmarkStart w:id="4" w:name="_Toc417"/>
      <w:r>
        <w:rPr>
          <w:rFonts w:hint="eastAsia" w:ascii="宋体" w:hAnsi="宋体" w:cs="宋体"/>
          <w:b/>
          <w:bCs/>
          <w:sz w:val="28"/>
          <w:szCs w:val="28"/>
        </w:rPr>
        <w:t>（三）供应商自查表</w:t>
      </w:r>
      <w:bookmarkEnd w:id="2"/>
      <w:bookmarkEnd w:id="3"/>
      <w:bookmarkEnd w:id="4"/>
    </w:p>
    <w:p>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18"/>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995"/>
        <w:gridCol w:w="1854"/>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序号</w:t>
            </w:r>
          </w:p>
        </w:tc>
        <w:tc>
          <w:tcPr>
            <w:tcW w:w="5995" w:type="dxa"/>
            <w:vAlign w:val="center"/>
          </w:tcPr>
          <w:p>
            <w:pPr>
              <w:spacing w:line="360" w:lineRule="exact"/>
              <w:jc w:val="center"/>
              <w:rPr>
                <w:rFonts w:ascii="宋体" w:hAnsi="宋体"/>
                <w:szCs w:val="21"/>
              </w:rPr>
            </w:pPr>
            <w:r>
              <w:rPr>
                <w:rFonts w:hint="eastAsia" w:ascii="宋体" w:hAnsi="宋体"/>
                <w:szCs w:val="21"/>
              </w:rPr>
              <w:t>是否存在以下投标违规行为</w:t>
            </w:r>
          </w:p>
        </w:tc>
        <w:tc>
          <w:tcPr>
            <w:tcW w:w="1854" w:type="dxa"/>
            <w:vAlign w:val="center"/>
          </w:tcPr>
          <w:p>
            <w:pPr>
              <w:spacing w:line="360" w:lineRule="exact"/>
              <w:jc w:val="center"/>
              <w:rPr>
                <w:rFonts w:ascii="宋体" w:hAnsi="宋体"/>
                <w:szCs w:val="21"/>
              </w:rPr>
            </w:pPr>
            <w:r>
              <w:rPr>
                <w:rFonts w:hint="eastAsia" w:ascii="宋体" w:hAnsi="宋体"/>
                <w:szCs w:val="21"/>
              </w:rPr>
              <w:t>自查情况</w:t>
            </w:r>
          </w:p>
          <w:p>
            <w:pPr>
              <w:spacing w:line="360" w:lineRule="exact"/>
              <w:jc w:val="center"/>
              <w:rPr>
                <w:rFonts w:ascii="宋体" w:hAnsi="宋体"/>
                <w:szCs w:val="21"/>
              </w:rPr>
            </w:pPr>
            <w:r>
              <w:rPr>
                <w:rFonts w:hint="eastAsia" w:ascii="宋体" w:hAnsi="宋体"/>
                <w:szCs w:val="21"/>
              </w:rPr>
              <w:t>（填写“不存在”或“存在”）</w:t>
            </w:r>
          </w:p>
        </w:tc>
        <w:tc>
          <w:tcPr>
            <w:tcW w:w="1267"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1</w:t>
            </w:r>
          </w:p>
        </w:tc>
        <w:tc>
          <w:tcPr>
            <w:tcW w:w="5995" w:type="dxa"/>
            <w:vAlign w:val="center"/>
          </w:tcPr>
          <w:p>
            <w:pPr>
              <w:jc w:val="left"/>
              <w:rPr>
                <w:rFonts w:ascii="宋体" w:hAnsi="宋体" w:cs="宋体"/>
              </w:rPr>
            </w:pPr>
            <w:r>
              <w:rPr>
                <w:rFonts w:hint="eastAsia" w:ascii="宋体" w:hAnsi="宋体" w:cs="宋体"/>
                <w:bCs/>
                <w:szCs w:val="21"/>
              </w:rPr>
              <w:t>投标供应商之间相互约定给予未中标的供应商利益补偿。</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2</w:t>
            </w:r>
          </w:p>
        </w:tc>
        <w:tc>
          <w:tcPr>
            <w:tcW w:w="5995" w:type="dxa"/>
            <w:vAlign w:val="center"/>
          </w:tcPr>
          <w:p>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不同投标供应商的法定代表人、主要经营负责人、项目投标授权代表人、项目负责人、主要技术人员为同一人、属于同一单位或者在同一单位缴纳社会保险。</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3</w:t>
            </w:r>
          </w:p>
        </w:tc>
        <w:tc>
          <w:tcPr>
            <w:tcW w:w="5995" w:type="dxa"/>
            <w:vAlign w:val="center"/>
          </w:tcPr>
          <w:p>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4</w:t>
            </w:r>
          </w:p>
        </w:tc>
        <w:tc>
          <w:tcPr>
            <w:tcW w:w="5995" w:type="dxa"/>
            <w:vAlign w:val="center"/>
          </w:tcPr>
          <w:p>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5</w:t>
            </w:r>
          </w:p>
        </w:tc>
        <w:tc>
          <w:tcPr>
            <w:tcW w:w="5995" w:type="dxa"/>
            <w:vAlign w:val="center"/>
          </w:tcPr>
          <w:p>
            <w:pPr>
              <w:jc w:val="left"/>
              <w:rPr>
                <w:rFonts w:ascii="宋体" w:hAnsi="宋体" w:cs="宋体"/>
                <w:snapToGrid w:val="0"/>
                <w:kern w:val="0"/>
                <w:szCs w:val="21"/>
              </w:rPr>
            </w:pPr>
            <w:r>
              <w:rPr>
                <w:szCs w:val="21"/>
              </w:rPr>
              <w:t>不同投标供应商的投标文件内容存在非正常一致。</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6</w:t>
            </w:r>
          </w:p>
        </w:tc>
        <w:tc>
          <w:tcPr>
            <w:tcW w:w="5995" w:type="dxa"/>
            <w:vAlign w:val="center"/>
          </w:tcPr>
          <w:p>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7</w:t>
            </w:r>
          </w:p>
        </w:tc>
        <w:tc>
          <w:tcPr>
            <w:tcW w:w="5995" w:type="dxa"/>
            <w:vAlign w:val="center"/>
          </w:tcPr>
          <w:p>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8</w:t>
            </w:r>
          </w:p>
        </w:tc>
        <w:tc>
          <w:tcPr>
            <w:tcW w:w="5995" w:type="dxa"/>
            <w:vAlign w:val="center"/>
          </w:tcPr>
          <w:p>
            <w:pPr>
              <w:jc w:val="left"/>
              <w:rPr>
                <w:rFonts w:ascii="宋体" w:hAnsi="宋体" w:cs="宋体"/>
                <w:snapToGrid w:val="0"/>
                <w:kern w:val="0"/>
                <w:szCs w:val="21"/>
              </w:rPr>
            </w:pPr>
            <w:r>
              <w:rPr>
                <w:rFonts w:hint="eastAsia" w:ascii="宋体" w:hAnsi="宋体" w:cs="宋体"/>
              </w:rPr>
              <w:t>不同投标人的投标报价呈规律性差异。</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9</w:t>
            </w:r>
          </w:p>
        </w:tc>
        <w:tc>
          <w:tcPr>
            <w:tcW w:w="5995" w:type="dxa"/>
            <w:vAlign w:val="center"/>
          </w:tcPr>
          <w:p>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10</w:t>
            </w:r>
          </w:p>
        </w:tc>
        <w:tc>
          <w:tcPr>
            <w:tcW w:w="5995" w:type="dxa"/>
            <w:vAlign w:val="center"/>
          </w:tcPr>
          <w:p>
            <w:pPr>
              <w:jc w:val="left"/>
              <w:rPr>
                <w:rFonts w:ascii="宋体" w:hAnsi="宋体" w:cs="宋体"/>
                <w:szCs w:val="21"/>
              </w:rPr>
            </w:pPr>
            <w:r>
              <w:rPr>
                <w:rFonts w:hint="eastAsia" w:ascii="宋体" w:hAnsi="宋体"/>
                <w:szCs w:val="21"/>
              </w:rPr>
              <w:t>投标人之间协商投标报价等投标文件的实质性内容。</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11</w:t>
            </w:r>
          </w:p>
        </w:tc>
        <w:tc>
          <w:tcPr>
            <w:tcW w:w="5995" w:type="dxa"/>
            <w:vAlign w:val="center"/>
          </w:tcPr>
          <w:p>
            <w:pPr>
              <w:jc w:val="left"/>
              <w:rPr>
                <w:rFonts w:ascii="宋体" w:hAnsi="宋体" w:cs="宋体"/>
                <w:szCs w:val="21"/>
              </w:rPr>
            </w:pPr>
            <w:r>
              <w:rPr>
                <w:rFonts w:hint="eastAsia" w:ascii="宋体" w:hAnsi="宋体"/>
                <w:szCs w:val="21"/>
              </w:rPr>
              <w:t>投标人之间约定中标人。</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12</w:t>
            </w:r>
          </w:p>
        </w:tc>
        <w:tc>
          <w:tcPr>
            <w:tcW w:w="5995" w:type="dxa"/>
            <w:vAlign w:val="center"/>
          </w:tcPr>
          <w:p>
            <w:pPr>
              <w:jc w:val="left"/>
              <w:rPr>
                <w:rFonts w:ascii="宋体" w:hAnsi="宋体" w:cs="宋体"/>
                <w:szCs w:val="21"/>
              </w:rPr>
            </w:pPr>
            <w:r>
              <w:rPr>
                <w:rFonts w:hint="eastAsia" w:ascii="宋体" w:hAnsi="宋体"/>
                <w:szCs w:val="21"/>
              </w:rPr>
              <w:t>投标人之间约定部分投标人放弃投标或者中标。</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13</w:t>
            </w:r>
          </w:p>
        </w:tc>
        <w:tc>
          <w:tcPr>
            <w:tcW w:w="5995" w:type="dxa"/>
            <w:vAlign w:val="center"/>
          </w:tcPr>
          <w:p>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14</w:t>
            </w:r>
          </w:p>
        </w:tc>
        <w:tc>
          <w:tcPr>
            <w:tcW w:w="5995" w:type="dxa"/>
            <w:vAlign w:val="center"/>
          </w:tcPr>
          <w:p>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15</w:t>
            </w:r>
          </w:p>
        </w:tc>
        <w:tc>
          <w:tcPr>
            <w:tcW w:w="5995" w:type="dxa"/>
            <w:vAlign w:val="center"/>
          </w:tcPr>
          <w:p>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16</w:t>
            </w:r>
          </w:p>
        </w:tc>
        <w:tc>
          <w:tcPr>
            <w:tcW w:w="5995" w:type="dxa"/>
            <w:vAlign w:val="center"/>
          </w:tcPr>
          <w:p>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17</w:t>
            </w:r>
          </w:p>
        </w:tc>
        <w:tc>
          <w:tcPr>
            <w:tcW w:w="5995" w:type="dxa"/>
            <w:vAlign w:val="center"/>
          </w:tcPr>
          <w:p>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18</w:t>
            </w:r>
          </w:p>
        </w:tc>
        <w:tc>
          <w:tcPr>
            <w:tcW w:w="5995" w:type="dxa"/>
            <w:vAlign w:val="center"/>
          </w:tcPr>
          <w:p>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19</w:t>
            </w:r>
          </w:p>
        </w:tc>
        <w:tc>
          <w:tcPr>
            <w:tcW w:w="5995" w:type="dxa"/>
            <w:vAlign w:val="center"/>
          </w:tcPr>
          <w:p>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57" w:type="dxa"/>
            <w:vAlign w:val="center"/>
          </w:tcPr>
          <w:p>
            <w:pPr>
              <w:spacing w:line="360" w:lineRule="exact"/>
              <w:jc w:val="center"/>
              <w:rPr>
                <w:rFonts w:ascii="宋体" w:hAnsi="宋体"/>
                <w:szCs w:val="21"/>
              </w:rPr>
            </w:pPr>
            <w:r>
              <w:rPr>
                <w:rFonts w:hint="eastAsia" w:ascii="宋体" w:hAnsi="宋体"/>
                <w:szCs w:val="21"/>
              </w:rPr>
              <w:t>20</w:t>
            </w:r>
          </w:p>
        </w:tc>
        <w:tc>
          <w:tcPr>
            <w:tcW w:w="5995" w:type="dxa"/>
            <w:vAlign w:val="center"/>
          </w:tcPr>
          <w:p>
            <w:pPr>
              <w:jc w:val="left"/>
              <w:rPr>
                <w:rFonts w:ascii="宋体" w:hAnsi="宋体" w:cs="宋体"/>
                <w:snapToGrid w:val="0"/>
                <w:kern w:val="0"/>
                <w:szCs w:val="21"/>
              </w:rPr>
            </w:pPr>
            <w:r>
              <w:rPr>
                <w:szCs w:val="21"/>
              </w:rPr>
              <w:t>其他隐瞒真实情况、提供虚假资料的行为。</w:t>
            </w:r>
          </w:p>
        </w:tc>
        <w:tc>
          <w:tcPr>
            <w:tcW w:w="1854" w:type="dxa"/>
            <w:vAlign w:val="center"/>
          </w:tcPr>
          <w:p>
            <w:pPr>
              <w:spacing w:line="360" w:lineRule="exact"/>
              <w:jc w:val="center"/>
              <w:rPr>
                <w:rFonts w:ascii="宋体" w:hAnsi="宋体"/>
                <w:b/>
                <w:szCs w:val="21"/>
              </w:rPr>
            </w:pPr>
          </w:p>
        </w:tc>
        <w:tc>
          <w:tcPr>
            <w:tcW w:w="1267" w:type="dxa"/>
            <w:vAlign w:val="center"/>
          </w:tcPr>
          <w:p>
            <w:pPr>
              <w:spacing w:line="360" w:lineRule="exact"/>
              <w:jc w:val="center"/>
              <w:rPr>
                <w:rFonts w:ascii="宋体" w:hAnsi="宋体"/>
                <w:b/>
                <w:szCs w:val="21"/>
              </w:rPr>
            </w:pPr>
          </w:p>
        </w:tc>
      </w:tr>
    </w:tbl>
    <w:p>
      <w:pPr>
        <w:spacing w:line="360" w:lineRule="auto"/>
        <w:jc w:val="left"/>
        <w:rPr>
          <w:rFonts w:ascii="宋体" w:hAnsi="宋体" w:cs="宋体"/>
          <w:szCs w:val="21"/>
        </w:rPr>
      </w:pPr>
      <w:r>
        <w:rPr>
          <w:rFonts w:hint="eastAsia" w:ascii="宋体" w:hAnsi="宋体" w:cs="宋体"/>
          <w:szCs w:val="21"/>
        </w:rPr>
        <w:t>注：投标供应商出现上述与其他采购参加人串通投标、隐瞒真实情况</w:t>
      </w:r>
      <w:r>
        <w:rPr>
          <w:rFonts w:hint="eastAsia" w:cs="宋体"/>
          <w:szCs w:val="21"/>
        </w:rPr>
        <w:t>或者</w:t>
      </w:r>
      <w:r>
        <w:rPr>
          <w:rFonts w:hint="eastAsia" w:ascii="宋体" w:hAnsi="宋体" w:cs="宋体"/>
          <w:szCs w:val="21"/>
        </w:rPr>
        <w:t>提供虚假资料行为的，将依法承担法律责任。</w:t>
      </w:r>
    </w:p>
    <w:p>
      <w:pPr>
        <w:pStyle w:val="28"/>
      </w:pPr>
    </w:p>
    <w:p>
      <w:pPr>
        <w:pStyle w:val="28"/>
        <w:ind w:firstLine="0" w:firstLineChars="0"/>
      </w:pPr>
    </w:p>
    <w:p>
      <w:pPr>
        <w:jc w:val="center"/>
        <w:rPr>
          <w:rFonts w:ascii="仿宋_GB2312" w:hAnsi="仿宋_GB2312" w:eastAsia="仿宋_GB2312" w:cs="仿宋_GB2312"/>
          <w:b/>
          <w:bCs/>
          <w:sz w:val="36"/>
          <w:szCs w:val="36"/>
        </w:rPr>
      </w:pPr>
      <w:r>
        <w:rPr>
          <w:rFonts w:ascii="仿宋_GB2312" w:hAnsi="仿宋_GB2312" w:eastAsia="仿宋_GB2312" w:cs="仿宋_GB2312"/>
          <w:b/>
          <w:bCs/>
          <w:sz w:val="36"/>
          <w:szCs w:val="36"/>
        </w:rPr>
        <w:t>第四章</w:t>
      </w:r>
      <w:r>
        <w:rPr>
          <w:rFonts w:hint="eastAsia" w:ascii="仿宋_GB2312" w:hAnsi="仿宋_GB2312" w:eastAsia="仿宋_GB2312" w:cs="仿宋_GB2312"/>
          <w:b/>
          <w:bCs/>
          <w:sz w:val="36"/>
          <w:szCs w:val="36"/>
        </w:rPr>
        <w:t xml:space="preserve">  投标须知</w:t>
      </w:r>
    </w:p>
    <w:p>
      <w:pPr>
        <w:pStyle w:val="2"/>
      </w:pPr>
    </w:p>
    <w:p>
      <w:pPr>
        <w:snapToGrid w:val="0"/>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（一）本项目的潜在供应商应在递交投标文件截止日之前到医院招采办报名投标。</w:t>
      </w:r>
    </w:p>
    <w:p>
      <w:pPr>
        <w:snapToGrid w:val="0"/>
        <w:spacing w:line="400" w:lineRule="exact"/>
        <w:ind w:firstLine="560" w:firstLineChars="200"/>
        <w:rPr>
          <w:rFonts w:ascii="仿宋" w:hAnsi="仿宋" w:eastAsia="仿宋" w:cs="仿宋"/>
          <w:b/>
          <w:bCs/>
          <w:sz w:val="28"/>
          <w:szCs w:val="28"/>
        </w:rPr>
      </w:pPr>
      <w:r>
        <w:rPr>
          <w:rFonts w:hint="eastAsia" w:ascii="仿宋" w:hAnsi="仿宋" w:eastAsia="仿宋" w:cs="仿宋"/>
          <w:sz w:val="28"/>
          <w:szCs w:val="28"/>
        </w:rPr>
        <w:t>（二）符合条件的供应商严格按照采购单位提供的招标文件，认真填写投标资料，并在规定时间内将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送达指定地点。投标单位法定代表人或授权代表人在规定的时间内未递交投标资料的，视为自动放弃。</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（三）院内公开招标有效投标的供应商不足三家，不得开标。</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（四）存在下列情形的，应予废标：</w:t>
      </w:r>
    </w:p>
    <w:p>
      <w:pPr>
        <w:snapToGrid w:val="0"/>
        <w:spacing w:line="400" w:lineRule="exact"/>
        <w:ind w:firstLine="638" w:firstLineChars="228"/>
        <w:rPr>
          <w:rFonts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snapToGrid w:val="0"/>
        <w:spacing w:line="400" w:lineRule="exact"/>
        <w:ind w:firstLine="638" w:firstLineChars="228"/>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snapToGrid w:val="0"/>
        <w:spacing w:line="400" w:lineRule="exact"/>
        <w:ind w:firstLine="638" w:firstLineChars="228"/>
        <w:rPr>
          <w:rFonts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snapToGrid w:val="0"/>
        <w:spacing w:line="400" w:lineRule="exact"/>
        <w:ind w:firstLine="638" w:firstLineChars="228"/>
        <w:rPr>
          <w:rFonts w:ascii="仿宋" w:hAnsi="仿宋" w:eastAsia="仿宋" w:cs="仿宋"/>
          <w:kern w:val="0"/>
          <w:sz w:val="28"/>
          <w:szCs w:val="28"/>
        </w:rPr>
      </w:pPr>
      <w:r>
        <w:rPr>
          <w:rFonts w:hint="eastAsia" w:ascii="仿宋" w:hAnsi="仿宋" w:eastAsia="仿宋" w:cs="仿宋"/>
          <w:sz w:val="28"/>
          <w:szCs w:val="28"/>
        </w:rPr>
        <w:t>4.因重大变故，采购任务取消的。</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（五）投标文件有效期</w:t>
      </w:r>
    </w:p>
    <w:p>
      <w:pPr>
        <w:snapToGrid w:val="0"/>
        <w:spacing w:line="400" w:lineRule="exact"/>
        <w:ind w:firstLine="638" w:firstLineChars="228"/>
        <w:rPr>
          <w:rFonts w:ascii="仿宋" w:hAnsi="仿宋" w:eastAsia="仿宋" w:cs="仿宋"/>
          <w:sz w:val="28"/>
          <w:szCs w:val="28"/>
        </w:rPr>
      </w:pPr>
      <w:r>
        <w:rPr>
          <w:rFonts w:hint="eastAsia" w:ascii="仿宋" w:hAnsi="仿宋" w:eastAsia="仿宋" w:cs="仿宋"/>
          <w:sz w:val="28"/>
          <w:szCs w:val="28"/>
        </w:rPr>
        <w:t>1.在递交投标文件截止日期之后的60天内有效；</w:t>
      </w:r>
    </w:p>
    <w:p>
      <w:pPr>
        <w:snapToGrid w:val="0"/>
        <w:spacing w:line="400" w:lineRule="exact"/>
        <w:ind w:firstLine="638" w:firstLineChars="228"/>
        <w:rPr>
          <w:rFonts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snapToGrid w:val="0"/>
        <w:spacing w:line="4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snapToGrid w:val="0"/>
        <w:spacing w:line="4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spacing w:line="4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numPr>
          <w:ilvl w:val="255"/>
          <w:numId w:val="0"/>
        </w:numPr>
        <w:snapToGrid w:val="0"/>
        <w:spacing w:line="400" w:lineRule="exact"/>
        <w:ind w:left="-5" w:firstLine="560" w:firstLineChars="200"/>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1.所有资料要有封面、目录、页码、装订成册。</w:t>
      </w:r>
    </w:p>
    <w:p>
      <w:pPr>
        <w:numPr>
          <w:ilvl w:val="255"/>
          <w:numId w:val="0"/>
        </w:numPr>
        <w:snapToGrid w:val="0"/>
        <w:spacing w:line="400" w:lineRule="exact"/>
        <w:ind w:left="-5" w:firstLine="560" w:firstLineChars="200"/>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2.所有资料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numPr>
          <w:ilvl w:val="255"/>
          <w:numId w:val="0"/>
        </w:numPr>
        <w:snapToGrid w:val="0"/>
        <w:spacing w:line="400" w:lineRule="exact"/>
        <w:ind w:left="-5" w:firstLine="560" w:firstLineChars="200"/>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3.所有资料须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snapToGrid w:val="0"/>
        <w:spacing w:line="4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snapToGrid w:val="0"/>
        <w:spacing w:line="4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院内公开采购活动。</w:t>
      </w:r>
    </w:p>
    <w:p>
      <w:pPr>
        <w:snapToGrid w:val="0"/>
        <w:spacing w:line="4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（六）投标人的产品质量及服务承诺书不能严重低于招标文件中的服务要求标准作出响应，允许出现负偏差，但不得出现严重负偏差。</w:t>
      </w:r>
    </w:p>
    <w:p>
      <w:pPr>
        <w:snapToGrid w:val="0"/>
        <w:spacing w:line="4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（七）评审结束，中标结果公示3天，中标供应商须在收到我院中标通知书后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snapToGrid w:val="0"/>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三、招标文件的澄清</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（一）投标人在收到招标文件后，可以对已发出的招标文件进行必要的澄清或者修改。澄清或者修改应当在原公告发布媒体上发布澄清（更正/变更）公告。</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（三）采购人发出的澄清或修改（更正/变更）的内容为招标文件的组成部分，并对供应商具有约束力。</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snapToGrid w:val="0"/>
        <w:spacing w:line="400" w:lineRule="exact"/>
        <w:ind w:firstLine="562" w:firstLineChars="200"/>
        <w:rPr>
          <w:rFonts w:ascii="仿宋" w:hAnsi="仿宋" w:eastAsia="仿宋" w:cs="仿宋"/>
          <w:sz w:val="28"/>
          <w:szCs w:val="28"/>
        </w:rPr>
      </w:pPr>
      <w:r>
        <w:rPr>
          <w:rFonts w:hint="eastAsia" w:ascii="仿宋" w:hAnsi="仿宋" w:eastAsia="仿宋" w:cs="仿宋"/>
          <w:b/>
          <w:bCs/>
          <w:sz w:val="28"/>
          <w:szCs w:val="28"/>
        </w:rPr>
        <w:t>四、招标文件的补充和修正</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（一）采购人可以对已发出的招标文件进行必要的澄清或者修改。澄清或者修改应当在原公告发布媒体上发布澄清（更正/变更）公告。</w:t>
      </w:r>
    </w:p>
    <w:p>
      <w:pPr>
        <w:pStyle w:val="2"/>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w:t>
      </w:r>
      <w:r>
        <w:rPr>
          <w:rFonts w:ascii="仿宋" w:hAnsi="仿宋" w:eastAsia="仿宋" w:cs="仿宋"/>
          <w:sz w:val="28"/>
          <w:szCs w:val="28"/>
        </w:rPr>
        <w:t>采购人对招标文件的补充和修正，将以电子文件等方式发给所有获得招标文件的供应商，补充通知作为招标文件的组成部分，对同意参与招标单位起约束作用。</w:t>
      </w:r>
    </w:p>
    <w:p>
      <w:pPr>
        <w:snapToGrid w:val="0"/>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五、投标文件有效期</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（一）在递交投标文件截止日期之后的60天内有效。</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（二）在原定投标文件有效期满之前，如果出现特殊情况，招采办可以书面形式向投标人提出延长投标文件有效期的要求。</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（三）质疑期限：凡对招标文件有任何质疑的（包括认为招标文件的技术指标或参数存在排他性或歧视性条款），请于开标之日前提出疑问，逾期不予处理。</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（四）招采办将作出澄清和解答，逾期未提交质疑文件的视同无问题。</w:t>
      </w:r>
    </w:p>
    <w:p>
      <w:pPr>
        <w:snapToGrid w:val="0"/>
        <w:spacing w:line="400" w:lineRule="exact"/>
        <w:ind w:firstLine="560" w:firstLineChars="200"/>
        <w:rPr>
          <w:rFonts w:ascii="仿宋" w:hAnsi="仿宋" w:eastAsia="仿宋" w:cs="仿宋"/>
          <w:sz w:val="28"/>
          <w:szCs w:val="28"/>
        </w:rPr>
      </w:pPr>
    </w:p>
    <w:p>
      <w:pPr>
        <w:snapToGrid w:val="0"/>
        <w:spacing w:line="400" w:lineRule="exact"/>
        <w:ind w:firstLine="560" w:firstLineChars="200"/>
        <w:rPr>
          <w:rFonts w:ascii="仿宋" w:hAnsi="仿宋" w:eastAsia="仿宋" w:cs="仿宋"/>
          <w:sz w:val="28"/>
          <w:szCs w:val="28"/>
        </w:rPr>
      </w:pPr>
    </w:p>
    <w:p>
      <w:pPr>
        <w:snapToGrid w:val="0"/>
        <w:spacing w:line="400" w:lineRule="exact"/>
        <w:ind w:firstLine="560" w:firstLineChars="200"/>
        <w:rPr>
          <w:rFonts w:ascii="仿宋" w:hAnsi="仿宋" w:eastAsia="仿宋" w:cs="仿宋"/>
          <w:sz w:val="28"/>
          <w:szCs w:val="28"/>
        </w:rPr>
      </w:pPr>
    </w:p>
    <w:p>
      <w:pPr>
        <w:snapToGrid w:val="0"/>
        <w:spacing w:line="400" w:lineRule="exact"/>
        <w:ind w:firstLine="560" w:firstLineChars="200"/>
        <w:rPr>
          <w:rFonts w:ascii="仿宋" w:hAnsi="仿宋" w:eastAsia="仿宋" w:cs="仿宋"/>
          <w:sz w:val="28"/>
          <w:szCs w:val="28"/>
        </w:rPr>
        <w:sectPr>
          <w:footerReference r:id="rId3" w:type="default"/>
          <w:pgSz w:w="11906" w:h="16838"/>
          <w:pgMar w:top="1440" w:right="1576" w:bottom="1440" w:left="1576" w:header="851" w:footer="992" w:gutter="0"/>
          <w:cols w:space="425" w:num="1"/>
          <w:docGrid w:type="lines" w:linePitch="312" w:charSpace="0"/>
        </w:sectPr>
      </w:pPr>
    </w:p>
    <w:p>
      <w:pPr>
        <w:jc w:val="center"/>
        <w:outlineLvl w:val="0"/>
        <w:rPr>
          <w:rFonts w:ascii="宋体" w:hAnsi="宋体"/>
          <w:sz w:val="24"/>
        </w:rPr>
      </w:pPr>
      <w:bookmarkStart w:id="5" w:name="_Toc20472"/>
      <w:r>
        <w:rPr>
          <w:rFonts w:hint="eastAsia" w:asciiTheme="minorEastAsia" w:hAnsiTheme="minorEastAsia" w:eastAsiaTheme="minorEastAsia"/>
          <w:b/>
          <w:bCs/>
          <w:sz w:val="44"/>
          <w:szCs w:val="44"/>
        </w:rPr>
        <w:t>特别警示条款</w:t>
      </w:r>
      <w:bookmarkEnd w:id="5"/>
    </w:p>
    <w:p>
      <w:pPr>
        <w:snapToGrid w:val="0"/>
        <w:spacing w:line="400" w:lineRule="exact"/>
        <w:ind w:firstLine="560" w:firstLineChars="200"/>
        <w:rPr>
          <w:rFonts w:ascii="仿宋" w:hAnsi="仿宋" w:eastAsia="仿宋" w:cs="仿宋"/>
          <w:sz w:val="28"/>
          <w:szCs w:val="28"/>
        </w:rPr>
      </w:pPr>
      <w:bookmarkStart w:id="6" w:name="_Toc4719"/>
      <w:bookmarkStart w:id="7" w:name="_Toc28128"/>
      <w:bookmarkStart w:id="8" w:name="_Toc16742"/>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一、《深圳经济特区政府采购条例》</w:t>
      </w:r>
      <w:bookmarkEnd w:id="6"/>
      <w:bookmarkEnd w:id="7"/>
      <w:bookmarkEnd w:id="8"/>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（一）在采购活动中应当回避而未回避的；</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（二）未按本条例规定签订、履行采购合同，造成严重后果的；</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（三）隐瞒真实情况，提供虚假资料的；</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（四）以非法手段排斥其他供应商参与竞争的；</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（五）与其他采购参加人串通投标的；</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（六）恶意投诉的；</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（七）向采购项目相关人行贿或者提供其他不当利益的；</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（八）阻碍、抗拒主管部门监督检查的；</w:t>
      </w:r>
    </w:p>
    <w:p>
      <w:pPr>
        <w:snapToGrid w:val="0"/>
        <w:spacing w:line="400" w:lineRule="exact"/>
        <w:ind w:firstLine="560" w:firstLineChars="200"/>
        <w:rPr>
          <w:rFonts w:ascii="仿宋" w:hAnsi="仿宋" w:eastAsia="仿宋"/>
          <w:sz w:val="28"/>
          <w:szCs w:val="28"/>
        </w:rPr>
      </w:pPr>
      <w:r>
        <w:rPr>
          <w:rFonts w:hint="eastAsia" w:ascii="仿宋" w:hAnsi="仿宋" w:eastAsia="仿宋" w:cs="仿宋"/>
          <w:sz w:val="28"/>
          <w:szCs w:val="28"/>
        </w:rPr>
        <w:t>（九）其他违反本条例规定的行为。</w:t>
      </w:r>
    </w:p>
    <w:p>
      <w:pPr>
        <w:snapToGrid w:val="0"/>
        <w:spacing w:line="400" w:lineRule="exact"/>
        <w:ind w:firstLine="560" w:firstLineChars="200"/>
        <w:rPr>
          <w:rFonts w:ascii="仿宋" w:hAnsi="仿宋" w:eastAsia="仿宋" w:cs="仿宋"/>
          <w:sz w:val="28"/>
          <w:szCs w:val="28"/>
        </w:rPr>
      </w:pPr>
      <w:bookmarkStart w:id="9" w:name="_Toc4026"/>
      <w:bookmarkStart w:id="10" w:name="_Toc6288"/>
      <w:bookmarkStart w:id="11" w:name="_Toc17680"/>
      <w:r>
        <w:rPr>
          <w:rFonts w:hint="eastAsia" w:ascii="仿宋" w:hAnsi="仿宋" w:eastAsia="仿宋" w:cs="仿宋"/>
          <w:sz w:val="28"/>
          <w:szCs w:val="28"/>
        </w:rPr>
        <w:t>二、《深圳经济特区政府采购条例实施细则》</w:t>
      </w:r>
      <w:bookmarkEnd w:id="9"/>
      <w:bookmarkEnd w:id="10"/>
      <w:bookmarkEnd w:id="11"/>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第七十五条  供应商有下列情形的，属于采购条例所称的串通投标行为，按照采购条例第五十七条有关规定处理：</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（一）投标供应商之间相互约定给予未中标的供应商利益补偿；</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（二）不同投标供应商的法定代表人、主要经营负责人、项目投标授权代表人、项目负责人、主要技术人员为同一人、属于同一单位或者在同一单位缴纳社会保险；</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（三）不同投标供应商的投标文件由同一单位或者同一人编制，或者由同一人分阶段参与编制的；</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（四）不同投标供应商的投标文件或部分投标文件相互混装；</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（五）不同投标供应商的投标文件内容存在非正常一致；</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（六）由同一单位工作人员为两家以上（含两家）供应商进行同一项投标活动的；</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（七）主管部门依照法律法规认定的其他情形。</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第七十七条  供应商有下列情形之一的，属于隐瞒真实情况，提供虚假资料，按照采购条例第五十七条的有关规定处理：</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（一）通过转让或者租借等方式从其他单位获取资格或者资质证书投标的；</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（二）由其他单位或者其他单位负责人在投标供应商编制的投标文件上加盖印章或者签字的；</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（三）项目负责人或者主要技术人员不是本单位人员的；</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（四）投标保证金不是从投标供应商基本账户转出的；</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（五）其他隐瞒真实情况、提供虚假资料的行为。</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投标供应商不能提供项目负责人或者主要技术人员的劳动合同、社会保险等劳动关系证明材料的，视为存在前款第（三）项规定的情形。</w:t>
      </w:r>
    </w:p>
    <w:p>
      <w:pPr>
        <w:snapToGrid w:val="0"/>
        <w:spacing w:line="400" w:lineRule="exact"/>
        <w:ind w:firstLine="560" w:firstLineChars="200"/>
        <w:rPr>
          <w:rFonts w:ascii="仿宋" w:hAnsi="仿宋" w:eastAsia="仿宋" w:cs="仿宋"/>
          <w:sz w:val="28"/>
          <w:szCs w:val="28"/>
        </w:rPr>
      </w:pPr>
      <w:bookmarkStart w:id="12" w:name="_Toc13409"/>
      <w:bookmarkStart w:id="13" w:name="_Toc5544"/>
      <w:bookmarkStart w:id="14" w:name="_Toc12769"/>
      <w:r>
        <w:rPr>
          <w:rFonts w:hint="eastAsia" w:ascii="仿宋" w:hAnsi="仿宋" w:eastAsia="仿宋" w:cs="仿宋"/>
          <w:sz w:val="28"/>
          <w:szCs w:val="28"/>
        </w:rPr>
        <w:t>三、《中华人民共和国政府采购法实施条例》</w:t>
      </w:r>
      <w:bookmarkEnd w:id="12"/>
      <w:bookmarkEnd w:id="13"/>
      <w:bookmarkEnd w:id="14"/>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第十八条  单位负责人为同一人或者存在直接控股、管理关系的不同供应商，不得参加同一合同项下的政府采购活动。</w:t>
      </w:r>
    </w:p>
    <w:p>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除单一来源采购项目外，为采购项目提供整体设计、规范编制或者项目管理、监理、检测等服务的供应商，不得再参加该采购项目的其他采购活动。</w:t>
      </w:r>
    </w:p>
    <w:p>
      <w:pPr>
        <w:spacing w:line="560" w:lineRule="exact"/>
        <w:ind w:left="2882"/>
        <w:rPr>
          <w:rFonts w:ascii="仿宋" w:hAnsi="仿宋" w:eastAsia="仿宋" w:cs="仿宋"/>
          <w:sz w:val="44"/>
          <w:szCs w:val="44"/>
        </w:rPr>
      </w:pPr>
    </w:p>
    <w:p>
      <w:pPr>
        <w:spacing w:line="560" w:lineRule="exact"/>
        <w:ind w:left="2882"/>
        <w:rPr>
          <w:rFonts w:ascii="仿宋" w:hAnsi="仿宋" w:eastAsia="仿宋" w:cs="仿宋"/>
          <w:sz w:val="44"/>
          <w:szCs w:val="44"/>
        </w:rPr>
      </w:pPr>
    </w:p>
    <w:p>
      <w:pPr>
        <w:spacing w:line="560" w:lineRule="exact"/>
        <w:ind w:left="2882"/>
        <w:rPr>
          <w:rFonts w:ascii="仿宋" w:hAnsi="仿宋" w:eastAsia="仿宋" w:cs="仿宋"/>
          <w:sz w:val="44"/>
          <w:szCs w:val="44"/>
        </w:rPr>
      </w:pPr>
    </w:p>
    <w:p>
      <w:pPr>
        <w:spacing w:line="560" w:lineRule="exact"/>
        <w:ind w:left="2882"/>
        <w:rPr>
          <w:rFonts w:ascii="仿宋" w:hAnsi="仿宋" w:eastAsia="仿宋" w:cs="仿宋"/>
          <w:sz w:val="44"/>
          <w:szCs w:val="44"/>
        </w:rPr>
      </w:pPr>
    </w:p>
    <w:p>
      <w:pPr>
        <w:spacing w:line="560" w:lineRule="exact"/>
        <w:ind w:left="2882"/>
        <w:rPr>
          <w:rFonts w:ascii="仿宋" w:hAnsi="仿宋" w:eastAsia="仿宋" w:cs="仿宋"/>
          <w:sz w:val="44"/>
          <w:szCs w:val="44"/>
        </w:rPr>
      </w:pPr>
    </w:p>
    <w:p>
      <w:pPr>
        <w:spacing w:line="560" w:lineRule="exact"/>
        <w:ind w:left="2882"/>
        <w:rPr>
          <w:rFonts w:ascii="仿宋" w:hAnsi="仿宋" w:eastAsia="仿宋" w:cs="仿宋"/>
          <w:sz w:val="44"/>
          <w:szCs w:val="44"/>
        </w:rPr>
      </w:pPr>
    </w:p>
    <w:p>
      <w:pPr>
        <w:spacing w:line="560" w:lineRule="exact"/>
        <w:ind w:left="2882"/>
        <w:rPr>
          <w:rFonts w:ascii="仿宋" w:hAnsi="仿宋" w:eastAsia="仿宋" w:cs="仿宋"/>
          <w:sz w:val="44"/>
          <w:szCs w:val="44"/>
        </w:rPr>
      </w:pPr>
    </w:p>
    <w:p>
      <w:pPr>
        <w:spacing w:line="560" w:lineRule="exact"/>
        <w:ind w:left="2882"/>
        <w:rPr>
          <w:rFonts w:ascii="仿宋" w:hAnsi="仿宋" w:eastAsia="仿宋" w:cs="仿宋"/>
          <w:sz w:val="44"/>
          <w:szCs w:val="44"/>
        </w:rPr>
      </w:pPr>
    </w:p>
    <w:p>
      <w:pPr>
        <w:spacing w:line="560" w:lineRule="exact"/>
        <w:ind w:left="2882"/>
        <w:rPr>
          <w:rFonts w:ascii="仿宋" w:hAnsi="仿宋" w:eastAsia="仿宋" w:cs="仿宋"/>
          <w:sz w:val="44"/>
          <w:szCs w:val="44"/>
        </w:rPr>
      </w:pPr>
    </w:p>
    <w:p>
      <w:pPr>
        <w:spacing w:line="560" w:lineRule="exact"/>
        <w:ind w:left="2882"/>
        <w:rPr>
          <w:rFonts w:ascii="仿宋" w:hAnsi="仿宋" w:eastAsia="仿宋" w:cs="仿宋"/>
          <w:sz w:val="44"/>
          <w:szCs w:val="44"/>
        </w:rPr>
      </w:pPr>
    </w:p>
    <w:p>
      <w:pPr>
        <w:spacing w:line="560" w:lineRule="exact"/>
        <w:ind w:left="2882"/>
        <w:rPr>
          <w:rFonts w:ascii="仿宋" w:hAnsi="仿宋" w:eastAsia="仿宋" w:cs="仿宋"/>
          <w:sz w:val="44"/>
          <w:szCs w:val="44"/>
        </w:rPr>
      </w:pPr>
    </w:p>
    <w:p>
      <w:pPr>
        <w:spacing w:line="560" w:lineRule="exact"/>
        <w:rPr>
          <w:rFonts w:ascii="仿宋" w:hAnsi="仿宋" w:eastAsia="仿宋" w:cs="仿宋"/>
          <w:sz w:val="44"/>
          <w:szCs w:val="44"/>
        </w:rPr>
      </w:pPr>
    </w:p>
    <w:p>
      <w:pPr>
        <w:spacing w:line="560" w:lineRule="exact"/>
        <w:ind w:left="2882"/>
      </w:pPr>
      <w:r>
        <w:rPr>
          <w:rFonts w:hint="eastAsia" w:ascii="仿宋" w:hAnsi="仿宋" w:eastAsia="仿宋" w:cs="仿宋"/>
          <w:sz w:val="44"/>
          <w:szCs w:val="44"/>
        </w:rPr>
        <w:t>第五章  供应商标书</w:t>
      </w:r>
    </w:p>
    <w:tbl>
      <w:tblPr>
        <w:tblStyle w:val="18"/>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rPr>
                <w:rFonts w:ascii="仿宋" w:hAnsi="仿宋" w:eastAsia="仿宋" w:cs="仿宋"/>
                <w:sz w:val="72"/>
                <w:szCs w:val="72"/>
              </w:rPr>
            </w:pPr>
          </w:p>
          <w:p>
            <w:pPr>
              <w:pStyle w:val="25"/>
              <w:ind w:left="2359" w:leftChars="266" w:hanging="1800" w:hangingChars="500"/>
              <w:rPr>
                <w:color w:val="auto"/>
                <w:sz w:val="36"/>
                <w:szCs w:val="36"/>
              </w:rPr>
            </w:pPr>
            <w:r>
              <w:rPr>
                <w:rFonts w:hint="eastAsia"/>
                <w:color w:val="auto"/>
                <w:sz w:val="36"/>
                <w:szCs w:val="36"/>
              </w:rPr>
              <w:t>项目名称：深圳市龙岗区第七人民医院</w:t>
            </w:r>
            <w:r>
              <w:rPr>
                <w:rFonts w:hint="eastAsia"/>
                <w:sz w:val="36"/>
                <w:szCs w:val="36"/>
              </w:rPr>
              <w:t>机房迁移项目</w:t>
            </w:r>
          </w:p>
          <w:p>
            <w:pPr>
              <w:snapToGrid w:val="0"/>
              <w:spacing w:line="360" w:lineRule="auto"/>
              <w:rPr>
                <w:rFonts w:ascii="仿宋_GB2312" w:hAnsi="仿宋_GB2312" w:eastAsia="仿宋_GB2312" w:cs="仿宋_GB2312"/>
                <w:sz w:val="44"/>
                <w:szCs w:val="44"/>
              </w:rPr>
            </w:pPr>
          </w:p>
          <w:p>
            <w:pPr>
              <w:pStyle w:val="32"/>
              <w:spacing w:line="480" w:lineRule="exact"/>
              <w:ind w:firstLine="0" w:firstLineChars="0"/>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w:t>
            </w:r>
            <w:r>
              <w:rPr>
                <w:rFonts w:hint="eastAsia" w:ascii="仿宋_GB2312" w:hAnsi="仿宋_GB2312" w:eastAsia="仿宋_GB2312" w:cs="仿宋_GB2312"/>
                <w:sz w:val="36"/>
                <w:szCs w:val="36"/>
              </w:rPr>
              <w:t>深龙七医采[LGQY2025XX004]</w:t>
            </w:r>
            <w:r>
              <w:rPr>
                <w:rFonts w:hint="eastAsia" w:ascii="仿宋_GB2312" w:hAnsi="仿宋_GB2312" w:eastAsia="仿宋_GB2312" w:cs="仿宋_GB2312"/>
                <w:sz w:val="44"/>
                <w:szCs w:val="44"/>
              </w:rPr>
              <w:t>）</w:t>
            </w:r>
          </w:p>
          <w:p>
            <w:pPr>
              <w:pStyle w:val="32"/>
              <w:spacing w:line="480" w:lineRule="exact"/>
              <w:ind w:firstLine="0" w:firstLineChars="0"/>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2025年</w:t>
            </w:r>
            <w:r>
              <w:rPr>
                <w:rFonts w:hint="eastAsia" w:ascii="仿宋_GB2312" w:hAnsi="仿宋_GB2312" w:eastAsia="仿宋_GB2312" w:cs="仿宋_GB2312"/>
                <w:b/>
                <w:sz w:val="44"/>
                <w:szCs w:val="44"/>
              </w:rPr>
              <w:t>）</w:t>
            </w:r>
          </w:p>
          <w:p>
            <w:pP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rPr>
          <w:rFonts w:ascii="宋体" w:hAnsi="宋体" w:cs="宋体"/>
          <w:b/>
          <w:bCs/>
          <w:sz w:val="44"/>
          <w:szCs w:val="44"/>
        </w:rPr>
      </w:pPr>
    </w:p>
    <w:p>
      <w:pPr>
        <w:spacing w:line="480" w:lineRule="exact"/>
        <w:jc w:val="center"/>
        <w:rPr>
          <w:rFonts w:ascii="仿宋_GB2312" w:hAnsi="仿宋_GB2312" w:eastAsia="仿宋_GB2312" w:cs="仿宋_GB2312"/>
          <w:sz w:val="28"/>
          <w:szCs w:val="28"/>
        </w:rPr>
      </w:pPr>
      <w:r>
        <w:rPr>
          <w:rFonts w:hint="eastAsia" w:ascii="宋体" w:hAnsi="宋体" w:cs="宋体"/>
          <w:b/>
          <w:bCs/>
          <w:sz w:val="44"/>
          <w:szCs w:val="44"/>
        </w:rPr>
        <w:t>目录</w:t>
      </w:r>
      <w:r>
        <w:rPr>
          <w:rFonts w:hint="eastAsia" w:ascii="宋体" w:hAnsi="宋体" w:cs="宋体"/>
          <w:b/>
          <w:bCs/>
          <w:sz w:val="28"/>
          <w:szCs w:val="28"/>
        </w:rPr>
        <w:t>（附页码）</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3.法定代表人资格证明书及身份证复印件</w:t>
      </w:r>
    </w:p>
    <w:p>
      <w:pPr>
        <w:widowControl/>
        <w:tabs>
          <w:tab w:val="left" w:pos="630"/>
          <w:tab w:val="left" w:pos="840"/>
        </w:tabs>
        <w:spacing w:line="480" w:lineRule="exact"/>
        <w:ind w:left="42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bidi="ar"/>
        </w:rPr>
        <w:t>法定代表人授权书</w:t>
      </w:r>
      <w:r>
        <w:rPr>
          <w:rFonts w:hint="eastAsia" w:ascii="仿宋_GB2312" w:hAnsi="仿宋_GB2312" w:eastAsia="仿宋_GB2312" w:cs="仿宋_GB2312"/>
          <w:sz w:val="28"/>
          <w:szCs w:val="28"/>
        </w:rPr>
        <w:t>及授权代表人身份证复印件（如有）</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5.独立承担民事责任能力的法人或其他组织或个体工商户的营业执照或法人证书等证明材料复印件或扫描件</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6.投标文件初审表</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7.供应商自查表</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8.投标函</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9.投标及履约承诺函</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10.供应商基本情况表</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11.社会保险证明</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12.开标一览表</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13.实质性条款响应情况表</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.拟安排项目团队成员</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.实施方案</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.项目重难点分析、应对措施和合理化建议</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.质量保障措施及方案</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.商务条款响应情况评价</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.投标人通过相关资质认证情况</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.投标人同类项目业绩情况</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.项目完成（服务期满）后的服务承诺</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.违约承诺</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.中小企业声明函</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.其他证明材料</w:t>
      </w:r>
    </w:p>
    <w:p>
      <w:pPr>
        <w:spacing w:line="480" w:lineRule="exact"/>
        <w:rPr>
          <w:rFonts w:ascii="宋体" w:hAnsi="宋体" w:cs="宋体"/>
          <w:b/>
          <w:bCs/>
          <w:sz w:val="44"/>
          <w:szCs w:val="44"/>
        </w:rPr>
      </w:pPr>
    </w:p>
    <w:p>
      <w:pPr>
        <w:spacing w:line="480" w:lineRule="exact"/>
        <w:rPr>
          <w:rFonts w:ascii="宋体" w:hAnsi="宋体" w:cs="宋体"/>
          <w:b/>
          <w:bCs/>
          <w:sz w:val="44"/>
          <w:szCs w:val="44"/>
        </w:rPr>
      </w:pPr>
    </w:p>
    <w:p>
      <w:pPr>
        <w:spacing w:line="480" w:lineRule="exact"/>
        <w:jc w:val="center"/>
        <w:rPr>
          <w:rFonts w:ascii="宋体" w:hAnsi="宋体" w:cs="宋体"/>
          <w:b/>
          <w:bCs/>
          <w:sz w:val="44"/>
          <w:szCs w:val="44"/>
        </w:rPr>
      </w:pPr>
    </w:p>
    <w:p>
      <w:pPr>
        <w:spacing w:line="480" w:lineRule="exact"/>
        <w:jc w:val="center"/>
        <w:rPr>
          <w:rFonts w:ascii="宋体" w:hAnsi="宋体" w:cs="宋体"/>
          <w:b/>
          <w:bCs/>
          <w:sz w:val="44"/>
          <w:szCs w:val="44"/>
        </w:rPr>
      </w:pPr>
      <w:r>
        <w:rPr>
          <w:rFonts w:hint="eastAsia" w:ascii="宋体" w:hAnsi="宋体" w:cs="宋体"/>
          <w:b/>
          <w:bCs/>
          <w:sz w:val="44"/>
          <w:szCs w:val="44"/>
        </w:rPr>
        <w:t>投标函</w:t>
      </w:r>
    </w:p>
    <w:p>
      <w:pPr>
        <w:spacing w:line="460" w:lineRule="exact"/>
        <w:jc w:val="center"/>
        <w:rPr>
          <w:rFonts w:ascii="仿宋" w:hAnsi="仿宋" w:eastAsia="仿宋" w:cs="仿宋"/>
          <w:b/>
          <w:bCs/>
          <w:sz w:val="36"/>
          <w:szCs w:val="44"/>
        </w:rPr>
      </w:pP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spacing w:line="48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我司已经认真仔细阅读了贵单位关于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项目的招标文件，完全同意招标文件中的所有条款，愿意按招标文件要求，决定以投标报价：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元参与投标并按招标文件要求承包上述项目，并许以如下承诺：</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1.我方愿意向招标人提供与本次招标的相关资料，并对其真实性、合法性、有效性负责。</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2.我方将严格履行本投标文件中的全部承诺和责任，并遵守招标文件中对投标人的所有规定。</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3.我方完全理解招标人有保留在授标之前，任何时候根据评标委员会的意见接受或拒绝任何投标的权利，并完全理解招标人对此无解释的义务。</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4.我方完全理解招标人不保证投标价最低的投标人中标。</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5.我方承诺在此次招标过程中涉及的一切应当保密的事项，不向任何第三方泄露，否则承担一切法律责任。</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我方如果中标，我方承诺中标后按照采购相关规定与采购人签订合同，将保证履行我方投标文件所响应的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9"/>
        <w:spacing w:line="480" w:lineRule="exact"/>
        <w:rPr>
          <w:sz w:val="28"/>
          <w:szCs w:val="28"/>
        </w:rPr>
      </w:pPr>
    </w:p>
    <w:p>
      <w:pPr>
        <w:spacing w:line="480" w:lineRule="exact"/>
        <w:rPr>
          <w:sz w:val="28"/>
          <w:szCs w:val="28"/>
        </w:rPr>
      </w:pP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法定代表人或其授权代表人（签字）：</w:t>
      </w:r>
    </w:p>
    <w:p>
      <w:pPr>
        <w:spacing w:line="480" w:lineRule="exact"/>
        <w:rPr>
          <w:rFonts w:ascii="宋体" w:hAnsi="宋体" w:cs="宋体"/>
          <w:b/>
          <w:bCs/>
          <w:sz w:val="28"/>
          <w:szCs w:val="28"/>
        </w:rPr>
      </w:pPr>
      <w:r>
        <w:rPr>
          <w:rFonts w:hint="eastAsia" w:ascii="仿宋_GB2312" w:hAnsi="仿宋_GB2312" w:eastAsia="仿宋_GB2312" w:cs="仿宋_GB2312"/>
          <w:sz w:val="28"/>
          <w:szCs w:val="28"/>
        </w:rPr>
        <w:t xml:space="preserve">                投标单位全称（加盖公章）：</w:t>
      </w:r>
    </w:p>
    <w:p>
      <w:pPr>
        <w:spacing w:line="440" w:lineRule="exact"/>
        <w:jc w:val="center"/>
        <w:rPr>
          <w:rFonts w:ascii="宋体" w:hAnsi="宋体" w:cs="宋体"/>
          <w:b/>
          <w:bCs/>
          <w:sz w:val="28"/>
          <w:szCs w:val="28"/>
        </w:rPr>
      </w:pPr>
    </w:p>
    <w:p>
      <w:pPr>
        <w:spacing w:line="440" w:lineRule="exact"/>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440" w:lineRule="exact"/>
        <w:jc w:val="center"/>
        <w:rPr>
          <w:rFonts w:ascii="宋体" w:hAnsi="宋体" w:cs="宋体"/>
          <w:b/>
          <w:bCs/>
          <w:sz w:val="44"/>
          <w:szCs w:val="44"/>
        </w:rPr>
      </w:pPr>
      <w:r>
        <w:rPr>
          <w:rFonts w:hint="eastAsia" w:ascii="宋体" w:hAnsi="宋体" w:cs="宋体"/>
          <w:b/>
          <w:bCs/>
          <w:sz w:val="44"/>
          <w:szCs w:val="44"/>
        </w:rPr>
        <w:t>投标及履约承诺函</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（以下简称“本项目”）院内采购活动，承诺：</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我公司参与本项目所提供的货物或服务未侵犯知识产权。我公司具备《中华人民共和国政府采购法》第二十二条第一款规定的六项条件具有独立承担民事责任的能力；具有良好的商业信誉和健全的财务会计制度；具有履行合同所必需的设备和专业技术能力；具有依法缴纳税收和社会保障资金的良好记录；参加采购活动前三年内，在经营活动中没有重大违法记录；法律、行政法规规定的其他条件。包括法律、行政法规和国家有关规定对供应商从事特定经营活动有资质、资格规定的，本公司具备相应条件。</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2.我公司参与本项目政府采购活动前三年内，在经营活动中没有《中华人民共和国政府采购法实施条例》第十九条规定的重大违法记录。</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3.我公司参与本项目政府采购活动时不存在被有关部门禁止参与政府采购活动且在有效期内的情况。</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4.除单一来源采购项目外，为采购项目提供整体设计、规范编制或者项目管理、监理、检测等服务的供应商，不得再参加该采购项目的其他采购活动。</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我公司参与本项目政府采购活动，严格遵守政府采购相关法律，做到诚实，不造假，不围标、串标、陪标。参与本项目采购活动不存在与其他采购参加人串通投标，隐瞒真实情况，提供虚假资料等违法违规情形，不存在《深圳市财政局政府采购供应商信用信息管理办法》（深财规〔2023〕3号）列明的严重违法失信行为；我公司已清楚，如违反上述要求，将作无效响应处理，被列入不良记录名单并在网上曝光，同时将被提请政府采购监督管理部门给予一定年限内禁止参与政府采购活动或其他处罚。</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我公司参加本项目的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于同一单位或者在同一单位缴纳社会保险，参加同一项目的不同供应商之间不存在直接控股或管理关系”的情形。并按本项目投标文件格式要求提供《供应商基本情况表》相关信息。</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公司未被列入失信被执行人、重大税收违法案件当事人名单、政府采购严重违法失信行为记录名单（信用中国网“信用服务”栏的“重大税收违法失信主体”“失信被执行人”，中国政府采购网“政府采购严重违法失信行为记录名单”，深圳市政府采购监管网为投标人信用信息查询渠道）。</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8.我公司符合法律、行政法规和国家有关规定对本项目从事特定经营活动有资质、资格规定的，供应商应当具备相应条件的要求。</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9.我公司承诺不存在联合体投标，不非法分包、转包。</w:t>
      </w:r>
    </w:p>
    <w:p>
      <w:pPr>
        <w:widowControl/>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10</w:t>
      </w:r>
      <w:r>
        <w:rPr>
          <w:rFonts w:hint="eastAsia" w:ascii="仿宋_GB2312" w:hAnsi="仿宋_GB2312" w:eastAsia="仿宋_GB2312" w:cs="仿宋_GB2312"/>
          <w:sz w:val="28"/>
          <w:szCs w:val="28"/>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以上承诺，如有违反，愿依照国家相关法律法规处理，并承担由此给采购人带来的损失。</w:t>
      </w:r>
    </w:p>
    <w:p>
      <w:pPr>
        <w:widowControl/>
        <w:spacing w:line="560" w:lineRule="exact"/>
        <w:ind w:firstLine="560" w:firstLineChars="200"/>
        <w:jc w:val="left"/>
        <w:rPr>
          <w:rFonts w:ascii="仿宋_GB2312" w:hAnsi="仿宋_GB2312" w:eastAsia="仿宋_GB2312" w:cs="仿宋_GB2312"/>
          <w:sz w:val="28"/>
          <w:szCs w:val="28"/>
        </w:rPr>
      </w:pPr>
    </w:p>
    <w:p>
      <w:pPr>
        <w:widowControl/>
        <w:spacing w:line="560" w:lineRule="exact"/>
        <w:ind w:firstLine="560" w:firstLineChars="200"/>
        <w:jc w:val="left"/>
        <w:rPr>
          <w:rFonts w:ascii="仿宋_GB2312" w:hAnsi="仿宋_GB2312" w:eastAsia="仿宋_GB2312" w:cs="仿宋_GB2312"/>
          <w:sz w:val="28"/>
          <w:szCs w:val="28"/>
        </w:rPr>
      </w:pPr>
    </w:p>
    <w:p>
      <w:pPr>
        <w:widowControl/>
        <w:spacing w:line="560" w:lineRule="exact"/>
        <w:ind w:firstLine="3080" w:firstLineChars="1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投标人（公章）：</w:t>
      </w:r>
    </w:p>
    <w:p>
      <w:pPr>
        <w:widowControl/>
        <w:spacing w:line="560" w:lineRule="exact"/>
        <w:ind w:firstLine="3080" w:firstLineChars="1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法定代表人或其授权代表签名：</w:t>
      </w:r>
    </w:p>
    <w:p>
      <w:pPr>
        <w:widowControl/>
        <w:spacing w:line="560" w:lineRule="exact"/>
        <w:ind w:firstLine="3080" w:firstLineChars="1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textAlignment w:val="center"/>
        <w:rPr>
          <w:rFonts w:ascii="宋体" w:hAnsi="宋体" w:cs="宋体"/>
          <w:color w:val="000000"/>
          <w:kern w:val="0"/>
          <w:sz w:val="44"/>
          <w:szCs w:val="44"/>
          <w:lang w:bidi="ar"/>
        </w:rPr>
      </w:pPr>
      <w:bookmarkStart w:id="15" w:name="_Toc24111"/>
    </w:p>
    <w:p>
      <w:pPr>
        <w:widowControl/>
        <w:jc w:val="center"/>
        <w:textAlignment w:val="center"/>
        <w:rPr>
          <w:rFonts w:ascii="宋体" w:hAnsi="宋体" w:cs="宋体"/>
          <w:color w:val="000000"/>
          <w:kern w:val="0"/>
          <w:sz w:val="44"/>
          <w:szCs w:val="44"/>
          <w:lang w:bidi="ar"/>
        </w:rPr>
      </w:pPr>
    </w:p>
    <w:p>
      <w:pPr>
        <w:widowControl/>
        <w:jc w:val="center"/>
        <w:textAlignment w:val="center"/>
        <w:rPr>
          <w:rFonts w:ascii="宋体" w:hAnsi="宋体" w:cs="宋体"/>
          <w:color w:val="000000"/>
          <w:kern w:val="0"/>
          <w:sz w:val="44"/>
          <w:szCs w:val="44"/>
          <w:lang w:bidi="ar"/>
        </w:rPr>
      </w:pPr>
    </w:p>
    <w:p>
      <w:pPr>
        <w:widowControl/>
        <w:jc w:val="center"/>
        <w:textAlignment w:val="center"/>
        <w:rPr>
          <w:rFonts w:ascii="宋体" w:hAnsi="宋体" w:cs="宋体"/>
          <w:color w:val="000000"/>
          <w:kern w:val="0"/>
          <w:sz w:val="44"/>
          <w:szCs w:val="44"/>
          <w:lang w:bidi="ar"/>
        </w:rPr>
      </w:pPr>
    </w:p>
    <w:p>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法定代表人证明书</w:t>
      </w:r>
    </w:p>
    <w:p>
      <w:pPr>
        <w:rPr>
          <w:rFonts w:ascii="仿宋" w:hAnsi="仿宋" w:eastAsia="仿宋" w:cs="仿宋"/>
          <w:color w:val="000000"/>
          <w:sz w:val="28"/>
          <w:szCs w:val="28"/>
        </w:rPr>
      </w:pP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先生/小姐，现任我单位职务，为法定代表人，特此证明。</w:t>
      </w:r>
    </w:p>
    <w:p>
      <w:pPr>
        <w:spacing w:line="560" w:lineRule="exact"/>
        <w:ind w:firstLine="560" w:firstLineChars="200"/>
        <w:rPr>
          <w:rFonts w:ascii="仿宋" w:hAnsi="仿宋" w:eastAsia="仿宋" w:cs="仿宋"/>
          <w:color w:val="000000"/>
          <w:sz w:val="28"/>
          <w:szCs w:val="28"/>
        </w:rPr>
      </w:pP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有效日期：               签发日期：  </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单位：                   （盖章）</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附：</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代表人性别：        年龄：       身份证号码：</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营业执照号码：                   经济性质：</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主营（产）：</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兼营（产）：</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进口物品经营许可证号码：</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主营（产）：</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兼营（产）：</w:t>
      </w:r>
    </w:p>
    <w:p>
      <w:pPr>
        <w:spacing w:line="560" w:lineRule="exact"/>
        <w:ind w:firstLine="560" w:firstLineChars="200"/>
        <w:rPr>
          <w:rFonts w:ascii="仿宋" w:hAnsi="仿宋" w:eastAsia="仿宋" w:cs="仿宋"/>
          <w:color w:val="000000"/>
          <w:sz w:val="28"/>
          <w:szCs w:val="28"/>
        </w:rPr>
      </w:pP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身份证复印件：</w:t>
      </w:r>
    </w:p>
    <w:tbl>
      <w:tblPr>
        <w:tblStyle w:val="18"/>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9"/>
            </w:pPr>
          </w:p>
          <w:p>
            <w:pPr>
              <w:ind w:firstLine="2100" w:firstLineChars="1000"/>
            </w:pPr>
            <w:r>
              <w:rPr>
                <w:rFonts w:hint="eastAsia"/>
              </w:rPr>
              <w:t>正反面</w:t>
            </w:r>
          </w:p>
        </w:tc>
      </w:tr>
    </w:tbl>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本授权书于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日签字生效，有效期至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特此声明。</w:t>
      </w:r>
    </w:p>
    <w:p>
      <w:pPr>
        <w:spacing w:line="440" w:lineRule="exact"/>
        <w:ind w:firstLine="560" w:firstLineChars="200"/>
        <w:rPr>
          <w:rFonts w:ascii="仿宋" w:hAnsi="仿宋" w:eastAsia="仿宋" w:cs="仿宋"/>
          <w:color w:val="000000"/>
          <w:sz w:val="28"/>
          <w:szCs w:val="28"/>
        </w:rPr>
      </w:pP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法定代表人签字： </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被授权人签字：　</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单位盖章：　</w:t>
      </w:r>
    </w:p>
    <w:p>
      <w:pPr>
        <w:spacing w:line="440" w:lineRule="exact"/>
        <w:rPr>
          <w:rFonts w:ascii="仿宋" w:hAnsi="仿宋" w:eastAsia="仿宋" w:cs="仿宋"/>
          <w:color w:val="000000"/>
          <w:sz w:val="28"/>
          <w:szCs w:val="28"/>
        </w:rPr>
      </w:pP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附：</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被授权人姓名：                       身份证号：</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职务：</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详细通信地址：</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邮政编码：</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移动电话：</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传真：</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身份证复印件：</w:t>
      </w:r>
    </w:p>
    <w:tbl>
      <w:tblPr>
        <w:tblStyle w:val="18"/>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pStyle w:val="2"/>
        <w:ind w:left="420" w:hanging="420"/>
        <w:jc w:val="center"/>
        <w:rPr>
          <w:rFonts w:ascii="宋体" w:hAnsi="宋体" w:cs="宋体"/>
          <w:b/>
          <w:bCs/>
          <w:sz w:val="44"/>
          <w:szCs w:val="44"/>
        </w:rPr>
      </w:pPr>
    </w:p>
    <w:p>
      <w:pPr>
        <w:pStyle w:val="2"/>
        <w:ind w:left="420" w:hanging="420"/>
        <w:jc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供应商基本情况表</w:t>
      </w:r>
      <w:bookmarkEnd w:id="15"/>
    </w:p>
    <w:p>
      <w:pPr>
        <w:rPr>
          <w:u w:val="single"/>
        </w:rPr>
      </w:pPr>
      <w:r>
        <w:rPr>
          <w:rFonts w:hint="eastAsia"/>
        </w:rPr>
        <w:t>填表单位：</w:t>
      </w:r>
      <w:r>
        <w:rPr>
          <w:rFonts w:hint="eastAsia"/>
          <w:u w:val="single"/>
        </w:rPr>
        <w:t xml:space="preserve">           </w:t>
      </w:r>
      <w:r>
        <w:rPr>
          <w:rFonts w:hint="eastAsia"/>
        </w:rPr>
        <w:t xml:space="preserve"> （加盖单位公章）                       填表日期：      年  月  日</w:t>
      </w:r>
    </w:p>
    <w:tbl>
      <w:tblPr>
        <w:tblStyle w:val="19"/>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采购单位</w:t>
            </w:r>
          </w:p>
        </w:tc>
        <w:tc>
          <w:tcPr>
            <w:tcW w:w="3386" w:type="dxa"/>
            <w:gridSpan w:val="2"/>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投标（响应）供应商</w:t>
            </w:r>
          </w:p>
        </w:tc>
        <w:tc>
          <w:tcPr>
            <w:tcW w:w="3386" w:type="dxa"/>
            <w:gridSpan w:val="2"/>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供应商统一社会信用代码</w:t>
            </w: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pPr>
              <w:spacing w:line="360" w:lineRule="auto"/>
              <w:jc w:val="center"/>
              <w:rPr>
                <w:rFonts w:ascii="宋体" w:hAnsi="宋体" w:cs="宋体"/>
                <w:szCs w:val="21"/>
              </w:rPr>
            </w:pPr>
            <w:r>
              <w:rPr>
                <w:rFonts w:hint="eastAsia" w:ascii="宋体" w:hAnsi="宋体" w:cs="宋体"/>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职务</w:t>
            </w:r>
          </w:p>
        </w:tc>
        <w:tc>
          <w:tcPr>
            <w:tcW w:w="1429"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身份证号码</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劳动合同</w:t>
            </w:r>
          </w:p>
          <w:p>
            <w:pPr>
              <w:spacing w:line="360" w:lineRule="auto"/>
              <w:jc w:val="center"/>
              <w:rPr>
                <w:rFonts w:ascii="宋体" w:hAnsi="宋体" w:cs="宋体"/>
                <w:szCs w:val="21"/>
              </w:rPr>
            </w:pPr>
            <w:r>
              <w:rPr>
                <w:rFonts w:hint="eastAsia" w:ascii="宋体" w:hAnsi="宋体" w:cs="宋体"/>
                <w:szCs w:val="21"/>
              </w:rPr>
              <w:t>关系单位</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缴纳社会</w:t>
            </w:r>
          </w:p>
          <w:p>
            <w:pPr>
              <w:spacing w:line="360" w:lineRule="auto"/>
              <w:jc w:val="center"/>
              <w:rPr>
                <w:rFonts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法定代表人/单位负责人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主要经营负责人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项目投标授权代表人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项目负责人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5</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主要技术人员</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6</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投标文件编制人员</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left"/>
              <w:rPr>
                <w:rFonts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center"/>
              <w:rPr>
                <w:rFonts w:ascii="宋体" w:hAnsi="宋体" w:cs="宋体"/>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关联关系类型</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关联主体名称</w:t>
            </w: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控股股东</w:t>
            </w:r>
          </w:p>
        </w:tc>
        <w:tc>
          <w:tcPr>
            <w:tcW w:w="1583" w:type="dxa"/>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管理关系</w:t>
            </w:r>
          </w:p>
        </w:tc>
        <w:tc>
          <w:tcPr>
            <w:tcW w:w="1583" w:type="dxa"/>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pPr>
              <w:spacing w:line="360" w:lineRule="auto"/>
              <w:jc w:val="left"/>
              <w:rPr>
                <w:rFonts w:ascii="宋体" w:hAnsi="宋体" w:cs="宋体"/>
                <w:szCs w:val="21"/>
              </w:rPr>
            </w:pPr>
            <w:r>
              <w:rPr>
                <w:rFonts w:hint="eastAsia" w:ascii="宋体" w:hAnsi="宋体" w:cs="宋体"/>
                <w:b/>
                <w:bCs/>
                <w:szCs w:val="21"/>
              </w:rPr>
              <w:t>说明：同一关联关系类型有多个主体的，应分行填写。</w:t>
            </w:r>
          </w:p>
        </w:tc>
      </w:tr>
    </w:tbl>
    <w:p>
      <w:pPr>
        <w:spacing w:line="360" w:lineRule="auto"/>
        <w:rPr>
          <w:rFonts w:ascii="宋体" w:hAnsi="宋体" w:cs="宋体"/>
          <w:b/>
          <w:bCs/>
        </w:rPr>
      </w:pPr>
      <w:r>
        <w:rPr>
          <w:rFonts w:hint="eastAsia" w:ascii="宋体" w:hAnsi="宋体" w:cs="宋体"/>
          <w:b/>
          <w:bCs/>
        </w:rPr>
        <w:t>备注：</w:t>
      </w:r>
    </w:p>
    <w:p>
      <w:pPr>
        <w:spacing w:line="360" w:lineRule="auto"/>
        <w:rPr>
          <w:rFonts w:ascii="宋体" w:hAnsi="宋体" w:cs="宋体"/>
          <w:b/>
          <w:bCs/>
        </w:rPr>
      </w:pPr>
      <w:r>
        <w:rPr>
          <w:rFonts w:hint="eastAsia" w:ascii="宋体" w:hAnsi="宋体" w:cs="宋体"/>
          <w:b/>
          <w:bCs/>
        </w:rPr>
        <w:t>1.本表中填报的人员姓名、身份证号码、缴纳社会保险单位应与社保证明材料中显示的信息相同。</w:t>
      </w:r>
    </w:p>
    <w:p>
      <w:pPr>
        <w:spacing w:line="360" w:lineRule="auto"/>
        <w:rPr>
          <w:rFonts w:ascii="宋体" w:hAnsi="宋体" w:cs="宋体"/>
          <w:b/>
          <w:bCs/>
        </w:rPr>
      </w:pPr>
      <w:r>
        <w:rPr>
          <w:rFonts w:hint="eastAsia" w:ascii="宋体" w:hAnsi="宋体" w:cs="宋体"/>
          <w:b/>
          <w:bCs/>
        </w:rPr>
        <w:t>2.投标（响应）供应商未按要求填报《供应商基本情况表》或未加盖公章或未按要求提供证明材料的，将按投标（响应）无效处理。</w:t>
      </w:r>
    </w:p>
    <w:p>
      <w:pPr>
        <w:rPr>
          <w:rFonts w:ascii="宋体" w:hAnsi="宋体" w:cs="宋体"/>
          <w:sz w:val="30"/>
          <w:szCs w:val="30"/>
        </w:rPr>
      </w:pPr>
      <w:r>
        <w:rPr>
          <w:rFonts w:hint="eastAsia" w:ascii="宋体" w:hAnsi="宋体" w:cs="宋体"/>
          <w:sz w:val="30"/>
          <w:szCs w:val="30"/>
        </w:rPr>
        <w:br w:type="page"/>
      </w:r>
    </w:p>
    <w:p>
      <w:pPr>
        <w:pStyle w:val="2"/>
        <w:ind w:left="420" w:hanging="420"/>
        <w:jc w:val="center"/>
        <w:rPr>
          <w:rFonts w:ascii="宋体" w:hAnsi="宋体" w:cs="宋体"/>
          <w:color w:val="000000"/>
          <w:kern w:val="0"/>
          <w:sz w:val="44"/>
          <w:szCs w:val="44"/>
          <w:lang w:bidi="ar"/>
        </w:rPr>
      </w:pPr>
      <w:bookmarkStart w:id="16" w:name="_Toc14311"/>
      <w:bookmarkStart w:id="17" w:name="_Toc17532"/>
      <w:r>
        <w:rPr>
          <w:rFonts w:hint="eastAsia" w:ascii="宋体" w:hAnsi="宋体" w:cs="宋体"/>
          <w:color w:val="000000"/>
          <w:kern w:val="0"/>
          <w:sz w:val="44"/>
          <w:szCs w:val="44"/>
          <w:lang w:bidi="ar"/>
        </w:rPr>
        <w:t>提供社会保险证明</w:t>
      </w:r>
      <w:bookmarkEnd w:id="16"/>
      <w:bookmarkEnd w:id="17"/>
    </w:p>
    <w:p>
      <w:pPr>
        <w:pStyle w:val="33"/>
      </w:pP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提供法定代表人最近一个月的社保证明：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提供主要经营负责人最近一个月的社保证明：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项目投标授权代表人最近一个月的社保证明：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提供项目负责人最近一个月的社保证明（如有）：</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提供主要技术人员最近一个月的社保证明（如有）：</w:t>
      </w:r>
    </w:p>
    <w:p>
      <w:pPr>
        <w:spacing w:line="500" w:lineRule="exact"/>
        <w:rPr>
          <w:rFonts w:ascii="宋体" w:hAnsi="宋体"/>
          <w:sz w:val="28"/>
          <w:szCs w:val="28"/>
        </w:rPr>
      </w:pPr>
    </w:p>
    <w:p>
      <w:pPr>
        <w:pStyle w:val="9"/>
        <w:ind w:firstLine="560" w:firstLineChars="200"/>
        <w:rPr>
          <w:sz w:val="28"/>
          <w:szCs w:val="28"/>
        </w:rPr>
      </w:pPr>
      <w:r>
        <w:rPr>
          <w:rFonts w:hint="eastAsia"/>
          <w:sz w:val="28"/>
          <w:szCs w:val="28"/>
        </w:rPr>
        <w:t>注：</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1.法定代表人、主要经营负责人、项目投标授权代表人的社会保险未由投标人单位缴纳，亦须提供相应单位为其缴纳的社会保险证明（须体现投标人的单位信息）。</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2.项目负责人和主要技术人员的社会保险须由投标人单位缴纳（须体现投标人的单位信息）。</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3.投标人为新成立企业且成立时间不足一个月可提供加盖投标人公章的情况说明或者证明材料亦视为符合。</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4.由于社保部门或税务部门的原因最近一个月的社保证明无法提供的可往前顺延一个月。</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5.如依法不需要缴纳社会保险的，应提供相应文件证明；如为退休返聘人员提供退休证明和聘用合同。</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6.若因社保部门原因无法提供的，需提供劳动合同及社保部门官方通知证明（或官网公告截图）。</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7.如本项目未安排项目负责人、主要技术人员的，无需提供项目负责人、主要技术人员的社会保险证明。</w:t>
      </w: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仿宋" w:hAnsi="仿宋" w:eastAsia="仿宋" w:cs="仿宋"/>
          <w:b/>
          <w:bCs/>
          <w:sz w:val="28"/>
          <w:szCs w:val="36"/>
        </w:rPr>
      </w:pPr>
      <w:r>
        <w:rPr>
          <w:rFonts w:hint="eastAsia" w:ascii="宋体" w:hAnsi="宋体" w:cs="宋体"/>
          <w:b/>
          <w:bCs/>
          <w:sz w:val="44"/>
          <w:szCs w:val="44"/>
        </w:rPr>
        <w:t>政府采购优惠政策（根据实际情况提供）</w:t>
      </w:r>
    </w:p>
    <w:p>
      <w:pPr>
        <w:pStyle w:val="3"/>
        <w:spacing w:beforeAutospacing="0" w:afterAutospacing="0" w:line="500" w:lineRule="exact"/>
        <w:jc w:val="center"/>
        <w:rPr>
          <w:rFonts w:hint="default" w:ascii="黑体"/>
          <w:sz w:val="32"/>
          <w:szCs w:val="32"/>
        </w:rPr>
      </w:pPr>
    </w:p>
    <w:p>
      <w:pPr>
        <w:pStyle w:val="3"/>
        <w:spacing w:beforeAutospacing="0" w:afterAutospacing="0" w:line="400" w:lineRule="exact"/>
        <w:ind w:firstLine="560" w:firstLineChars="200"/>
        <w:jc w:val="both"/>
        <w:rPr>
          <w:rFonts w:hint="default" w:ascii="黑体" w:hAnsi="黑体" w:eastAsia="黑体" w:cs="黑体"/>
          <w:bCs/>
          <w:sz w:val="28"/>
          <w:szCs w:val="28"/>
        </w:rPr>
      </w:pPr>
      <w:r>
        <w:rPr>
          <w:rFonts w:ascii="黑体" w:hAnsi="黑体" w:eastAsia="黑体" w:cs="黑体"/>
          <w:sz w:val="28"/>
          <w:szCs w:val="28"/>
        </w:rPr>
        <w:t>一、投标人情况及资格证明文件</w:t>
      </w:r>
      <w:bookmarkStart w:id="18" w:name="_Hlk72257590"/>
    </w:p>
    <w:p>
      <w:pPr>
        <w:spacing w:line="400" w:lineRule="exact"/>
        <w:ind w:firstLine="560" w:firstLineChars="200"/>
        <w:jc w:val="left"/>
        <w:outlineLvl w:val="3"/>
        <w:rPr>
          <w:rFonts w:ascii="楷体" w:hAnsi="楷体" w:eastAsia="楷体" w:cs="楷体"/>
          <w:bCs/>
          <w:sz w:val="28"/>
          <w:szCs w:val="28"/>
        </w:rPr>
      </w:pPr>
      <w:r>
        <w:rPr>
          <w:rFonts w:hint="eastAsia" w:ascii="楷体" w:hAnsi="楷体" w:eastAsia="楷体" w:cs="楷体"/>
          <w:bCs/>
          <w:sz w:val="28"/>
          <w:szCs w:val="28"/>
        </w:rPr>
        <w:t>（一）投标人资格证明文件</w:t>
      </w:r>
    </w:p>
    <w:p>
      <w:pPr>
        <w:spacing w:line="400" w:lineRule="exact"/>
        <w:ind w:firstLine="560" w:firstLineChars="200"/>
        <w:rPr>
          <w:rFonts w:eastAsia="仿宋_GB2312"/>
          <w:b/>
          <w:bCs/>
          <w:sz w:val="28"/>
          <w:szCs w:val="28"/>
        </w:rPr>
      </w:pPr>
      <w:r>
        <w:rPr>
          <w:rFonts w:hint="eastAsia" w:ascii="仿宋_GB2312" w:hAnsi="仿宋_GB2312" w:eastAsia="仿宋_GB2312" w:cs="仿宋_GB2312"/>
          <w:sz w:val="28"/>
          <w:szCs w:val="28"/>
        </w:rPr>
        <w:t>[特别提示：投标人须按本招标文件第一册第一章招标公告“申请人的资格要求”（即投标人资格要求）提供相关的资格证明资料，未提供或提供不完整、不符合要求的，将作投标无效处理]</w:t>
      </w:r>
    </w:p>
    <w:p>
      <w:pPr>
        <w:spacing w:line="400" w:lineRule="exact"/>
        <w:ind w:firstLine="560" w:firstLineChars="200"/>
        <w:jc w:val="left"/>
        <w:outlineLvl w:val="3"/>
        <w:rPr>
          <w:rFonts w:ascii="楷体" w:hAnsi="楷体" w:eastAsia="楷体" w:cs="楷体"/>
          <w:bCs/>
          <w:sz w:val="28"/>
          <w:szCs w:val="28"/>
        </w:rPr>
      </w:pPr>
      <w:r>
        <w:rPr>
          <w:rFonts w:hint="eastAsia" w:ascii="楷体" w:hAnsi="楷体" w:eastAsia="楷体" w:cs="楷体"/>
          <w:bCs/>
          <w:sz w:val="28"/>
          <w:szCs w:val="28"/>
        </w:rPr>
        <w:t>（二）中小企业声明函、残疾人福利性单位声明函及监狱企业声明函</w:t>
      </w:r>
      <w:bookmarkEnd w:id="18"/>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填写指引：</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2.该部分内容填写需要参考的相关文件：</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（1）财政部《政府采购促进中小企业发展管理办法》（财库〔2020〕46号）；</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bookmarkStart w:id="19" w:name="_Hlk71925120"/>
      <w:r>
        <w:rPr>
          <w:rFonts w:hint="eastAsia" w:ascii="仿宋_GB2312" w:hAnsi="仿宋_GB2312" w:eastAsia="仿宋_GB2312" w:cs="仿宋_GB2312"/>
          <w:sz w:val="28"/>
          <w:szCs w:val="28"/>
        </w:rPr>
        <w:t>《工业和信息化部、国家统计局、国家发展和改革委员会、财政部关于印发中小企业划型标准规定的通知》（工信部联企业〔2011〕300号</w:t>
      </w:r>
      <w:bookmarkEnd w:id="19"/>
      <w:r>
        <w:rPr>
          <w:rFonts w:hint="eastAsia" w:ascii="仿宋_GB2312" w:hAnsi="仿宋_GB2312" w:eastAsia="仿宋_GB2312" w:cs="仿宋_GB2312"/>
          <w:sz w:val="28"/>
          <w:szCs w:val="28"/>
        </w:rPr>
        <w:t>，以下简称300号文）；</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（3）《政府采购促进中小企业发展管理办法》（财库〔2020〕46号）；</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（4）《关于印发中小企业划型标准规定的通知》（工信部联企业〔2011〕300号）；</w:t>
      </w:r>
    </w:p>
    <w:p>
      <w:pPr>
        <w:spacing w:line="400" w:lineRule="exact"/>
        <w:ind w:firstLine="560" w:firstLineChars="200"/>
        <w:jc w:val="left"/>
        <w:rPr>
          <w:sz w:val="28"/>
          <w:szCs w:val="28"/>
        </w:rPr>
      </w:pPr>
      <w:r>
        <w:rPr>
          <w:rFonts w:hint="eastAsia" w:ascii="仿宋_GB2312" w:hAnsi="仿宋_GB2312" w:eastAsia="仿宋_GB2312" w:cs="仿宋_GB2312"/>
          <w:sz w:val="28"/>
          <w:szCs w:val="28"/>
        </w:rPr>
        <w:t>（5）《统计上大中小微型企业划分办法（2017）》（国统字〔2017〕213号）；</w:t>
      </w:r>
    </w:p>
    <w:p>
      <w:pPr>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（6）《关于促进残疾人就业政府采购政策的通知》（财库〔2017〕141号）；</w:t>
      </w:r>
    </w:p>
    <w:p>
      <w:pPr>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（7）《关于政府采购支持监狱企业发展有关问题的通知》（财库〔2014〕68号）。</w:t>
      </w:r>
    </w:p>
    <w:p>
      <w:pPr>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3.请依照提供的格式和内容填写声明函，不要随意变更格式；声明函不需要盖章或签字；满足多项优惠政策的投标人，不重复享受多项价格扣除政策。</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4.声明函具体填写要求：</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（1）声明是中小企业须填写《中小企业声明函》的以下内容：</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第一处，在“单位名称”下划线处如实填写采购人名称（深圳公共资源交易中心不是本项目的采购人，而是组织实施机构）；</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第二处，在“项目名称”下划线处如实填写采购项目名称；</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第三处，在“标的名称”下划线处填写所采购货物（标的）的具体名称；如果涉及多项货物（标的）为同一企业制造，“标的名称”下划线处可以如实填写多项货物；</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第四处，在“招标文件中明确的所属行业”下划线处填写采购标的对应的中小企业划分标准所属行业；</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（2）声明：残疾人福利性单位须填写《残疾人福利性单位声明函》的相关内容，具体参照以上《中小企业声明函》填写要求执行。</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（3）声明：监狱企业须填写《监狱企业声明函》的三项内容（填写位置的字体已加粗），具体参照以上《中小企业声明函》填写要求执行。</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5.声明函的有效性最终由评审委员会判定；如评审委员会判定声明函无效，相关供应商不享受价格扣除（但不作投标无效处理）。</w:t>
      </w:r>
    </w:p>
    <w:p>
      <w:pPr>
        <w:pStyle w:val="3"/>
        <w:spacing w:beforeAutospacing="0" w:afterAutospacing="0" w:line="400" w:lineRule="exact"/>
        <w:ind w:firstLine="560" w:firstLineChars="200"/>
        <w:jc w:val="both"/>
        <w:rPr>
          <w:rFonts w:hint="default"/>
          <w:b/>
          <w:sz w:val="28"/>
          <w:szCs w:val="28"/>
        </w:rPr>
      </w:pPr>
      <w:r>
        <w:rPr>
          <w:rFonts w:ascii="黑体" w:hAnsi="黑体" w:eastAsia="黑体" w:cs="黑体"/>
          <w:sz w:val="28"/>
          <w:szCs w:val="28"/>
        </w:rPr>
        <w:t>二、相关模板</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9"/>
        <w:rPr>
          <w:b/>
          <w:sz w:val="36"/>
          <w:szCs w:val="36"/>
        </w:rPr>
      </w:pPr>
    </w:p>
    <w:p>
      <w:pPr>
        <w:rPr>
          <w:b/>
          <w:sz w:val="36"/>
          <w:szCs w:val="36"/>
        </w:rPr>
      </w:pPr>
    </w:p>
    <w:p>
      <w:pPr>
        <w:pStyle w:val="9"/>
        <w:rPr>
          <w:b/>
          <w:sz w:val="36"/>
          <w:szCs w:val="36"/>
        </w:rPr>
      </w:pPr>
    </w:p>
    <w:p>
      <w:pPr>
        <w:rPr>
          <w:b/>
          <w:sz w:val="36"/>
          <w:szCs w:val="36"/>
        </w:rPr>
      </w:pPr>
    </w:p>
    <w:p>
      <w:pPr>
        <w:rPr>
          <w:b/>
          <w:sz w:val="36"/>
          <w:szCs w:val="36"/>
        </w:rPr>
      </w:pPr>
    </w:p>
    <w:p>
      <w:pPr>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相应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采购活动，</w:t>
      </w:r>
      <w:r>
        <w:rPr>
          <w:rFonts w:hint="eastAsia" w:ascii="仿宋_GB2312" w:hAnsi="仿宋_GB2312" w:eastAsia="仿宋_GB2312" w:cs="仿宋_GB2312"/>
          <w:snapToGrid w:val="0"/>
          <w:kern w:val="0"/>
          <w:sz w:val="28"/>
          <w:szCs w:val="28"/>
          <w:lang w:val="en-GB"/>
        </w:rPr>
        <w:t>服务全部由符合政策要求的中小企业</w:t>
      </w:r>
      <w:r>
        <w:rPr>
          <w:rFonts w:hint="eastAsia" w:ascii="仿宋_GB2312" w:hAnsi="仿宋_GB2312" w:eastAsia="仿宋_GB2312" w:cs="仿宋_GB2312"/>
          <w:snapToGrid w:val="0"/>
          <w:kern w:val="0"/>
          <w:sz w:val="28"/>
          <w:szCs w:val="28"/>
        </w:rPr>
        <w:t>提供</w:t>
      </w:r>
      <w:r>
        <w:rPr>
          <w:rFonts w:hint="eastAsia" w:ascii="仿宋_GB2312" w:hAnsi="仿宋_GB2312" w:eastAsia="仿宋_GB2312" w:cs="仿宋_GB2312"/>
          <w:sz w:val="28"/>
          <w:szCs w:val="28"/>
        </w:rPr>
        <w:t>。相关企业（含联合体中的中小企业、签订分包意向协议的中小企业）的具体情况如下：</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行业；</w:t>
      </w:r>
      <w:r>
        <w:rPr>
          <w:rFonts w:hint="eastAsia" w:ascii="仿宋_GB2312" w:hAnsi="仿宋_GB2312" w:eastAsia="仿宋_GB2312" w:cs="仿宋_GB2312"/>
          <w:snapToGrid w:val="0"/>
          <w:kern w:val="0"/>
          <w:sz w:val="28"/>
          <w:szCs w:val="28"/>
        </w:rPr>
        <w:t>投标</w:t>
      </w:r>
      <w:r>
        <w:rPr>
          <w:rFonts w:hint="eastAsia" w:ascii="仿宋_GB2312" w:hAnsi="仿宋_GB2312" w:eastAsia="仿宋_GB2312" w:cs="仿宋_GB2312"/>
          <w:snapToGrid w:val="0"/>
          <w:kern w:val="0"/>
          <w:sz w:val="28"/>
          <w:szCs w:val="28"/>
          <w:lang w:val="en-GB"/>
        </w:rPr>
        <w:t>企业为（企业名称），从业人员</w:t>
      </w:r>
      <w:r>
        <w:rPr>
          <w:rFonts w:hint="eastAsia" w:ascii="仿宋_GB2312" w:hAnsi="仿宋_GB2312" w:eastAsia="仿宋_GB2312" w:cs="仿宋_GB2312"/>
          <w:snapToGrid w:val="0"/>
          <w:kern w:val="0"/>
          <w:sz w:val="28"/>
          <w:szCs w:val="28"/>
          <w:u w:val="single"/>
          <w:lang w:val="en-GB"/>
        </w:rPr>
        <w:t xml:space="preserve"> </w:t>
      </w:r>
      <w:r>
        <w:rPr>
          <w:rFonts w:hint="eastAsia" w:ascii="仿宋_GB2312" w:hAnsi="仿宋_GB2312" w:eastAsia="仿宋_GB2312" w:cs="仿宋_GB2312"/>
          <w:snapToGrid w:val="0"/>
          <w:kern w:val="0"/>
          <w:sz w:val="28"/>
          <w:szCs w:val="28"/>
          <w:u w:val="single"/>
          <w:lang w:val="en-GB"/>
        </w:rPr>
        <w:tab/>
      </w:r>
      <w:r>
        <w:rPr>
          <w:rFonts w:hint="eastAsia" w:ascii="仿宋_GB2312" w:hAnsi="仿宋_GB2312" w:eastAsia="仿宋_GB2312" w:cs="仿宋_GB2312"/>
          <w:snapToGrid w:val="0"/>
          <w:kern w:val="0"/>
          <w:sz w:val="28"/>
          <w:szCs w:val="28"/>
          <w:lang w:val="en-GB"/>
        </w:rPr>
        <w:t>人，营业收入为</w:t>
      </w:r>
      <w:r>
        <w:rPr>
          <w:rFonts w:hint="eastAsia" w:ascii="仿宋_GB2312" w:hAnsi="仿宋_GB2312" w:eastAsia="仿宋_GB2312" w:cs="仿宋_GB2312"/>
          <w:snapToGrid w:val="0"/>
          <w:kern w:val="0"/>
          <w:sz w:val="28"/>
          <w:szCs w:val="28"/>
          <w:u w:val="single"/>
          <w:lang w:val="en-GB"/>
        </w:rPr>
        <w:t xml:space="preserve"> </w:t>
      </w:r>
      <w:r>
        <w:rPr>
          <w:rFonts w:hint="eastAsia" w:ascii="仿宋_GB2312" w:hAnsi="仿宋_GB2312" w:eastAsia="仿宋_GB2312" w:cs="仿宋_GB2312"/>
          <w:snapToGrid w:val="0"/>
          <w:kern w:val="0"/>
          <w:sz w:val="28"/>
          <w:szCs w:val="28"/>
          <w:u w:val="single"/>
          <w:lang w:val="en-GB"/>
        </w:rPr>
        <w:tab/>
      </w:r>
      <w:r>
        <w:rPr>
          <w:rFonts w:hint="eastAsia" w:ascii="仿宋_GB2312" w:hAnsi="仿宋_GB2312" w:eastAsia="仿宋_GB2312" w:cs="仿宋_GB2312"/>
          <w:snapToGrid w:val="0"/>
          <w:kern w:val="0"/>
          <w:sz w:val="28"/>
          <w:szCs w:val="28"/>
          <w:lang w:val="en-GB"/>
        </w:rPr>
        <w:t>万元，资产总额为</w:t>
      </w:r>
      <w:r>
        <w:rPr>
          <w:rFonts w:hint="eastAsia" w:ascii="仿宋_GB2312" w:hAnsi="仿宋_GB2312" w:eastAsia="仿宋_GB2312" w:cs="仿宋_GB2312"/>
          <w:snapToGrid w:val="0"/>
          <w:kern w:val="0"/>
          <w:sz w:val="28"/>
          <w:szCs w:val="28"/>
          <w:u w:val="single"/>
          <w:lang w:val="en-GB"/>
        </w:rPr>
        <w:t xml:space="preserve"> </w:t>
      </w:r>
      <w:r>
        <w:rPr>
          <w:rFonts w:hint="eastAsia" w:ascii="仿宋_GB2312" w:hAnsi="仿宋_GB2312" w:eastAsia="仿宋_GB2312" w:cs="仿宋_GB2312"/>
          <w:snapToGrid w:val="0"/>
          <w:kern w:val="0"/>
          <w:sz w:val="28"/>
          <w:szCs w:val="28"/>
          <w:u w:val="single"/>
          <w:lang w:val="en-GB"/>
        </w:rPr>
        <w:tab/>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lang w:val="en-GB"/>
        </w:rPr>
        <w:t>万元，属于</w:t>
      </w:r>
      <w:r>
        <w:rPr>
          <w:rFonts w:hint="eastAsia" w:ascii="仿宋_GB2312" w:hAnsi="仿宋_GB2312" w:eastAsia="仿宋_GB2312" w:cs="仿宋_GB2312"/>
          <w:snapToGrid w:val="0"/>
          <w:kern w:val="0"/>
          <w:sz w:val="28"/>
          <w:szCs w:val="28"/>
          <w:u w:val="single"/>
          <w:lang w:val="en-GB"/>
        </w:rPr>
        <w:t>（中型企业、小型企业、微型企业）</w:t>
      </w:r>
      <w:r>
        <w:rPr>
          <w:rFonts w:hint="eastAsia" w:ascii="仿宋_GB2312" w:hAnsi="仿宋_GB2312" w:eastAsia="仿宋_GB2312" w:cs="仿宋_GB2312"/>
          <w:sz w:val="28"/>
          <w:szCs w:val="28"/>
        </w:rPr>
        <w:t>；</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本企业对上述声明内容的真实性负责。如有虚假，将依法承担相应责任。</w:t>
      </w:r>
    </w:p>
    <w:p>
      <w:pPr>
        <w:pStyle w:val="9"/>
        <w:rPr>
          <w:sz w:val="28"/>
          <w:szCs w:val="28"/>
        </w:rPr>
      </w:pPr>
    </w:p>
    <w:p>
      <w:pPr>
        <w:spacing w:line="440" w:lineRule="exact"/>
        <w:ind w:firstLine="560" w:firstLineChars="200"/>
        <w:rPr>
          <w:rFonts w:ascii="仿宋_GB2312" w:hAnsi="仿宋_GB2312" w:eastAsia="仿宋_GB2312" w:cs="仿宋_GB2312"/>
          <w:sz w:val="28"/>
          <w:szCs w:val="28"/>
        </w:rPr>
      </w:pPr>
      <w:r>
        <w:rPr>
          <w:rFonts w:hint="eastAsia"/>
          <w:sz w:val="28"/>
          <w:szCs w:val="28"/>
        </w:rPr>
        <w:t xml:space="preserve">                                     </w:t>
      </w:r>
      <w:r>
        <w:rPr>
          <w:rFonts w:hint="eastAsia" w:ascii="仿宋_GB2312" w:hAnsi="仿宋_GB2312" w:eastAsia="仿宋_GB2312" w:cs="仿宋_GB2312"/>
          <w:sz w:val="28"/>
          <w:szCs w:val="28"/>
        </w:rPr>
        <w:t>企业名称（盖章）：</w:t>
      </w:r>
    </w:p>
    <w:p>
      <w:pPr>
        <w:spacing w:line="440" w:lineRule="exact"/>
        <w:ind w:firstLine="560" w:firstLineChars="200"/>
        <w:rPr>
          <w:b/>
          <w:sz w:val="36"/>
          <w:szCs w:val="36"/>
        </w:rPr>
      </w:pPr>
      <w:r>
        <w:rPr>
          <w:rFonts w:hint="eastAsia" w:ascii="仿宋_GB2312" w:hAnsi="仿宋_GB2312" w:eastAsia="仿宋_GB2312" w:cs="仿宋_GB2312"/>
          <w:sz w:val="28"/>
          <w:szCs w:val="28"/>
        </w:rPr>
        <w:t xml:space="preserve">                                    日期：</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9"/>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ascii="仿宋_GB2312" w:hAnsi="仿宋_GB2312" w:eastAsia="仿宋_GB2312" w:cs="仿宋_GB2312"/>
          <w:sz w:val="32"/>
          <w:szCs w:val="32"/>
        </w:rPr>
      </w:pP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本单位知悉《促进残疾人就业政府采购政策的通知》（财库〔2017〕141号）的规定，承诺提供的声明函内容是真实的，如提供声明函内容不实，则依法追究相关法律责任。</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pStyle w:val="9"/>
        <w:tabs>
          <w:tab w:val="left" w:pos="562"/>
          <w:tab w:val="left" w:pos="3372"/>
          <w:tab w:val="left" w:pos="3653"/>
        </w:tabs>
        <w:spacing w:line="560" w:lineRule="exact"/>
        <w:rPr>
          <w:rFonts w:ascii="仿宋_GB2312" w:hAnsi="仿宋_GB2312" w:eastAsia="仿宋_GB2312" w:cs="仿宋_GB2312"/>
          <w:sz w:val="28"/>
          <w:szCs w:val="28"/>
        </w:rPr>
      </w:pPr>
    </w:p>
    <w:p>
      <w:pPr>
        <w:spacing w:line="560" w:lineRule="exact"/>
        <w:rPr>
          <w:sz w:val="28"/>
          <w:szCs w:val="28"/>
        </w:rPr>
      </w:pPr>
    </w:p>
    <w:p>
      <w:pPr>
        <w:spacing w:line="560" w:lineRule="exact"/>
        <w:ind w:firstLine="3920" w:firstLineChars="1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3920" w:firstLineChars="1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pStyle w:val="9"/>
        <w:rPr>
          <w:rFonts w:ascii="仿宋_GB2312" w:hAnsi="仿宋_GB2312" w:eastAsia="仿宋_GB2312" w:cs="仿宋_GB2312"/>
        </w:rPr>
      </w:pPr>
    </w:p>
    <w:p>
      <w:pPr>
        <w:pStyle w:val="9"/>
        <w:rPr>
          <w:rFonts w:ascii="仿宋_GB2312" w:hAnsi="仿宋_GB2312" w:eastAsia="仿宋_GB2312" w:cs="仿宋_GB231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8"/>
      </w:pPr>
    </w:p>
    <w:p/>
    <w:p/>
    <w:p/>
    <w:p>
      <w:pPr>
        <w:numPr>
          <w:ilvl w:val="0"/>
          <w:numId w:val="4"/>
        </w:numPr>
        <w:spacing w:line="500" w:lineRule="exact"/>
        <w:jc w:val="center"/>
        <w:rPr>
          <w:b/>
          <w:sz w:val="36"/>
          <w:szCs w:val="36"/>
        </w:rPr>
      </w:pPr>
      <w:r>
        <w:rPr>
          <w:rFonts w:hint="eastAsia"/>
          <w:b/>
          <w:sz w:val="36"/>
          <w:szCs w:val="36"/>
        </w:rPr>
        <w:t>监狱企业声明函</w:t>
      </w:r>
    </w:p>
    <w:p>
      <w:pPr>
        <w:pStyle w:val="9"/>
      </w:pP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本单位郑重声明，根据《财政部司法部关于政府采购支持监狱企业发展有关问题的通知》（财库〔2014〕68号）的规定，本单位为符合条件的监狱企业，且本单位参加（采购单位名称） 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附：省级以上监狱管理局、戒毒管理局（含新疆生产建设兵团）出具的监狱企业证明文件。</w:t>
      </w:r>
    </w:p>
    <w:p>
      <w:pPr>
        <w:spacing w:line="560" w:lineRule="exact"/>
        <w:ind w:firstLine="560" w:firstLineChars="200"/>
        <w:jc w:val="left"/>
        <w:rPr>
          <w:rFonts w:ascii="仿宋_GB2312" w:hAnsi="仿宋_GB2312" w:eastAsia="仿宋_GB2312" w:cs="仿宋_GB2312"/>
          <w:sz w:val="28"/>
          <w:szCs w:val="28"/>
        </w:rPr>
      </w:pPr>
    </w:p>
    <w:p>
      <w:pPr>
        <w:pStyle w:val="9"/>
        <w:rPr>
          <w:sz w:val="28"/>
          <w:szCs w:val="28"/>
        </w:rPr>
      </w:pPr>
    </w:p>
    <w:p>
      <w:pPr>
        <w:spacing w:line="560" w:lineRule="exact"/>
        <w:ind w:firstLine="4480" w:firstLineChars="1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4480" w:firstLineChars="1600"/>
        <w:jc w:val="left"/>
        <w:rPr>
          <w:b/>
          <w:sz w:val="28"/>
          <w:szCs w:val="28"/>
        </w:rPr>
      </w:pPr>
      <w:r>
        <w:rPr>
          <w:rFonts w:hint="eastAsia" w:ascii="仿宋_GB2312" w:hAnsi="仿宋_GB2312" w:eastAsia="仿宋_GB2312" w:cs="仿宋_GB2312"/>
          <w:sz w:val="28"/>
          <w:szCs w:val="28"/>
        </w:rPr>
        <w:t>日  期：</w:t>
      </w:r>
    </w:p>
    <w:p>
      <w:pPr>
        <w:pStyle w:val="3"/>
        <w:spacing w:beforeAutospacing="0" w:afterAutospacing="0" w:line="500" w:lineRule="exact"/>
        <w:ind w:firstLine="643" w:firstLineChars="200"/>
        <w:jc w:val="both"/>
        <w:rPr>
          <w:rFonts w:hint="default" w:ascii="Calibri" w:hAnsi="Calibri" w:cs="黑体"/>
          <w:b/>
          <w:kern w:val="2"/>
          <w:sz w:val="32"/>
          <w:szCs w:val="32"/>
        </w:rPr>
      </w:pPr>
    </w:p>
    <w:p>
      <w:pPr>
        <w:pStyle w:val="3"/>
        <w:spacing w:beforeAutospacing="0" w:afterAutospacing="0" w:line="500" w:lineRule="exact"/>
        <w:ind w:firstLine="643" w:firstLineChars="200"/>
        <w:jc w:val="both"/>
        <w:rPr>
          <w:rFonts w:hint="default" w:ascii="Calibri" w:hAnsi="Calibri" w:cs="黑体"/>
          <w:b/>
          <w:kern w:val="2"/>
          <w:sz w:val="32"/>
          <w:szCs w:val="32"/>
        </w:rPr>
      </w:pPr>
    </w:p>
    <w:p>
      <w:pPr>
        <w:sectPr>
          <w:headerReference r:id="rId4" w:type="default"/>
          <w:footerReference r:id="rId5" w:type="default"/>
          <w:pgSz w:w="11906" w:h="16838"/>
          <w:pgMar w:top="1417" w:right="1587" w:bottom="1417" w:left="1474" w:header="31" w:footer="1587" w:gutter="0"/>
          <w:pgNumType w:fmt="numberInDash"/>
          <w:cols w:space="720" w:num="1"/>
          <w:docGrid w:type="lines" w:linePitch="312" w:charSpace="0"/>
        </w:sectPr>
      </w:pPr>
    </w:p>
    <w:tbl>
      <w:tblPr>
        <w:tblStyle w:val="18"/>
        <w:tblW w:w="13061" w:type="dxa"/>
        <w:tblInd w:w="0" w:type="dxa"/>
        <w:tblLayout w:type="fixed"/>
        <w:tblCellMar>
          <w:top w:w="15" w:type="dxa"/>
          <w:left w:w="15" w:type="dxa"/>
          <w:bottom w:w="15" w:type="dxa"/>
          <w:right w:w="15" w:type="dxa"/>
        </w:tblCellMar>
      </w:tblPr>
      <w:tblGrid>
        <w:gridCol w:w="6578"/>
        <w:gridCol w:w="3250"/>
        <w:gridCol w:w="3233"/>
      </w:tblGrid>
      <w:tr>
        <w:tblPrEx>
          <w:tblCellMar>
            <w:top w:w="15" w:type="dxa"/>
            <w:left w:w="15" w:type="dxa"/>
            <w:bottom w:w="15" w:type="dxa"/>
            <w:right w:w="15" w:type="dxa"/>
          </w:tblCellMar>
        </w:tblPrEx>
        <w:trPr>
          <w:trHeight w:val="705" w:hRule="atLeast"/>
        </w:trPr>
        <w:tc>
          <w:tcPr>
            <w:tcW w:w="13061" w:type="dxa"/>
            <w:gridSpan w:val="3"/>
            <w:noWrap/>
            <w:vAlign w:val="center"/>
          </w:tcPr>
          <w:p>
            <w:pPr>
              <w:widowControl/>
              <w:jc w:val="center"/>
              <w:textAlignment w:val="center"/>
              <w:rPr>
                <w:rFonts w:ascii="仿宋" w:hAnsi="仿宋" w:eastAsia="仿宋" w:cs="仿宋"/>
                <w:b/>
                <w:color w:val="000000"/>
                <w:sz w:val="44"/>
                <w:szCs w:val="44"/>
              </w:rPr>
            </w:pPr>
            <w:r>
              <w:rPr>
                <w:rFonts w:hint="eastAsia" w:ascii="仿宋" w:hAnsi="仿宋" w:eastAsia="仿宋" w:cs="仿宋"/>
                <w:b/>
                <w:color w:val="000000"/>
                <w:kern w:val="0"/>
                <w:sz w:val="44"/>
                <w:szCs w:val="44"/>
              </w:rPr>
              <w:t>开标一览表</w:t>
            </w:r>
          </w:p>
        </w:tc>
      </w:tr>
      <w:tr>
        <w:tblPrEx>
          <w:tblCellMar>
            <w:top w:w="15" w:type="dxa"/>
            <w:left w:w="15" w:type="dxa"/>
            <w:bottom w:w="15" w:type="dxa"/>
            <w:right w:w="15" w:type="dxa"/>
          </w:tblCellMar>
        </w:tblPrEx>
        <w:trPr>
          <w:trHeight w:val="524" w:hRule="atLeast"/>
        </w:trPr>
        <w:tc>
          <w:tcPr>
            <w:tcW w:w="1306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xml:space="preserve">　　　　　　　　　　　　　                        </w:t>
            </w:r>
            <w:r>
              <w:rPr>
                <w:rFonts w:hint="eastAsia" w:ascii="仿宋" w:hAnsi="仿宋" w:eastAsia="仿宋" w:cs="仿宋"/>
                <w:color w:val="000000"/>
                <w:kern w:val="0"/>
                <w:sz w:val="28"/>
                <w:szCs w:val="28"/>
              </w:rPr>
              <w:t>采购项目编号：深龙七医采[LGQY2025XX004]</w:t>
            </w:r>
          </w:p>
        </w:tc>
      </w:tr>
      <w:tr>
        <w:tblPrEx>
          <w:tblCellMar>
            <w:top w:w="15" w:type="dxa"/>
            <w:left w:w="15" w:type="dxa"/>
            <w:bottom w:w="15" w:type="dxa"/>
            <w:right w:w="15" w:type="dxa"/>
          </w:tblCellMar>
        </w:tblPrEx>
        <w:trPr>
          <w:trHeight w:val="509" w:hRule="atLeast"/>
        </w:trPr>
        <w:tc>
          <w:tcPr>
            <w:tcW w:w="65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p>
            <w:pPr>
              <w:widowControl/>
              <w:jc w:val="center"/>
              <w:textAlignment w:val="center"/>
              <w:rPr>
                <w:rFonts w:ascii="仿宋" w:hAnsi="仿宋" w:eastAsia="仿宋" w:cs="仿宋"/>
                <w:color w:val="000000"/>
                <w:sz w:val="24"/>
              </w:rPr>
            </w:pPr>
          </w:p>
        </w:tc>
        <w:tc>
          <w:tcPr>
            <w:tcW w:w="64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投标报价（元）</w:t>
            </w:r>
          </w:p>
        </w:tc>
      </w:tr>
      <w:tr>
        <w:tblPrEx>
          <w:tblCellMar>
            <w:top w:w="15" w:type="dxa"/>
            <w:left w:w="15" w:type="dxa"/>
            <w:bottom w:w="15" w:type="dxa"/>
            <w:right w:w="15" w:type="dxa"/>
          </w:tblCellMar>
        </w:tblPrEx>
        <w:trPr>
          <w:trHeight w:val="655" w:hRule="atLeast"/>
        </w:trPr>
        <w:tc>
          <w:tcPr>
            <w:tcW w:w="6578" w:type="dxa"/>
            <w:tcBorders>
              <w:top w:val="single" w:color="000000" w:sz="4" w:space="0"/>
              <w:left w:val="single" w:color="000000" w:sz="4" w:space="0"/>
              <w:bottom w:val="single" w:color="000000" w:sz="4" w:space="0"/>
              <w:right w:val="single" w:color="000000" w:sz="4" w:space="0"/>
            </w:tcBorders>
            <w:noWrap/>
            <w:vAlign w:val="center"/>
          </w:tcPr>
          <w:p/>
        </w:tc>
        <w:tc>
          <w:tcPr>
            <w:tcW w:w="3250" w:type="dxa"/>
            <w:tcBorders>
              <w:top w:val="single" w:color="000000" w:sz="4" w:space="0"/>
              <w:left w:val="single" w:color="000000" w:sz="4" w:space="0"/>
              <w:bottom w:val="single" w:color="000000" w:sz="4" w:space="0"/>
              <w:right w:val="single" w:color="000000" w:sz="4" w:space="0"/>
            </w:tcBorders>
            <w:noWrap/>
            <w:vAlign w:val="center"/>
          </w:tcPr>
          <w:p>
            <w:pPr>
              <w:pStyle w:val="9"/>
            </w:pPr>
            <w:r>
              <w:rPr>
                <w:rFonts w:hint="eastAsia" w:ascii="Calibri" w:hAnsi="Calibri"/>
                <w:kern w:val="2"/>
                <w:sz w:val="21"/>
                <w:szCs w:val="24"/>
              </w:rPr>
              <w:t>大写：</w:t>
            </w:r>
          </w:p>
        </w:tc>
        <w:tc>
          <w:tcPr>
            <w:tcW w:w="3233"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r>
              <w:rPr>
                <w:rFonts w:hint="eastAsia"/>
              </w:rPr>
              <w:t>小写：</w:t>
            </w:r>
          </w:p>
        </w:tc>
      </w:tr>
    </w:tbl>
    <w:p>
      <w:pPr>
        <w:spacing w:line="500" w:lineRule="exact"/>
        <w:ind w:left="425" w:hanging="425"/>
        <w:jc w:val="left"/>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开标一览表格式不得自行改动。</w:t>
      </w:r>
    </w:p>
    <w:p>
      <w:pPr>
        <w:spacing w:line="500" w:lineRule="exact"/>
        <w:ind w:left="425" w:hanging="425"/>
        <w:jc w:val="left"/>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价格条件为能否满足标书要求的投标报价。</w:t>
      </w:r>
    </w:p>
    <w:p>
      <w:pPr>
        <w:spacing w:line="500" w:lineRule="exact"/>
        <w:ind w:left="425" w:hanging="425"/>
        <w:jc w:val="left"/>
        <w:rPr>
          <w:rFonts w:ascii="仿宋" w:hAnsi="仿宋" w:eastAsia="仿宋" w:cs="仿宋"/>
          <w:sz w:val="24"/>
          <w:szCs w:val="32"/>
        </w:rPr>
      </w:pPr>
      <w:r>
        <w:rPr>
          <w:rFonts w:ascii="仿宋" w:hAnsi="仿宋" w:eastAsia="仿宋" w:cs="仿宋"/>
          <w:sz w:val="24"/>
          <w:szCs w:val="32"/>
        </w:rPr>
        <w:t>3.</w:t>
      </w:r>
      <w:r>
        <w:rPr>
          <w:rFonts w:hint="eastAsia" w:ascii="仿宋" w:hAnsi="仿宋" w:eastAsia="仿宋" w:cs="仿宋"/>
          <w:sz w:val="24"/>
        </w:rPr>
        <w:t>无内容空格填“－”。</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法定代表人或其授权代表人（签字）：</w:t>
      </w:r>
    </w:p>
    <w:p>
      <w:pPr>
        <w:rPr>
          <w:rFonts w:ascii="仿宋" w:hAnsi="仿宋" w:eastAsia="仿宋" w:cs="仿宋"/>
          <w:sz w:val="24"/>
        </w:rPr>
      </w:pPr>
      <w:r>
        <w:rPr>
          <w:rFonts w:hint="eastAsia" w:ascii="仿宋" w:hAnsi="仿宋" w:eastAsia="仿宋" w:cs="仿宋"/>
          <w:sz w:val="24"/>
        </w:rPr>
        <w:t>投标单位全称（加盖公章）：</w:t>
      </w:r>
    </w:p>
    <w:p>
      <w:pPr>
        <w:rPr>
          <w:rFonts w:ascii="仿宋" w:hAnsi="仿宋" w:eastAsia="仿宋" w:cs="仿宋"/>
          <w:sz w:val="24"/>
        </w:rPr>
      </w:pPr>
      <w:r>
        <w:rPr>
          <w:rFonts w:hint="eastAsia" w:ascii="仿宋" w:hAnsi="仿宋" w:eastAsia="仿宋" w:cs="仿宋"/>
          <w:sz w:val="24"/>
        </w:rPr>
        <w:t>备注：</w:t>
      </w:r>
    </w:p>
    <w:p>
      <w:pPr>
        <w:outlineLvl w:val="1"/>
        <w:rPr>
          <w:rFonts w:asciiTheme="minorEastAsia" w:hAnsiTheme="minorEastAsia" w:eastAsiaTheme="minorEastAsia" w:cstheme="minorEastAsia"/>
          <w:b/>
          <w:szCs w:val="21"/>
        </w:rPr>
      </w:pPr>
      <w:bookmarkStart w:id="20" w:name="_Toc8113"/>
      <w:bookmarkStart w:id="21" w:name="_Toc22449"/>
      <w:bookmarkStart w:id="22" w:name="_Toc27871"/>
    </w:p>
    <w:p>
      <w:pPr>
        <w:outlineLvl w:val="1"/>
        <w:rPr>
          <w:rFonts w:asciiTheme="minorEastAsia" w:hAnsiTheme="minorEastAsia" w:eastAsiaTheme="minorEastAsia" w:cstheme="minorEastAsia"/>
          <w:b/>
          <w:szCs w:val="21"/>
        </w:rPr>
      </w:pPr>
    </w:p>
    <w:p>
      <w:pPr>
        <w:outlineLvl w:val="1"/>
        <w:rPr>
          <w:rFonts w:asciiTheme="minorEastAsia" w:hAnsiTheme="minorEastAsia" w:eastAsiaTheme="minorEastAsia" w:cstheme="minorEastAsia"/>
          <w:b/>
          <w:szCs w:val="21"/>
        </w:rPr>
      </w:pPr>
    </w:p>
    <w:p>
      <w:pPr>
        <w:outlineLvl w:val="1"/>
        <w:rPr>
          <w:rFonts w:asciiTheme="minorEastAsia" w:hAnsiTheme="minorEastAsia" w:eastAsiaTheme="minorEastAsia" w:cstheme="minorEastAsia"/>
          <w:b/>
          <w:szCs w:val="21"/>
        </w:rPr>
      </w:pPr>
    </w:p>
    <w:p>
      <w:pPr>
        <w:outlineLvl w:val="1"/>
        <w:rPr>
          <w:rFonts w:asciiTheme="minorEastAsia" w:hAnsiTheme="minorEastAsia" w:eastAsiaTheme="minorEastAsia" w:cstheme="minorEastAsia"/>
          <w:b/>
          <w:szCs w:val="21"/>
        </w:rPr>
      </w:pPr>
    </w:p>
    <w:p>
      <w:pPr>
        <w:outlineLvl w:val="1"/>
        <w:rPr>
          <w:rFonts w:asciiTheme="minorEastAsia" w:hAnsiTheme="minorEastAsia" w:eastAsiaTheme="minorEastAsia" w:cstheme="minorEastAsia"/>
          <w:b/>
          <w:szCs w:val="21"/>
        </w:rPr>
      </w:pPr>
    </w:p>
    <w:p>
      <w:pPr>
        <w:outlineLvl w:val="1"/>
        <w:rPr>
          <w:rFonts w:asciiTheme="minorEastAsia" w:hAnsiTheme="minorEastAsia" w:eastAsiaTheme="minorEastAsia" w:cstheme="minorEastAsia"/>
          <w:b/>
          <w:szCs w:val="21"/>
        </w:rPr>
      </w:pPr>
    </w:p>
    <w:p>
      <w:pPr>
        <w:outlineLvl w:val="1"/>
        <w:rPr>
          <w:rFonts w:asciiTheme="minorEastAsia" w:hAnsiTheme="minorEastAsia" w:eastAsiaTheme="minorEastAsia" w:cstheme="minorEastAsia"/>
          <w:b/>
          <w:szCs w:val="21"/>
        </w:rPr>
      </w:pPr>
    </w:p>
    <w:p>
      <w:pPr>
        <w:outlineLvl w:val="1"/>
        <w:rPr>
          <w:rFonts w:asciiTheme="minorEastAsia" w:hAnsiTheme="minorEastAsia" w:eastAsiaTheme="minorEastAsia" w:cstheme="minorEastAsia"/>
          <w:b/>
          <w:szCs w:val="21"/>
        </w:rPr>
      </w:pPr>
    </w:p>
    <w:p>
      <w:pPr>
        <w:outlineLvl w:val="1"/>
        <w:rPr>
          <w:rFonts w:asciiTheme="minorEastAsia" w:hAnsiTheme="minorEastAsia" w:eastAsiaTheme="minorEastAsia" w:cstheme="minorEastAsia"/>
          <w:b/>
          <w:szCs w:val="21"/>
        </w:rPr>
      </w:pPr>
    </w:p>
    <w:p>
      <w:pPr>
        <w:widowControl/>
        <w:jc w:val="center"/>
        <w:textAlignment w:val="center"/>
        <w:rPr>
          <w:rFonts w:ascii="仿宋" w:hAnsi="仿宋" w:eastAsia="仿宋" w:cs="仿宋"/>
          <w:b/>
          <w:color w:val="000000"/>
          <w:kern w:val="0"/>
          <w:sz w:val="44"/>
          <w:szCs w:val="44"/>
        </w:rPr>
      </w:pPr>
      <w:r>
        <w:rPr>
          <w:rFonts w:hint="eastAsia" w:ascii="仿宋" w:hAnsi="仿宋" w:eastAsia="仿宋" w:cs="仿宋"/>
          <w:b/>
          <w:color w:val="000000"/>
          <w:kern w:val="0"/>
          <w:sz w:val="44"/>
          <w:szCs w:val="44"/>
        </w:rPr>
        <w:t>实质性条款响应情况表</w:t>
      </w:r>
      <w:bookmarkEnd w:id="20"/>
      <w:bookmarkEnd w:id="21"/>
      <w:bookmarkEnd w:id="22"/>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4206"/>
        <w:gridCol w:w="2507"/>
        <w:gridCol w:w="290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8" w:type="pct"/>
            <w:vAlign w:val="center"/>
          </w:tcPr>
          <w:p>
            <w:pPr>
              <w:jc w:val="center"/>
              <w:rPr>
                <w:rFonts w:ascii="仿宋" w:hAnsi="仿宋" w:eastAsia="仿宋" w:cs="仿宋"/>
                <w:b/>
                <w:sz w:val="24"/>
              </w:rPr>
            </w:pPr>
            <w:r>
              <w:rPr>
                <w:rFonts w:hint="eastAsia" w:ascii="仿宋" w:hAnsi="仿宋" w:eastAsia="仿宋" w:cs="仿宋"/>
                <w:b/>
                <w:sz w:val="24"/>
              </w:rPr>
              <w:t>序号</w:t>
            </w:r>
          </w:p>
        </w:tc>
        <w:tc>
          <w:tcPr>
            <w:tcW w:w="1621" w:type="pct"/>
            <w:vAlign w:val="center"/>
          </w:tcPr>
          <w:p>
            <w:pPr>
              <w:jc w:val="center"/>
              <w:rPr>
                <w:rFonts w:ascii="仿宋" w:hAnsi="仿宋" w:eastAsia="仿宋" w:cs="仿宋"/>
                <w:b/>
                <w:sz w:val="24"/>
              </w:rPr>
            </w:pPr>
            <w:r>
              <w:rPr>
                <w:rFonts w:hint="eastAsia" w:ascii="仿宋" w:hAnsi="仿宋" w:eastAsia="仿宋" w:cs="仿宋"/>
                <w:b/>
                <w:sz w:val="24"/>
              </w:rPr>
              <w:t>实质性条款具体内容</w:t>
            </w:r>
          </w:p>
        </w:tc>
        <w:tc>
          <w:tcPr>
            <w:tcW w:w="966" w:type="pct"/>
            <w:vAlign w:val="center"/>
          </w:tcPr>
          <w:p>
            <w:pPr>
              <w:jc w:val="center"/>
              <w:rPr>
                <w:rFonts w:ascii="仿宋" w:hAnsi="仿宋" w:eastAsia="仿宋" w:cs="仿宋"/>
                <w:b/>
                <w:sz w:val="24"/>
              </w:rPr>
            </w:pPr>
            <w:r>
              <w:rPr>
                <w:rFonts w:hint="eastAsia" w:ascii="仿宋" w:hAnsi="仿宋" w:eastAsia="仿宋" w:cs="仿宋"/>
                <w:b/>
                <w:sz w:val="24"/>
              </w:rPr>
              <w:t>投标响应</w:t>
            </w:r>
          </w:p>
        </w:tc>
        <w:tc>
          <w:tcPr>
            <w:tcW w:w="1120" w:type="pct"/>
            <w:vAlign w:val="center"/>
          </w:tcPr>
          <w:p>
            <w:pPr>
              <w:jc w:val="center"/>
              <w:rPr>
                <w:rFonts w:ascii="仿宋" w:hAnsi="仿宋" w:eastAsia="仿宋" w:cs="仿宋"/>
                <w:b/>
                <w:sz w:val="24"/>
              </w:rPr>
            </w:pPr>
            <w:r>
              <w:rPr>
                <w:rFonts w:hint="eastAsia" w:ascii="仿宋" w:hAnsi="仿宋" w:eastAsia="仿宋" w:cs="仿宋"/>
                <w:b/>
                <w:sz w:val="24"/>
              </w:rPr>
              <w:t>偏离情况</w:t>
            </w:r>
          </w:p>
        </w:tc>
        <w:tc>
          <w:tcPr>
            <w:tcW w:w="862" w:type="pct"/>
            <w:vAlign w:val="center"/>
          </w:tcPr>
          <w:p>
            <w:pPr>
              <w:jc w:val="center"/>
              <w:rPr>
                <w:rFonts w:ascii="仿宋" w:hAnsi="仿宋" w:eastAsia="仿宋" w:cs="仿宋"/>
                <w:b/>
                <w:sz w:val="24"/>
              </w:rPr>
            </w:pPr>
            <w:r>
              <w:rPr>
                <w:rFonts w:hint="eastAsia" w:ascii="仿宋" w:hAnsi="仿宋" w:eastAsia="仿宋" w:cs="仿宋"/>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vAlign w:val="center"/>
          </w:tcPr>
          <w:p>
            <w:pPr>
              <w:adjustRightInd w:val="0"/>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621" w:type="pct"/>
            <w:vAlign w:val="center"/>
          </w:tcPr>
          <w:p>
            <w:pPr>
              <w:pStyle w:val="25"/>
              <w:ind w:firstLine="0" w:firstLineChars="0"/>
              <w:rPr>
                <w:rFonts w:hint="eastAsia" w:hAnsi="宋体" w:eastAsia="宋体"/>
                <w:kern w:val="0"/>
                <w:sz w:val="24"/>
                <w:lang w:eastAsia="zh-CN"/>
              </w:rPr>
            </w:pPr>
            <w:r>
              <w:rPr>
                <w:rFonts w:hint="eastAsia" w:ascii="Calibri" w:hAnsi="Calibri" w:eastAsia="宋体" w:cs="黑体"/>
                <w:color w:val="auto"/>
                <w:sz w:val="21"/>
                <w:szCs w:val="24"/>
              </w:rPr>
              <w:t>★人员要求</w:t>
            </w:r>
            <w:r>
              <w:rPr>
                <w:rFonts w:hint="eastAsia" w:ascii="Calibri" w:hAnsi="Calibri" w:eastAsia="宋体" w:cs="黑体"/>
                <w:color w:val="auto"/>
                <w:sz w:val="21"/>
                <w:szCs w:val="24"/>
                <w:lang w:eastAsia="zh-CN"/>
              </w:rPr>
              <w:t>（</w:t>
            </w:r>
            <w:r>
              <w:rPr>
                <w:rFonts w:hint="eastAsia" w:ascii="Calibri" w:hAnsi="Calibri" w:eastAsia="宋体" w:cs="黑体"/>
                <w:color w:val="auto"/>
                <w:sz w:val="21"/>
                <w:szCs w:val="24"/>
                <w:lang w:val="en-US" w:eastAsia="zh-CN"/>
              </w:rPr>
              <w:t>提供人员清单及</w:t>
            </w:r>
            <w:r>
              <w:rPr>
                <w:rFonts w:hint="eastAsia" w:ascii="Calibri" w:hAnsi="Calibri" w:eastAsia="宋体" w:cs="黑体"/>
                <w:b w:val="0"/>
                <w:bCs w:val="0"/>
                <w:color w:val="auto"/>
                <w:sz w:val="21"/>
                <w:szCs w:val="24"/>
                <w:shd w:val="clear"/>
              </w:rPr>
              <w:t>相关人员近3个月内的任意一个月社保缴交凭证证明</w:t>
            </w:r>
            <w:r>
              <w:rPr>
                <w:rFonts w:hint="eastAsia" w:ascii="Calibri" w:hAnsi="Calibri" w:eastAsia="宋体" w:cs="黑体"/>
                <w:color w:val="auto"/>
                <w:sz w:val="21"/>
                <w:szCs w:val="24"/>
                <w:lang w:eastAsia="zh-CN"/>
              </w:rPr>
              <w:t>）</w:t>
            </w:r>
          </w:p>
        </w:tc>
        <w:tc>
          <w:tcPr>
            <w:tcW w:w="966" w:type="pct"/>
          </w:tcPr>
          <w:p>
            <w:pPr>
              <w:adjustRightInd w:val="0"/>
              <w:snapToGrid w:val="0"/>
              <w:spacing w:line="360" w:lineRule="auto"/>
              <w:rPr>
                <w:rFonts w:ascii="宋体" w:hAnsi="宋体"/>
                <w:kern w:val="0"/>
                <w:sz w:val="24"/>
              </w:rPr>
            </w:pPr>
          </w:p>
        </w:tc>
        <w:tc>
          <w:tcPr>
            <w:tcW w:w="1120" w:type="pct"/>
          </w:tcPr>
          <w:p>
            <w:pPr>
              <w:adjustRightInd w:val="0"/>
              <w:snapToGrid w:val="0"/>
              <w:spacing w:line="360" w:lineRule="auto"/>
              <w:rPr>
                <w:rFonts w:ascii="宋体" w:hAnsi="宋体"/>
                <w:kern w:val="0"/>
                <w:sz w:val="24"/>
              </w:rPr>
            </w:pPr>
          </w:p>
        </w:tc>
        <w:tc>
          <w:tcPr>
            <w:tcW w:w="862" w:type="pct"/>
          </w:tcPr>
          <w:p>
            <w:pPr>
              <w:adjustRightInd w:val="0"/>
              <w:snapToGrid w:val="0"/>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vAlign w:val="center"/>
          </w:tcPr>
          <w:p>
            <w:pPr>
              <w:adjustRightInd w:val="0"/>
              <w:snapToGrid w:val="0"/>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1621" w:type="pct"/>
            <w:vAlign w:val="center"/>
          </w:tcPr>
          <w:p>
            <w:pPr>
              <w:pStyle w:val="25"/>
              <w:ind w:firstLine="0" w:firstLineChars="0"/>
              <w:rPr>
                <w:rFonts w:hint="eastAsia" w:ascii="Calibri" w:hAnsi="Calibri" w:eastAsia="宋体" w:cs="黑体"/>
                <w:color w:val="auto"/>
                <w:sz w:val="21"/>
                <w:szCs w:val="24"/>
                <w:lang w:eastAsia="zh-CN"/>
              </w:rPr>
            </w:pPr>
            <w:r>
              <w:rPr>
                <w:rFonts w:hint="eastAsia" w:ascii="Calibri" w:hAnsi="Calibri" w:eastAsia="宋体" w:cs="黑体"/>
                <w:b w:val="0"/>
                <w:color w:val="auto"/>
                <w:sz w:val="21"/>
                <w:szCs w:val="24"/>
              </w:rPr>
              <w:t>★</w:t>
            </w:r>
            <w:r>
              <w:rPr>
                <w:rFonts w:hint="eastAsia" w:ascii="Calibri" w:hAnsi="Calibri" w:eastAsia="宋体" w:cs="黑体"/>
                <w:b w:val="0"/>
                <w:bCs w:val="0"/>
                <w:color w:val="auto"/>
                <w:sz w:val="21"/>
                <w:szCs w:val="24"/>
              </w:rPr>
              <w:t>服务期限</w:t>
            </w:r>
            <w:r>
              <w:rPr>
                <w:rFonts w:hint="eastAsia" w:ascii="Calibri" w:hAnsi="Calibri" w:eastAsia="宋体" w:cs="黑体"/>
                <w:b w:val="0"/>
                <w:bCs w:val="0"/>
                <w:color w:val="auto"/>
                <w:sz w:val="21"/>
                <w:szCs w:val="24"/>
                <w:lang w:eastAsia="zh-CN"/>
              </w:rPr>
              <w:t>（</w:t>
            </w:r>
            <w:r>
              <w:rPr>
                <w:rFonts w:hint="eastAsia" w:ascii="Calibri" w:hAnsi="Calibri" w:eastAsia="宋体" w:cs="黑体"/>
                <w:b w:val="0"/>
                <w:bCs w:val="0"/>
                <w:color w:val="auto"/>
                <w:sz w:val="21"/>
                <w:szCs w:val="24"/>
                <w:lang w:val="en-US" w:eastAsia="zh-CN"/>
              </w:rPr>
              <w:t>提供承诺函</w:t>
            </w:r>
            <w:r>
              <w:rPr>
                <w:rFonts w:hint="eastAsia" w:ascii="Calibri" w:hAnsi="Calibri" w:eastAsia="宋体" w:cs="黑体"/>
                <w:b w:val="0"/>
                <w:bCs w:val="0"/>
                <w:color w:val="auto"/>
                <w:sz w:val="21"/>
                <w:szCs w:val="24"/>
                <w:lang w:eastAsia="zh-CN"/>
              </w:rPr>
              <w:t>）</w:t>
            </w:r>
          </w:p>
        </w:tc>
        <w:tc>
          <w:tcPr>
            <w:tcW w:w="966" w:type="pct"/>
          </w:tcPr>
          <w:p>
            <w:pPr>
              <w:adjustRightInd w:val="0"/>
              <w:snapToGrid w:val="0"/>
              <w:spacing w:line="360" w:lineRule="auto"/>
              <w:rPr>
                <w:rFonts w:ascii="宋体" w:hAnsi="宋体"/>
                <w:kern w:val="0"/>
                <w:sz w:val="24"/>
              </w:rPr>
            </w:pPr>
          </w:p>
        </w:tc>
        <w:tc>
          <w:tcPr>
            <w:tcW w:w="1120" w:type="pct"/>
          </w:tcPr>
          <w:p>
            <w:pPr>
              <w:adjustRightInd w:val="0"/>
              <w:snapToGrid w:val="0"/>
              <w:spacing w:line="360" w:lineRule="auto"/>
              <w:rPr>
                <w:rFonts w:ascii="宋体" w:hAnsi="宋体"/>
                <w:kern w:val="0"/>
                <w:sz w:val="24"/>
              </w:rPr>
            </w:pPr>
          </w:p>
        </w:tc>
        <w:tc>
          <w:tcPr>
            <w:tcW w:w="862" w:type="pct"/>
          </w:tcPr>
          <w:p>
            <w:pPr>
              <w:adjustRightInd w:val="0"/>
              <w:snapToGrid w:val="0"/>
              <w:spacing w:line="360" w:lineRule="auto"/>
              <w:rPr>
                <w:rFonts w:ascii="宋体" w:hAnsi="宋体"/>
                <w:kern w:val="0"/>
                <w:sz w:val="24"/>
              </w:rPr>
            </w:pPr>
          </w:p>
        </w:tc>
      </w:tr>
    </w:tbl>
    <w:p>
      <w:pPr>
        <w:spacing w:line="500" w:lineRule="exact"/>
        <w:jc w:val="left"/>
        <w:rPr>
          <w:rFonts w:ascii="仿宋" w:hAnsi="仿宋" w:eastAsia="仿宋" w:cs="仿宋"/>
          <w:sz w:val="24"/>
        </w:rPr>
      </w:pPr>
    </w:p>
    <w:p>
      <w:pPr>
        <w:spacing w:line="500" w:lineRule="exact"/>
        <w:jc w:val="left"/>
        <w:rPr>
          <w:rFonts w:ascii="仿宋" w:hAnsi="仿宋" w:eastAsia="仿宋" w:cs="仿宋"/>
          <w:sz w:val="24"/>
        </w:rPr>
      </w:pPr>
      <w:r>
        <w:rPr>
          <w:rFonts w:hint="eastAsia" w:ascii="仿宋" w:hAnsi="仿宋" w:eastAsia="仿宋" w:cs="仿宋"/>
          <w:sz w:val="24"/>
        </w:rPr>
        <w:t>注：1.上表所列各项均为不可负偏离条款。</w:t>
      </w:r>
    </w:p>
    <w:p>
      <w:pPr>
        <w:spacing w:line="500" w:lineRule="exact"/>
        <w:jc w:val="left"/>
        <w:rPr>
          <w:rFonts w:ascii="仿宋" w:hAnsi="仿宋" w:eastAsia="仿宋" w:cs="仿宋"/>
          <w:sz w:val="24"/>
        </w:rPr>
      </w:pPr>
      <w:r>
        <w:rPr>
          <w:rFonts w:hint="eastAsia" w:ascii="仿宋" w:hAnsi="仿宋" w:eastAsia="仿宋" w:cs="仿宋"/>
          <w:sz w:val="24"/>
        </w:rPr>
        <w:t>2.“投标响应”一栏应当详细填写投标人自身响应情况。</w:t>
      </w:r>
    </w:p>
    <w:p>
      <w:pPr>
        <w:spacing w:line="500" w:lineRule="exact"/>
        <w:jc w:val="left"/>
        <w:rPr>
          <w:rFonts w:ascii="仿宋" w:hAnsi="仿宋" w:eastAsia="仿宋" w:cs="仿宋"/>
          <w:sz w:val="24"/>
        </w:rPr>
      </w:pPr>
      <w:r>
        <w:rPr>
          <w:rFonts w:hint="eastAsia" w:ascii="仿宋" w:hAnsi="仿宋" w:eastAsia="仿宋" w:cs="仿宋"/>
          <w:sz w:val="24"/>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500" w:lineRule="exact"/>
        <w:jc w:val="left"/>
        <w:rPr>
          <w:rFonts w:ascii="仿宋" w:hAnsi="仿宋" w:eastAsia="仿宋" w:cs="仿宋"/>
          <w:sz w:val="24"/>
        </w:rPr>
      </w:pPr>
      <w:r>
        <w:rPr>
          <w:rFonts w:hint="eastAsia" w:ascii="仿宋" w:hAnsi="仿宋" w:eastAsia="仿宋" w:cs="仿宋"/>
          <w:sz w:val="24"/>
        </w:rPr>
        <w:t>4.评审委员会有权对投标响应情况作出判断（作出评审结论）。</w:t>
      </w:r>
    </w:p>
    <w:p>
      <w:pPr>
        <w:spacing w:line="500" w:lineRule="exact"/>
        <w:jc w:val="left"/>
        <w:rPr>
          <w:rFonts w:ascii="仿宋" w:hAnsi="仿宋" w:eastAsia="仿宋" w:cs="仿宋"/>
          <w:sz w:val="24"/>
        </w:rPr>
      </w:pPr>
      <w:r>
        <w:rPr>
          <w:rFonts w:hint="eastAsia" w:ascii="仿宋" w:hAnsi="仿宋" w:eastAsia="仿宋" w:cs="仿宋"/>
          <w:sz w:val="24"/>
        </w:rPr>
        <w:t>5.实质性响应条款“投标响应情况”与遴选响应文件其他内容冲突的，以实质性响应条款“投标响应情况”为准。</w:t>
      </w:r>
    </w:p>
    <w:p>
      <w:pPr>
        <w:spacing w:line="500" w:lineRule="exact"/>
        <w:jc w:val="left"/>
        <w:rPr>
          <w:rFonts w:ascii="仿宋" w:hAnsi="仿宋" w:eastAsia="仿宋" w:cs="仿宋"/>
          <w:sz w:val="24"/>
        </w:rPr>
      </w:pPr>
      <w:r>
        <w:rPr>
          <w:rFonts w:hint="eastAsia" w:ascii="仿宋" w:hAnsi="仿宋" w:eastAsia="仿宋" w:cs="仿宋"/>
          <w:sz w:val="24"/>
        </w:rPr>
        <w:t>6.要求提供证明资料，在“说明”一栏中列明证明资料的位置，以便评审；未要求提供证明材料的，投标人可以不提供。</w:t>
      </w:r>
    </w:p>
    <w:p>
      <w:pPr>
        <w:spacing w:line="500" w:lineRule="exact"/>
        <w:jc w:val="left"/>
        <w:rPr>
          <w:rFonts w:ascii="仿宋" w:hAnsi="仿宋" w:eastAsia="仿宋" w:cs="仿宋"/>
          <w:sz w:val="24"/>
        </w:rPr>
      </w:pPr>
    </w:p>
    <w:p>
      <w:pPr>
        <w:spacing w:line="500" w:lineRule="exact"/>
        <w:jc w:val="left"/>
        <w:rPr>
          <w:rFonts w:ascii="仿宋" w:hAnsi="仿宋" w:eastAsia="仿宋" w:cs="仿宋"/>
          <w:sz w:val="24"/>
        </w:rPr>
      </w:pPr>
    </w:p>
    <w:p>
      <w:pPr>
        <w:spacing w:line="500" w:lineRule="exact"/>
        <w:jc w:val="left"/>
        <w:rPr>
          <w:rFonts w:ascii="仿宋" w:hAnsi="仿宋" w:eastAsia="仿宋" w:cs="仿宋"/>
          <w:sz w:val="24"/>
        </w:rPr>
      </w:pPr>
    </w:p>
    <w:p>
      <w:pPr>
        <w:spacing w:line="500" w:lineRule="exact"/>
        <w:jc w:val="left"/>
        <w:rPr>
          <w:rFonts w:ascii="仿宋" w:hAnsi="仿宋" w:eastAsia="仿宋" w:cs="仿宋"/>
          <w:sz w:val="24"/>
        </w:rPr>
      </w:pPr>
    </w:p>
    <w:p>
      <w:pPr>
        <w:widowControl/>
        <w:spacing w:line="240" w:lineRule="auto"/>
        <w:jc w:val="center"/>
        <w:textAlignment w:val="center"/>
        <w:rPr>
          <w:rFonts w:hint="eastAsia" w:ascii="仿宋" w:hAnsi="仿宋" w:eastAsia="仿宋" w:cs="仿宋"/>
          <w:b/>
          <w:color w:val="000000"/>
          <w:kern w:val="0"/>
          <w:sz w:val="44"/>
          <w:szCs w:val="44"/>
        </w:rPr>
      </w:pPr>
      <w:r>
        <w:rPr>
          <w:rFonts w:hint="eastAsia" w:ascii="仿宋" w:hAnsi="仿宋" w:eastAsia="仿宋" w:cs="仿宋"/>
          <w:b/>
          <w:color w:val="000000"/>
          <w:kern w:val="0"/>
          <w:sz w:val="44"/>
          <w:szCs w:val="44"/>
        </w:rPr>
        <w:t>商务要求偏离表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08"/>
        <w:gridCol w:w="4730"/>
        <w:gridCol w:w="3676"/>
        <w:gridCol w:w="1647"/>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 w:type="pct"/>
            <w:vAlign w:val="center"/>
          </w:tcPr>
          <w:p>
            <w:pPr>
              <w:jc w:val="center"/>
              <w:rPr>
                <w:rFonts w:ascii="宋体" w:hAnsi="宋体"/>
                <w:b/>
                <w:szCs w:val="21"/>
              </w:rPr>
            </w:pPr>
            <w:r>
              <w:rPr>
                <w:rFonts w:hint="eastAsia" w:ascii="宋体" w:hAnsi="宋体"/>
                <w:b/>
                <w:szCs w:val="21"/>
              </w:rPr>
              <w:t>序号</w:t>
            </w:r>
          </w:p>
        </w:tc>
        <w:tc>
          <w:tcPr>
            <w:tcW w:w="389" w:type="pct"/>
            <w:vAlign w:val="center"/>
          </w:tcPr>
          <w:p>
            <w:pPr>
              <w:jc w:val="center"/>
              <w:rPr>
                <w:rFonts w:ascii="宋体" w:hAnsi="宋体"/>
                <w:b/>
                <w:szCs w:val="21"/>
              </w:rPr>
            </w:pPr>
            <w:r>
              <w:rPr>
                <w:rFonts w:hint="eastAsia" w:ascii="宋体" w:hAnsi="宋体"/>
                <w:b/>
                <w:szCs w:val="21"/>
              </w:rPr>
              <w:t>商务需求项</w:t>
            </w:r>
          </w:p>
        </w:tc>
        <w:tc>
          <w:tcPr>
            <w:tcW w:w="1823" w:type="pct"/>
            <w:vAlign w:val="center"/>
          </w:tcPr>
          <w:p>
            <w:pPr>
              <w:jc w:val="center"/>
              <w:rPr>
                <w:rFonts w:ascii="宋体" w:hAnsi="宋体"/>
                <w:b/>
                <w:szCs w:val="21"/>
              </w:rPr>
            </w:pPr>
            <w:r>
              <w:rPr>
                <w:rFonts w:hint="eastAsia" w:ascii="宋体" w:hAnsi="宋体"/>
                <w:b/>
                <w:szCs w:val="21"/>
              </w:rPr>
              <w:t>商务要求</w:t>
            </w:r>
          </w:p>
        </w:tc>
        <w:tc>
          <w:tcPr>
            <w:tcW w:w="1417" w:type="pct"/>
            <w:vAlign w:val="center"/>
          </w:tcPr>
          <w:p>
            <w:pPr>
              <w:jc w:val="center"/>
              <w:rPr>
                <w:rFonts w:hint="eastAsia" w:ascii="宋体" w:hAnsi="宋体" w:eastAsia="宋体"/>
                <w:b/>
                <w:szCs w:val="21"/>
                <w:lang w:val="en-US" w:eastAsia="zh-CN"/>
              </w:rPr>
            </w:pPr>
            <w:r>
              <w:rPr>
                <w:rFonts w:hint="eastAsia" w:ascii="宋体" w:hAnsi="宋体" w:eastAsia="宋体" w:cs="黑体"/>
                <w:b/>
                <w:szCs w:val="21"/>
              </w:rPr>
              <w:t>投标响应</w:t>
            </w:r>
          </w:p>
        </w:tc>
        <w:tc>
          <w:tcPr>
            <w:tcW w:w="635" w:type="pct"/>
            <w:vAlign w:val="center"/>
          </w:tcPr>
          <w:p>
            <w:pPr>
              <w:jc w:val="center"/>
              <w:rPr>
                <w:rFonts w:hint="eastAsia" w:ascii="宋体" w:hAnsi="宋体" w:eastAsia="宋体" w:cs="黑体"/>
                <w:b/>
                <w:szCs w:val="21"/>
              </w:rPr>
            </w:pPr>
            <w:r>
              <w:rPr>
                <w:rFonts w:hint="eastAsia" w:ascii="宋体" w:hAnsi="宋体" w:eastAsia="宋体" w:cs="黑体"/>
                <w:b/>
                <w:szCs w:val="21"/>
              </w:rPr>
              <w:t>偏离情况</w:t>
            </w:r>
          </w:p>
        </w:tc>
        <w:tc>
          <w:tcPr>
            <w:tcW w:w="570" w:type="pct"/>
            <w:vAlign w:val="center"/>
          </w:tcPr>
          <w:p>
            <w:pPr>
              <w:jc w:val="center"/>
              <w:rPr>
                <w:rFonts w:hint="eastAsia" w:ascii="宋体" w:hAnsi="宋体" w:eastAsia="宋体" w:cs="黑体"/>
                <w:b/>
                <w:szCs w:val="21"/>
              </w:rPr>
            </w:pPr>
            <w:r>
              <w:rPr>
                <w:rFonts w:hint="eastAsia" w:ascii="宋体" w:hAnsi="宋体" w:eastAsia="宋体" w:cs="黑体"/>
                <w:b/>
                <w:szCs w:val="21"/>
              </w:rPr>
              <w:t>说明或佐证材料页码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7" w:type="pct"/>
            <w:gridSpan w:val="3"/>
            <w:vAlign w:val="center"/>
          </w:tcPr>
          <w:p>
            <w:pPr>
              <w:rPr>
                <w:rFonts w:ascii="宋体" w:hAnsi="宋体"/>
                <w:b/>
                <w:szCs w:val="21"/>
              </w:rPr>
            </w:pPr>
            <w:r>
              <w:rPr>
                <w:rFonts w:hint="eastAsia" w:ascii="宋体" w:hAnsi="宋体"/>
                <w:b/>
                <w:szCs w:val="21"/>
              </w:rPr>
              <w:t>（一）免费售后服务要求</w:t>
            </w:r>
          </w:p>
        </w:tc>
        <w:tc>
          <w:tcPr>
            <w:tcW w:w="1417" w:type="pct"/>
            <w:vAlign w:val="center"/>
          </w:tcPr>
          <w:p>
            <w:pPr>
              <w:rPr>
                <w:rFonts w:hint="eastAsia" w:ascii="宋体" w:hAnsi="宋体"/>
                <w:b/>
                <w:szCs w:val="21"/>
              </w:rPr>
            </w:pPr>
          </w:p>
        </w:tc>
        <w:tc>
          <w:tcPr>
            <w:tcW w:w="635" w:type="pct"/>
            <w:vAlign w:val="center"/>
          </w:tcPr>
          <w:p>
            <w:pPr>
              <w:rPr>
                <w:rFonts w:hint="eastAsia" w:ascii="宋体" w:hAnsi="宋体"/>
                <w:b/>
                <w:szCs w:val="21"/>
              </w:rPr>
            </w:pPr>
          </w:p>
        </w:tc>
        <w:tc>
          <w:tcPr>
            <w:tcW w:w="570" w:type="pct"/>
            <w:vAlign w:val="center"/>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 w:type="pct"/>
            <w:vAlign w:val="center"/>
          </w:tcPr>
          <w:p>
            <w:pPr>
              <w:jc w:val="center"/>
              <w:rPr>
                <w:rFonts w:ascii="宋体" w:hAnsi="宋体"/>
                <w:bCs/>
                <w:szCs w:val="21"/>
              </w:rPr>
            </w:pPr>
            <w:r>
              <w:rPr>
                <w:rFonts w:hint="eastAsia" w:ascii="宋体" w:hAnsi="宋体"/>
                <w:bCs/>
                <w:szCs w:val="21"/>
              </w:rPr>
              <w:t>1</w:t>
            </w:r>
          </w:p>
        </w:tc>
        <w:tc>
          <w:tcPr>
            <w:tcW w:w="389" w:type="pct"/>
            <w:vAlign w:val="center"/>
          </w:tcPr>
          <w:p>
            <w:pPr>
              <w:jc w:val="center"/>
              <w:rPr>
                <w:rStyle w:val="21"/>
                <w:rFonts w:ascii="宋体" w:hAnsi="宋体" w:cs="宋体"/>
                <w:color w:val="000000"/>
                <w:szCs w:val="21"/>
              </w:rPr>
            </w:pPr>
            <w:r>
              <w:rPr>
                <w:rFonts w:hint="eastAsia" w:ascii="宋体" w:hAnsi="宋体" w:cs="宋体"/>
                <w:szCs w:val="21"/>
              </w:rPr>
              <w:t>服务（售后）条款</w:t>
            </w:r>
          </w:p>
        </w:tc>
        <w:tc>
          <w:tcPr>
            <w:tcW w:w="1823" w:type="pct"/>
            <w:vAlign w:val="center"/>
          </w:tcPr>
          <w:p>
            <w:pPr>
              <w:adjustRightInd w:val="0"/>
              <w:snapToGrid w:val="0"/>
              <w:ind w:firstLine="0" w:firstLineChars="0"/>
              <w:rPr>
                <w:rFonts w:ascii="宋体" w:hAnsi="宋体" w:cs="宋体"/>
                <w:szCs w:val="21"/>
              </w:rPr>
            </w:pPr>
            <w:r>
              <w:rPr>
                <w:rFonts w:hint="eastAsia" w:ascii="宋体" w:hAnsi="宋体" w:cs="宋体"/>
                <w:szCs w:val="21"/>
              </w:rPr>
              <w:t>1.事件响应及时性</w:t>
            </w:r>
          </w:p>
          <w:p>
            <w:pPr>
              <w:adjustRightInd w:val="0"/>
              <w:snapToGrid w:val="0"/>
              <w:ind w:firstLine="0" w:firstLineChars="0"/>
              <w:rPr>
                <w:rFonts w:ascii="宋体" w:hAnsi="宋体" w:cs="宋体"/>
                <w:szCs w:val="21"/>
              </w:rPr>
            </w:pPr>
            <w:r>
              <w:rPr>
                <w:rFonts w:hint="eastAsia" w:ascii="宋体" w:hAnsi="宋体" w:cs="宋体"/>
                <w:szCs w:val="21"/>
              </w:rPr>
              <w:t>中标人应及时受理客户服务请求的工作时间，1小时内到现场，满足“7×24小时”，指1星期（7天）全天候（24小时）均能受理客户服务请求。</w:t>
            </w:r>
          </w:p>
          <w:p>
            <w:pPr>
              <w:adjustRightInd w:val="0"/>
              <w:snapToGrid w:val="0"/>
              <w:ind w:firstLine="0" w:firstLineChars="0"/>
              <w:rPr>
                <w:rFonts w:ascii="宋体" w:hAnsi="宋体" w:cs="宋体"/>
                <w:szCs w:val="21"/>
              </w:rPr>
            </w:pPr>
            <w:r>
              <w:rPr>
                <w:rFonts w:hint="eastAsia" w:ascii="宋体" w:hAnsi="宋体" w:cs="宋体"/>
                <w:szCs w:val="21"/>
              </w:rPr>
              <w:t>（1）中标人应按时参加采购人组织的相关会议，因故不能参加应提前请假并说明。</w:t>
            </w:r>
          </w:p>
          <w:p>
            <w:pPr>
              <w:adjustRightInd w:val="0"/>
              <w:snapToGrid w:val="0"/>
              <w:ind w:firstLine="0" w:firstLineChars="0"/>
              <w:rPr>
                <w:rFonts w:ascii="宋体" w:hAnsi="宋体" w:cs="宋体"/>
                <w:szCs w:val="21"/>
              </w:rPr>
            </w:pPr>
            <w:r>
              <w:rPr>
                <w:rFonts w:hint="eastAsia" w:ascii="宋体" w:hAnsi="宋体" w:cs="宋体"/>
                <w:szCs w:val="21"/>
              </w:rPr>
              <w:t>（2）中标人应配合采购人和各信息系统责任部门的工作，对于职责内的任务及时予以完成。因故不能接收任务或无法按时完成，须说明原因并获得信息系统责任部门及采购人的许可。</w:t>
            </w:r>
          </w:p>
          <w:p>
            <w:pPr>
              <w:adjustRightInd w:val="0"/>
              <w:snapToGrid w:val="0"/>
              <w:ind w:firstLine="0" w:firstLineChars="0"/>
              <w:rPr>
                <w:rFonts w:ascii="宋体" w:hAnsi="宋体" w:cs="宋体"/>
                <w:szCs w:val="21"/>
              </w:rPr>
            </w:pPr>
            <w:r>
              <w:rPr>
                <w:rFonts w:hint="eastAsia" w:ascii="宋体" w:hAnsi="宋体" w:cs="宋体"/>
                <w:szCs w:val="21"/>
              </w:rPr>
              <w:t>2.服务请求响应及时性</w:t>
            </w:r>
          </w:p>
          <w:p>
            <w:pPr>
              <w:adjustRightInd w:val="0"/>
              <w:snapToGrid w:val="0"/>
              <w:ind w:firstLine="0" w:firstLineChars="0"/>
              <w:rPr>
                <w:rFonts w:ascii="宋体" w:hAnsi="宋体" w:cs="宋体"/>
                <w:szCs w:val="21"/>
              </w:rPr>
            </w:pPr>
            <w:r>
              <w:rPr>
                <w:rFonts w:hint="eastAsia" w:ascii="宋体" w:hAnsi="宋体" w:cs="宋体"/>
                <w:szCs w:val="21"/>
              </w:rPr>
              <w:t>当机房业务迁移使用部门和采购人提出服务及故障处理请求时，中标人应在规定的时间作出响应。</w:t>
            </w:r>
          </w:p>
          <w:p>
            <w:pPr>
              <w:adjustRightInd w:val="0"/>
              <w:snapToGrid w:val="0"/>
              <w:ind w:firstLine="0" w:firstLineChars="0"/>
              <w:rPr>
                <w:rFonts w:ascii="宋体" w:hAnsi="宋体" w:cs="宋体"/>
                <w:szCs w:val="21"/>
              </w:rPr>
            </w:pPr>
            <w:r>
              <w:rPr>
                <w:rFonts w:hint="eastAsia" w:ascii="宋体" w:hAnsi="宋体" w:cs="宋体"/>
                <w:szCs w:val="21"/>
              </w:rPr>
              <w:t>响应时间以中标人与信息系统责任单位协商并进行登记备案的内容为准；未进行协商或未登记备案的，以管理部门的标准规定为准。</w:t>
            </w:r>
          </w:p>
          <w:p>
            <w:pPr>
              <w:adjustRightInd w:val="0"/>
              <w:snapToGrid w:val="0"/>
              <w:ind w:firstLine="0" w:firstLineChars="0"/>
              <w:rPr>
                <w:rFonts w:ascii="宋体" w:hAnsi="宋体" w:cs="宋体"/>
                <w:szCs w:val="21"/>
              </w:rPr>
            </w:pPr>
            <w:r>
              <w:rPr>
                <w:rFonts w:hint="eastAsia" w:ascii="宋体" w:hAnsi="宋体" w:cs="宋体"/>
                <w:szCs w:val="21"/>
              </w:rPr>
              <w:t>中标人在规定的时限内指派了人员通过现场或远程协助的方式，开始着手为客户提供服务，提供随时响应服务。</w:t>
            </w:r>
          </w:p>
          <w:p>
            <w:pPr>
              <w:adjustRightInd w:val="0"/>
              <w:snapToGrid w:val="0"/>
              <w:ind w:firstLine="0" w:firstLineChars="0"/>
              <w:rPr>
                <w:rFonts w:ascii="宋体" w:hAnsi="宋体" w:cs="宋体"/>
                <w:szCs w:val="21"/>
              </w:rPr>
            </w:pPr>
            <w:r>
              <w:rPr>
                <w:rFonts w:hint="eastAsia" w:ascii="宋体" w:hAnsi="宋体" w:cs="宋体"/>
                <w:szCs w:val="21"/>
              </w:rPr>
              <w:t>3.服务处理</w:t>
            </w:r>
          </w:p>
          <w:p>
            <w:pPr>
              <w:adjustRightInd w:val="0"/>
              <w:snapToGrid w:val="0"/>
              <w:ind w:firstLine="0" w:firstLineChars="0"/>
              <w:rPr>
                <w:rFonts w:ascii="宋体" w:hAnsi="宋体" w:cs="宋体"/>
                <w:szCs w:val="21"/>
              </w:rPr>
            </w:pPr>
            <w:r>
              <w:rPr>
                <w:rFonts w:hint="eastAsia" w:ascii="宋体" w:hAnsi="宋体" w:cs="宋体"/>
                <w:szCs w:val="21"/>
              </w:rPr>
              <w:t>服务请求及故障处理，应在规定的处理时限内予以恢复或解决。</w:t>
            </w:r>
          </w:p>
          <w:p>
            <w:pPr>
              <w:adjustRightInd w:val="0"/>
              <w:snapToGrid w:val="0"/>
              <w:ind w:firstLine="0" w:firstLineChars="0"/>
              <w:rPr>
                <w:rFonts w:ascii="宋体" w:hAnsi="宋体" w:cs="宋体"/>
                <w:szCs w:val="21"/>
              </w:rPr>
            </w:pPr>
            <w:r>
              <w:rPr>
                <w:rFonts w:hint="eastAsia" w:ascii="宋体" w:hAnsi="宋体" w:cs="宋体"/>
                <w:szCs w:val="21"/>
              </w:rPr>
              <w:t>处理时限以中标人与信息系统责任单位协商并进行登记备案的内容为准；未进行协商或未登记备案的，以管理部门的标准规定为准。</w:t>
            </w:r>
          </w:p>
          <w:p>
            <w:pPr>
              <w:adjustRightInd w:val="0"/>
              <w:snapToGrid w:val="0"/>
              <w:ind w:firstLine="0" w:firstLineChars="0"/>
              <w:rPr>
                <w:rFonts w:ascii="宋体" w:hAnsi="宋体" w:cs="宋体"/>
                <w:szCs w:val="21"/>
              </w:rPr>
            </w:pPr>
            <w:r>
              <w:rPr>
                <w:rFonts w:hint="eastAsia" w:ascii="宋体" w:hAnsi="宋体" w:cs="宋体"/>
                <w:szCs w:val="21"/>
              </w:rPr>
              <w:t>故障处理及时性指在故障上报、服务恢复及提交故障报告环节具体响应时间超过要求时限，同时单个故障处理及时性违约金系数之和上限为20%。响应时间须经采购人及中标人确认，若确认结果不一致，由各方协商解决。有关时间如下：</w:t>
            </w:r>
          </w:p>
          <w:p>
            <w:pPr>
              <w:adjustRightInd w:val="0"/>
              <w:snapToGrid w:val="0"/>
              <w:ind w:firstLine="0" w:firstLineChars="0"/>
              <w:rPr>
                <w:rFonts w:ascii="宋体" w:hAnsi="宋体" w:cs="宋体"/>
                <w:szCs w:val="21"/>
              </w:rPr>
            </w:pPr>
            <w:r>
              <w:rPr>
                <w:rFonts w:hint="eastAsia" w:ascii="宋体" w:hAnsi="宋体" w:cs="宋体"/>
                <w:szCs w:val="21"/>
              </w:rPr>
              <w:t>（1）故障发生时间是指通过对告警分析、日志分析、主动巡检、用户报障等渠道能追溯到的故障发生的最初时间，若通过以上渠道无法确定，则按收到与故障有关信息的最早时间确定；</w:t>
            </w:r>
          </w:p>
          <w:p>
            <w:pPr>
              <w:adjustRightInd w:val="0"/>
              <w:snapToGrid w:val="0"/>
              <w:ind w:firstLine="0" w:firstLineChars="0"/>
              <w:rPr>
                <w:rFonts w:ascii="宋体" w:hAnsi="宋体" w:cs="宋体"/>
                <w:szCs w:val="21"/>
              </w:rPr>
            </w:pPr>
            <w:r>
              <w:rPr>
                <w:rFonts w:hint="eastAsia" w:ascii="宋体" w:hAnsi="宋体" w:cs="宋体"/>
                <w:szCs w:val="21"/>
              </w:rPr>
              <w:t>（2）故障上报时间是指中标人通过邮件或其他即时通信工具上报故障情况至采购人的时间；</w:t>
            </w:r>
          </w:p>
          <w:p>
            <w:pPr>
              <w:adjustRightInd w:val="0"/>
              <w:snapToGrid w:val="0"/>
              <w:ind w:firstLine="0" w:firstLineChars="0"/>
              <w:rPr>
                <w:rFonts w:ascii="宋体" w:hAnsi="宋体" w:cs="宋体"/>
                <w:szCs w:val="21"/>
              </w:rPr>
            </w:pPr>
            <w:r>
              <w:rPr>
                <w:rFonts w:hint="eastAsia" w:ascii="宋体" w:hAnsi="宋体" w:cs="宋体"/>
                <w:szCs w:val="21"/>
              </w:rPr>
              <w:t>（3）服务恢复时间是指中标人修复故障后，经使用单位确认后的时间；</w:t>
            </w:r>
          </w:p>
          <w:p>
            <w:pPr>
              <w:adjustRightInd w:val="0"/>
              <w:snapToGrid w:val="0"/>
              <w:ind w:firstLine="0" w:firstLineChars="0"/>
              <w:rPr>
                <w:rFonts w:ascii="宋体" w:hAnsi="宋体" w:cs="宋体"/>
                <w:color w:val="000000"/>
                <w:szCs w:val="21"/>
              </w:rPr>
            </w:pPr>
            <w:r>
              <w:rPr>
                <w:rFonts w:hint="eastAsia" w:ascii="宋体" w:hAnsi="宋体" w:cs="宋体"/>
                <w:szCs w:val="21"/>
              </w:rPr>
              <w:t>（4）提交故障报告时间是指中标人通过邮件或纸质材料提交故障报告至采购人的时间。</w:t>
            </w:r>
          </w:p>
        </w:tc>
        <w:tc>
          <w:tcPr>
            <w:tcW w:w="1417" w:type="pct"/>
            <w:vAlign w:val="center"/>
          </w:tcPr>
          <w:p>
            <w:pPr>
              <w:adjustRightInd w:val="0"/>
              <w:snapToGrid w:val="0"/>
              <w:ind w:firstLine="420" w:firstLineChars="200"/>
              <w:rPr>
                <w:rFonts w:hint="eastAsia" w:ascii="宋体" w:hAnsi="宋体" w:cs="宋体"/>
                <w:szCs w:val="21"/>
              </w:rPr>
            </w:pPr>
          </w:p>
        </w:tc>
        <w:tc>
          <w:tcPr>
            <w:tcW w:w="635" w:type="pct"/>
            <w:vAlign w:val="center"/>
          </w:tcPr>
          <w:p>
            <w:pPr>
              <w:adjustRightInd w:val="0"/>
              <w:snapToGrid w:val="0"/>
              <w:ind w:firstLine="420" w:firstLineChars="200"/>
              <w:rPr>
                <w:rFonts w:hint="eastAsia" w:ascii="宋体" w:hAnsi="宋体" w:cs="宋体"/>
                <w:szCs w:val="21"/>
              </w:rPr>
            </w:pPr>
          </w:p>
        </w:tc>
        <w:tc>
          <w:tcPr>
            <w:tcW w:w="570" w:type="pct"/>
            <w:vAlign w:val="center"/>
          </w:tcPr>
          <w:p>
            <w:pPr>
              <w:adjustRightInd w:val="0"/>
              <w:snapToGrid w:val="0"/>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 w:type="pct"/>
            <w:vAlign w:val="center"/>
          </w:tcPr>
          <w:p>
            <w:pPr>
              <w:jc w:val="center"/>
              <w:rPr>
                <w:rFonts w:ascii="宋体" w:hAnsi="宋体"/>
                <w:szCs w:val="21"/>
              </w:rPr>
            </w:pPr>
            <w:r>
              <w:rPr>
                <w:rFonts w:hint="eastAsia" w:ascii="宋体" w:hAnsi="宋体"/>
                <w:szCs w:val="21"/>
              </w:rPr>
              <w:t>2</w:t>
            </w:r>
          </w:p>
        </w:tc>
        <w:tc>
          <w:tcPr>
            <w:tcW w:w="389" w:type="pct"/>
            <w:vAlign w:val="center"/>
          </w:tcPr>
          <w:p>
            <w:pPr>
              <w:jc w:val="center"/>
              <w:rPr>
                <w:rStyle w:val="21"/>
                <w:rFonts w:ascii="宋体" w:hAnsi="宋体" w:cs="宋体"/>
                <w:color w:val="000000"/>
                <w:szCs w:val="21"/>
              </w:rPr>
            </w:pPr>
            <w:r>
              <w:rPr>
                <w:rStyle w:val="21"/>
                <w:rFonts w:hint="eastAsia" w:ascii="宋体" w:hAnsi="宋体" w:cs="宋体"/>
                <w:color w:val="000000"/>
                <w:szCs w:val="21"/>
              </w:rPr>
              <w:t>免费保修期</w:t>
            </w:r>
          </w:p>
        </w:tc>
        <w:tc>
          <w:tcPr>
            <w:tcW w:w="1823" w:type="pct"/>
            <w:vAlign w:val="center"/>
          </w:tcPr>
          <w:p>
            <w:pPr>
              <w:adjustRightInd w:val="0"/>
              <w:snapToGrid w:val="0"/>
              <w:rPr>
                <w:rFonts w:ascii="宋体" w:hAnsi="宋体" w:cs="宋体"/>
                <w:color w:val="000000"/>
                <w:szCs w:val="21"/>
              </w:rPr>
            </w:pPr>
            <w:r>
              <w:rPr>
                <w:rFonts w:hint="eastAsia" w:ascii="宋体" w:hAnsi="宋体" w:cs="宋体"/>
                <w:kern w:val="0"/>
                <w:szCs w:val="21"/>
              </w:rPr>
              <w:t>项目验收后，中标人继续支持搬迁后3个月的现场及远程技术指导</w:t>
            </w:r>
            <w:r>
              <w:rPr>
                <w:rFonts w:hint="eastAsia" w:ascii="宋体" w:hAnsi="宋体" w:cs="宋体"/>
                <w:color w:val="000000"/>
                <w:szCs w:val="21"/>
              </w:rPr>
              <w:t>。</w:t>
            </w:r>
          </w:p>
        </w:tc>
        <w:tc>
          <w:tcPr>
            <w:tcW w:w="1417" w:type="pct"/>
            <w:vAlign w:val="center"/>
          </w:tcPr>
          <w:p>
            <w:pPr>
              <w:adjustRightInd w:val="0"/>
              <w:snapToGrid w:val="0"/>
              <w:rPr>
                <w:rFonts w:hint="eastAsia" w:ascii="宋体" w:hAnsi="宋体" w:cs="宋体"/>
                <w:kern w:val="0"/>
                <w:szCs w:val="21"/>
              </w:rPr>
            </w:pPr>
          </w:p>
        </w:tc>
        <w:tc>
          <w:tcPr>
            <w:tcW w:w="635" w:type="pct"/>
            <w:vAlign w:val="center"/>
          </w:tcPr>
          <w:p>
            <w:pPr>
              <w:adjustRightInd w:val="0"/>
              <w:snapToGrid w:val="0"/>
              <w:rPr>
                <w:rFonts w:hint="eastAsia" w:ascii="宋体" w:hAnsi="宋体" w:cs="宋体"/>
                <w:kern w:val="0"/>
                <w:szCs w:val="21"/>
              </w:rPr>
            </w:pPr>
          </w:p>
        </w:tc>
        <w:tc>
          <w:tcPr>
            <w:tcW w:w="570" w:type="pct"/>
            <w:vAlign w:val="center"/>
          </w:tcPr>
          <w:p>
            <w:pPr>
              <w:adjustRightInd w:val="0"/>
              <w:snapToGrid w:val="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 w:type="pct"/>
            <w:vAlign w:val="center"/>
          </w:tcPr>
          <w:p>
            <w:pPr>
              <w:jc w:val="center"/>
              <w:rPr>
                <w:rFonts w:ascii="宋体" w:hAnsi="宋体"/>
                <w:bCs/>
                <w:szCs w:val="21"/>
              </w:rPr>
            </w:pPr>
            <w:r>
              <w:rPr>
                <w:rFonts w:hint="eastAsia" w:ascii="宋体" w:hAnsi="宋体"/>
                <w:bCs/>
                <w:szCs w:val="21"/>
              </w:rPr>
              <w:t>3</w:t>
            </w:r>
          </w:p>
        </w:tc>
        <w:tc>
          <w:tcPr>
            <w:tcW w:w="389" w:type="pct"/>
            <w:vAlign w:val="center"/>
          </w:tcPr>
          <w:p>
            <w:pPr>
              <w:jc w:val="center"/>
              <w:rPr>
                <w:rStyle w:val="21"/>
                <w:rFonts w:ascii="宋体" w:hAnsi="宋体" w:cs="宋体"/>
                <w:color w:val="000000"/>
                <w:szCs w:val="21"/>
              </w:rPr>
            </w:pPr>
            <w:r>
              <w:rPr>
                <w:rStyle w:val="21"/>
                <w:rFonts w:hint="eastAsia" w:ascii="宋体" w:hAnsi="宋体" w:cs="宋体"/>
                <w:color w:val="000000"/>
                <w:szCs w:val="21"/>
              </w:rPr>
              <w:t>安装调试</w:t>
            </w:r>
          </w:p>
        </w:tc>
        <w:tc>
          <w:tcPr>
            <w:tcW w:w="1823" w:type="pct"/>
            <w:vAlign w:val="center"/>
          </w:tcPr>
          <w:p>
            <w:pPr>
              <w:rPr>
                <w:rFonts w:ascii="宋体" w:hAnsi="宋体" w:cs="宋体"/>
                <w:color w:val="000000"/>
                <w:szCs w:val="21"/>
              </w:rPr>
            </w:pPr>
            <w:r>
              <w:rPr>
                <w:rFonts w:hint="eastAsia" w:ascii="宋体" w:hAnsi="宋体" w:cs="宋体"/>
                <w:color w:val="000000"/>
                <w:szCs w:val="21"/>
              </w:rPr>
              <w:t>投标人承担的设备运输、安装调试</w:t>
            </w:r>
            <w:r>
              <w:rPr>
                <w:rFonts w:hint="eastAsia" w:ascii="宋体" w:hAnsi="宋体" w:cs="宋体"/>
                <w:color w:val="000000"/>
                <w:szCs w:val="21"/>
                <w:lang w:eastAsia="zh-CN"/>
              </w:rPr>
              <w:t>等</w:t>
            </w:r>
            <w:r>
              <w:rPr>
                <w:rFonts w:hint="eastAsia" w:ascii="宋体" w:hAnsi="宋体" w:cs="宋体"/>
                <w:color w:val="000000"/>
                <w:szCs w:val="21"/>
              </w:rPr>
              <w:t>其他类似的义务。</w:t>
            </w:r>
          </w:p>
        </w:tc>
        <w:tc>
          <w:tcPr>
            <w:tcW w:w="1417" w:type="pct"/>
            <w:vAlign w:val="center"/>
          </w:tcPr>
          <w:p>
            <w:pPr>
              <w:rPr>
                <w:rFonts w:hint="eastAsia" w:ascii="宋体" w:hAnsi="宋体" w:cs="宋体"/>
                <w:color w:val="000000"/>
                <w:szCs w:val="21"/>
              </w:rPr>
            </w:pPr>
          </w:p>
        </w:tc>
        <w:tc>
          <w:tcPr>
            <w:tcW w:w="635" w:type="pct"/>
            <w:vAlign w:val="center"/>
          </w:tcPr>
          <w:p>
            <w:pPr>
              <w:rPr>
                <w:rFonts w:hint="eastAsia" w:ascii="宋体" w:hAnsi="宋体" w:cs="宋体"/>
                <w:color w:val="000000"/>
                <w:szCs w:val="21"/>
              </w:rPr>
            </w:pPr>
          </w:p>
        </w:tc>
        <w:tc>
          <w:tcPr>
            <w:tcW w:w="570" w:type="pct"/>
            <w:vAlign w:val="center"/>
          </w:tcPr>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7" w:type="pct"/>
            <w:gridSpan w:val="3"/>
            <w:vAlign w:val="center"/>
          </w:tcPr>
          <w:p>
            <w:pPr>
              <w:rPr>
                <w:rFonts w:ascii="宋体" w:hAnsi="宋体"/>
                <w:b/>
                <w:szCs w:val="21"/>
              </w:rPr>
            </w:pPr>
            <w:r>
              <w:rPr>
                <w:rFonts w:hint="eastAsia" w:ascii="宋体" w:hAnsi="宋体"/>
                <w:b/>
                <w:szCs w:val="21"/>
              </w:rPr>
              <w:t>（二）其他商务要求</w:t>
            </w:r>
          </w:p>
        </w:tc>
        <w:tc>
          <w:tcPr>
            <w:tcW w:w="1417" w:type="pct"/>
            <w:vAlign w:val="center"/>
          </w:tcPr>
          <w:p>
            <w:pPr>
              <w:rPr>
                <w:rFonts w:hint="eastAsia" w:ascii="宋体" w:hAnsi="宋体"/>
                <w:b/>
                <w:szCs w:val="21"/>
              </w:rPr>
            </w:pPr>
          </w:p>
        </w:tc>
        <w:tc>
          <w:tcPr>
            <w:tcW w:w="635" w:type="pct"/>
            <w:vAlign w:val="center"/>
          </w:tcPr>
          <w:p>
            <w:pPr>
              <w:rPr>
                <w:rFonts w:hint="eastAsia" w:ascii="宋体" w:hAnsi="宋体"/>
                <w:b/>
                <w:szCs w:val="21"/>
              </w:rPr>
            </w:pPr>
          </w:p>
        </w:tc>
        <w:tc>
          <w:tcPr>
            <w:tcW w:w="570" w:type="pct"/>
            <w:vAlign w:val="center"/>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 w:type="pct"/>
            <w:vAlign w:val="center"/>
          </w:tcPr>
          <w:p>
            <w:pPr>
              <w:jc w:val="center"/>
              <w:rPr>
                <w:rFonts w:hint="eastAsia" w:ascii="宋体" w:hAnsi="宋体" w:eastAsia="宋体"/>
                <w:b w:val="0"/>
                <w:bCs/>
                <w:szCs w:val="21"/>
                <w:lang w:eastAsia="zh-CN"/>
              </w:rPr>
            </w:pPr>
            <w:r>
              <w:rPr>
                <w:rFonts w:hint="eastAsia" w:ascii="宋体" w:hAnsi="宋体"/>
                <w:b w:val="0"/>
                <w:bCs/>
                <w:szCs w:val="21"/>
                <w:lang w:val="en-US" w:eastAsia="zh-CN"/>
              </w:rPr>
              <w:t>4</w:t>
            </w:r>
          </w:p>
        </w:tc>
        <w:tc>
          <w:tcPr>
            <w:tcW w:w="389" w:type="pct"/>
            <w:vAlign w:val="center"/>
          </w:tcPr>
          <w:p>
            <w:pPr>
              <w:jc w:val="center"/>
              <w:rPr>
                <w:rFonts w:ascii="宋体" w:hAnsi="宋体"/>
                <w:b/>
                <w:szCs w:val="21"/>
              </w:rPr>
            </w:pPr>
            <w:r>
              <w:rPr>
                <w:rFonts w:hint="eastAsia" w:ascii="宋体" w:hAnsi="宋体"/>
                <w:b/>
                <w:szCs w:val="21"/>
              </w:rPr>
              <w:t>必备条款</w:t>
            </w:r>
            <w:r>
              <w:rPr>
                <w:rFonts w:hint="eastAsia" w:ascii="宋体" w:hAnsi="宋体" w:cs="宋体"/>
                <w:szCs w:val="21"/>
              </w:rPr>
              <w:t>（提供承诺函，格式自拟）</w:t>
            </w:r>
          </w:p>
        </w:tc>
        <w:tc>
          <w:tcPr>
            <w:tcW w:w="1823" w:type="pct"/>
            <w:vAlign w:val="center"/>
          </w:tcPr>
          <w:p>
            <w:pPr>
              <w:rPr>
                <w:rFonts w:ascii="宋体" w:hAnsi="宋体" w:cs="宋体"/>
                <w:color w:val="000000"/>
                <w:szCs w:val="21"/>
              </w:rPr>
            </w:pPr>
            <w:r>
              <w:rPr>
                <w:rFonts w:hint="eastAsia"/>
                <w:b/>
                <w:color w:val="auto"/>
              </w:rPr>
              <w:t>★</w:t>
            </w:r>
            <w:r>
              <w:rPr>
                <w:rFonts w:hint="eastAsia" w:ascii="宋体" w:hAnsi="宋体" w:eastAsia="宋体" w:cs="宋体"/>
                <w:b w:val="0"/>
                <w:bCs w:val="0"/>
                <w:color w:val="000000"/>
                <w:sz w:val="21"/>
                <w:szCs w:val="21"/>
              </w:rPr>
              <w:t>服务期限：</w:t>
            </w:r>
            <w:r>
              <w:rPr>
                <w:rFonts w:hint="eastAsia" w:ascii="宋体" w:hAnsi="宋体" w:eastAsia="宋体" w:cs="宋体"/>
                <w:bCs w:val="0"/>
                <w:color w:val="000000"/>
                <w:sz w:val="21"/>
                <w:szCs w:val="21"/>
              </w:rPr>
              <w:t>自合同签订之日起20个工作日内，按采购文件及合同约定要求完成深圳市龙岗区第七人民医院简竹护理院机房迁移。</w:t>
            </w:r>
          </w:p>
        </w:tc>
        <w:tc>
          <w:tcPr>
            <w:tcW w:w="1417" w:type="pct"/>
            <w:vAlign w:val="center"/>
          </w:tcPr>
          <w:p>
            <w:pPr>
              <w:rPr>
                <w:rFonts w:hint="eastAsia"/>
                <w:b/>
                <w:color w:val="auto"/>
              </w:rPr>
            </w:pPr>
          </w:p>
        </w:tc>
        <w:tc>
          <w:tcPr>
            <w:tcW w:w="635" w:type="pct"/>
            <w:vAlign w:val="center"/>
          </w:tcPr>
          <w:p>
            <w:pPr>
              <w:rPr>
                <w:rFonts w:hint="eastAsia"/>
                <w:b/>
                <w:color w:val="auto"/>
              </w:rPr>
            </w:pPr>
          </w:p>
        </w:tc>
        <w:tc>
          <w:tcPr>
            <w:tcW w:w="570" w:type="pct"/>
            <w:vAlign w:val="center"/>
          </w:tcPr>
          <w:p>
            <w:pPr>
              <w:rPr>
                <w:rFonts w:hint="eastAsia"/>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 w:type="pct"/>
            <w:vAlign w:val="center"/>
          </w:tcPr>
          <w:p>
            <w:pPr>
              <w:jc w:val="center"/>
              <w:rPr>
                <w:rFonts w:hint="eastAsia" w:ascii="宋体" w:hAnsi="宋体" w:eastAsia="宋体"/>
                <w:b w:val="0"/>
                <w:bCs/>
                <w:szCs w:val="21"/>
                <w:lang w:eastAsia="zh-CN"/>
              </w:rPr>
            </w:pPr>
            <w:r>
              <w:rPr>
                <w:rFonts w:hint="eastAsia" w:ascii="宋体" w:hAnsi="宋体"/>
                <w:b w:val="0"/>
                <w:bCs/>
                <w:szCs w:val="21"/>
                <w:lang w:val="en-US" w:eastAsia="zh-CN"/>
              </w:rPr>
              <w:t>5</w:t>
            </w:r>
          </w:p>
        </w:tc>
        <w:tc>
          <w:tcPr>
            <w:tcW w:w="389" w:type="pct"/>
            <w:vAlign w:val="center"/>
          </w:tcPr>
          <w:p>
            <w:pPr>
              <w:jc w:val="center"/>
              <w:rPr>
                <w:rFonts w:ascii="宋体" w:hAnsi="宋体"/>
                <w:color w:val="000000"/>
                <w:szCs w:val="21"/>
              </w:rPr>
            </w:pPr>
            <w:r>
              <w:rPr>
                <w:rStyle w:val="21"/>
                <w:rFonts w:hint="eastAsia" w:ascii="宋体" w:hAnsi="宋体" w:cs="宋体"/>
                <w:color w:val="000000"/>
                <w:szCs w:val="21"/>
              </w:rPr>
              <w:t>运输、安装条件</w:t>
            </w:r>
          </w:p>
        </w:tc>
        <w:tc>
          <w:tcPr>
            <w:tcW w:w="1823" w:type="pct"/>
            <w:vAlign w:val="center"/>
          </w:tcPr>
          <w:p>
            <w:pPr>
              <w:tabs>
                <w:tab w:val="left" w:pos="1260"/>
              </w:tabs>
              <w:rPr>
                <w:rFonts w:ascii="宋体" w:hAnsi="宋体"/>
                <w:bCs/>
                <w:color w:val="000000"/>
                <w:szCs w:val="21"/>
              </w:rPr>
            </w:pPr>
            <w:r>
              <w:rPr>
                <w:rFonts w:hint="eastAsia" w:ascii="宋体" w:hAnsi="宋体" w:cs="宋体"/>
                <w:color w:val="000000"/>
                <w:szCs w:val="21"/>
              </w:rPr>
              <w:t>投标人承担的设备运输、安装调试、验收检测和提供设备操作说明书、图纸等其他类似的义务。</w:t>
            </w:r>
          </w:p>
        </w:tc>
        <w:tc>
          <w:tcPr>
            <w:tcW w:w="1417" w:type="pct"/>
            <w:vAlign w:val="center"/>
          </w:tcPr>
          <w:p>
            <w:pPr>
              <w:tabs>
                <w:tab w:val="left" w:pos="1260"/>
              </w:tabs>
              <w:rPr>
                <w:rFonts w:hint="eastAsia" w:ascii="宋体" w:hAnsi="宋体" w:cs="宋体"/>
                <w:color w:val="000000"/>
                <w:szCs w:val="21"/>
              </w:rPr>
            </w:pPr>
          </w:p>
        </w:tc>
        <w:tc>
          <w:tcPr>
            <w:tcW w:w="635" w:type="pct"/>
            <w:vAlign w:val="center"/>
          </w:tcPr>
          <w:p>
            <w:pPr>
              <w:tabs>
                <w:tab w:val="left" w:pos="1260"/>
              </w:tabs>
              <w:rPr>
                <w:rFonts w:hint="eastAsia" w:ascii="宋体" w:hAnsi="宋体" w:cs="宋体"/>
                <w:color w:val="000000"/>
                <w:szCs w:val="21"/>
              </w:rPr>
            </w:pPr>
          </w:p>
        </w:tc>
        <w:tc>
          <w:tcPr>
            <w:tcW w:w="570" w:type="pct"/>
            <w:vAlign w:val="center"/>
          </w:tcPr>
          <w:p>
            <w:pPr>
              <w:tabs>
                <w:tab w:val="left" w:pos="1260"/>
              </w:tabs>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jc w:val="center"/>
        </w:trPr>
        <w:tc>
          <w:tcPr>
            <w:tcW w:w="164" w:type="pct"/>
            <w:vAlign w:val="center"/>
          </w:tcPr>
          <w:p>
            <w:pPr>
              <w:jc w:val="center"/>
              <w:rPr>
                <w:rFonts w:hint="eastAsia" w:ascii="宋体" w:hAnsi="宋体" w:eastAsia="宋体"/>
                <w:b w:val="0"/>
                <w:bCs/>
                <w:szCs w:val="21"/>
                <w:lang w:eastAsia="zh-CN"/>
              </w:rPr>
            </w:pPr>
            <w:r>
              <w:rPr>
                <w:rFonts w:hint="eastAsia" w:ascii="宋体" w:hAnsi="宋体"/>
                <w:b w:val="0"/>
                <w:bCs/>
                <w:szCs w:val="21"/>
                <w:lang w:val="en-US" w:eastAsia="zh-CN"/>
              </w:rPr>
              <w:t>6</w:t>
            </w:r>
          </w:p>
        </w:tc>
        <w:tc>
          <w:tcPr>
            <w:tcW w:w="389" w:type="pct"/>
            <w:vAlign w:val="center"/>
          </w:tcPr>
          <w:p>
            <w:pPr>
              <w:jc w:val="center"/>
              <w:rPr>
                <w:rFonts w:ascii="宋体" w:hAnsi="宋体"/>
                <w:b/>
                <w:szCs w:val="21"/>
              </w:rPr>
            </w:pPr>
            <w:r>
              <w:rPr>
                <w:rFonts w:ascii="宋体" w:hAnsi="宋体"/>
                <w:b/>
                <w:szCs w:val="21"/>
              </w:rPr>
              <w:t>培训</w:t>
            </w:r>
          </w:p>
        </w:tc>
        <w:tc>
          <w:tcPr>
            <w:tcW w:w="1823" w:type="pct"/>
            <w:vAlign w:val="center"/>
          </w:tcPr>
          <w:p>
            <w:pPr>
              <w:adjustRightInd w:val="0"/>
              <w:snapToGrid w:val="0"/>
              <w:rPr>
                <w:rFonts w:ascii="宋体" w:hAnsi="宋体" w:cs="宋体"/>
                <w:kern w:val="0"/>
                <w:szCs w:val="21"/>
              </w:rPr>
            </w:pPr>
            <w:r>
              <w:rPr>
                <w:rFonts w:hint="eastAsia" w:ascii="宋体" w:hAnsi="宋体" w:cs="宋体"/>
                <w:kern w:val="0"/>
                <w:szCs w:val="21"/>
              </w:rPr>
              <w:t>1.培训方式</w:t>
            </w:r>
          </w:p>
          <w:p>
            <w:pPr>
              <w:adjustRightInd w:val="0"/>
              <w:snapToGrid w:val="0"/>
              <w:ind w:firstLine="0" w:firstLineChars="0"/>
              <w:rPr>
                <w:rFonts w:ascii="宋体" w:hAnsi="宋体" w:cs="宋体"/>
                <w:kern w:val="0"/>
                <w:szCs w:val="21"/>
              </w:rPr>
            </w:pPr>
            <w:r>
              <w:rPr>
                <w:rFonts w:hint="eastAsia" w:ascii="宋体" w:hAnsi="宋体" w:cs="宋体"/>
                <w:kern w:val="0"/>
                <w:szCs w:val="21"/>
              </w:rPr>
              <w:t>针对本项目的业务主管人员、系统管理人员、平台运维人员、提供灵活的培训方式，采用的培训方式如下：</w:t>
            </w:r>
          </w:p>
          <w:p>
            <w:pPr>
              <w:adjustRightInd w:val="0"/>
              <w:snapToGrid w:val="0"/>
              <w:ind w:firstLine="0" w:firstLineChars="0"/>
              <w:rPr>
                <w:rFonts w:ascii="宋体" w:hAnsi="宋体" w:cs="宋体"/>
                <w:kern w:val="0"/>
                <w:szCs w:val="21"/>
              </w:rPr>
            </w:pPr>
            <w:r>
              <w:rPr>
                <w:rFonts w:hint="eastAsia" w:ascii="宋体" w:hAnsi="宋体" w:cs="宋体"/>
                <w:kern w:val="0"/>
                <w:szCs w:val="21"/>
              </w:rPr>
              <w:t>集中培训：使用采购人办公会议室或社会培训中心，安排集中培训，提高项目业务主管人员、系统管理人员、平台运维人员专业水平，促进相关人员对项目所涉及的信息技术深入了解和掌握。</w:t>
            </w:r>
          </w:p>
          <w:p>
            <w:pPr>
              <w:adjustRightInd w:val="0"/>
              <w:snapToGrid w:val="0"/>
              <w:rPr>
                <w:rFonts w:ascii="宋体" w:hAnsi="宋体" w:cs="宋体"/>
                <w:kern w:val="0"/>
                <w:szCs w:val="21"/>
              </w:rPr>
            </w:pPr>
            <w:r>
              <w:rPr>
                <w:rFonts w:hint="eastAsia" w:ascii="宋体" w:hAnsi="宋体" w:cs="宋体"/>
                <w:kern w:val="0"/>
                <w:szCs w:val="21"/>
              </w:rPr>
              <w:t>2.参与培训人员</w:t>
            </w:r>
          </w:p>
          <w:p>
            <w:pPr>
              <w:adjustRightInd w:val="0"/>
              <w:snapToGrid w:val="0"/>
              <w:ind w:firstLine="0" w:firstLineChars="0"/>
              <w:rPr>
                <w:rFonts w:ascii="宋体" w:hAnsi="宋体" w:cs="宋体"/>
                <w:kern w:val="0"/>
                <w:szCs w:val="21"/>
              </w:rPr>
            </w:pPr>
            <w:r>
              <w:rPr>
                <w:rFonts w:hint="eastAsia" w:ascii="宋体" w:hAnsi="宋体" w:cs="宋体"/>
                <w:kern w:val="0"/>
                <w:szCs w:val="21"/>
              </w:rPr>
              <w:t>项目管理人员、系统管理人员、平台运维操作人员等。</w:t>
            </w:r>
          </w:p>
          <w:p>
            <w:pPr>
              <w:adjustRightInd w:val="0"/>
              <w:snapToGrid w:val="0"/>
              <w:rPr>
                <w:rFonts w:ascii="宋体" w:hAnsi="宋体" w:cs="宋体"/>
                <w:kern w:val="0"/>
                <w:szCs w:val="21"/>
              </w:rPr>
            </w:pPr>
            <w:r>
              <w:rPr>
                <w:rFonts w:hint="eastAsia" w:ascii="宋体" w:hAnsi="宋体" w:cs="宋体"/>
                <w:kern w:val="0"/>
                <w:szCs w:val="21"/>
              </w:rPr>
              <w:t>3.培训内容</w:t>
            </w:r>
          </w:p>
          <w:p>
            <w:pPr>
              <w:numPr>
                <w:ilvl w:val="255"/>
                <w:numId w:val="0"/>
              </w:numPr>
              <w:adjustRightInd w:val="0"/>
              <w:snapToGrid w:val="0"/>
              <w:ind w:firstLine="0" w:firstLineChars="0"/>
              <w:rPr>
                <w:rFonts w:hint="eastAsia" w:ascii="宋体" w:hAnsi="宋体" w:cs="宋体"/>
                <w:kern w:val="0"/>
                <w:szCs w:val="21"/>
              </w:rPr>
            </w:pPr>
            <w:r>
              <w:rPr>
                <w:rFonts w:hint="eastAsia" w:ascii="宋体" w:hAnsi="宋体" w:cs="宋体"/>
                <w:kern w:val="0"/>
                <w:szCs w:val="21"/>
              </w:rPr>
              <w:t>3.1集中培训：投标人须提供详细培训方案，提供对采购人以及使用单位技术人员在内的培训服务。具体内容包括：数据中心搬迁总结培训；主机迁移、存储迁移、网络迁移技术培训。培训讲师应为设备存储、网络等原厂技术专家。</w:t>
            </w:r>
          </w:p>
          <w:p>
            <w:pPr>
              <w:numPr>
                <w:ilvl w:val="255"/>
                <w:numId w:val="0"/>
              </w:numPr>
              <w:adjustRightInd w:val="0"/>
              <w:snapToGrid w:val="0"/>
              <w:ind w:firstLine="0" w:firstLineChars="0"/>
              <w:rPr>
                <w:rFonts w:hint="eastAsia" w:ascii="宋体" w:hAnsi="宋体" w:cs="宋体"/>
                <w:kern w:val="0"/>
                <w:szCs w:val="21"/>
              </w:rPr>
            </w:pPr>
            <w:r>
              <w:rPr>
                <w:rFonts w:hint="eastAsia" w:ascii="宋体" w:hAnsi="宋体" w:cs="宋体"/>
                <w:color w:val="000000"/>
                <w:szCs w:val="21"/>
              </w:rPr>
              <w:t>3.2现场培训：投标供应商应提供现场技术培训，保证使用人员正常操作设备的各种功能。</w:t>
            </w:r>
          </w:p>
        </w:tc>
        <w:tc>
          <w:tcPr>
            <w:tcW w:w="1417" w:type="pct"/>
            <w:vAlign w:val="center"/>
          </w:tcPr>
          <w:p>
            <w:pPr>
              <w:numPr>
                <w:ilvl w:val="255"/>
                <w:numId w:val="0"/>
              </w:numPr>
              <w:adjustRightInd w:val="0"/>
              <w:snapToGrid w:val="0"/>
              <w:ind w:firstLine="420" w:firstLineChars="200"/>
              <w:rPr>
                <w:rFonts w:hint="eastAsia" w:ascii="宋体" w:hAnsi="宋体" w:cs="宋体"/>
                <w:color w:val="000000"/>
                <w:szCs w:val="21"/>
              </w:rPr>
            </w:pPr>
          </w:p>
        </w:tc>
        <w:tc>
          <w:tcPr>
            <w:tcW w:w="635" w:type="pct"/>
            <w:vAlign w:val="center"/>
          </w:tcPr>
          <w:p>
            <w:pPr>
              <w:numPr>
                <w:ilvl w:val="255"/>
                <w:numId w:val="0"/>
              </w:numPr>
              <w:adjustRightInd w:val="0"/>
              <w:snapToGrid w:val="0"/>
              <w:ind w:firstLine="420" w:firstLineChars="200"/>
              <w:rPr>
                <w:rFonts w:hint="eastAsia" w:ascii="宋体" w:hAnsi="宋体" w:cs="宋体"/>
                <w:color w:val="000000"/>
                <w:szCs w:val="21"/>
              </w:rPr>
            </w:pPr>
          </w:p>
        </w:tc>
        <w:tc>
          <w:tcPr>
            <w:tcW w:w="570" w:type="pct"/>
            <w:vAlign w:val="center"/>
          </w:tcPr>
          <w:p>
            <w:pPr>
              <w:numPr>
                <w:ilvl w:val="255"/>
                <w:numId w:val="0"/>
              </w:numPr>
              <w:adjustRightInd w:val="0"/>
              <w:snapToGrid w:val="0"/>
              <w:ind w:firstLine="420" w:firstLineChars="200"/>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64" w:type="pct"/>
            <w:vAlign w:val="center"/>
          </w:tcPr>
          <w:p>
            <w:pPr>
              <w:jc w:val="center"/>
              <w:rPr>
                <w:rFonts w:hint="eastAsia" w:ascii="宋体" w:hAnsi="宋体" w:eastAsia="宋体"/>
                <w:b/>
                <w:szCs w:val="21"/>
                <w:lang w:eastAsia="zh-CN"/>
              </w:rPr>
            </w:pPr>
            <w:r>
              <w:rPr>
                <w:rFonts w:hint="eastAsia" w:ascii="宋体" w:hAnsi="宋体"/>
                <w:b w:val="0"/>
                <w:bCs/>
                <w:szCs w:val="21"/>
                <w:lang w:val="en-US" w:eastAsia="zh-CN"/>
              </w:rPr>
              <w:t>7</w:t>
            </w:r>
          </w:p>
        </w:tc>
        <w:tc>
          <w:tcPr>
            <w:tcW w:w="389" w:type="pct"/>
            <w:vAlign w:val="center"/>
          </w:tcPr>
          <w:p>
            <w:pPr>
              <w:jc w:val="center"/>
              <w:rPr>
                <w:rFonts w:ascii="宋体" w:hAnsi="宋体"/>
                <w:b/>
                <w:szCs w:val="21"/>
              </w:rPr>
            </w:pPr>
            <w:r>
              <w:rPr>
                <w:rFonts w:ascii="宋体" w:hAnsi="宋体"/>
                <w:b/>
                <w:color w:val="000000"/>
                <w:szCs w:val="21"/>
              </w:rPr>
              <w:t>其他</w:t>
            </w:r>
          </w:p>
        </w:tc>
        <w:tc>
          <w:tcPr>
            <w:tcW w:w="1823" w:type="pct"/>
            <w:vAlign w:val="center"/>
          </w:tcPr>
          <w:p>
            <w:pPr>
              <w:rPr>
                <w:rFonts w:ascii="宋体" w:hAnsi="宋体"/>
                <w:szCs w:val="21"/>
              </w:rPr>
            </w:pPr>
            <w:r>
              <w:rPr>
                <w:rFonts w:hint="eastAsia" w:ascii="宋体" w:hAnsi="宋体" w:cs="宋体"/>
                <w:color w:val="000000"/>
                <w:szCs w:val="21"/>
              </w:rPr>
              <w:t>投标供应商应按其投标文件中的承诺，进行其他售后服务工作。</w:t>
            </w:r>
          </w:p>
        </w:tc>
        <w:tc>
          <w:tcPr>
            <w:tcW w:w="1417" w:type="pct"/>
            <w:vAlign w:val="center"/>
          </w:tcPr>
          <w:p>
            <w:pPr>
              <w:rPr>
                <w:rFonts w:hint="eastAsia" w:ascii="宋体" w:hAnsi="宋体" w:cs="宋体"/>
                <w:color w:val="000000"/>
                <w:szCs w:val="21"/>
              </w:rPr>
            </w:pPr>
          </w:p>
        </w:tc>
        <w:tc>
          <w:tcPr>
            <w:tcW w:w="635" w:type="pct"/>
            <w:vAlign w:val="center"/>
          </w:tcPr>
          <w:p>
            <w:pPr>
              <w:rPr>
                <w:rFonts w:hint="eastAsia" w:ascii="宋体" w:hAnsi="宋体" w:cs="宋体"/>
                <w:color w:val="000000"/>
                <w:szCs w:val="21"/>
              </w:rPr>
            </w:pPr>
          </w:p>
        </w:tc>
        <w:tc>
          <w:tcPr>
            <w:tcW w:w="570" w:type="pct"/>
            <w:vAlign w:val="center"/>
          </w:tcPr>
          <w:p>
            <w:pPr>
              <w:rPr>
                <w:rFonts w:hint="eastAsia" w:ascii="宋体" w:hAnsi="宋体" w:cs="宋体"/>
                <w:color w:val="000000"/>
                <w:szCs w:val="21"/>
              </w:rPr>
            </w:pPr>
          </w:p>
        </w:tc>
      </w:tr>
    </w:tbl>
    <w:p>
      <w:pPr>
        <w:adjustRightInd w:val="0"/>
        <w:snapToGrid w:val="0"/>
        <w:spacing w:line="360" w:lineRule="auto"/>
        <w:ind w:firstLine="420" w:firstLineChars="200"/>
        <w:jc w:val="left"/>
        <w:rPr>
          <w:rFonts w:hint="eastAsia" w:asciiTheme="minorEastAsia" w:hAnsiTheme="minorEastAsia" w:eastAsiaTheme="minorEastAsia" w:cstheme="minorEastAsia"/>
          <w:szCs w:val="21"/>
        </w:rPr>
      </w:pPr>
    </w:p>
    <w:p>
      <w:pPr>
        <w:adjustRightInd w:val="0"/>
        <w:snapToGrid w:val="0"/>
        <w:spacing w:line="360" w:lineRule="auto"/>
        <w:ind w:firstLine="420" w:firstLineChars="200"/>
        <w:jc w:val="left"/>
        <w:rPr>
          <w:rFonts w:hint="eastAsia" w:asciiTheme="minorEastAsia" w:hAnsiTheme="minorEastAsia" w:eastAsiaTheme="minorEastAsia" w:cstheme="minorEastAsia"/>
          <w:szCs w:val="21"/>
        </w:rPr>
      </w:pPr>
    </w:p>
    <w:p>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投标人（公章）：</w:t>
      </w:r>
    </w:p>
    <w:p>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法定代表人或其授权代表签名：</w:t>
      </w:r>
    </w:p>
    <w:p>
      <w:pPr>
        <w:spacing w:line="500" w:lineRule="exact"/>
        <w:ind w:firstLine="420" w:firstLineChars="200"/>
        <w:jc w:val="left"/>
        <w:rPr>
          <w:rFonts w:ascii="仿宋" w:hAnsi="仿宋" w:eastAsia="仿宋" w:cs="仿宋"/>
          <w:sz w:val="24"/>
        </w:rPr>
      </w:pPr>
      <w:r>
        <w:rPr>
          <w:rFonts w:hint="eastAsia" w:asciiTheme="minorEastAsia" w:hAnsiTheme="minorEastAsia" w:eastAsiaTheme="minorEastAsia" w:cstheme="minorEastAsia"/>
          <w:szCs w:val="21"/>
        </w:rPr>
        <w:t>日期：      年    月    日</w:t>
      </w:r>
    </w:p>
    <w:p>
      <w:pPr>
        <w:widowControl/>
        <w:jc w:val="center"/>
        <w:textAlignment w:val="center"/>
        <w:rPr>
          <w:rFonts w:hint="eastAsia" w:ascii="仿宋" w:hAnsi="仿宋" w:eastAsia="仿宋" w:cs="仿宋"/>
          <w:b/>
          <w:color w:val="000000"/>
          <w:kern w:val="0"/>
          <w:sz w:val="44"/>
          <w:szCs w:val="44"/>
        </w:rPr>
      </w:pPr>
    </w:p>
    <w:p>
      <w:pPr>
        <w:sectPr>
          <w:pgSz w:w="16838" w:h="11906" w:orient="landscape"/>
          <w:pgMar w:top="1304" w:right="2098" w:bottom="1474" w:left="1984" w:header="851" w:footer="1417" w:gutter="0"/>
          <w:pgNumType w:fmt="numberInDash"/>
          <w:cols w:space="0" w:num="1"/>
          <w:docGrid w:type="lines" w:linePitch="327" w:charSpace="0"/>
        </w:sectPr>
      </w:pPr>
    </w:p>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rPr>
        <w:t>服务类合同模板（</w:t>
      </w:r>
      <w:r>
        <w:rPr>
          <w:rFonts w:hint="eastAsia" w:ascii="仿宋" w:hAnsi="仿宋" w:eastAsia="仿宋" w:cs="仿宋"/>
          <w:b/>
          <w:color w:val="000000"/>
          <w:kern w:val="0"/>
          <w:sz w:val="28"/>
          <w:szCs w:val="28"/>
        </w:rPr>
        <w:t>合同模板仅供参考，中标人根据招投标文件拟定）</w:t>
      </w:r>
    </w:p>
    <w:p>
      <w:pPr>
        <w:jc w:val="center"/>
        <w:rPr>
          <w:rFonts w:ascii="仿宋" w:hAnsi="仿宋" w:eastAsia="仿宋"/>
          <w:b/>
          <w:sz w:val="44"/>
          <w:szCs w:val="44"/>
        </w:rPr>
      </w:pPr>
    </w:p>
    <w:p>
      <w:pPr>
        <w:jc w:val="center"/>
        <w:rPr>
          <w:rFonts w:ascii="仿宋" w:hAnsi="仿宋" w:eastAsia="仿宋"/>
          <w:b/>
          <w:sz w:val="44"/>
          <w:szCs w:val="44"/>
        </w:rPr>
      </w:pPr>
      <w:r>
        <w:rPr>
          <w:rFonts w:hint="eastAsia" w:ascii="仿宋" w:hAnsi="仿宋" w:eastAsia="仿宋"/>
          <w:b/>
          <w:sz w:val="44"/>
          <w:szCs w:val="44"/>
        </w:rPr>
        <w:t>《龙岗区第七人民医院采购合同》</w:t>
      </w:r>
    </w:p>
    <w:p>
      <w:pPr>
        <w:spacing w:line="440" w:lineRule="exact"/>
        <w:ind w:firstLine="560" w:firstLineChars="200"/>
        <w:rPr>
          <w:rFonts w:ascii="仿宋" w:hAnsi="仿宋" w:eastAsia="仿宋"/>
          <w:sz w:val="28"/>
          <w:szCs w:val="28"/>
        </w:rPr>
      </w:pP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宋体"/>
          <w:sz w:val="28"/>
          <w:szCs w:val="28"/>
          <w:u w:val="single"/>
        </w:rPr>
        <w:t xml:space="preserve">                     </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_GB2312"/>
          <w:sz w:val="28"/>
          <w:szCs w:val="28"/>
          <w:u w:val="single"/>
        </w:rPr>
        <w:t xml:space="preserve">                     </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sz w:val="28"/>
          <w:szCs w:val="28"/>
          <w:u w:val="single"/>
        </w:rPr>
        <w:t>服务类</w:t>
      </w:r>
      <w:r>
        <w:rPr>
          <w:rFonts w:hint="eastAsia" w:ascii="仿宋" w:hAnsi="仿宋" w:eastAsia="仿宋" w:cs="仿宋"/>
          <w:sz w:val="28"/>
          <w:szCs w:val="28"/>
          <w:u w:val="single"/>
        </w:rPr>
        <w:t>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采购单位（甲方）：</w:t>
      </w:r>
      <w:r>
        <w:rPr>
          <w:rFonts w:hint="eastAsia" w:ascii="仿宋" w:hAnsi="仿宋" w:eastAsia="仿宋"/>
          <w:sz w:val="28"/>
          <w:szCs w:val="28"/>
          <w:u w:val="single"/>
        </w:rPr>
        <w:t>深圳市龙岗区第七人民医院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r>
        <w:rPr>
          <w:rFonts w:hint="eastAsia" w:ascii="仿宋" w:hAnsi="仿宋" w:eastAsia="仿宋" w:cs="宋体"/>
          <w:kern w:val="0"/>
          <w:sz w:val="28"/>
          <w:szCs w:val="28"/>
          <w:u w:val="single"/>
        </w:rPr>
        <w:t xml:space="preserve">                        </w:t>
      </w:r>
    </w:p>
    <w:p>
      <w:pPr>
        <w:spacing w:line="480" w:lineRule="exact"/>
        <w:ind w:firstLine="560" w:firstLineChars="200"/>
        <w:rPr>
          <w:rFonts w:ascii="仿宋" w:hAnsi="仿宋" w:eastAsia="仿宋" w:cs="仿宋_GB2312"/>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 xml:space="preserve">                  </w:t>
      </w:r>
      <w:r>
        <w:rPr>
          <w:rFonts w:hint="eastAsia" w:ascii="仿宋" w:hAnsi="仿宋" w:eastAsia="仿宋" w:cs="仿宋"/>
          <w:sz w:val="28"/>
          <w:szCs w:val="28"/>
        </w:rPr>
        <w:t>的招标结果并经双方协商签订本合同。</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第一条  合同标的</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项目内容：</w:t>
      </w:r>
      <w:r>
        <w:rPr>
          <w:rFonts w:hint="eastAsia" w:ascii="仿宋" w:hAnsi="仿宋" w:eastAsia="仿宋" w:cs="仿宋_GB2312"/>
          <w:sz w:val="28"/>
          <w:szCs w:val="28"/>
          <w:u w:val="single"/>
        </w:rPr>
        <w:t xml:space="preserve">                        </w:t>
      </w:r>
    </w:p>
    <w:p>
      <w:pPr>
        <w:spacing w:line="480" w:lineRule="exact"/>
        <w:ind w:firstLine="560" w:firstLineChars="200"/>
        <w:rPr>
          <w:rFonts w:ascii="仿宋" w:hAnsi="仿宋" w:eastAsia="仿宋" w:cs="仿宋_GB2312"/>
          <w:sz w:val="28"/>
          <w:szCs w:val="28"/>
          <w:u w:val="single"/>
        </w:rPr>
      </w:pPr>
      <w:r>
        <w:rPr>
          <w:rFonts w:hint="eastAsia" w:ascii="仿宋" w:hAnsi="仿宋" w:eastAsia="仿宋" w:cs="仿宋_GB2312"/>
          <w:sz w:val="28"/>
          <w:szCs w:val="28"/>
        </w:rPr>
        <w:t>合同期限为1年，合同有效期自</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日至</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一年合同期满后，经履约考核为优或良好的可按原合同条款续签下一年度合同，每次续签期限为1年，最多可续签2次。（是否续约应以公开招标文件或中标通知书中有明确约定的可在合同内约定续签事项）。</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第二条  服务费用</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本合同价款：合同总价为人民币</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r>
        <w:rPr>
          <w:rFonts w:hint="eastAsia" w:ascii="仿宋" w:hAnsi="仿宋" w:eastAsia="仿宋" w:cs="仿宋"/>
          <w:sz w:val="28"/>
          <w:szCs w:val="28"/>
        </w:rPr>
        <w:t>（￥</w:t>
      </w:r>
      <w:r>
        <w:rPr>
          <w:rFonts w:hint="eastAsia" w:ascii="仿宋" w:hAnsi="仿宋" w:eastAsia="仿宋" w:cs="宋体"/>
          <w:b/>
          <w:sz w:val="28"/>
          <w:szCs w:val="28"/>
          <w:u w:val="single"/>
        </w:rPr>
        <w:t xml:space="preserve">     </w:t>
      </w:r>
      <w:r>
        <w:rPr>
          <w:rFonts w:hint="eastAsia" w:ascii="仿宋" w:hAnsi="仿宋" w:eastAsia="仿宋" w:cs="仿宋"/>
          <w:sz w:val="28"/>
          <w:szCs w:val="28"/>
        </w:rPr>
        <w:t>）</w:t>
      </w:r>
      <w:r>
        <w:rPr>
          <w:rFonts w:hint="eastAsia" w:ascii="仿宋" w:hAnsi="仿宋" w:eastAsia="仿宋" w:cs="仿宋_GB2312"/>
          <w:sz w:val="28"/>
          <w:szCs w:val="28"/>
        </w:rPr>
        <w:t>。</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人民币报价，</w:t>
      </w:r>
      <w:r>
        <w:rPr>
          <w:rFonts w:hint="eastAsia" w:ascii="仿宋" w:hAnsi="仿宋" w:eastAsia="仿宋" w:cs="仿宋"/>
          <w:sz w:val="28"/>
          <w:szCs w:val="28"/>
        </w:rPr>
        <w:t>总承包报价。报价</w:t>
      </w:r>
      <w:r>
        <w:rPr>
          <w:rFonts w:hint="eastAsia" w:ascii="仿宋" w:hAnsi="仿宋" w:eastAsia="仿宋" w:cs="仿宋_GB2312"/>
          <w:sz w:val="28"/>
          <w:szCs w:val="28"/>
        </w:rPr>
        <w:t>包含税费、人工费、材料费、培训费、维保费等所有费用。</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第三条  付款方式</w:t>
      </w:r>
    </w:p>
    <w:p>
      <w:pPr>
        <w:pStyle w:val="6"/>
        <w:spacing w:line="480" w:lineRule="exact"/>
        <w:rPr>
          <w:rFonts w:ascii="仿宋" w:hAnsi="仿宋" w:eastAsia="仿宋" w:cs="仿宋_GB2312"/>
          <w:sz w:val="28"/>
          <w:szCs w:val="28"/>
        </w:rPr>
      </w:pPr>
      <w:r>
        <w:rPr>
          <w:rFonts w:hint="eastAsia" w:ascii="仿宋" w:hAnsi="仿宋" w:eastAsia="仿宋" w:cs="仿宋_GB2312"/>
          <w:sz w:val="28"/>
          <w:szCs w:val="28"/>
        </w:rPr>
        <w:t>1.详细约定参照招标文件中的约定。</w:t>
      </w:r>
    </w:p>
    <w:p>
      <w:pPr>
        <w:pStyle w:val="6"/>
        <w:spacing w:line="480" w:lineRule="exact"/>
        <w:rPr>
          <w:rFonts w:ascii="仿宋" w:hAnsi="仿宋" w:eastAsia="仿宋" w:cs="仿宋_GB2312"/>
          <w:sz w:val="28"/>
          <w:szCs w:val="28"/>
        </w:rPr>
      </w:pPr>
      <w:r>
        <w:rPr>
          <w:rFonts w:hint="eastAsia" w:ascii="仿宋" w:hAnsi="仿宋" w:eastAsia="仿宋" w:cs="仿宋_GB2312"/>
          <w:sz w:val="28"/>
          <w:szCs w:val="28"/>
        </w:rPr>
        <w:t>2.甲乙双方所有款项往来均通过银行转账方式进行，双方指定的收款银行账户信息详见本合同落款处。</w:t>
      </w:r>
    </w:p>
    <w:p>
      <w:pPr>
        <w:pStyle w:val="6"/>
        <w:spacing w:line="480" w:lineRule="exact"/>
        <w:rPr>
          <w:rFonts w:ascii="仿宋" w:hAnsi="仿宋" w:eastAsia="仿宋" w:cs="仿宋_GB2312"/>
          <w:sz w:val="28"/>
          <w:szCs w:val="28"/>
        </w:rPr>
      </w:pPr>
      <w:r>
        <w:rPr>
          <w:rFonts w:hint="eastAsia" w:ascii="仿宋" w:hAnsi="仿宋" w:eastAsia="仿宋" w:cs="仿宋_GB2312"/>
          <w:sz w:val="28"/>
          <w:szCs w:val="28"/>
        </w:rPr>
        <w:t>3.乙方应在甲方付款前开具合法有效的发票，甲方收到乙方合法的增值税发票后，根据双方约定时间支付款项。若由于乙方逾期未提供合法有效的增值税发票或者提供发票不齐全，甲方有权拒绝付款，直至票据齐全、合法，且不视为甲方违约。</w:t>
      </w:r>
    </w:p>
    <w:p>
      <w:pPr>
        <w:pStyle w:val="6"/>
        <w:spacing w:line="480" w:lineRule="exact"/>
        <w:rPr>
          <w:rFonts w:ascii="仿宋" w:hAnsi="仿宋" w:eastAsia="仿宋" w:cs="仿宋_GB2312"/>
          <w:sz w:val="28"/>
          <w:szCs w:val="28"/>
        </w:rPr>
      </w:pPr>
      <w:r>
        <w:rPr>
          <w:rFonts w:hint="eastAsia" w:ascii="仿宋" w:hAnsi="仿宋" w:eastAsia="仿宋" w:cs="仿宋_GB2312"/>
          <w:sz w:val="28"/>
          <w:szCs w:val="28"/>
        </w:rPr>
        <w:t>4.乙方应向甲方提供真实有效的银行账户，银行账户如有变更，应立即书面通知甲方，如乙方银行账户变更未书面通知甲方，甲方向本合同约定的收款账户付款造成乙方实际未收到款的，该责任由乙方自行承担。未经甲方书面认可，乙方不得将应收款项转让给任何第三方或让任何第三方代收，否则甲方有权拒绝付款。</w:t>
      </w:r>
    </w:p>
    <w:p>
      <w:pPr>
        <w:spacing w:line="480" w:lineRule="exact"/>
        <w:ind w:firstLine="560" w:firstLineChars="200"/>
        <w:rPr>
          <w:rFonts w:ascii="仿宋" w:hAnsi="仿宋" w:eastAsia="仿宋" w:cs="仿宋_GB2312"/>
          <w:b/>
          <w:bCs/>
          <w:sz w:val="28"/>
          <w:szCs w:val="28"/>
        </w:rPr>
      </w:pPr>
      <w:r>
        <w:rPr>
          <w:rFonts w:hint="eastAsia" w:ascii="仿宋" w:hAnsi="仿宋" w:eastAsia="仿宋" w:cs="仿宋_GB2312"/>
          <w:sz w:val="28"/>
          <w:szCs w:val="28"/>
        </w:rPr>
        <w:t>5.若本合同付款涉及甲方内部或财政审批迟延的特殊情况，甲方未能按约付款的，乙方对此表示理解，甲方应向乙方进行说明并明确新的付款期限。</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第四条  项目概况</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第五条  服务内容及要求</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1.合同签订日起</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天内完成项目实施的准备工作，包括服务内容的大纲及服务团队的组建；</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2. </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第六条  服务团队</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1.乙方指派</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为负责人（联系方式：</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）的工作团队为甲方提供服务。未经甲方书面同意，乙方不得随意更换团队成员。</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2.必须使用公司直属人员参与本项目服务，不得使用挂靠队伍。</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乙方指派的团队成员资质和能力必须与投标文件中的服务承诺书和服务组织实施方案一致。如甲方对团队成员有异议或要求，乙方保证无条件配合甲方更换团队成员，且更换后人员的资质和能力符合甲方的要求。</w:t>
      </w:r>
    </w:p>
    <w:p>
      <w:pPr>
        <w:spacing w:line="480" w:lineRule="exact"/>
        <w:ind w:firstLine="560" w:firstLineChars="200"/>
        <w:rPr>
          <w:rFonts w:ascii="仿宋" w:hAnsi="仿宋" w:eastAsia="仿宋" w:cs="仿宋_GB2312"/>
          <w:b/>
          <w:bCs/>
          <w:sz w:val="28"/>
          <w:szCs w:val="28"/>
        </w:rPr>
      </w:pPr>
      <w:r>
        <w:rPr>
          <w:rFonts w:hint="eastAsia" w:ascii="仿宋" w:hAnsi="仿宋" w:eastAsia="仿宋" w:cs="仿宋_GB2312"/>
          <w:sz w:val="28"/>
          <w:szCs w:val="28"/>
        </w:rPr>
        <w:t>4.自乙方向甲方提供服务之日起，甲乙双方</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举行一次工作例会，由乙方团队主要成员向甲方汇报工作进展和需求，并就服务工作进行沟通和交流。</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第七条  服务资料归属</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1.所有提交给甲方的服务文件及相关的资料的最后文本，包括为履行服务范围所编制的图纸、计划和证明资料等，都属于甲方的财产，乙方在提交给甲方之前应将上述资料进行整理归类和编制索引。</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2.乙方未经甲方的书面同意，不得将上述资料用于本咨询服务项目之外的任何项目。</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3.合同履行完毕，未经甲方的书面同意，乙方不得保存在履行合同过程中所获得或接触的任何内部数据资料。</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第八条  甲方的权利与义务</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1.甲方有权对乙方的工作进行监督和检查、有权对乙方提出修改意见和建议。</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2.甲方有权对乙方提交的服务成果进行验收，验收不合格的有权要求乙方修改，直至甲方验收合格。</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3.对于验收合格后的服务成果，甲方应向乙方支付服务费用。</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第九条  乙方的权利与义务</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1.乙方有权要求甲方支付服务费用。</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2.对于服务需求不明确的，乙方有权要求甲方明确具体服务需求。</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3.乙方应勤勉尽职地为甲方提供服务，并尽最大努力满足甲方对乙方的专业服务需求。</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4.乙方应在约定时间内按照甲方要求的形式、数量提交服务成果。</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5.未经甲方书面同意，乙方不得将本合同项下的服务内容全部或部分委托给第三方完成。</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6.如乙方为提供本合同项下的服务而保管甲方交付的设备、物品等，保管期间，乙方应谨慎尽职，不论何种原因包括不可抗力因素，乙方均需确保设备、物品的安全，不遭受损害。</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7.乙方应做到合法用工，与工作人员建立合法的劳动/劳务关系，负责工作人员的工资、社会保险及其他保险的购买。乙方与其工作人员发生的一切纠纷均与甲方无关。</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8.乙方应按照国家规定为工作人员提供合理的工作条件与保护设施，乙方工作人员在甲方场地内发生的一切意外、事故等均由乙方承担，与甲方无关。</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9.乙方在甲方院内提供服务的，应保证其工作人员严格遵守甲方各项管理规定，服务过程中如造成甲方场所及设施损坏、工作人员人身伤害或第三方人身伤害、财产损失，乙方应承担全部赔偿责任。</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第十条  保证与承诺</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1.乙方保证所提供的产品/服务/成果不侵犯任何第三方的知识产权或其他合法权益。</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2.甲乙双方保证对在本次合作中知悉对方的商业秘密履行保密义务，在与本协议无关的工作中，不泄露、不以任何原因任意使用相关的合同、数据、资料与信息等。</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在向甲方提供服务的过程中，如乙方可能从设备上存取、查看和/或下载包括个人数据、用来直接或间接地识别出个人相关信息等计算机文档。个人数据可能包括个人健康信息和非健康信息（如姓名、出生日期、性别等）。乙方对个人数据等相关文档的使用仅限于履行本合同规定的义务所必需的限度内，不得擅自翻阅、复制、传播所接触的用户资料或数据，乙方和相关人员保证不泄密、以任何原因使用或允许他人使用用户设备数据、资料与信息等。乙方对其指派的工作人员的保密义务承担责任。</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保密义务应同样适用于甲乙双方的员工、辅助人员和三方合作者。本条款的效力长期有效，不因合同履行完毕、终止而失效。如因司法机关或政府部门要求，甲方上级检查及同级单位学习而对外披露商业秘密的，不视为违反保密义务。</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5.合同履行期间，乙方应主动维护甲方的名誉与利益，不作出任何损害甲方名誉与利益的行为。</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6.未经甲方事先书面同意，乙方不得使用甲方名义等对外进行宣传。</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7.乙方及乙方参加项目的有关人员均需同甲方签订保密协议。</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第十一条  免责条款</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若甲、乙双方的任何一方由于不可抗力原因造成不能及时履行或不能履行合同时，应及时向对方通报不能履行或不能及时履行的理由，在取得有关证明后，允许延期履行、部分履行或不履行合同，并根据情况，免除相应责任。</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第十二条  违约责任</w:t>
      </w:r>
    </w:p>
    <w:p>
      <w:pPr>
        <w:spacing w:line="480" w:lineRule="exact"/>
        <w:ind w:firstLine="560" w:firstLineChars="200"/>
        <w:rPr>
          <w:rFonts w:ascii="仿宋" w:hAnsi="仿宋" w:eastAsia="仿宋" w:cs="仿宋_GB2312"/>
          <w:sz w:val="28"/>
          <w:szCs w:val="28"/>
        </w:rPr>
      </w:pPr>
      <w:bookmarkStart w:id="23" w:name="_Hlk42353112"/>
      <w:r>
        <w:rPr>
          <w:rFonts w:hint="eastAsia" w:ascii="仿宋" w:hAnsi="仿宋" w:eastAsia="仿宋" w:cs="仿宋_GB2312"/>
          <w:sz w:val="28"/>
          <w:szCs w:val="28"/>
        </w:rPr>
        <w:t>1.双方均应忠实履行合同约定的各项内容，任何一方违反本合同，均应承担违约责任。双方约定如一方违反合同约定，则违约方应向守约方支付违约金，违约金的金额为合同总价款的（）%，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bookmarkEnd w:id="23"/>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2.乙方未按照双方约定的时间提交服务成果的，每延迟一天，应该按照服务费用金额的（）%向甲方支付违约金。</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3.发生以下情形之一，甲方有权单方解除本合同，乙方应向甲方退回已支付的全部款项，且甲方有权要求乙方按照服务费总金额的（）%支付违约金：</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（1）乙方延迟提交服务成果超过</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天；</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（2）未经甲方书面同意，乙方将本合同项下部分或全部工作委托给第三方承担的。</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4.如乙方原因导致提供的服务成果存在侵犯第三方知识产权或其他合法权益的情形，乙方除了承担全部赔偿责任之外，还应按照合同总金额（）%向甲方支付违约金。</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5.甲方有权自应支付给乙方的服务费用中直接扣除各种索赔款项，包括但不限于赔偿款、违约金、律师费、诉讼费、鉴定费等。</w:t>
      </w:r>
    </w:p>
    <w:p>
      <w:pPr>
        <w:pStyle w:val="34"/>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6.服务期间，若乙方被甲方用户投诉，经确认为有效投诉的每次扣除人民币</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34"/>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7.甲方每  个月组织一次履约评价，总分低于</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分的根据差额分进行经济处罚。处罚约定根据招标文件中的约定执行。</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第十一条  争议解决</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因履行本合同引起的或与本合同有关的争议，甲乙双方应首先通过友好协商解决，如果协商不能解决，则通过向甲方所在地有管辖权的人民法院提起诉讼解决。</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第十二条  本合同附件</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以下附件及乙方投标时提供的投标文件和其他相关资料作为本合同的补充内容，具有同等法律效力。</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附件1：服务项目清单（加盖公章）；</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附件2：深圳市龙岗区第七人民医院廉洁购销合同；</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附件3：龙岗区进一步规范政商交往行为告知书；</w:t>
      </w:r>
    </w:p>
    <w:p>
      <w:pPr>
        <w:pStyle w:val="9"/>
        <w:ind w:firstLine="560" w:firstLineChars="200"/>
        <w:rPr>
          <w:rFonts w:ascii="仿宋" w:hAnsi="仿宋" w:eastAsia="仿宋" w:cs="仿宋_GB2312"/>
          <w:kern w:val="2"/>
          <w:sz w:val="28"/>
          <w:szCs w:val="28"/>
        </w:rPr>
      </w:pPr>
      <w:r>
        <w:rPr>
          <w:rFonts w:hint="eastAsia" w:ascii="仿宋" w:hAnsi="仿宋" w:eastAsia="仿宋" w:cs="仿宋_GB2312"/>
          <w:kern w:val="2"/>
          <w:sz w:val="28"/>
          <w:szCs w:val="28"/>
        </w:rPr>
        <w:t>附件4：……。</w:t>
      </w:r>
    </w:p>
    <w:p>
      <w:pPr>
        <w:spacing w:line="48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第十三条  合同生效及其它</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r>
        <w:rPr>
          <w:rFonts w:hint="eastAsia" w:ascii="仿宋" w:hAnsi="仿宋" w:eastAsia="仿宋" w:cs="仿宋"/>
          <w:sz w:val="28"/>
          <w:szCs w:val="28"/>
          <w:u w:val="single"/>
        </w:rPr>
        <w:t xml:space="preserve">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3.本合同未尽事宜，遵照《中华人民共和国民法典》有关条文执行。</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4.本合同正本一式</w:t>
      </w:r>
      <w:r>
        <w:rPr>
          <w:rFonts w:hint="eastAsia" w:ascii="仿宋" w:hAnsi="仿宋" w:eastAsia="仿宋" w:cs="仿宋"/>
          <w:sz w:val="28"/>
          <w:szCs w:val="28"/>
          <w:u w:val="single"/>
        </w:rPr>
        <w:t>肆</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叁</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p>
      <w:pPr>
        <w:pStyle w:val="6"/>
        <w:spacing w:line="440" w:lineRule="exact"/>
      </w:pPr>
    </w:p>
    <w:tbl>
      <w:tblPr>
        <w:tblStyle w:val="18"/>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甲方：深圳市龙岗区第七人民医院</w:t>
            </w:r>
          </w:p>
        </w:tc>
        <w:tc>
          <w:tcPr>
            <w:tcW w:w="4111"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c>
          <w:tcPr>
            <w:tcW w:w="4111"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纳税人识别号：12440307G34813567P</w:t>
            </w:r>
          </w:p>
        </w:tc>
        <w:tc>
          <w:tcPr>
            <w:tcW w:w="4111"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11" w:type="dxa"/>
            <w:noWrap/>
          </w:tcPr>
          <w:p>
            <w:pPr>
              <w:spacing w:line="360" w:lineRule="auto"/>
            </w:pPr>
            <w:r>
              <w:rPr>
                <w:rFonts w:hint="eastAsia" w:ascii="仿宋" w:hAnsi="仿宋" w:eastAsia="仿宋" w:cs="仿宋"/>
                <w:b/>
                <w:bCs/>
                <w:kern w:val="0"/>
                <w:sz w:val="24"/>
              </w:rPr>
              <w:t>开户银行：</w:t>
            </w:r>
          </w:p>
        </w:tc>
        <w:tc>
          <w:tcPr>
            <w:tcW w:w="4111" w:type="dxa"/>
            <w:noWra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lang w:eastAsia="zh-CN"/>
              </w:rPr>
              <w:t>账</w:t>
            </w:r>
            <w:r>
              <w:rPr>
                <w:rFonts w:hint="eastAsia" w:ascii="仿宋" w:hAnsi="仿宋" w:eastAsia="仿宋" w:cs="仿宋"/>
                <w:b/>
                <w:bCs/>
                <w:color w:val="000000"/>
                <w:sz w:val="24"/>
              </w:rPr>
              <w:t xml:space="preserve">    号：</w:t>
            </w:r>
          </w:p>
        </w:tc>
        <w:tc>
          <w:tcPr>
            <w:tcW w:w="4111"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lang w:eastAsia="zh-CN"/>
              </w:rPr>
              <w:t>账</w:t>
            </w:r>
            <w:r>
              <w:rPr>
                <w:rFonts w:hint="eastAsia" w:ascii="仿宋" w:hAnsi="仿宋" w:eastAsia="仿宋" w:cs="仿宋"/>
                <w:b/>
                <w:bCs/>
                <w:color w:val="000000"/>
                <w:sz w:val="24"/>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ascii="仿宋" w:hAnsi="仿宋" w:eastAsia="仿宋" w:cs="仿宋"/>
                <w:b/>
                <w:bCs/>
                <w:kern w:val="0"/>
                <w:sz w:val="24"/>
              </w:rPr>
            </w:pPr>
            <w:r>
              <w:rPr>
                <w:rFonts w:hint="eastAsia" w:ascii="仿宋" w:hAnsi="仿宋" w:eastAsia="仿宋" w:cs="仿宋"/>
                <w:b/>
                <w:bCs/>
                <w:color w:val="000000"/>
                <w:sz w:val="24"/>
              </w:rPr>
              <w:t>电话：</w:t>
            </w:r>
          </w:p>
        </w:tc>
        <w:tc>
          <w:tcPr>
            <w:tcW w:w="4111"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4111"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甲方法定代表人或授权人（签字）：</w:t>
            </w:r>
          </w:p>
          <w:p>
            <w:pPr>
              <w:pStyle w:val="6"/>
              <w:ind w:firstLine="0"/>
            </w:pPr>
          </w:p>
          <w:p>
            <w:pPr>
              <w:pStyle w:val="6"/>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分管领导、经办科室负责人（签字）：</w:t>
            </w:r>
          </w:p>
          <w:p>
            <w:pPr>
              <w:pStyle w:val="6"/>
              <w:ind w:firstLine="0"/>
            </w:pPr>
          </w:p>
          <w:p>
            <w:pPr>
              <w:pStyle w:val="6"/>
              <w:ind w:firstLine="0"/>
            </w:pPr>
          </w:p>
        </w:tc>
        <w:tc>
          <w:tcPr>
            <w:tcW w:w="4111"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乙方法定代表人（签字）：</w:t>
            </w:r>
          </w:p>
          <w:p>
            <w:pPr>
              <w:pStyle w:val="6"/>
              <w:ind w:firstLine="0"/>
            </w:pPr>
          </w:p>
          <w:p>
            <w:pPr>
              <w:pStyle w:val="6"/>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或授权人（签字）：</w:t>
            </w:r>
          </w:p>
          <w:p>
            <w:pPr>
              <w:pStyle w:val="6"/>
              <w:ind w:firstLine="0"/>
            </w:pPr>
          </w:p>
          <w:p>
            <w:pPr>
              <w:pStyle w:val="6"/>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22" w:type="dxa"/>
            <w:gridSpan w:val="2"/>
            <w:noWrap/>
            <w:vAlign w:val="center"/>
          </w:tcPr>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签约时间：    年  月  日</w:t>
            </w:r>
          </w:p>
          <w:p>
            <w:pPr>
              <w:spacing w:line="480" w:lineRule="exact"/>
              <w:jc w:val="center"/>
              <w:rPr>
                <w:rFonts w:ascii="宋体" w:hAnsi="宋体" w:eastAsia="仿宋"/>
                <w:kern w:val="0"/>
                <w:sz w:val="24"/>
              </w:rPr>
            </w:pPr>
            <w:r>
              <w:rPr>
                <w:rFonts w:hint="eastAsia" w:ascii="仿宋" w:hAnsi="仿宋" w:eastAsia="仿宋" w:cs="仿宋"/>
                <w:b/>
                <w:bCs/>
                <w:color w:val="000000"/>
                <w:sz w:val="28"/>
                <w:szCs w:val="28"/>
              </w:rPr>
              <w:t>签约地址：深圳市龙岗区第七人民医院</w:t>
            </w:r>
          </w:p>
        </w:tc>
      </w:tr>
    </w:tbl>
    <w:p>
      <w:pPr>
        <w:spacing w:line="500" w:lineRule="exact"/>
        <w:rPr>
          <w:rFonts w:ascii="仿宋" w:hAnsi="仿宋" w:eastAsia="仿宋" w:cs="仿宋"/>
          <w:sz w:val="28"/>
          <w:szCs w:val="28"/>
        </w:rPr>
      </w:pPr>
    </w:p>
    <w:p>
      <w:pPr>
        <w:pStyle w:val="9"/>
        <w:rPr>
          <w:rFonts w:ascii="仿宋" w:hAnsi="仿宋" w:eastAsia="仿宋" w:cs="仿宋"/>
          <w:sz w:val="28"/>
          <w:szCs w:val="28"/>
        </w:rPr>
      </w:pPr>
    </w:p>
    <w:p>
      <w:pPr>
        <w:rPr>
          <w:rFonts w:ascii="仿宋" w:hAnsi="仿宋" w:eastAsia="仿宋" w:cs="仿宋"/>
          <w:sz w:val="28"/>
          <w:szCs w:val="28"/>
        </w:rPr>
      </w:pPr>
    </w:p>
    <w:p>
      <w:pPr>
        <w:tabs>
          <w:tab w:val="left" w:pos="0"/>
        </w:tabs>
        <w:snapToGrid w:val="0"/>
        <w:spacing w:line="480" w:lineRule="exact"/>
        <w:rPr>
          <w:rFonts w:ascii="仿宋" w:hAnsi="仿宋" w:eastAsia="仿宋" w:cs="仿宋"/>
          <w:b/>
          <w:bCs/>
          <w:sz w:val="32"/>
          <w:szCs w:val="32"/>
        </w:rPr>
        <w:sectPr>
          <w:pgSz w:w="11906" w:h="16838"/>
          <w:pgMar w:top="2098" w:right="1474" w:bottom="1984" w:left="1304" w:header="851" w:footer="1417" w:gutter="0"/>
          <w:pgNumType w:fmt="numberInDash"/>
          <w:cols w:space="0" w:num="1"/>
          <w:docGrid w:type="lines" w:linePitch="338" w:charSpace="0"/>
        </w:sectPr>
      </w:pPr>
    </w:p>
    <w:p>
      <w:pPr>
        <w:widowControl/>
        <w:spacing w:line="56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ascii="楷体_GB2312" w:hAnsi="ˎ̥" w:eastAsia="楷体_GB2312"/>
          <w:b/>
          <w:sz w:val="32"/>
          <w:szCs w:val="32"/>
        </w:rPr>
      </w:pPr>
    </w:p>
    <w:p>
      <w:pPr>
        <w:spacing w:line="560" w:lineRule="exact"/>
        <w:rPr>
          <w:rFonts w:ascii="仿宋_GB2312" w:hAnsi="ˎ̥" w:eastAsia="仿宋_GB2312"/>
          <w:sz w:val="28"/>
          <w:szCs w:val="28"/>
        </w:rPr>
      </w:pPr>
      <w:r>
        <w:rPr>
          <w:rFonts w:hint="eastAsia" w:ascii="楷体_GB2312" w:hAnsi="ˎ̥" w:eastAsia="楷体_GB2312"/>
          <w:b/>
          <w:sz w:val="28"/>
          <w:szCs w:val="28"/>
        </w:rPr>
        <w:t>甲方</w:t>
      </w:r>
      <w:r>
        <w:rPr>
          <w:rFonts w:hint="eastAsia" w:ascii="仿宋_GB2312" w:hAnsi="ˎ̥" w:eastAsia="仿宋_GB2312"/>
          <w:sz w:val="28"/>
          <w:szCs w:val="28"/>
        </w:rPr>
        <w:t>：深圳市龙岗区第七人民医院</w:t>
      </w:r>
    </w:p>
    <w:p>
      <w:pPr>
        <w:spacing w:line="560" w:lineRule="exact"/>
        <w:rPr>
          <w:rFonts w:ascii="楷体_GB2312" w:hAnsi="ˎ̥" w:eastAsia="楷体_GB2312"/>
          <w:b/>
          <w:sz w:val="28"/>
          <w:szCs w:val="28"/>
        </w:rPr>
      </w:pPr>
      <w:r>
        <w:rPr>
          <w:rFonts w:hint="eastAsia" w:ascii="楷体_GB2312" w:hAnsi="ˎ̥" w:eastAsia="楷体_GB2312"/>
          <w:b/>
          <w:sz w:val="28"/>
          <w:szCs w:val="28"/>
        </w:rPr>
        <w:t>乙方</w:t>
      </w:r>
      <w:r>
        <w:rPr>
          <w:rFonts w:hint="eastAsia" w:ascii="仿宋_GB2312" w:hAnsi="ˎ̥" w:eastAsia="仿宋_GB2312"/>
          <w:sz w:val="28"/>
          <w:szCs w:val="28"/>
        </w:rPr>
        <w:t>：</w:t>
      </w:r>
    </w:p>
    <w:p>
      <w:pPr>
        <w:spacing w:line="560" w:lineRule="exact"/>
        <w:rPr>
          <w:rFonts w:ascii="楷体_GB2312" w:hAnsi="ˎ̥" w:eastAsia="楷体_GB2312"/>
          <w:b/>
          <w:sz w:val="28"/>
          <w:szCs w:val="28"/>
        </w:rPr>
      </w:pPr>
      <w:r>
        <w:rPr>
          <w:rFonts w:hint="eastAsia" w:ascii="楷体_GB2312" w:hAnsi="ˎ̥" w:eastAsia="楷体_GB2312"/>
          <w:b/>
          <w:sz w:val="28"/>
          <w:szCs w:val="28"/>
        </w:rPr>
        <w:t xml:space="preserve">项目名称：            </w:t>
      </w:r>
    </w:p>
    <w:p>
      <w:pPr>
        <w:spacing w:line="560" w:lineRule="exact"/>
        <w:rPr>
          <w:rFonts w:ascii="楷体_GB2312" w:hAnsi="ˎ̥" w:eastAsia="楷体_GB2312"/>
          <w:sz w:val="28"/>
          <w:szCs w:val="28"/>
        </w:rPr>
      </w:pPr>
      <w:r>
        <w:rPr>
          <w:rFonts w:hint="eastAsia" w:ascii="楷体_GB2312" w:hAnsi="ˎ̥" w:eastAsia="楷体_GB2312"/>
          <w:b/>
          <w:sz w:val="28"/>
          <w:szCs w:val="28"/>
        </w:rPr>
        <w:t>合同总价</w:t>
      </w:r>
      <w:r>
        <w:rPr>
          <w:rFonts w:hint="eastAsia" w:ascii="楷体_GB2312" w:hAnsi="ˎ̥" w:eastAsia="楷体_GB2312"/>
          <w:sz w:val="28"/>
          <w:szCs w:val="28"/>
        </w:rPr>
        <w:t>：</w:t>
      </w:r>
    </w:p>
    <w:p>
      <w:pPr>
        <w:spacing w:line="560" w:lineRule="exact"/>
        <w:rPr>
          <w:rFonts w:ascii="楷体_GB2312" w:hAnsi="ˎ̥" w:eastAsia="楷体_GB2312"/>
          <w:b/>
          <w:sz w:val="28"/>
          <w:szCs w:val="28"/>
        </w:rPr>
      </w:pPr>
      <w:r>
        <w:rPr>
          <w:rFonts w:hint="eastAsia" w:ascii="楷体_GB2312" w:hAnsi="ˎ̥" w:eastAsia="楷体_GB2312"/>
          <w:b/>
          <w:sz w:val="28"/>
          <w:szCs w:val="28"/>
        </w:rPr>
        <w:t>主办科室：</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为进一步加强医疗卫生行风建设，规范购销行为，有效防范商业贿赂，营造公平交易、诚实守信的购销环境，经甲、乙双方协商，同意签订本合同，并共同遵守：</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一、甲乙双方按照《中华人民共和国民法典》及产品</w:t>
      </w:r>
      <w:r>
        <w:rPr>
          <w:rFonts w:hint="eastAsia" w:ascii="仿宋_GB2312" w:eastAsia="仿宋_GB2312"/>
          <w:sz w:val="28"/>
          <w:szCs w:val="28"/>
        </w:rPr>
        <w:t>购销合同</w:t>
      </w:r>
      <w:r>
        <w:rPr>
          <w:rFonts w:hint="eastAsia" w:ascii="仿宋_GB2312" w:hAnsi="ˎ̥" w:eastAsia="仿宋_GB2312"/>
          <w:sz w:val="28"/>
          <w:szCs w:val="28"/>
        </w:rPr>
        <w:t>约定实施购销行为。</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二、甲方应当严格执行验收、入库制度，对采购产品及发票进行查验，不得违反有关规定进行合同外采购、违价采购或从非规定渠道采购。</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28"/>
          <w:szCs w:val="28"/>
        </w:rPr>
        <w:t>不得以任何形式向乙方索要现金、有价证券、支付凭证和贵重礼品等</w:t>
      </w:r>
      <w:r>
        <w:rPr>
          <w:rFonts w:hint="eastAsia" w:ascii="仿宋_GB2312" w:hAnsi="ˎ̥" w:eastAsia="仿宋_GB2312"/>
          <w:sz w:val="28"/>
          <w:szCs w:val="28"/>
        </w:rPr>
        <w:t>。被迫接受乙方给予的钱物，应予退还，无法退还的，有责任如实向纪检监察部门反映情况。</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四、严禁甲方工作人员利用任何途径和方式，非法为乙方统计医师个人及临床科室有关医药产品用量信息，或为乙方统方提供便利。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w:t>
      </w:r>
      <w:r>
        <w:rPr>
          <w:rFonts w:hint="eastAsia" w:ascii="仿宋_GB2312" w:hAnsi="ˎ̥" w:eastAsia="仿宋_GB2312"/>
          <w:sz w:val="28"/>
          <w:szCs w:val="28"/>
        </w:rPr>
        <w:t>乙方不得以回扣、</w:t>
      </w:r>
      <w:r>
        <w:rPr>
          <w:rFonts w:hint="eastAsia" w:ascii="仿宋_GB2312" w:eastAsia="仿宋_GB2312"/>
          <w:sz w:val="28"/>
          <w:szCs w:val="28"/>
        </w:rPr>
        <w:t>宴请等方式影响甲方工作人员采购或使用医药产品的选择权，不得在学术活动中提供旅游、超标准支付食宿费用，以及其他任何形式的利益输送。</w:t>
      </w:r>
    </w:p>
    <w:p>
      <w:pPr>
        <w:spacing w:line="560" w:lineRule="exact"/>
        <w:ind w:firstLine="560" w:firstLineChars="200"/>
        <w:rPr>
          <w:rFonts w:ascii="仿宋_GB2312" w:hAnsi="ˎ̥" w:eastAsia="仿宋_GB2312"/>
          <w:sz w:val="28"/>
          <w:szCs w:val="28"/>
        </w:rPr>
      </w:pPr>
      <w:r>
        <w:rPr>
          <w:rFonts w:hint="eastAsia" w:ascii="仿宋_GB2312" w:eastAsia="仿宋_GB2312"/>
          <w:sz w:val="28"/>
          <w:szCs w:val="28"/>
        </w:rPr>
        <w:t>六、乙方指定</w:t>
      </w:r>
      <w:r>
        <w:rPr>
          <w:rFonts w:hint="eastAsia" w:ascii="仿宋_GB2312" w:eastAsia="仿宋_GB2312"/>
          <w:sz w:val="28"/>
          <w:szCs w:val="28"/>
          <w:u w:val="single"/>
        </w:rPr>
        <w:t xml:space="preserve">        </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28"/>
          <w:szCs w:val="28"/>
        </w:rPr>
        <w:t>负责人及相关工作人员家中访谈并提供任何好处费。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七、</w:t>
      </w:r>
      <w:r>
        <w:rPr>
          <w:rFonts w:hint="eastAsia" w:ascii="仿宋_GB2312" w:hAnsi="ˎ̥" w:eastAsia="仿宋_GB2312"/>
          <w:sz w:val="28"/>
          <w:szCs w:val="28"/>
        </w:rPr>
        <w:t>乙方如违反本合同，一经发现，</w:t>
      </w:r>
      <w:r>
        <w:rPr>
          <w:rFonts w:hint="eastAsia" w:ascii="仿宋_GB2312" w:eastAsia="仿宋_GB2312"/>
          <w:sz w:val="28"/>
          <w:szCs w:val="28"/>
        </w:rPr>
        <w:t>甲方有权终止产品购销合同，并向有关部门报告。如乙方被列入商业贿赂不良记录，则严格按照《国家</w:t>
      </w:r>
      <w:r>
        <w:rPr>
          <w:rFonts w:ascii="仿宋_GB2312" w:eastAsia="仿宋_GB2312"/>
          <w:sz w:val="28"/>
          <w:szCs w:val="28"/>
        </w:rPr>
        <w:t>卫生计生委关于建立医药购销领域商业贿赂不良记录的规定</w:t>
      </w:r>
      <w:r>
        <w:rPr>
          <w:rFonts w:hint="eastAsia" w:ascii="仿宋_GB2312" w:eastAsia="仿宋_GB2312"/>
          <w:sz w:val="28"/>
          <w:szCs w:val="28"/>
        </w:rPr>
        <w:t>》</w:t>
      </w:r>
      <w:r>
        <w:rPr>
          <w:rFonts w:eastAsia="仿宋_GB2312"/>
          <w:color w:val="000000"/>
          <w:sz w:val="28"/>
          <w:szCs w:val="28"/>
          <w:shd w:val="clear" w:color="auto" w:fill="FFFFFF"/>
        </w:rPr>
        <w:t>（国卫法制发〔2013〕50号）</w:t>
      </w:r>
      <w:r>
        <w:rPr>
          <w:rFonts w:hint="eastAsia" w:ascii="仿宋_GB2312" w:eastAsia="仿宋_GB2312"/>
          <w:sz w:val="28"/>
          <w:szCs w:val="28"/>
        </w:rPr>
        <w:t>相关规定处理。</w:t>
      </w:r>
    </w:p>
    <w:p>
      <w:pPr>
        <w:spacing w:line="560" w:lineRule="exact"/>
        <w:ind w:firstLine="560" w:firstLineChars="200"/>
        <w:rPr>
          <w:rFonts w:ascii="仿宋_GB2312" w:eastAsia="仿宋_GB2312"/>
          <w:sz w:val="28"/>
          <w:szCs w:val="28"/>
        </w:rPr>
      </w:pPr>
      <w:r>
        <w:rPr>
          <w:rFonts w:hint="eastAsia" w:ascii="仿宋_GB2312" w:hAnsi="ˎ̥" w:eastAsia="仿宋_GB2312"/>
          <w:sz w:val="28"/>
          <w:szCs w:val="28"/>
        </w:rPr>
        <w:t>八、</w:t>
      </w:r>
      <w:r>
        <w:rPr>
          <w:rFonts w:hint="eastAsia" w:ascii="仿宋_GB2312" w:eastAsia="仿宋_GB2312"/>
          <w:sz w:val="28"/>
          <w:szCs w:val="28"/>
        </w:rPr>
        <w:t>本合同作为产品购销合同的组成部分，与购销合同一并执行，具有同等的法律效力。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九、本合同一式叁份，甲方贰份（一份随购销主合同存档，一份交医院纪检监察部门），乙方壹份，从签订之日起生效。</w:t>
      </w:r>
    </w:p>
    <w:p>
      <w:pPr>
        <w:spacing w:line="560" w:lineRule="exact"/>
        <w:rPr>
          <w:rFonts w:ascii="仿宋_GB2312" w:eastAsia="仿宋_GB2312"/>
          <w:sz w:val="28"/>
          <w:szCs w:val="28"/>
        </w:rPr>
      </w:pPr>
    </w:p>
    <w:p>
      <w:pPr>
        <w:spacing w:line="560" w:lineRule="exact"/>
        <w:rPr>
          <w:rFonts w:ascii="楷体_GB2312" w:eastAsia="楷体_GB2312"/>
          <w:b/>
          <w:sz w:val="28"/>
          <w:szCs w:val="28"/>
        </w:rPr>
      </w:pPr>
      <w:r>
        <w:rPr>
          <w:rFonts w:hint="eastAsia" w:ascii="楷体_GB2312" w:eastAsia="楷体_GB2312"/>
          <w:b/>
          <w:sz w:val="28"/>
          <w:szCs w:val="28"/>
        </w:rPr>
        <w:t>甲方（盖章）：                  乙方（盖章）：</w:t>
      </w:r>
    </w:p>
    <w:p>
      <w:pPr>
        <w:spacing w:line="560" w:lineRule="exact"/>
        <w:rPr>
          <w:rFonts w:ascii="楷体_GB2312" w:eastAsia="楷体_GB2312"/>
          <w:b/>
          <w:sz w:val="28"/>
          <w:szCs w:val="28"/>
        </w:rPr>
      </w:pPr>
      <w:r>
        <w:rPr>
          <w:rFonts w:hint="eastAsia" w:ascii="楷体_GB2312" w:eastAsia="楷体_GB2312"/>
          <w:b/>
          <w:sz w:val="28"/>
          <w:szCs w:val="28"/>
        </w:rPr>
        <w:t>法定代表人（</w:t>
      </w:r>
      <w:r>
        <w:rPr>
          <w:rFonts w:ascii="楷体_GB2312" w:eastAsia="楷体_GB2312"/>
          <w:b/>
          <w:sz w:val="28"/>
          <w:szCs w:val="28"/>
        </w:rPr>
        <w:t>负责人</w:t>
      </w:r>
      <w:r>
        <w:rPr>
          <w:rFonts w:hint="eastAsia" w:ascii="楷体_GB2312" w:eastAsia="楷体_GB2312"/>
          <w:b/>
          <w:sz w:val="28"/>
          <w:szCs w:val="28"/>
        </w:rPr>
        <w:t>）：          法定代表人（</w:t>
      </w:r>
      <w:r>
        <w:rPr>
          <w:rFonts w:ascii="楷体_GB2312" w:eastAsia="楷体_GB2312"/>
          <w:b/>
          <w:sz w:val="28"/>
          <w:szCs w:val="28"/>
        </w:rPr>
        <w:t>负责人</w:t>
      </w:r>
      <w:r>
        <w:rPr>
          <w:rFonts w:hint="eastAsia" w:ascii="楷体_GB2312" w:eastAsia="楷体_GB2312"/>
          <w:b/>
          <w:sz w:val="28"/>
          <w:szCs w:val="28"/>
        </w:rPr>
        <w:t>）：</w:t>
      </w:r>
    </w:p>
    <w:p>
      <w:pPr>
        <w:spacing w:line="560" w:lineRule="exact"/>
        <w:rPr>
          <w:sz w:val="28"/>
          <w:szCs w:val="28"/>
        </w:rPr>
      </w:pPr>
      <w:r>
        <w:rPr>
          <w:rFonts w:hint="eastAsia" w:ascii="楷体_GB2312" w:eastAsia="楷体_GB2312"/>
          <w:b/>
          <w:sz w:val="28"/>
          <w:szCs w:val="28"/>
        </w:rPr>
        <w:t>授权代表人签名：               经办人签名：</w:t>
      </w:r>
    </w:p>
    <w:p>
      <w:pPr>
        <w:spacing w:line="560" w:lineRule="exact"/>
        <w:ind w:firstLine="560" w:firstLineChars="200"/>
        <w:rPr>
          <w:rFonts w:ascii="宋体" w:hAnsi="宋体" w:cs="宋体"/>
          <w:color w:val="000000"/>
          <w:kern w:val="0"/>
          <w:sz w:val="44"/>
          <w:szCs w:val="44"/>
          <w:lang w:bidi="ar"/>
        </w:rPr>
      </w:pPr>
      <w:r>
        <w:rPr>
          <w:rFonts w:hint="eastAsia" w:ascii="仿宋_GB2312" w:eastAsia="仿宋_GB2312"/>
          <w:sz w:val="28"/>
          <w:szCs w:val="28"/>
        </w:rPr>
        <w:t>年    月   日                 年    月   日</w:t>
      </w:r>
    </w:p>
    <w:p>
      <w:pPr>
        <w:widowControl/>
        <w:spacing w:line="440" w:lineRule="exact"/>
        <w:jc w:val="center"/>
        <w:textAlignment w:val="center"/>
        <w:rPr>
          <w:rFonts w:ascii="宋体" w:hAnsi="宋体" w:cs="宋体"/>
          <w:color w:val="000000"/>
          <w:kern w:val="0"/>
          <w:sz w:val="44"/>
          <w:szCs w:val="44"/>
          <w:lang w:bidi="ar"/>
        </w:rPr>
        <w:sectPr>
          <w:headerReference r:id="rId6" w:type="default"/>
          <w:footerReference r:id="rId7" w:type="default"/>
          <w:pgSz w:w="11906" w:h="16838"/>
          <w:pgMar w:top="2098" w:right="1474" w:bottom="1984" w:left="1304" w:header="851" w:footer="1417" w:gutter="0"/>
          <w:cols w:space="0" w:num="1"/>
          <w:docGrid w:type="lines" w:linePitch="338" w:charSpace="0"/>
        </w:sectPr>
      </w:pPr>
    </w:p>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ascii="宋体" w:hAnsi="宋体" w:cs="宋体"/>
          <w:sz w:val="28"/>
          <w:szCs w:val="28"/>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为深入构建</w:t>
      </w:r>
      <w:r>
        <w:rPr>
          <w:rFonts w:hint="eastAsia" w:ascii="仿宋_GB2312" w:hAnsi="仿宋_GB2312" w:eastAsia="仿宋_GB2312" w:cs="仿宋_GB2312"/>
          <w:sz w:val="28"/>
          <w:szCs w:val="28"/>
          <w:lang w:eastAsia="zh-CN"/>
        </w:rPr>
        <w:t>亲清政商关系</w:t>
      </w:r>
      <w:r>
        <w:rPr>
          <w:rFonts w:hint="eastAsia" w:ascii="仿宋_GB2312" w:hAnsi="仿宋_GB2312" w:eastAsia="仿宋_GB2312" w:cs="仿宋_GB2312"/>
          <w:sz w:val="28"/>
          <w:szCs w:val="28"/>
        </w:rPr>
        <w:t>，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一、不得向公职人员赠送礼品、礼金、消费卡等财物。</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二、不得违规向公职人员提供宴请、旅游、娱乐等安排。</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三、不得通过打麻将等形式向公职人员输送利益。</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四、不得为公职人员报销应由其个人支付的费用。</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五、不得违规向公职人员及其亲友借贷款。</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六、不得违规将车辆、住房等借给公职人员使用。</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七、不得在招投标中与公职人员搞暗箱操作、围标串标。</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八、不得为利益相关人和公职人员牵线搭桥或者代为传递信息、传递财物。</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九、不得让公职人员在企业违规兼职取酬。</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十、不得为公职人员亲友违规承揽业务提供便利。</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本人已知晓上述告知内容，并愿意遵照执行（签名）：</w:t>
      </w:r>
    </w:p>
    <w:p>
      <w:pPr>
        <w:spacing w:line="440" w:lineRule="exact"/>
        <w:ind w:firstLine="5040" w:firstLineChars="18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ab/>
      </w:r>
    </w:p>
    <w:p>
      <w:pPr>
        <w:spacing w:line="440" w:lineRule="exact"/>
        <w:ind w:firstLine="3920" w:firstLineChars="1400"/>
        <w:rPr>
          <w:rFonts w:ascii="仿宋_GB2312" w:hAnsi="仿宋_GB2312" w:eastAsia="仿宋_GB2312" w:cs="仿宋_GB2312"/>
          <w:sz w:val="28"/>
          <w:szCs w:val="28"/>
        </w:rPr>
      </w:pPr>
    </w:p>
    <w:p>
      <w:pPr>
        <w:pStyle w:val="10"/>
        <w:spacing w:line="440" w:lineRule="exact"/>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 xml:space="preserve">                      单位名称（盖章）：</w:t>
      </w:r>
    </w:p>
    <w:p>
      <w:pPr>
        <w:pStyle w:val="10"/>
        <w:spacing w:line="440" w:lineRule="exact"/>
        <w:jc w:val="center"/>
        <w:rPr>
          <w:rFonts w:hint="default" w:ascii="仿宋" w:hAnsi="仿宋" w:eastAsia="仿宋" w:cs="仿宋"/>
          <w:sz w:val="28"/>
          <w:szCs w:val="28"/>
        </w:rPr>
      </w:pPr>
      <w:r>
        <w:rPr>
          <w:rFonts w:ascii="仿宋_GB2312" w:hAnsi="仿宋_GB2312" w:eastAsia="仿宋_GB2312" w:cs="仿宋_GB2312"/>
          <w:sz w:val="28"/>
          <w:szCs w:val="28"/>
        </w:rPr>
        <w:t xml:space="preserve">                   年  月  日</w:t>
      </w:r>
    </w:p>
    <w:p>
      <w:pPr>
        <w:pStyle w:val="9"/>
        <w:rPr>
          <w:rFonts w:ascii="仿宋_GB2312" w:hAnsi="仿宋_GB2312" w:eastAsia="仿宋_GB2312" w:cs="仿宋_GB2312"/>
          <w:b/>
          <w:bCs/>
          <w:kern w:val="2"/>
          <w:sz w:val="36"/>
          <w:szCs w:val="36"/>
        </w:rPr>
      </w:pPr>
    </w:p>
    <w:p/>
    <w:p>
      <w:pPr>
        <w:pStyle w:val="9"/>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- 21 -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- 21 -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6EF54"/>
    <w:multiLevelType w:val="singleLevel"/>
    <w:tmpl w:val="C626EF54"/>
    <w:lvl w:ilvl="0" w:tentative="0">
      <w:start w:val="1"/>
      <w:numFmt w:val="chineseCounting"/>
      <w:suff w:val="nothing"/>
      <w:lvlText w:val="（%1）"/>
      <w:lvlJc w:val="left"/>
      <w:rPr>
        <w:rFonts w:hint="eastAsia"/>
      </w:rPr>
    </w:lvl>
  </w:abstractNum>
  <w:abstractNum w:abstractNumId="1">
    <w:nsid w:val="EDD425E5"/>
    <w:multiLevelType w:val="singleLevel"/>
    <w:tmpl w:val="EDD425E5"/>
    <w:lvl w:ilvl="0" w:tentative="0">
      <w:start w:val="1"/>
      <w:numFmt w:val="chineseCounting"/>
      <w:suff w:val="nothing"/>
      <w:lvlText w:val="（%1）"/>
      <w:lvlJc w:val="left"/>
      <w:rPr>
        <w:rFonts w:hint="eastAsia"/>
      </w:rPr>
    </w:lvl>
  </w:abstractNum>
  <w:abstractNum w:abstractNumId="2">
    <w:nsid w:val="22B7BE7E"/>
    <w:multiLevelType w:val="singleLevel"/>
    <w:tmpl w:val="22B7BE7E"/>
    <w:lvl w:ilvl="0" w:tentative="0">
      <w:start w:val="3"/>
      <w:numFmt w:val="chineseCounting"/>
      <w:suff w:val="nothing"/>
      <w:lvlText w:val="（%1）"/>
      <w:lvlJc w:val="left"/>
      <w:rPr>
        <w:rFonts w:hint="eastAsia"/>
      </w:rPr>
    </w:lvl>
  </w:abstractNum>
  <w:abstractNum w:abstractNumId="3">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mRkYjg1MWYxOTgzYmE0YjcwNjU0NzA5NzU1Y2UifQ=="/>
  </w:docVars>
  <w:rsids>
    <w:rsidRoot w:val="4E07504C"/>
    <w:rsid w:val="00057409"/>
    <w:rsid w:val="000B21E3"/>
    <w:rsid w:val="000B7F22"/>
    <w:rsid w:val="000C26FA"/>
    <w:rsid w:val="001706A7"/>
    <w:rsid w:val="001F73B6"/>
    <w:rsid w:val="00230EDD"/>
    <w:rsid w:val="002727EE"/>
    <w:rsid w:val="0027719E"/>
    <w:rsid w:val="00295877"/>
    <w:rsid w:val="002A7DA1"/>
    <w:rsid w:val="002B0E6E"/>
    <w:rsid w:val="002B6087"/>
    <w:rsid w:val="002F161A"/>
    <w:rsid w:val="004447C7"/>
    <w:rsid w:val="004565E2"/>
    <w:rsid w:val="00460226"/>
    <w:rsid w:val="00480EF7"/>
    <w:rsid w:val="00486497"/>
    <w:rsid w:val="004E19D3"/>
    <w:rsid w:val="00514D7C"/>
    <w:rsid w:val="0053042F"/>
    <w:rsid w:val="005554C2"/>
    <w:rsid w:val="0056483E"/>
    <w:rsid w:val="00577875"/>
    <w:rsid w:val="005B31E0"/>
    <w:rsid w:val="00690D1D"/>
    <w:rsid w:val="006D25FC"/>
    <w:rsid w:val="00706D64"/>
    <w:rsid w:val="0072289B"/>
    <w:rsid w:val="00725C17"/>
    <w:rsid w:val="007A6BAD"/>
    <w:rsid w:val="007D5FEA"/>
    <w:rsid w:val="007E4ECF"/>
    <w:rsid w:val="007F0A14"/>
    <w:rsid w:val="0081493A"/>
    <w:rsid w:val="008A48E0"/>
    <w:rsid w:val="008B17F0"/>
    <w:rsid w:val="008C7C6E"/>
    <w:rsid w:val="00934D5E"/>
    <w:rsid w:val="00953243"/>
    <w:rsid w:val="00991B5C"/>
    <w:rsid w:val="009B6C7F"/>
    <w:rsid w:val="009D2F7B"/>
    <w:rsid w:val="009D5644"/>
    <w:rsid w:val="009F0C9D"/>
    <w:rsid w:val="00A31BBB"/>
    <w:rsid w:val="00A4238C"/>
    <w:rsid w:val="00A7745E"/>
    <w:rsid w:val="00A84F70"/>
    <w:rsid w:val="00AF5488"/>
    <w:rsid w:val="00B1458E"/>
    <w:rsid w:val="00B2721A"/>
    <w:rsid w:val="00B66F20"/>
    <w:rsid w:val="00B83FA4"/>
    <w:rsid w:val="00BB7786"/>
    <w:rsid w:val="00BD6A62"/>
    <w:rsid w:val="00C00118"/>
    <w:rsid w:val="00C02C71"/>
    <w:rsid w:val="00C2476D"/>
    <w:rsid w:val="00C4540D"/>
    <w:rsid w:val="00C5357D"/>
    <w:rsid w:val="00C97617"/>
    <w:rsid w:val="00CF2547"/>
    <w:rsid w:val="00D54000"/>
    <w:rsid w:val="00D56094"/>
    <w:rsid w:val="00D86C4E"/>
    <w:rsid w:val="00E03E82"/>
    <w:rsid w:val="00E144E7"/>
    <w:rsid w:val="00E16EE7"/>
    <w:rsid w:val="00E23C52"/>
    <w:rsid w:val="00EA3F10"/>
    <w:rsid w:val="00ED0E8F"/>
    <w:rsid w:val="00F32A84"/>
    <w:rsid w:val="00F35C55"/>
    <w:rsid w:val="00F428A1"/>
    <w:rsid w:val="00F47426"/>
    <w:rsid w:val="00F74616"/>
    <w:rsid w:val="011550B5"/>
    <w:rsid w:val="013067A8"/>
    <w:rsid w:val="02047256"/>
    <w:rsid w:val="02273B7A"/>
    <w:rsid w:val="02772CD9"/>
    <w:rsid w:val="0342775C"/>
    <w:rsid w:val="03474B3A"/>
    <w:rsid w:val="03E761DF"/>
    <w:rsid w:val="03FE4502"/>
    <w:rsid w:val="058968E3"/>
    <w:rsid w:val="067A4160"/>
    <w:rsid w:val="069D1FD3"/>
    <w:rsid w:val="06E402C2"/>
    <w:rsid w:val="06E94E42"/>
    <w:rsid w:val="07177C01"/>
    <w:rsid w:val="07534DF2"/>
    <w:rsid w:val="07702E6D"/>
    <w:rsid w:val="07ED44BE"/>
    <w:rsid w:val="087655AA"/>
    <w:rsid w:val="08D8516E"/>
    <w:rsid w:val="08DB1A72"/>
    <w:rsid w:val="0A0E39AB"/>
    <w:rsid w:val="0B582596"/>
    <w:rsid w:val="0B860EB1"/>
    <w:rsid w:val="0BAD4BBE"/>
    <w:rsid w:val="0CC73E81"/>
    <w:rsid w:val="0D1F7866"/>
    <w:rsid w:val="0DDC300B"/>
    <w:rsid w:val="0E9E6313"/>
    <w:rsid w:val="0F360E40"/>
    <w:rsid w:val="10335CC9"/>
    <w:rsid w:val="10A342B4"/>
    <w:rsid w:val="10CC7CDE"/>
    <w:rsid w:val="11114953"/>
    <w:rsid w:val="12001D09"/>
    <w:rsid w:val="121C2439"/>
    <w:rsid w:val="12FD248B"/>
    <w:rsid w:val="13977902"/>
    <w:rsid w:val="149A1EBD"/>
    <w:rsid w:val="14A95C11"/>
    <w:rsid w:val="15BA205C"/>
    <w:rsid w:val="15E92863"/>
    <w:rsid w:val="16797E6D"/>
    <w:rsid w:val="16CB2C89"/>
    <w:rsid w:val="171F1CBB"/>
    <w:rsid w:val="17F61B9F"/>
    <w:rsid w:val="18061158"/>
    <w:rsid w:val="1890336F"/>
    <w:rsid w:val="19287A4C"/>
    <w:rsid w:val="193A2F6D"/>
    <w:rsid w:val="196046FF"/>
    <w:rsid w:val="196C5B8A"/>
    <w:rsid w:val="19BE3F0C"/>
    <w:rsid w:val="19E22AE5"/>
    <w:rsid w:val="19F95BB8"/>
    <w:rsid w:val="1A1D50D7"/>
    <w:rsid w:val="1A8B6784"/>
    <w:rsid w:val="1B941C5C"/>
    <w:rsid w:val="1BEE7F8C"/>
    <w:rsid w:val="1BF652AB"/>
    <w:rsid w:val="1C240251"/>
    <w:rsid w:val="1D16223D"/>
    <w:rsid w:val="1D281CF6"/>
    <w:rsid w:val="1DCA1E79"/>
    <w:rsid w:val="1DDB32DF"/>
    <w:rsid w:val="1EED0274"/>
    <w:rsid w:val="1F4D3D68"/>
    <w:rsid w:val="1F985489"/>
    <w:rsid w:val="20001123"/>
    <w:rsid w:val="20714B5F"/>
    <w:rsid w:val="20914128"/>
    <w:rsid w:val="2134590B"/>
    <w:rsid w:val="22C95DFC"/>
    <w:rsid w:val="24153DC0"/>
    <w:rsid w:val="25331C52"/>
    <w:rsid w:val="26431A21"/>
    <w:rsid w:val="26DC6DF8"/>
    <w:rsid w:val="27BE796C"/>
    <w:rsid w:val="27EB4D2D"/>
    <w:rsid w:val="28606759"/>
    <w:rsid w:val="291A7161"/>
    <w:rsid w:val="293027EB"/>
    <w:rsid w:val="29F311DA"/>
    <w:rsid w:val="2BB7272F"/>
    <w:rsid w:val="2C2B3683"/>
    <w:rsid w:val="2CBD4E6E"/>
    <w:rsid w:val="2CD47877"/>
    <w:rsid w:val="2E3D769E"/>
    <w:rsid w:val="2E413A54"/>
    <w:rsid w:val="2E6141F6"/>
    <w:rsid w:val="2EA17C2D"/>
    <w:rsid w:val="2F7964B4"/>
    <w:rsid w:val="2FA23645"/>
    <w:rsid w:val="2FEA115F"/>
    <w:rsid w:val="301F34FF"/>
    <w:rsid w:val="302F165E"/>
    <w:rsid w:val="30DC1C6C"/>
    <w:rsid w:val="30F2476F"/>
    <w:rsid w:val="31E35EE3"/>
    <w:rsid w:val="31FF2F19"/>
    <w:rsid w:val="32556FD6"/>
    <w:rsid w:val="349F18E8"/>
    <w:rsid w:val="34FD7B87"/>
    <w:rsid w:val="35012F9B"/>
    <w:rsid w:val="350F1DC4"/>
    <w:rsid w:val="35854D07"/>
    <w:rsid w:val="36393417"/>
    <w:rsid w:val="36C546D4"/>
    <w:rsid w:val="38464FE5"/>
    <w:rsid w:val="38AC78FA"/>
    <w:rsid w:val="394E6C03"/>
    <w:rsid w:val="3A085004"/>
    <w:rsid w:val="3A1A0893"/>
    <w:rsid w:val="3A985E85"/>
    <w:rsid w:val="3AB75A76"/>
    <w:rsid w:val="3B100CF9"/>
    <w:rsid w:val="3C843E75"/>
    <w:rsid w:val="3CE1563C"/>
    <w:rsid w:val="3CE80C6A"/>
    <w:rsid w:val="3D725592"/>
    <w:rsid w:val="3E1F291C"/>
    <w:rsid w:val="3EF20030"/>
    <w:rsid w:val="41AE3829"/>
    <w:rsid w:val="41F540C0"/>
    <w:rsid w:val="42D9753D"/>
    <w:rsid w:val="431C2B5A"/>
    <w:rsid w:val="435A7F52"/>
    <w:rsid w:val="43B25C38"/>
    <w:rsid w:val="44CF3B96"/>
    <w:rsid w:val="46534D39"/>
    <w:rsid w:val="46BD5FB5"/>
    <w:rsid w:val="47310A77"/>
    <w:rsid w:val="476C4620"/>
    <w:rsid w:val="47A97E3B"/>
    <w:rsid w:val="480E290B"/>
    <w:rsid w:val="48237A66"/>
    <w:rsid w:val="484E277B"/>
    <w:rsid w:val="486A50DB"/>
    <w:rsid w:val="4947770B"/>
    <w:rsid w:val="49831FB1"/>
    <w:rsid w:val="4A462358"/>
    <w:rsid w:val="4C78096B"/>
    <w:rsid w:val="4C9B5863"/>
    <w:rsid w:val="4D41354B"/>
    <w:rsid w:val="4E07504C"/>
    <w:rsid w:val="4E28581D"/>
    <w:rsid w:val="4F467BCD"/>
    <w:rsid w:val="4FCB46B2"/>
    <w:rsid w:val="505D2E3A"/>
    <w:rsid w:val="50A76ECD"/>
    <w:rsid w:val="50B066FA"/>
    <w:rsid w:val="50FB36C9"/>
    <w:rsid w:val="51684B94"/>
    <w:rsid w:val="51C466AB"/>
    <w:rsid w:val="54B961B9"/>
    <w:rsid w:val="54C85664"/>
    <w:rsid w:val="55321431"/>
    <w:rsid w:val="57754922"/>
    <w:rsid w:val="57F97435"/>
    <w:rsid w:val="582455DD"/>
    <w:rsid w:val="597160E4"/>
    <w:rsid w:val="59917528"/>
    <w:rsid w:val="5A0B759F"/>
    <w:rsid w:val="5A51252E"/>
    <w:rsid w:val="5A6E1702"/>
    <w:rsid w:val="5AF453C0"/>
    <w:rsid w:val="5BFE7BBD"/>
    <w:rsid w:val="5CAF3C3D"/>
    <w:rsid w:val="5CB67973"/>
    <w:rsid w:val="5EC450EE"/>
    <w:rsid w:val="5ECE7D1A"/>
    <w:rsid w:val="5EE375B1"/>
    <w:rsid w:val="5F7F2DC3"/>
    <w:rsid w:val="5FA10F8B"/>
    <w:rsid w:val="5FB84304"/>
    <w:rsid w:val="608D150F"/>
    <w:rsid w:val="609921D9"/>
    <w:rsid w:val="61C97E28"/>
    <w:rsid w:val="623567B2"/>
    <w:rsid w:val="62406DE0"/>
    <w:rsid w:val="62792BC7"/>
    <w:rsid w:val="62B4363E"/>
    <w:rsid w:val="6383562F"/>
    <w:rsid w:val="63DD6C4E"/>
    <w:rsid w:val="64EF2799"/>
    <w:rsid w:val="64EF4547"/>
    <w:rsid w:val="65031979"/>
    <w:rsid w:val="653D3504"/>
    <w:rsid w:val="657371A0"/>
    <w:rsid w:val="65950109"/>
    <w:rsid w:val="65E860BF"/>
    <w:rsid w:val="65FA7647"/>
    <w:rsid w:val="6650370B"/>
    <w:rsid w:val="66FE6CC3"/>
    <w:rsid w:val="67303132"/>
    <w:rsid w:val="695C4BEE"/>
    <w:rsid w:val="6AB75B07"/>
    <w:rsid w:val="6AC05165"/>
    <w:rsid w:val="6B397C51"/>
    <w:rsid w:val="6C644797"/>
    <w:rsid w:val="6E3C2B6A"/>
    <w:rsid w:val="6E7855AD"/>
    <w:rsid w:val="6EB20ABF"/>
    <w:rsid w:val="736534E9"/>
    <w:rsid w:val="73C117A4"/>
    <w:rsid w:val="750E0A19"/>
    <w:rsid w:val="75193991"/>
    <w:rsid w:val="75A66EA3"/>
    <w:rsid w:val="76382C84"/>
    <w:rsid w:val="76404B57"/>
    <w:rsid w:val="77491296"/>
    <w:rsid w:val="787D3E4A"/>
    <w:rsid w:val="78B13B95"/>
    <w:rsid w:val="78B83C1C"/>
    <w:rsid w:val="79AC02FF"/>
    <w:rsid w:val="7A805F15"/>
    <w:rsid w:val="7B015D81"/>
    <w:rsid w:val="7BEA50DF"/>
    <w:rsid w:val="7C0135D5"/>
    <w:rsid w:val="7CD7581A"/>
    <w:rsid w:val="7D201046"/>
    <w:rsid w:val="7D607801"/>
    <w:rsid w:val="7E8E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autoRedefine/>
    <w:semiHidden/>
    <w:unhideWhenUsed/>
    <w:qFormat/>
    <w:uiPriority w:val="0"/>
    <w:pPr>
      <w:outlineLvl w:val="1"/>
    </w:pPr>
    <w:rPr>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index 8"/>
    <w:basedOn w:val="1"/>
    <w:next w:val="1"/>
    <w:autoRedefine/>
    <w:qFormat/>
    <w:uiPriority w:val="0"/>
    <w:pPr>
      <w:ind w:left="2940"/>
    </w:pPr>
  </w:style>
  <w:style w:type="paragraph" w:styleId="6">
    <w:name w:val="Normal Indent"/>
    <w:basedOn w:val="1"/>
    <w:autoRedefine/>
    <w:qFormat/>
    <w:uiPriority w:val="0"/>
    <w:pPr>
      <w:ind w:firstLine="420"/>
    </w:pPr>
  </w:style>
  <w:style w:type="paragraph" w:styleId="7">
    <w:name w:val="annotation text"/>
    <w:basedOn w:val="1"/>
    <w:next w:val="8"/>
    <w:link w:val="36"/>
    <w:autoRedefine/>
    <w:qFormat/>
    <w:uiPriority w:val="0"/>
    <w:pPr>
      <w:jc w:val="left"/>
    </w:pPr>
  </w:style>
  <w:style w:type="paragraph" w:styleId="8">
    <w:name w:val="toc 5"/>
    <w:basedOn w:val="1"/>
    <w:next w:val="1"/>
    <w:autoRedefine/>
    <w:semiHidden/>
    <w:qFormat/>
    <w:uiPriority w:val="0"/>
    <w:pPr>
      <w:ind w:left="840"/>
      <w:jc w:val="left"/>
    </w:pPr>
    <w:rPr>
      <w:szCs w:val="21"/>
    </w:rPr>
  </w:style>
  <w:style w:type="paragraph" w:styleId="9">
    <w:name w:val="Body Text"/>
    <w:basedOn w:val="1"/>
    <w:next w:val="1"/>
    <w:autoRedefine/>
    <w:qFormat/>
    <w:uiPriority w:val="0"/>
    <w:pPr>
      <w:autoSpaceDE w:val="0"/>
      <w:autoSpaceDN w:val="0"/>
      <w:jc w:val="left"/>
    </w:pPr>
    <w:rPr>
      <w:rFonts w:ascii="宋体" w:hAnsi="宋体"/>
      <w:kern w:val="0"/>
      <w:sz w:val="32"/>
      <w:szCs w:val="32"/>
    </w:rPr>
  </w:style>
  <w:style w:type="paragraph" w:styleId="10">
    <w:name w:val="Plain Text"/>
    <w:basedOn w:val="1"/>
    <w:autoRedefine/>
    <w:qFormat/>
    <w:uiPriority w:val="0"/>
    <w:rPr>
      <w:rFonts w:hint="eastAsia" w:ascii="宋体" w:hAnsi="Courier New"/>
      <w:kern w:val="0"/>
      <w:sz w:val="20"/>
      <w:szCs w:val="21"/>
    </w:rPr>
  </w:style>
  <w:style w:type="paragraph" w:styleId="11">
    <w:name w:val="Balloon Text"/>
    <w:basedOn w:val="1"/>
    <w:link w:val="40"/>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Body Text 2"/>
    <w:basedOn w:val="1"/>
    <w:autoRedefine/>
    <w:qFormat/>
    <w:uiPriority w:val="0"/>
    <w:pPr>
      <w:spacing w:line="360" w:lineRule="auto"/>
    </w:pPr>
    <w:rPr>
      <w:rFonts w:ascii="Times New Roman" w:hAnsi="Times New Roman"/>
      <w:kern w:val="0"/>
      <w:sz w:val="24"/>
    </w:r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styleId="17">
    <w:name w:val="annotation subject"/>
    <w:basedOn w:val="7"/>
    <w:next w:val="7"/>
    <w:link w:val="37"/>
    <w:autoRedefine/>
    <w:qFormat/>
    <w:uiPriority w:val="0"/>
    <w:rPr>
      <w:b/>
      <w:bCs/>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b/>
    </w:rPr>
  </w:style>
  <w:style w:type="character" w:styleId="22">
    <w:name w:val="Hyperlink"/>
    <w:basedOn w:val="20"/>
    <w:autoRedefine/>
    <w:qFormat/>
    <w:uiPriority w:val="0"/>
    <w:rPr>
      <w:color w:val="0026E5" w:themeColor="hyperlink"/>
      <w:u w:val="single"/>
      <w14:textFill>
        <w14:solidFill>
          <w14:schemeClr w14:val="hlink"/>
        </w14:solidFill>
      </w14:textFill>
    </w:rPr>
  </w:style>
  <w:style w:type="character" w:styleId="23">
    <w:name w:val="annotation reference"/>
    <w:basedOn w:val="20"/>
    <w:autoRedefine/>
    <w:qFormat/>
    <w:uiPriority w:val="0"/>
    <w:rPr>
      <w:sz w:val="21"/>
      <w:szCs w:val="21"/>
    </w:rPr>
  </w:style>
  <w:style w:type="paragraph" w:customStyle="1" w:styleId="24">
    <w:name w:val="表格文字"/>
    <w:basedOn w:val="1"/>
    <w:autoRedefine/>
    <w:qFormat/>
    <w:uiPriority w:val="99"/>
    <w:pPr>
      <w:spacing w:before="25" w:after="25"/>
    </w:pPr>
    <w:rPr>
      <w:spacing w:val="10"/>
      <w:sz w:val="24"/>
    </w:rPr>
  </w:style>
  <w:style w:type="paragraph" w:customStyle="1" w:styleId="25">
    <w:name w:val="p0"/>
    <w:basedOn w:val="1"/>
    <w:autoRedefine/>
    <w:qFormat/>
    <w:uiPriority w:val="0"/>
    <w:pPr>
      <w:widowControl/>
      <w:spacing w:line="400" w:lineRule="exact"/>
      <w:ind w:firstLine="560" w:firstLineChars="200"/>
    </w:pPr>
    <w:rPr>
      <w:rFonts w:ascii="仿宋_GB2312" w:hAnsi="仿宋_GB2312" w:eastAsia="仿宋_GB2312" w:cs="仿宋_GB2312"/>
      <w:color w:val="000000" w:themeColor="text1"/>
      <w:sz w:val="28"/>
      <w:szCs w:val="28"/>
      <w14:textFill>
        <w14:solidFill>
          <w14:schemeClr w14:val="tx1"/>
        </w14:solidFill>
      </w14:textFill>
    </w:rPr>
  </w:style>
  <w:style w:type="paragraph" w:customStyle="1" w:styleId="26">
    <w:name w:val="列出段落111"/>
    <w:basedOn w:val="1"/>
    <w:autoRedefine/>
    <w:qFormat/>
    <w:uiPriority w:val="0"/>
    <w:pPr>
      <w:ind w:firstLine="420" w:firstLineChars="200"/>
    </w:pPr>
  </w:style>
  <w:style w:type="paragraph" w:customStyle="1" w:styleId="27">
    <w:name w:val="Table Text"/>
    <w:basedOn w:val="1"/>
    <w:autoRedefine/>
    <w:semiHidden/>
    <w:qFormat/>
    <w:uiPriority w:val="0"/>
    <w:rPr>
      <w:rFonts w:ascii="仿宋" w:hAnsi="仿宋" w:eastAsia="仿宋" w:cs="仿宋"/>
      <w:szCs w:val="21"/>
      <w:lang w:eastAsia="en-US"/>
    </w:rPr>
  </w:style>
  <w:style w:type="paragraph" w:customStyle="1" w:styleId="28">
    <w:name w:val="_Style 1"/>
    <w:basedOn w:val="1"/>
    <w:next w:val="1"/>
    <w:autoRedefine/>
    <w:qFormat/>
    <w:uiPriority w:val="99"/>
    <w:pPr>
      <w:ind w:firstLine="420" w:firstLineChars="200"/>
    </w:pPr>
  </w:style>
  <w:style w:type="character" w:customStyle="1" w:styleId="29">
    <w:name w:val="正文_2 Char"/>
    <w:autoRedefine/>
    <w:qFormat/>
    <w:uiPriority w:val="0"/>
    <w:rPr>
      <w:rFonts w:hint="eastAsia" w:ascii="宋体" w:hAnsi="宋体" w:eastAsia="宋体"/>
      <w:kern w:val="2"/>
      <w:sz w:val="21"/>
      <w:szCs w:val="22"/>
      <w:lang w:val="en-US" w:eastAsia="zh-CN"/>
    </w:rPr>
  </w:style>
  <w:style w:type="paragraph" w:customStyle="1" w:styleId="30">
    <w:name w:val="正文+首行缩进2 字符"/>
    <w:basedOn w:val="1"/>
    <w:autoRedefine/>
    <w:qFormat/>
    <w:uiPriority w:val="0"/>
    <w:pPr>
      <w:spacing w:afterLines="25" w:line="300" w:lineRule="auto"/>
      <w:ind w:firstLine="480" w:firstLineChars="200"/>
    </w:pPr>
    <w:rPr>
      <w:rFonts w:ascii="Times New Roman" w:hAnsi="Times New Roman" w:cs="宋体"/>
      <w:szCs w:val="20"/>
    </w:rPr>
  </w:style>
  <w:style w:type="paragraph" w:customStyle="1" w:styleId="31">
    <w:name w:val="列出段落3"/>
    <w:basedOn w:val="1"/>
    <w:autoRedefine/>
    <w:qFormat/>
    <w:uiPriority w:val="34"/>
    <w:pPr>
      <w:ind w:firstLine="420" w:firstLineChars="200"/>
    </w:pPr>
  </w:style>
  <w:style w:type="paragraph" w:customStyle="1" w:styleId="32">
    <w:name w:val="列出段落1"/>
    <w:basedOn w:val="1"/>
    <w:autoRedefine/>
    <w:qFormat/>
    <w:uiPriority w:val="34"/>
    <w:pPr>
      <w:ind w:firstLine="420" w:firstLineChars="200"/>
    </w:pPr>
  </w:style>
  <w:style w:type="paragraph" w:styleId="3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纯文本1"/>
    <w:basedOn w:val="1"/>
    <w:autoRedefine/>
    <w:qFormat/>
    <w:uiPriority w:val="0"/>
    <w:rPr>
      <w:rFonts w:ascii="宋体" w:hAnsi="Courier New"/>
      <w:szCs w:val="20"/>
    </w:rPr>
  </w:style>
  <w:style w:type="paragraph" w:customStyle="1" w:styleId="35">
    <w:name w:val="列出段落2"/>
    <w:basedOn w:val="1"/>
    <w:autoRedefine/>
    <w:qFormat/>
    <w:uiPriority w:val="34"/>
    <w:pPr>
      <w:ind w:firstLine="420" w:firstLineChars="200"/>
    </w:pPr>
  </w:style>
  <w:style w:type="character" w:customStyle="1" w:styleId="36">
    <w:name w:val="批注文字 Char"/>
    <w:basedOn w:val="20"/>
    <w:link w:val="7"/>
    <w:autoRedefine/>
    <w:qFormat/>
    <w:uiPriority w:val="0"/>
    <w:rPr>
      <w:rFonts w:ascii="Calibri" w:hAnsi="Calibri" w:cs="黑体"/>
      <w:kern w:val="2"/>
      <w:sz w:val="21"/>
      <w:szCs w:val="24"/>
    </w:rPr>
  </w:style>
  <w:style w:type="character" w:customStyle="1" w:styleId="37">
    <w:name w:val="批注主题 Char"/>
    <w:basedOn w:val="36"/>
    <w:link w:val="17"/>
    <w:autoRedefine/>
    <w:qFormat/>
    <w:uiPriority w:val="0"/>
    <w:rPr>
      <w:rFonts w:ascii="Calibri" w:hAnsi="Calibri" w:cs="黑体"/>
      <w:b/>
      <w:bCs/>
      <w:kern w:val="2"/>
      <w:sz w:val="21"/>
      <w:szCs w:val="24"/>
    </w:rPr>
  </w:style>
  <w:style w:type="paragraph" w:customStyle="1" w:styleId="38">
    <w:name w:val="修订1"/>
    <w:autoRedefine/>
    <w:hidden/>
    <w:unhideWhenUsed/>
    <w:qFormat/>
    <w:uiPriority w:val="99"/>
    <w:rPr>
      <w:rFonts w:ascii="Calibri" w:hAnsi="Calibri" w:eastAsia="宋体" w:cs="黑体"/>
      <w:kern w:val="2"/>
      <w:sz w:val="21"/>
      <w:szCs w:val="24"/>
      <w:lang w:val="en-US" w:eastAsia="zh-CN" w:bidi="ar-SA"/>
    </w:rPr>
  </w:style>
  <w:style w:type="character" w:customStyle="1" w:styleId="39">
    <w:name w:val="Unresolved Mention"/>
    <w:basedOn w:val="20"/>
    <w:autoRedefine/>
    <w:semiHidden/>
    <w:unhideWhenUsed/>
    <w:qFormat/>
    <w:uiPriority w:val="99"/>
    <w:rPr>
      <w:color w:val="605E5C"/>
      <w:shd w:val="clear" w:color="auto" w:fill="E1DFDD"/>
    </w:rPr>
  </w:style>
  <w:style w:type="character" w:customStyle="1" w:styleId="40">
    <w:name w:val="批注框文本 Char"/>
    <w:basedOn w:val="20"/>
    <w:link w:val="11"/>
    <w:autoRedefine/>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4513</Words>
  <Characters>5001</Characters>
  <Lines>208</Lines>
  <Paragraphs>58</Paragraphs>
  <TotalTime>73</TotalTime>
  <ScaleCrop>false</ScaleCrop>
  <LinksUpToDate>false</LinksUpToDate>
  <CharactersWithSpaces>5099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2025-09-12T05:03:00Z</dcterms:created>
  <dc:creator>张生</dc:creator>
  <cp:lastModifiedBy>小满</cp:lastModifiedBy>
  <cp:lastPrinted>2025-08-13T06:53:00Z</cp:lastPrinted>
  <dcterms:modified xsi:type="dcterms:W3CDTF">2025-09-15T04:21:31Z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30573FCB69CE49039EF168F40DE1750B_13</vt:lpwstr>
  </property>
  <property fmtid="{D5CDD505-2E9C-101B-9397-08002B2CF9AE}" pid="4" name="KSOTemplateDocerSaveRecord">
    <vt:lpwstr>eyJoZGlkIjoiN2RiNWQ5NGYzY2IxYzY2OGVkMjg0YWI2OWFlOGVkZmIiLCJ1c2VySWQiOiI0MDk2MDE5NTQifQ==</vt:lpwstr>
  </property>
</Properties>
</file>