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096E6">
      <w:pPr>
        <w:spacing w:line="360" w:lineRule="auto"/>
        <w:jc w:val="center"/>
        <w:rPr>
          <w:rFonts w:hint="default" w:ascii="宋体" w:hAnsi="宋体" w:eastAsia="宋体"/>
          <w:b/>
          <w:sz w:val="32"/>
          <w:szCs w:val="32"/>
          <w:lang w:val="en-US" w:eastAsia="zh-CN"/>
        </w:rPr>
      </w:pPr>
      <w:r>
        <w:rPr>
          <w:rFonts w:hint="eastAsia" w:ascii="宋体" w:hAnsi="宋体"/>
          <w:b/>
          <w:sz w:val="32"/>
          <w:szCs w:val="32"/>
          <w:lang w:val="en-US" w:eastAsia="zh-CN"/>
        </w:rPr>
        <w:t>龙岗区妇幼保健院</w:t>
      </w:r>
    </w:p>
    <w:p w14:paraId="22B55B65">
      <w:pPr>
        <w:spacing w:line="360" w:lineRule="auto"/>
        <w:jc w:val="center"/>
        <w:rPr>
          <w:rFonts w:ascii="宋体" w:hAnsi="宋体"/>
          <w:b/>
          <w:sz w:val="32"/>
          <w:szCs w:val="32"/>
        </w:rPr>
      </w:pPr>
      <w:r>
        <w:rPr>
          <w:rFonts w:hint="eastAsia" w:ascii="宋体" w:hAnsi="宋体"/>
          <w:b/>
          <w:sz w:val="32"/>
          <w:szCs w:val="32"/>
        </w:rPr>
        <w:t>设备接入</w:t>
      </w:r>
      <w:r>
        <w:rPr>
          <w:rFonts w:hint="eastAsia" w:ascii="宋体" w:hAnsi="宋体"/>
          <w:b/>
          <w:sz w:val="32"/>
          <w:szCs w:val="32"/>
          <w:lang w:val="en-US" w:eastAsia="zh-CN"/>
        </w:rPr>
        <w:t>心电管理系统</w:t>
      </w:r>
      <w:r>
        <w:rPr>
          <w:rFonts w:hint="eastAsia" w:ascii="宋体" w:hAnsi="宋体"/>
          <w:b/>
          <w:sz w:val="32"/>
          <w:szCs w:val="32"/>
        </w:rPr>
        <w:t>接口开发服务项目需求文件</w:t>
      </w:r>
    </w:p>
    <w:p w14:paraId="2D461979">
      <w:pPr>
        <w:pStyle w:val="3"/>
        <w:numPr>
          <w:ilvl w:val="0"/>
          <w:numId w:val="1"/>
        </w:numPr>
      </w:pPr>
      <w:bookmarkStart w:id="0" w:name="_Toc361780468"/>
      <w:r>
        <w:rPr>
          <w:rFonts w:hint="eastAsia"/>
          <w:lang w:val="en-US" w:eastAsia="zh-CN"/>
        </w:rPr>
        <w:t>服务内容</w:t>
      </w:r>
    </w:p>
    <w:tbl>
      <w:tblPr>
        <w:tblStyle w:val="12"/>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104"/>
        <w:gridCol w:w="1006"/>
        <w:gridCol w:w="1556"/>
      </w:tblGrid>
      <w:tr w14:paraId="3520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7" w:type="dxa"/>
            <w:vAlign w:val="center"/>
          </w:tcPr>
          <w:p w14:paraId="754BF2AC">
            <w:pPr>
              <w:spacing w:line="276" w:lineRule="auto"/>
              <w:jc w:val="center"/>
              <w:rPr>
                <w:rFonts w:hint="eastAsia" w:ascii="微软雅黑" w:hAnsi="微软雅黑" w:eastAsia="微软雅黑"/>
                <w:bCs/>
                <w:szCs w:val="21"/>
              </w:rPr>
            </w:pPr>
            <w:r>
              <w:rPr>
                <w:rFonts w:ascii="微软雅黑" w:hAnsi="微软雅黑" w:eastAsia="微软雅黑"/>
                <w:bCs/>
                <w:szCs w:val="21"/>
              </w:rPr>
              <w:t>序号</w:t>
            </w:r>
          </w:p>
        </w:tc>
        <w:tc>
          <w:tcPr>
            <w:tcW w:w="5104" w:type="dxa"/>
            <w:vAlign w:val="center"/>
          </w:tcPr>
          <w:p w14:paraId="7DA9A7C4">
            <w:pPr>
              <w:spacing w:line="276" w:lineRule="auto"/>
              <w:jc w:val="center"/>
              <w:rPr>
                <w:rFonts w:hint="eastAsia" w:ascii="微软雅黑" w:hAnsi="微软雅黑" w:eastAsia="微软雅黑"/>
                <w:bCs/>
                <w:szCs w:val="21"/>
              </w:rPr>
            </w:pPr>
            <w:r>
              <w:rPr>
                <w:rFonts w:ascii="微软雅黑" w:hAnsi="微软雅黑" w:eastAsia="微软雅黑"/>
                <w:bCs/>
                <w:szCs w:val="21"/>
              </w:rPr>
              <w:t>货物名称</w:t>
            </w:r>
          </w:p>
        </w:tc>
        <w:tc>
          <w:tcPr>
            <w:tcW w:w="1006" w:type="dxa"/>
            <w:vAlign w:val="center"/>
          </w:tcPr>
          <w:p w14:paraId="709610FF">
            <w:pPr>
              <w:spacing w:line="276" w:lineRule="auto"/>
              <w:jc w:val="center"/>
              <w:rPr>
                <w:rFonts w:hint="eastAsia" w:ascii="微软雅黑" w:hAnsi="微软雅黑" w:eastAsia="微软雅黑"/>
                <w:bCs/>
                <w:szCs w:val="21"/>
              </w:rPr>
            </w:pPr>
            <w:r>
              <w:rPr>
                <w:rFonts w:ascii="微软雅黑" w:hAnsi="微软雅黑" w:eastAsia="微软雅黑"/>
                <w:bCs/>
                <w:szCs w:val="21"/>
              </w:rPr>
              <w:t>数量</w:t>
            </w:r>
          </w:p>
        </w:tc>
        <w:tc>
          <w:tcPr>
            <w:tcW w:w="1556" w:type="dxa"/>
            <w:vAlign w:val="center"/>
          </w:tcPr>
          <w:p w14:paraId="4816FE26">
            <w:pPr>
              <w:spacing w:line="276" w:lineRule="auto"/>
              <w:jc w:val="center"/>
              <w:rPr>
                <w:rFonts w:hint="eastAsia" w:ascii="微软雅黑" w:hAnsi="微软雅黑" w:eastAsia="微软雅黑"/>
                <w:bCs/>
                <w:szCs w:val="21"/>
              </w:rPr>
            </w:pPr>
            <w:r>
              <w:rPr>
                <w:rFonts w:ascii="微软雅黑" w:hAnsi="微软雅黑" w:eastAsia="微软雅黑"/>
                <w:bCs/>
                <w:szCs w:val="21"/>
              </w:rPr>
              <w:t>单位</w:t>
            </w:r>
          </w:p>
        </w:tc>
      </w:tr>
      <w:tr w14:paraId="5053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7" w:type="dxa"/>
            <w:vAlign w:val="center"/>
          </w:tcPr>
          <w:p w14:paraId="45798B3C">
            <w:pPr>
              <w:numPr>
                <w:ilvl w:val="0"/>
                <w:numId w:val="0"/>
              </w:numPr>
              <w:spacing w:line="276" w:lineRule="auto"/>
              <w:ind w:leftChars="0"/>
              <w:jc w:val="both"/>
              <w:rPr>
                <w:rFonts w:hint="eastAsia" w:ascii="微软雅黑" w:hAnsi="微软雅黑" w:eastAsia="微软雅黑"/>
                <w:bCs/>
                <w:szCs w:val="21"/>
                <w:lang w:val="en-US" w:eastAsia="zh-CN"/>
              </w:rPr>
            </w:pPr>
            <w:r>
              <w:rPr>
                <w:rFonts w:hint="eastAsia" w:ascii="微软雅黑" w:hAnsi="微软雅黑" w:eastAsia="微软雅黑"/>
                <w:bCs/>
                <w:szCs w:val="21"/>
                <w:lang w:val="en-US" w:eastAsia="zh-CN"/>
              </w:rPr>
              <w:t>1、</w:t>
            </w:r>
          </w:p>
        </w:tc>
        <w:tc>
          <w:tcPr>
            <w:tcW w:w="5104" w:type="dxa"/>
            <w:vAlign w:val="center"/>
          </w:tcPr>
          <w:p w14:paraId="62DF682B">
            <w:pPr>
              <w:jc w:val="center"/>
              <w:rPr>
                <w:rFonts w:hint="eastAsia" w:ascii="微软雅黑" w:hAnsi="微软雅黑" w:eastAsia="微软雅黑"/>
                <w:szCs w:val="21"/>
                <w:lang w:val="en-US" w:eastAsia="zh-CN"/>
              </w:rPr>
            </w:pPr>
            <w:r>
              <w:rPr>
                <w:rFonts w:hint="eastAsia" w:ascii="微软雅黑" w:hAnsi="微软雅黑" w:eastAsia="微软雅黑"/>
                <w:szCs w:val="21"/>
              </w:rPr>
              <w:t>电生理</w:t>
            </w:r>
            <w:r>
              <w:rPr>
                <w:rFonts w:hint="eastAsia" w:ascii="微软雅黑" w:hAnsi="微软雅黑" w:eastAsia="微软雅黑"/>
                <w:szCs w:val="21"/>
                <w:lang w:val="en-US" w:eastAsia="zh-CN"/>
              </w:rPr>
              <w:t>工作站</w:t>
            </w:r>
          </w:p>
        </w:tc>
        <w:tc>
          <w:tcPr>
            <w:tcW w:w="1006" w:type="dxa"/>
            <w:vAlign w:val="center"/>
          </w:tcPr>
          <w:p w14:paraId="2FAC1EA0">
            <w:pPr>
              <w:spacing w:line="276" w:lineRule="auto"/>
              <w:jc w:val="center"/>
              <w:rPr>
                <w:rFonts w:hint="eastAsia" w:ascii="微软雅黑" w:hAnsi="微软雅黑" w:eastAsia="微软雅黑"/>
                <w:bCs/>
                <w:szCs w:val="21"/>
              </w:rPr>
            </w:pPr>
            <w:r>
              <w:rPr>
                <w:rFonts w:ascii="微软雅黑" w:hAnsi="微软雅黑" w:eastAsia="微软雅黑"/>
                <w:bCs/>
                <w:szCs w:val="21"/>
              </w:rPr>
              <w:t>1</w:t>
            </w:r>
          </w:p>
        </w:tc>
        <w:tc>
          <w:tcPr>
            <w:tcW w:w="1556" w:type="dxa"/>
            <w:vAlign w:val="center"/>
          </w:tcPr>
          <w:p w14:paraId="791FB444">
            <w:pPr>
              <w:spacing w:line="276" w:lineRule="auto"/>
              <w:jc w:val="center"/>
              <w:rPr>
                <w:rFonts w:hint="eastAsia" w:ascii="微软雅黑" w:hAnsi="微软雅黑" w:eastAsia="微软雅黑"/>
                <w:bCs/>
                <w:szCs w:val="21"/>
              </w:rPr>
            </w:pPr>
            <w:r>
              <w:rPr>
                <w:rFonts w:ascii="微软雅黑" w:hAnsi="微软雅黑" w:eastAsia="微软雅黑"/>
                <w:bCs/>
                <w:szCs w:val="21"/>
              </w:rPr>
              <w:t>套</w:t>
            </w:r>
          </w:p>
        </w:tc>
      </w:tr>
      <w:tr w14:paraId="5D64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7" w:type="dxa"/>
            <w:vAlign w:val="center"/>
          </w:tcPr>
          <w:p w14:paraId="6F633F20">
            <w:pPr>
              <w:jc w:val="both"/>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w:t>
            </w:r>
          </w:p>
        </w:tc>
        <w:tc>
          <w:tcPr>
            <w:tcW w:w="5104" w:type="dxa"/>
            <w:vAlign w:val="center"/>
          </w:tcPr>
          <w:p w14:paraId="4D799D4B">
            <w:pPr>
              <w:jc w:val="center"/>
              <w:rPr>
                <w:rFonts w:hint="eastAsia" w:ascii="微软雅黑" w:hAnsi="微软雅黑" w:eastAsia="微软雅黑"/>
                <w:szCs w:val="21"/>
              </w:rPr>
            </w:pPr>
            <w:r>
              <w:rPr>
                <w:rFonts w:hint="eastAsia" w:ascii="微软雅黑" w:hAnsi="微软雅黑" w:eastAsia="微软雅黑"/>
                <w:szCs w:val="21"/>
              </w:rPr>
              <w:t>电生理设备接入</w:t>
            </w:r>
          </w:p>
        </w:tc>
        <w:tc>
          <w:tcPr>
            <w:tcW w:w="1006" w:type="dxa"/>
            <w:vAlign w:val="center"/>
          </w:tcPr>
          <w:p w14:paraId="4D942B06">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4</w:t>
            </w:r>
          </w:p>
        </w:tc>
        <w:tc>
          <w:tcPr>
            <w:tcW w:w="1556" w:type="dxa"/>
            <w:vAlign w:val="center"/>
          </w:tcPr>
          <w:p w14:paraId="48436AC8">
            <w:pPr>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个</w:t>
            </w:r>
          </w:p>
        </w:tc>
      </w:tr>
    </w:tbl>
    <w:p w14:paraId="316A7B45">
      <w:pPr>
        <w:widowControl/>
        <w:spacing w:line="360" w:lineRule="auto"/>
        <w:jc w:val="left"/>
        <w:rPr>
          <w:sz w:val="24"/>
          <w:szCs w:val="24"/>
        </w:rPr>
      </w:pPr>
    </w:p>
    <w:p w14:paraId="5D07C5C1">
      <w:pPr>
        <w:pStyle w:val="3"/>
        <w:numPr>
          <w:ilvl w:val="0"/>
          <w:numId w:val="1"/>
        </w:numPr>
      </w:pPr>
      <w:r>
        <w:t>项目</w:t>
      </w:r>
      <w:bookmarkEnd w:id="0"/>
      <w:r>
        <w:t>概况</w:t>
      </w:r>
    </w:p>
    <w:p w14:paraId="4C82FF43">
      <w:pPr>
        <w:pStyle w:val="28"/>
        <w:spacing w:before="156" w:beforeLines="50" w:after="156" w:afterLines="50"/>
        <w:ind w:firstLine="480" w:firstLineChars="200"/>
        <w:jc w:val="both"/>
        <w:outlineLvl w:val="0"/>
        <w:rPr>
          <w:rFonts w:hint="default" w:ascii="Times New Roman" w:hAnsi="Times New Roman" w:eastAsia="宋体" w:cs="Times New Roman"/>
          <w:b w:val="0"/>
          <w:kern w:val="2"/>
          <w:sz w:val="24"/>
          <w:szCs w:val="20"/>
          <w:lang w:val="en-US" w:eastAsia="zh-CN" w:bidi="ar-SA"/>
        </w:rPr>
      </w:pPr>
      <w:r>
        <w:rPr>
          <w:rFonts w:hint="eastAsia" w:ascii="Times New Roman" w:hAnsi="Times New Roman" w:eastAsia="宋体" w:cs="Times New Roman"/>
          <w:b w:val="0"/>
          <w:kern w:val="2"/>
          <w:sz w:val="24"/>
          <w:szCs w:val="20"/>
          <w:lang w:val="en-US" w:eastAsia="zh-CN" w:bidi="ar-SA"/>
        </w:rPr>
        <w:t>在医院的信息化建设中，一些检查项目如胎心监护仪、动态心电采集仪器等电生理设备分布在医院的不同科室，因其检查量少、设备不具备网络属性等原因，不能与医院HIS、电子病历等系统实现数据互联互通，形成一个个信息孤岛，根据医院信息化建设规划，结合临床应用，以及医院评审等方面的要求，需要对电生理检查进行有效的信息化管理。通过信息化系统优化电生理检查流程，提高医生从申请单的提交、预约、收费、检查、数据录入直到输出检查报告、上传电子病历等一系列的网络化工作，电生理报告可在院内各系统间共享，完善医院信息化建设。备注：需把博英BI5000（5台）、迪姆DMS300-4A（1台），DMS300-4AL(1台）和胎儿心电图GY-EXPL（一台）和电生理工作站接入</w:t>
      </w:r>
      <w:r>
        <w:rPr>
          <w:rFonts w:hint="eastAsia" w:ascii="Times New Roman" w:eastAsia="宋体" w:cs="Times New Roman"/>
          <w:b w:val="0"/>
          <w:kern w:val="2"/>
          <w:sz w:val="24"/>
          <w:szCs w:val="20"/>
          <w:lang w:val="en-US" w:eastAsia="zh-CN" w:bidi="ar-SA"/>
        </w:rPr>
        <w:t>心电管理系统</w:t>
      </w:r>
      <w:r>
        <w:rPr>
          <w:rFonts w:hint="eastAsia" w:ascii="Times New Roman" w:hAnsi="Times New Roman" w:eastAsia="宋体" w:cs="Times New Roman"/>
          <w:b w:val="0"/>
          <w:kern w:val="2"/>
          <w:sz w:val="24"/>
          <w:szCs w:val="20"/>
          <w:lang w:val="en-US" w:eastAsia="zh-CN" w:bidi="ar-SA"/>
        </w:rPr>
        <w:t>。</w:t>
      </w:r>
    </w:p>
    <w:p w14:paraId="598E7914">
      <w:pPr>
        <w:pStyle w:val="3"/>
        <w:numPr>
          <w:ilvl w:val="0"/>
          <w:numId w:val="1"/>
        </w:numPr>
      </w:pPr>
      <w:r>
        <w:t>技术参数</w:t>
      </w:r>
    </w:p>
    <w:p w14:paraId="0733735A"/>
    <w:tbl>
      <w:tblPr>
        <w:tblStyle w:val="12"/>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7654"/>
      </w:tblGrid>
      <w:tr w14:paraId="1D9D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4" w:type="dxa"/>
            <w:vAlign w:val="center"/>
          </w:tcPr>
          <w:p w14:paraId="5D06C1EB">
            <w:pPr>
              <w:widowControl/>
              <w:jc w:val="center"/>
              <w:rPr>
                <w:b/>
                <w:bCs/>
                <w:szCs w:val="21"/>
              </w:rPr>
            </w:pPr>
            <w:r>
              <w:rPr>
                <w:b/>
                <w:bCs/>
                <w:szCs w:val="21"/>
              </w:rPr>
              <w:t>编号</w:t>
            </w:r>
          </w:p>
        </w:tc>
        <w:tc>
          <w:tcPr>
            <w:tcW w:w="1276" w:type="dxa"/>
            <w:vAlign w:val="center"/>
          </w:tcPr>
          <w:p w14:paraId="674A3B52">
            <w:pPr>
              <w:widowControl/>
              <w:jc w:val="center"/>
              <w:rPr>
                <w:b/>
                <w:bCs/>
                <w:szCs w:val="21"/>
              </w:rPr>
            </w:pPr>
            <w:r>
              <w:rPr>
                <w:rFonts w:hint="eastAsia"/>
                <w:b/>
                <w:bCs/>
                <w:szCs w:val="21"/>
              </w:rPr>
              <w:t>模块</w:t>
            </w:r>
          </w:p>
        </w:tc>
        <w:tc>
          <w:tcPr>
            <w:tcW w:w="7654" w:type="dxa"/>
            <w:vAlign w:val="center"/>
          </w:tcPr>
          <w:p w14:paraId="25D2A8A9">
            <w:pPr>
              <w:widowControl/>
              <w:jc w:val="center"/>
              <w:rPr>
                <w:b/>
                <w:bCs/>
                <w:szCs w:val="21"/>
              </w:rPr>
            </w:pPr>
            <w:r>
              <w:rPr>
                <w:rFonts w:hint="eastAsia"/>
                <w:b/>
                <w:bCs/>
                <w:szCs w:val="21"/>
              </w:rPr>
              <w:t>功能描述</w:t>
            </w:r>
          </w:p>
        </w:tc>
      </w:tr>
      <w:tr w14:paraId="2377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04" w:type="dxa"/>
            <w:vAlign w:val="center"/>
          </w:tcPr>
          <w:p w14:paraId="6CC079AD">
            <w:pPr>
              <w:pStyle w:val="16"/>
              <w:widowControl/>
              <w:numPr>
                <w:ilvl w:val="0"/>
                <w:numId w:val="2"/>
              </w:numPr>
              <w:ind w:firstLineChars="0"/>
              <w:jc w:val="left"/>
              <w:rPr>
                <w:rFonts w:hint="eastAsia" w:ascii="宋体" w:hAnsi="宋体"/>
                <w:szCs w:val="21"/>
              </w:rPr>
            </w:pPr>
          </w:p>
        </w:tc>
        <w:tc>
          <w:tcPr>
            <w:tcW w:w="1276" w:type="dxa"/>
            <w:vAlign w:val="center"/>
          </w:tcPr>
          <w:p w14:paraId="2F08CAF9">
            <w:pPr>
              <w:pStyle w:val="16"/>
              <w:widowControl/>
              <w:numPr>
                <w:ilvl w:val="0"/>
                <w:numId w:val="0"/>
              </w:numPr>
              <w:ind w:leftChars="0"/>
              <w:jc w:val="left"/>
              <w:rPr>
                <w:rFonts w:hint="default" w:ascii="宋体" w:hAnsi="宋体" w:eastAsia="宋体"/>
                <w:szCs w:val="21"/>
                <w:lang w:val="en-US" w:eastAsia="zh-CN"/>
              </w:rPr>
            </w:pPr>
            <w:r>
              <w:rPr>
                <w:rFonts w:hint="eastAsia" w:ascii="宋体" w:hAnsi="宋体"/>
                <w:szCs w:val="21"/>
              </w:rPr>
              <w:t>电生理工作站</w:t>
            </w:r>
            <w:r>
              <w:rPr>
                <w:rFonts w:hint="eastAsia" w:ascii="宋体" w:hAnsi="宋体"/>
                <w:szCs w:val="21"/>
                <w:lang w:eastAsia="zh-CN"/>
              </w:rPr>
              <w:t>（</w:t>
            </w:r>
            <w:r>
              <w:rPr>
                <w:rFonts w:hint="eastAsia" w:ascii="宋体" w:hAnsi="宋体"/>
                <w:szCs w:val="21"/>
                <w:lang w:val="en-US" w:eastAsia="zh-CN"/>
              </w:rPr>
              <w:t>一套）</w:t>
            </w:r>
          </w:p>
        </w:tc>
        <w:tc>
          <w:tcPr>
            <w:tcW w:w="7654" w:type="dxa"/>
          </w:tcPr>
          <w:p w14:paraId="1AD82973">
            <w:pPr>
              <w:pStyle w:val="16"/>
              <w:widowControl/>
              <w:numPr>
                <w:ilvl w:val="0"/>
                <w:numId w:val="0"/>
              </w:numPr>
              <w:jc w:val="left"/>
              <w:rPr>
                <w:rFonts w:hint="default" w:ascii="宋体" w:hAnsi="宋体"/>
                <w:szCs w:val="21"/>
                <w:lang w:val="en-US" w:eastAsia="zh-CN"/>
              </w:rPr>
            </w:pPr>
            <w:r>
              <w:rPr>
                <w:rFonts w:hint="eastAsia" w:ascii="宋体" w:hAnsi="宋体"/>
                <w:szCs w:val="21"/>
                <w:lang w:val="en-US" w:eastAsia="zh-CN"/>
              </w:rPr>
              <w:t>一、接口功能：</w:t>
            </w:r>
          </w:p>
          <w:p w14:paraId="6E10277C">
            <w:pPr>
              <w:pStyle w:val="16"/>
              <w:widowControl/>
              <w:numPr>
                <w:ilvl w:val="0"/>
                <w:numId w:val="0"/>
              </w:numPr>
              <w:jc w:val="left"/>
              <w:rPr>
                <w:rFonts w:hint="eastAsia" w:ascii="宋体" w:hAnsi="宋体"/>
                <w:szCs w:val="21"/>
              </w:rPr>
            </w:pPr>
            <w:r>
              <w:rPr>
                <w:rFonts w:hint="eastAsia" w:ascii="宋体" w:hAnsi="宋体"/>
                <w:szCs w:val="21"/>
                <w:lang w:val="en-US" w:eastAsia="zh-CN"/>
              </w:rPr>
              <w:t xml:space="preserve">1.  </w:t>
            </w:r>
            <w:r>
              <w:rPr>
                <w:rFonts w:hint="eastAsia" w:ascii="宋体" w:hAnsi="宋体"/>
                <w:szCs w:val="21"/>
              </w:rPr>
              <w:t>▲检查医生在打开电生理设备软件进行病人信息录入时，系统支持自动弹出并将HIS系统中的病人信息推送到电生理检查设备上，减轻检查医生的工作量，提高信息输入的准确性。【提供软件界面截图证明】</w:t>
            </w:r>
          </w:p>
          <w:p w14:paraId="09D3B71A">
            <w:pPr>
              <w:pStyle w:val="16"/>
              <w:widowControl/>
              <w:numPr>
                <w:ilvl w:val="0"/>
                <w:numId w:val="2"/>
              </w:numPr>
              <w:ind w:firstLineChars="0"/>
              <w:jc w:val="left"/>
              <w:rPr>
                <w:rFonts w:hint="eastAsia" w:ascii="宋体" w:hAnsi="宋体"/>
                <w:szCs w:val="21"/>
              </w:rPr>
            </w:pPr>
            <w:r>
              <w:rPr>
                <w:rFonts w:hint="eastAsia" w:ascii="宋体" w:hAnsi="宋体"/>
                <w:szCs w:val="21"/>
              </w:rPr>
              <w:t>▲支持对电生理软件工作站输出的PDF报告文件进行接收、传输和处理，电生理设备软件分析数据并通过打印输出报告后，所投产品须支持获取输出的最终文档，可以把文件保存为BMP (JPG) 、PDF等格式。【提供注册相关证明】</w:t>
            </w:r>
          </w:p>
          <w:p w14:paraId="6ECC9D5E">
            <w:pPr>
              <w:pStyle w:val="16"/>
              <w:widowControl/>
              <w:numPr>
                <w:ilvl w:val="0"/>
                <w:numId w:val="2"/>
              </w:numPr>
              <w:ind w:firstLineChars="0"/>
              <w:jc w:val="left"/>
              <w:rPr>
                <w:rFonts w:hint="eastAsia" w:ascii="宋体" w:hAnsi="宋体"/>
                <w:szCs w:val="21"/>
              </w:rPr>
            </w:pPr>
            <w:r>
              <w:rPr>
                <w:rFonts w:hint="eastAsia" w:ascii="宋体" w:hAnsi="宋体"/>
                <w:szCs w:val="21"/>
              </w:rPr>
              <w:t>支持电生理报告的自动归档和</w:t>
            </w:r>
            <w:r>
              <w:rPr>
                <w:rFonts w:hint="eastAsia" w:ascii="宋体" w:hAnsi="宋体"/>
                <w:szCs w:val="21"/>
                <w:lang w:val="en-US" w:eastAsia="zh-CN"/>
              </w:rPr>
              <w:t>全院共享数据。</w:t>
            </w:r>
          </w:p>
          <w:p w14:paraId="5CAE6C3E">
            <w:pPr>
              <w:pStyle w:val="16"/>
              <w:widowControl/>
              <w:numPr>
                <w:ilvl w:val="0"/>
                <w:numId w:val="2"/>
              </w:numPr>
              <w:ind w:firstLineChars="0"/>
              <w:jc w:val="left"/>
              <w:rPr>
                <w:rFonts w:hint="eastAsia" w:ascii="宋体" w:hAnsi="宋体"/>
                <w:szCs w:val="21"/>
              </w:rPr>
            </w:pPr>
            <w:r>
              <w:rPr>
                <w:rFonts w:hint="eastAsia" w:ascii="宋体" w:hAnsi="宋体"/>
                <w:szCs w:val="21"/>
              </w:rPr>
              <w:t>根据临床医生实际需要，支持通过OCR图片识别或PDF文字提取等方式对电生理报告参数进行提取，提取的信息可以根据用户的需要重新组合并按照医院要求重新定义报告格式，定制报告首页，统一报告风格；</w:t>
            </w:r>
          </w:p>
          <w:p w14:paraId="7071B532">
            <w:pPr>
              <w:pStyle w:val="16"/>
              <w:widowControl/>
              <w:numPr>
                <w:ilvl w:val="0"/>
                <w:numId w:val="2"/>
              </w:numPr>
              <w:ind w:firstLineChars="0"/>
              <w:jc w:val="left"/>
              <w:rPr>
                <w:rFonts w:hint="eastAsia" w:ascii="宋体" w:hAnsi="宋体"/>
                <w:szCs w:val="21"/>
              </w:rPr>
            </w:pPr>
            <w:r>
              <w:rPr>
                <w:rFonts w:hint="eastAsia" w:ascii="宋体" w:hAnsi="宋体"/>
                <w:szCs w:val="21"/>
              </w:rPr>
              <w:t>支持与危急值上报系统对接，实现危急值数据上报，并支持危急值上报数据的统计。</w:t>
            </w:r>
          </w:p>
          <w:p w14:paraId="55412E0F">
            <w:pPr>
              <w:pStyle w:val="16"/>
              <w:widowControl/>
              <w:numPr>
                <w:ilvl w:val="0"/>
                <w:numId w:val="2"/>
              </w:numPr>
              <w:ind w:firstLineChars="0"/>
              <w:jc w:val="left"/>
              <w:rPr>
                <w:rFonts w:hint="eastAsia" w:ascii="宋体" w:hAnsi="宋体"/>
                <w:szCs w:val="21"/>
              </w:rPr>
            </w:pPr>
            <w:r>
              <w:rPr>
                <w:rFonts w:hint="eastAsia" w:ascii="宋体" w:hAnsi="宋体"/>
                <w:szCs w:val="21"/>
              </w:rPr>
              <w:t>支持患者历史报告的查阅，方便医生诊断。</w:t>
            </w:r>
          </w:p>
          <w:p w14:paraId="0D7026F0">
            <w:pPr>
              <w:pStyle w:val="16"/>
              <w:widowControl/>
              <w:numPr>
                <w:ilvl w:val="0"/>
                <w:numId w:val="2"/>
              </w:numPr>
              <w:ind w:firstLineChars="0"/>
              <w:jc w:val="left"/>
              <w:rPr>
                <w:rFonts w:hint="eastAsia" w:ascii="宋体" w:hAnsi="宋体"/>
                <w:szCs w:val="21"/>
              </w:rPr>
            </w:pPr>
            <w:r>
              <w:rPr>
                <w:rFonts w:hint="eastAsia" w:ascii="宋体" w:hAnsi="宋体"/>
                <w:szCs w:val="21"/>
              </w:rPr>
              <w:t>支持病历收藏，医生可选择收藏患者病历，放入对应的收藏夹中，可添加收藏备注。</w:t>
            </w:r>
          </w:p>
          <w:p w14:paraId="49B2E6B0">
            <w:pPr>
              <w:pStyle w:val="16"/>
              <w:widowControl/>
              <w:numPr>
                <w:ilvl w:val="0"/>
                <w:numId w:val="2"/>
              </w:numPr>
              <w:ind w:firstLineChars="0"/>
              <w:jc w:val="left"/>
              <w:rPr>
                <w:rFonts w:hint="eastAsia" w:ascii="宋体" w:hAnsi="宋体"/>
                <w:szCs w:val="21"/>
              </w:rPr>
            </w:pPr>
            <w:r>
              <w:rPr>
                <w:rFonts w:hint="eastAsia" w:ascii="宋体" w:hAnsi="宋体"/>
                <w:szCs w:val="21"/>
              </w:rPr>
              <w:t>支持报告标记功能，针对特殊病历进行报告标记，方便后期随访。</w:t>
            </w:r>
          </w:p>
          <w:p w14:paraId="46DF2D3D">
            <w:pPr>
              <w:pStyle w:val="16"/>
              <w:widowControl/>
              <w:numPr>
                <w:ilvl w:val="0"/>
                <w:numId w:val="2"/>
              </w:numPr>
              <w:ind w:firstLineChars="0"/>
              <w:jc w:val="left"/>
              <w:rPr>
                <w:rFonts w:hint="eastAsia" w:ascii="宋体" w:hAnsi="宋体"/>
                <w:szCs w:val="21"/>
              </w:rPr>
            </w:pPr>
            <w:r>
              <w:rPr>
                <w:rFonts w:hint="eastAsia" w:ascii="宋体" w:hAnsi="宋体"/>
                <w:szCs w:val="21"/>
              </w:rPr>
              <w:t>电生理报告的数字化归档存储；对获取的数据进行归档后，在科室内实现数字化管理，在院内实现共享。在需要的时候支持电生理的远程会诊。</w:t>
            </w:r>
          </w:p>
          <w:p w14:paraId="5213647F">
            <w:pPr>
              <w:pStyle w:val="16"/>
              <w:widowControl/>
              <w:numPr>
                <w:ilvl w:val="0"/>
                <w:numId w:val="2"/>
              </w:numPr>
              <w:ind w:firstLineChars="0"/>
              <w:jc w:val="left"/>
              <w:rPr>
                <w:rFonts w:hint="eastAsia" w:ascii="宋体" w:hAnsi="宋体"/>
                <w:szCs w:val="21"/>
              </w:rPr>
            </w:pPr>
            <w:r>
              <w:rPr>
                <w:rFonts w:hint="eastAsia" w:ascii="宋体" w:hAnsi="宋体"/>
                <w:szCs w:val="21"/>
              </w:rPr>
              <w:t>▲数据统计：实现管理部门对设备、病人、医生、检查报告的统计分析。支持根据检查机构、检查部门、检查医生统计检查量；支持根据诊断医生统计诊断量。【提供数据挖掘分析质控系统自主知识产权证明】</w:t>
            </w:r>
          </w:p>
          <w:p w14:paraId="015132C3">
            <w:pPr>
              <w:pStyle w:val="16"/>
              <w:widowControl/>
              <w:numPr>
                <w:ilvl w:val="0"/>
                <w:numId w:val="2"/>
              </w:numPr>
              <w:ind w:firstLineChars="0"/>
              <w:jc w:val="left"/>
              <w:rPr>
                <w:rFonts w:hint="eastAsia" w:ascii="宋体" w:hAnsi="宋体"/>
                <w:szCs w:val="21"/>
              </w:rPr>
            </w:pPr>
            <w:r>
              <w:rPr>
                <w:rFonts w:hint="eastAsia" w:ascii="宋体" w:hAnsi="宋体"/>
                <w:szCs w:val="21"/>
              </w:rPr>
              <w:t>数据查询：可查询患者信息，仪器使用量，工作量费用统计，阳性查询，低值查询，数据范围查询等。</w:t>
            </w:r>
          </w:p>
          <w:p w14:paraId="1520B972">
            <w:pPr>
              <w:pStyle w:val="16"/>
              <w:widowControl/>
              <w:numPr>
                <w:ilvl w:val="0"/>
                <w:numId w:val="2"/>
              </w:numPr>
              <w:ind w:firstLineChars="0"/>
              <w:jc w:val="left"/>
              <w:rPr>
                <w:rFonts w:hint="eastAsia" w:ascii="宋体" w:hAnsi="宋体" w:eastAsia="宋体" w:cs="Times New Roman"/>
                <w:szCs w:val="21"/>
              </w:rPr>
            </w:pPr>
            <w:r>
              <w:rPr>
                <w:rFonts w:hint="eastAsia" w:ascii="宋体" w:hAnsi="宋体"/>
                <w:szCs w:val="21"/>
              </w:rPr>
              <w:t>科研统计：根据用户需求，针对特定的电生理检查项目进行科研数据的统计分析。电生理检查数据的科研统计包括数据的收集、处理、分析以及最终结</w:t>
            </w:r>
            <w:r>
              <w:rPr>
                <w:rFonts w:hint="eastAsia" w:ascii="宋体" w:hAnsi="宋体" w:eastAsia="宋体" w:cs="Times New Roman"/>
                <w:szCs w:val="21"/>
              </w:rPr>
              <w:t>果的呈现。</w:t>
            </w:r>
          </w:p>
          <w:p w14:paraId="7EAE0E39">
            <w:pPr>
              <w:pStyle w:val="16"/>
              <w:widowControl/>
              <w:numPr>
                <w:ilvl w:val="0"/>
                <w:numId w:val="2"/>
              </w:numPr>
              <w:ind w:firstLineChars="0"/>
              <w:jc w:val="left"/>
              <w:rPr>
                <w:rFonts w:hint="eastAsia" w:ascii="宋体" w:hAnsi="宋体" w:eastAsia="宋体" w:cs="Times New Roman"/>
                <w:szCs w:val="21"/>
              </w:rPr>
            </w:pPr>
            <w:r>
              <w:rPr>
                <w:rFonts w:hint="eastAsia" w:ascii="宋体" w:hAnsi="宋体"/>
                <w:szCs w:val="21"/>
              </w:rPr>
              <w:t>▲</w:t>
            </w:r>
            <w:r>
              <w:rPr>
                <w:rFonts w:hint="eastAsia" w:ascii="宋体" w:hAnsi="宋体" w:eastAsia="宋体" w:cs="Times New Roman"/>
                <w:szCs w:val="21"/>
              </w:rPr>
              <w:t>支持对电生理软件工作站输出的PDF报告文件进行接收、传输和处理，电生理设备软件分析数据并通过打印输出报告后，所投产品须支持获取输出的最终文档，可以把文件保存为BMP (JPG) 、PDF等格式。【提供注册相关证明】</w:t>
            </w:r>
          </w:p>
          <w:p w14:paraId="287CEC02">
            <w:pPr>
              <w:widowControl/>
              <w:adjustRightInd w:val="0"/>
              <w:snapToGrid w:val="0"/>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二、信息安全功能</w:t>
            </w:r>
          </w:p>
          <w:p w14:paraId="4DD02DCC">
            <w:pPr>
              <w:pStyle w:val="16"/>
              <w:widowControl/>
              <w:numPr>
                <w:ilvl w:val="-1"/>
                <w:numId w:val="0"/>
              </w:numPr>
              <w:adjustRightInd w:val="0"/>
              <w:snapToGrid w:val="0"/>
              <w:spacing w:line="360" w:lineRule="auto"/>
              <w:ind w:left="0" w:firstLine="0" w:firstLineChars="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在新技术框架下，严格遵循国家信息安全等级保护三级标准构建整体安全架构，从数据安全、系统安全及传输安全三个维度实施全方位防护设计，能够应对当前不断增长的网络安全威胁,提供更加安全的环境。</w:t>
            </w:r>
          </w:p>
          <w:p w14:paraId="20968E2C">
            <w:pPr>
              <w:pStyle w:val="16"/>
              <w:widowControl/>
              <w:numPr>
                <w:ilvl w:val="-1"/>
                <w:numId w:val="0"/>
              </w:numPr>
              <w:adjustRightInd w:val="0"/>
              <w:snapToGrid w:val="0"/>
              <w:spacing w:line="360" w:lineRule="auto"/>
              <w:ind w:left="0" w:firstLine="0" w:firstLineChars="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 xml:space="preserve">采用数据加密存储与Https传输，确保医疗信息全流程保密性、完整性和可用性；同时集成多重安全机制，包括身份鉴别、访问权限控制、安全审计等功能模块，有效防范未授权访问与操作风险。 </w:t>
            </w:r>
          </w:p>
          <w:p w14:paraId="2D90D544">
            <w:pPr>
              <w:pStyle w:val="16"/>
              <w:widowControl/>
              <w:numPr>
                <w:ilvl w:val="-1"/>
                <w:numId w:val="0"/>
              </w:numPr>
              <w:adjustRightInd w:val="0"/>
              <w:snapToGrid w:val="0"/>
              <w:spacing w:line="360" w:lineRule="auto"/>
              <w:ind w:left="0" w:firstLine="0" w:firstLineChars="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支持对登录的用户进行身份标识和鉴别，身份鉴别信息要具有复杂度并定期更换；对登录的用户进行账户和权限分配，以及访问策略和规则控制；支持诊断医生都开启信息脱敏，对患者关键信息进行脱敏显示；支持对数据库中患者敏感信息加密存储；支持报告文件上传完整性校验，防止文件损坏以及篡改；提供数据有效性校验功能；对重要的用户行为和重要安全事件进行审计。</w:t>
            </w:r>
          </w:p>
          <w:p w14:paraId="21A9A17B">
            <w:pPr>
              <w:pStyle w:val="16"/>
              <w:widowControl/>
              <w:numPr>
                <w:ilvl w:val="0"/>
                <w:numId w:val="0"/>
              </w:numPr>
              <w:ind w:leftChars="0"/>
              <w:jc w:val="left"/>
              <w:rPr>
                <w:rFonts w:hint="eastAsia" w:ascii="宋体" w:hAnsi="宋体"/>
                <w:szCs w:val="21"/>
              </w:rPr>
            </w:pPr>
          </w:p>
        </w:tc>
      </w:tr>
      <w:tr w14:paraId="197E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04" w:type="dxa"/>
            <w:vAlign w:val="center"/>
          </w:tcPr>
          <w:p w14:paraId="35396A5A">
            <w:pPr>
              <w:pStyle w:val="16"/>
              <w:widowControl/>
              <w:numPr>
                <w:ilvl w:val="0"/>
                <w:numId w:val="0"/>
              </w:numPr>
              <w:ind w:leftChars="0"/>
              <w:jc w:val="left"/>
              <w:rPr>
                <w:rFonts w:hint="eastAsia" w:ascii="宋体" w:hAnsi="宋体" w:eastAsia="宋体"/>
                <w:szCs w:val="21"/>
                <w:lang w:val="en-US" w:eastAsia="zh-CN"/>
              </w:rPr>
            </w:pPr>
            <w:r>
              <w:rPr>
                <w:rFonts w:hint="eastAsia" w:ascii="宋体" w:hAnsi="宋体"/>
                <w:szCs w:val="21"/>
                <w:lang w:val="en-US" w:eastAsia="zh-CN"/>
              </w:rPr>
              <w:t>2</w:t>
            </w:r>
          </w:p>
        </w:tc>
        <w:tc>
          <w:tcPr>
            <w:tcW w:w="1276" w:type="dxa"/>
            <w:vAlign w:val="center"/>
          </w:tcPr>
          <w:p w14:paraId="76B1C5A6">
            <w:pPr>
              <w:pStyle w:val="16"/>
              <w:widowControl/>
              <w:numPr>
                <w:ilvl w:val="0"/>
                <w:numId w:val="0"/>
              </w:numPr>
              <w:ind w:leftChars="0"/>
              <w:jc w:val="left"/>
              <w:rPr>
                <w:rFonts w:hint="default" w:ascii="宋体" w:hAnsi="宋体" w:eastAsia="宋体"/>
                <w:szCs w:val="21"/>
                <w:lang w:val="en-US" w:eastAsia="zh-CN"/>
              </w:rPr>
            </w:pPr>
            <w:r>
              <w:rPr>
                <w:rFonts w:hint="eastAsia" w:ascii="宋体" w:hAnsi="宋体"/>
                <w:szCs w:val="21"/>
              </w:rPr>
              <w:t>电生理设备接入</w:t>
            </w:r>
            <w:r>
              <w:rPr>
                <w:rFonts w:hint="eastAsia" w:ascii="宋体" w:hAnsi="宋体"/>
                <w:szCs w:val="21"/>
                <w:lang w:eastAsia="zh-CN"/>
              </w:rPr>
              <w:t>（</w:t>
            </w:r>
            <w:r>
              <w:rPr>
                <w:rFonts w:hint="eastAsia" w:ascii="宋体" w:hAnsi="宋体"/>
                <w:szCs w:val="21"/>
                <w:lang w:val="en-US" w:eastAsia="zh-CN"/>
              </w:rPr>
              <w:t>4个）</w:t>
            </w:r>
          </w:p>
        </w:tc>
        <w:tc>
          <w:tcPr>
            <w:tcW w:w="7654" w:type="dxa"/>
          </w:tcPr>
          <w:p w14:paraId="55C0A96A">
            <w:pPr>
              <w:pStyle w:val="16"/>
              <w:widowControl/>
              <w:numPr>
                <w:ilvl w:val="0"/>
                <w:numId w:val="0"/>
              </w:numPr>
              <w:ind w:leftChars="0"/>
              <w:jc w:val="left"/>
              <w:rPr>
                <w:rFonts w:hint="eastAsia" w:ascii="宋体" w:hAnsi="宋体"/>
                <w:szCs w:val="21"/>
              </w:rPr>
            </w:pPr>
            <w:r>
              <w:rPr>
                <w:rFonts w:hint="eastAsia" w:ascii="宋体" w:hAnsi="宋体"/>
                <w:szCs w:val="21"/>
                <w:lang w:val="en-US" w:eastAsia="zh-CN"/>
              </w:rPr>
              <w:t>1、</w:t>
            </w:r>
            <w:r>
              <w:rPr>
                <w:rFonts w:hint="eastAsia" w:ascii="宋体" w:hAnsi="宋体"/>
                <w:szCs w:val="21"/>
              </w:rPr>
              <w:t>▲支持电生理检查报告数据的获取、解析、重组、归档功能。【提供注册相关证明】</w:t>
            </w:r>
          </w:p>
          <w:p w14:paraId="1CF87209">
            <w:pPr>
              <w:pStyle w:val="16"/>
              <w:widowControl/>
              <w:numPr>
                <w:ilvl w:val="0"/>
                <w:numId w:val="0"/>
              </w:numPr>
              <w:ind w:leftChars="0"/>
              <w:jc w:val="left"/>
              <w:rPr>
                <w:rFonts w:hint="eastAsia" w:ascii="宋体" w:hAnsi="宋体"/>
                <w:szCs w:val="21"/>
              </w:rPr>
            </w:pPr>
            <w:r>
              <w:rPr>
                <w:rFonts w:hint="eastAsia" w:ascii="宋体" w:hAnsi="宋体"/>
                <w:szCs w:val="21"/>
                <w:lang w:val="en-US" w:eastAsia="zh-CN"/>
              </w:rPr>
              <w:t>2、</w:t>
            </w:r>
            <w:r>
              <w:rPr>
                <w:rFonts w:hint="eastAsia" w:ascii="宋体" w:hAnsi="宋体"/>
                <w:szCs w:val="21"/>
              </w:rPr>
              <w:t>对待接入的电生理设备进行全面调研，评估是否支持接入系统，计算设备接入数量和点位；</w:t>
            </w:r>
            <w:r>
              <w:rPr>
                <w:rFonts w:hint="eastAsia" w:ascii="宋体" w:hAnsi="宋体"/>
                <w:szCs w:val="21"/>
                <w:lang w:val="en-US" w:eastAsia="zh-CN"/>
              </w:rPr>
              <w:t>需把博英BI5000（5台）、迪姆DMS300-4A（1台），DMS300-4AL(1台）和胎儿心电图GY-EXPL（一台）和电生理工作站接入心电管理系统。</w:t>
            </w:r>
          </w:p>
          <w:p w14:paraId="43158D99">
            <w:pPr>
              <w:pStyle w:val="16"/>
              <w:widowControl/>
              <w:numPr>
                <w:ilvl w:val="0"/>
                <w:numId w:val="0"/>
              </w:numPr>
              <w:ind w:leftChars="0"/>
              <w:jc w:val="left"/>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接入心电管理系统。</w:t>
            </w:r>
          </w:p>
          <w:p w14:paraId="1402EA7B">
            <w:pPr>
              <w:pStyle w:val="16"/>
              <w:widowControl/>
              <w:numPr>
                <w:ilvl w:val="0"/>
                <w:numId w:val="0"/>
              </w:numPr>
              <w:ind w:leftChars="0"/>
              <w:jc w:val="left"/>
              <w:rPr>
                <w:rFonts w:hint="eastAsia" w:ascii="宋体" w:hAnsi="宋体"/>
                <w:szCs w:val="21"/>
              </w:rPr>
            </w:pPr>
          </w:p>
        </w:tc>
      </w:tr>
    </w:tbl>
    <w:p w14:paraId="6730990B">
      <w:pPr>
        <w:pStyle w:val="3"/>
        <w:numPr>
          <w:ilvl w:val="0"/>
          <w:numId w:val="1"/>
        </w:numPr>
      </w:pPr>
      <w:r>
        <w:t>评分</w:t>
      </w:r>
      <w:r>
        <w:rPr>
          <w:rFonts w:hint="eastAsia"/>
        </w:rPr>
        <w:t>标准</w:t>
      </w:r>
    </w:p>
    <w:p w14:paraId="571C5958">
      <w:pPr>
        <w:widowControl/>
        <w:spacing w:line="360" w:lineRule="auto"/>
        <w:jc w:val="left"/>
        <w:rPr>
          <w:sz w:val="24"/>
        </w:rPr>
      </w:pPr>
    </w:p>
    <w:tbl>
      <w:tblPr>
        <w:tblStyle w:val="1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6395"/>
        <w:gridCol w:w="1085"/>
      </w:tblGrid>
      <w:tr w14:paraId="4A8C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9" w:type="dxa"/>
            <w:vAlign w:val="center"/>
          </w:tcPr>
          <w:p w14:paraId="5259F0B7">
            <w:pPr>
              <w:adjustRightInd w:val="0"/>
              <w:snapToGrid w:val="0"/>
              <w:jc w:val="center"/>
              <w:rPr>
                <w:rFonts w:hint="eastAsia" w:ascii="宋体" w:hAnsi="宋体" w:cs="宋体"/>
                <w:b/>
                <w:bCs/>
                <w:sz w:val="20"/>
              </w:rPr>
            </w:pPr>
            <w:r>
              <w:rPr>
                <w:rFonts w:hint="eastAsia" w:ascii="宋体" w:hAnsi="宋体" w:cs="宋体"/>
                <w:b/>
                <w:bCs/>
                <w:sz w:val="20"/>
              </w:rPr>
              <w:t>序号</w:t>
            </w:r>
          </w:p>
        </w:tc>
        <w:tc>
          <w:tcPr>
            <w:tcW w:w="1271" w:type="dxa"/>
            <w:vAlign w:val="center"/>
          </w:tcPr>
          <w:p w14:paraId="5F748EF8">
            <w:pPr>
              <w:adjustRightInd w:val="0"/>
              <w:snapToGrid w:val="0"/>
              <w:jc w:val="center"/>
              <w:rPr>
                <w:rFonts w:hint="eastAsia" w:ascii="宋体" w:hAnsi="宋体" w:cs="宋体"/>
                <w:b/>
                <w:bCs/>
                <w:sz w:val="20"/>
              </w:rPr>
            </w:pPr>
            <w:r>
              <w:rPr>
                <w:rFonts w:hint="eastAsia" w:ascii="宋体" w:hAnsi="宋体" w:cs="宋体"/>
                <w:b/>
                <w:bCs/>
                <w:sz w:val="20"/>
              </w:rPr>
              <w:t>评审项目</w:t>
            </w:r>
          </w:p>
        </w:tc>
        <w:tc>
          <w:tcPr>
            <w:tcW w:w="6395" w:type="dxa"/>
            <w:vAlign w:val="center"/>
          </w:tcPr>
          <w:p w14:paraId="159DAEEA">
            <w:pPr>
              <w:adjustRightInd w:val="0"/>
              <w:snapToGrid w:val="0"/>
              <w:jc w:val="center"/>
              <w:rPr>
                <w:rFonts w:hint="eastAsia" w:ascii="宋体" w:hAnsi="宋体" w:cs="宋体"/>
                <w:b/>
                <w:bCs/>
                <w:sz w:val="20"/>
              </w:rPr>
            </w:pPr>
            <w:r>
              <w:rPr>
                <w:rFonts w:hint="eastAsia" w:ascii="宋体" w:hAnsi="宋体" w:cs="宋体"/>
                <w:b/>
                <w:bCs/>
                <w:sz w:val="20"/>
              </w:rPr>
              <w:t>评审标准</w:t>
            </w:r>
          </w:p>
        </w:tc>
        <w:tc>
          <w:tcPr>
            <w:tcW w:w="1085" w:type="dxa"/>
            <w:vAlign w:val="center"/>
          </w:tcPr>
          <w:p w14:paraId="5D4C1349">
            <w:pPr>
              <w:adjustRightInd w:val="0"/>
              <w:snapToGrid w:val="0"/>
              <w:jc w:val="center"/>
              <w:rPr>
                <w:rFonts w:hint="eastAsia" w:ascii="宋体" w:hAnsi="宋体" w:cs="宋体"/>
                <w:b/>
                <w:bCs/>
                <w:sz w:val="20"/>
              </w:rPr>
            </w:pPr>
            <w:r>
              <w:rPr>
                <w:rFonts w:hint="eastAsia" w:ascii="宋体" w:hAnsi="宋体" w:cs="宋体"/>
                <w:b/>
                <w:bCs/>
                <w:sz w:val="20"/>
              </w:rPr>
              <w:t>分值</w:t>
            </w:r>
          </w:p>
        </w:tc>
      </w:tr>
      <w:tr w14:paraId="20C3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9" w:type="dxa"/>
            <w:vAlign w:val="center"/>
          </w:tcPr>
          <w:p w14:paraId="11F8AE0C">
            <w:pPr>
              <w:adjustRightInd w:val="0"/>
              <w:snapToGrid w:val="0"/>
              <w:jc w:val="center"/>
              <w:rPr>
                <w:rFonts w:hint="eastAsia" w:ascii="宋体" w:hAnsi="宋体" w:cs="宋体"/>
                <w:sz w:val="20"/>
              </w:rPr>
            </w:pPr>
            <w:r>
              <w:rPr>
                <w:rFonts w:hint="eastAsia" w:ascii="宋体" w:hAnsi="宋体" w:cs="宋体"/>
                <w:sz w:val="20"/>
              </w:rPr>
              <w:t>1</w:t>
            </w:r>
          </w:p>
        </w:tc>
        <w:tc>
          <w:tcPr>
            <w:tcW w:w="1271" w:type="dxa"/>
            <w:vAlign w:val="center"/>
          </w:tcPr>
          <w:p w14:paraId="0C39B324">
            <w:pPr>
              <w:adjustRightInd w:val="0"/>
              <w:snapToGrid w:val="0"/>
              <w:jc w:val="center"/>
              <w:rPr>
                <w:rFonts w:hint="eastAsia" w:ascii="宋体" w:hAnsi="宋体" w:cs="宋体"/>
                <w:sz w:val="20"/>
              </w:rPr>
            </w:pPr>
            <w:r>
              <w:rPr>
                <w:rFonts w:ascii="宋体" w:hAnsi="宋体"/>
                <w:sz w:val="20"/>
              </w:rPr>
              <w:t>投标报价    （</w:t>
            </w:r>
            <w:r>
              <w:rPr>
                <w:rFonts w:hint="eastAsia" w:ascii="宋体" w:hAnsi="宋体"/>
                <w:sz w:val="20"/>
                <w:lang w:val="en-US" w:eastAsia="zh-CN"/>
              </w:rPr>
              <w:t>10</w:t>
            </w:r>
            <w:r>
              <w:rPr>
                <w:rFonts w:ascii="宋体" w:hAnsi="宋体"/>
                <w:sz w:val="20"/>
              </w:rPr>
              <w:t>分）</w:t>
            </w:r>
          </w:p>
        </w:tc>
        <w:tc>
          <w:tcPr>
            <w:tcW w:w="6395" w:type="dxa"/>
            <w:vAlign w:val="center"/>
          </w:tcPr>
          <w:p w14:paraId="20AB044E">
            <w:pPr>
              <w:keepNext w:val="0"/>
              <w:keepLines w:val="0"/>
              <w:pageBreakBefore w:val="0"/>
              <w:kinsoku/>
              <w:overflowPunct/>
              <w:topLinePunct w:val="0"/>
              <w:autoSpaceDE w:val="0"/>
              <w:autoSpaceDN w:val="0"/>
              <w:bidi w:val="0"/>
              <w:adjustRightInd/>
              <w:snapToGrid/>
              <w:spacing w:line="240" w:lineRule="auto"/>
              <w:ind w:left="0" w:leftChars="0" w:right="0" w:righ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价格分应当采用低价优先法计算，即满足招标文件要求且投标价格最低的投标报价为评标基准价，其价格分为满分。其他投标人的价格分统一按照下列公式计算：</w:t>
            </w:r>
          </w:p>
          <w:p w14:paraId="7517A33E">
            <w:pPr>
              <w:keepNext w:val="0"/>
              <w:keepLines w:val="0"/>
              <w:pageBreakBefore w:val="0"/>
              <w:widowControl/>
              <w:kinsoku/>
              <w:overflowPunct/>
              <w:topLinePunct w:val="0"/>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投标报价得分=(评标基准价／投标报价)×100×权重</w:t>
            </w:r>
          </w:p>
          <w:p w14:paraId="2173F2C1">
            <w:pPr>
              <w:keepNext w:val="0"/>
              <w:keepLines w:val="0"/>
              <w:pageBreakBefore w:val="0"/>
              <w:widowControl/>
              <w:kinsoku/>
              <w:overflowPunct/>
              <w:topLinePunct w:val="0"/>
              <w:bidi w:val="0"/>
              <w:adjustRightInd/>
              <w:snapToGrid/>
              <w:spacing w:line="240" w:lineRule="auto"/>
              <w:ind w:left="0" w:leftChars="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p w14:paraId="188FDA00">
            <w:pPr>
              <w:keepNext w:val="0"/>
              <w:keepLines w:val="0"/>
              <w:pageBreakBefore w:val="0"/>
              <w:widowControl/>
              <w:kinsoku/>
              <w:overflowPunct/>
              <w:topLinePunct w:val="0"/>
              <w:bidi w:val="0"/>
              <w:adjustRightInd/>
              <w:snapToGrid/>
              <w:spacing w:line="240" w:lineRule="auto"/>
              <w:ind w:left="0" w:leftChars="0" w:right="0" w:rightChars="0" w:firstLine="0" w:firstLine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1、投标报价得分四舍五入后，</w:t>
            </w:r>
            <w:r>
              <w:rPr>
                <w:rFonts w:hint="eastAsia" w:ascii="宋体" w:hAnsi="宋体" w:eastAsia="宋体" w:cs="宋体"/>
                <w:color w:val="auto"/>
                <w:sz w:val="21"/>
                <w:szCs w:val="21"/>
              </w:rPr>
              <w:t>小数点后保留两位有效数</w:t>
            </w:r>
            <w:r>
              <w:rPr>
                <w:rFonts w:hint="eastAsia" w:ascii="宋体" w:hAnsi="宋体" w:eastAsia="宋体" w:cs="宋体"/>
                <w:bCs/>
                <w:color w:val="auto"/>
                <w:sz w:val="21"/>
                <w:szCs w:val="21"/>
              </w:rPr>
              <w:t>。</w:t>
            </w:r>
          </w:p>
          <w:p w14:paraId="14972DDD">
            <w:pPr>
              <w:adjustRightInd w:val="0"/>
              <w:snapToGrid w:val="0"/>
              <w:rPr>
                <w:rFonts w:hint="eastAsia" w:ascii="宋体" w:hAnsi="宋体" w:cs="宋体"/>
                <w:sz w:val="20"/>
              </w:rPr>
            </w:pPr>
            <w:r>
              <w:rPr>
                <w:rStyle w:val="15"/>
                <w:rFonts w:hint="eastAsia" w:ascii="宋体" w:hAnsi="宋体" w:eastAsia="宋体" w:cs="宋体"/>
                <w:color w:val="auto"/>
                <w:sz w:val="21"/>
                <w:szCs w:val="21"/>
                <w:lang w:val="en-US" w:eastAsia="zh-CN"/>
              </w:rPr>
              <w:t>2</w:t>
            </w:r>
            <w:r>
              <w:rPr>
                <w:rStyle w:val="15"/>
                <w:rFonts w:hint="eastAsia" w:ascii="宋体" w:hAnsi="宋体" w:eastAsia="宋体" w:cs="宋体"/>
                <w:color w:val="auto"/>
                <w:sz w:val="21"/>
                <w:szCs w:val="21"/>
              </w:rPr>
              <w:t>、因落实政府采购政策进行价格调整的，以调整后的价格计算评标基准价和投标报价,详见《价格扣除》。</w:t>
            </w:r>
          </w:p>
        </w:tc>
        <w:tc>
          <w:tcPr>
            <w:tcW w:w="1085" w:type="dxa"/>
            <w:vAlign w:val="center"/>
          </w:tcPr>
          <w:p w14:paraId="06C7242C">
            <w:pPr>
              <w:adjustRightInd w:val="0"/>
              <w:snapToGrid w:val="0"/>
              <w:jc w:val="center"/>
              <w:rPr>
                <w:rFonts w:hint="eastAsia" w:ascii="宋体" w:hAnsi="宋体" w:cs="宋体"/>
                <w:sz w:val="20"/>
              </w:rPr>
            </w:pPr>
            <w:r>
              <w:rPr>
                <w:rFonts w:hint="eastAsia" w:ascii="宋体" w:hAnsi="宋体" w:cs="宋体"/>
                <w:sz w:val="20"/>
                <w:lang w:val="en-US" w:eastAsia="zh-CN"/>
              </w:rPr>
              <w:t>1</w:t>
            </w:r>
            <w:r>
              <w:rPr>
                <w:rFonts w:hint="eastAsia" w:ascii="宋体" w:hAnsi="宋体" w:cs="宋体"/>
                <w:sz w:val="20"/>
              </w:rPr>
              <w:t>0分</w:t>
            </w:r>
          </w:p>
        </w:tc>
      </w:tr>
      <w:tr w14:paraId="3470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09" w:type="dxa"/>
            <w:vAlign w:val="center"/>
          </w:tcPr>
          <w:p w14:paraId="010FB09B">
            <w:pPr>
              <w:adjustRightInd w:val="0"/>
              <w:snapToGrid w:val="0"/>
              <w:jc w:val="center"/>
              <w:rPr>
                <w:rFonts w:hint="eastAsia" w:ascii="宋体" w:hAnsi="宋体" w:cs="宋体"/>
                <w:sz w:val="20"/>
              </w:rPr>
            </w:pPr>
            <w:r>
              <w:rPr>
                <w:rFonts w:hint="eastAsia" w:ascii="宋体" w:hAnsi="宋体" w:cs="宋体"/>
                <w:sz w:val="20"/>
              </w:rPr>
              <w:t>2</w:t>
            </w:r>
          </w:p>
        </w:tc>
        <w:tc>
          <w:tcPr>
            <w:tcW w:w="1271" w:type="dxa"/>
            <w:vMerge w:val="restart"/>
            <w:vAlign w:val="center"/>
          </w:tcPr>
          <w:p w14:paraId="51F6D791">
            <w:pPr>
              <w:adjustRightInd w:val="0"/>
              <w:snapToGrid w:val="0"/>
              <w:jc w:val="left"/>
              <w:rPr>
                <w:rFonts w:hint="eastAsia" w:ascii="宋体" w:hAnsi="宋体" w:cs="宋体"/>
                <w:sz w:val="20"/>
              </w:rPr>
            </w:pPr>
            <w:r>
              <w:rPr>
                <w:rFonts w:hint="eastAsia" w:ascii="宋体" w:hAnsi="宋体" w:cs="宋体"/>
                <w:sz w:val="20"/>
              </w:rPr>
              <w:t>技术指标</w:t>
            </w:r>
          </w:p>
          <w:p w14:paraId="05B8A46E">
            <w:pPr>
              <w:adjustRightInd w:val="0"/>
              <w:snapToGrid w:val="0"/>
              <w:jc w:val="left"/>
              <w:rPr>
                <w:rFonts w:hint="eastAsia" w:ascii="宋体" w:hAnsi="宋体" w:cs="宋体"/>
                <w:sz w:val="20"/>
              </w:rPr>
            </w:pPr>
            <w:r>
              <w:rPr>
                <w:rFonts w:hint="eastAsia" w:ascii="宋体" w:hAnsi="宋体" w:cs="宋体"/>
                <w:sz w:val="20"/>
              </w:rPr>
              <w:t>（4</w:t>
            </w:r>
            <w:r>
              <w:rPr>
                <w:rFonts w:hint="eastAsia" w:ascii="宋体" w:hAnsi="宋体" w:cs="宋体"/>
                <w:sz w:val="20"/>
                <w:lang w:val="en-US" w:eastAsia="zh-CN"/>
              </w:rPr>
              <w:t>3</w:t>
            </w:r>
            <w:r>
              <w:rPr>
                <w:rFonts w:hint="eastAsia" w:ascii="宋体" w:hAnsi="宋体" w:cs="宋体"/>
                <w:sz w:val="20"/>
              </w:rPr>
              <w:t>分）</w:t>
            </w:r>
          </w:p>
        </w:tc>
        <w:tc>
          <w:tcPr>
            <w:tcW w:w="6395" w:type="dxa"/>
            <w:vAlign w:val="center"/>
          </w:tcPr>
          <w:p w14:paraId="1788CB3B">
            <w:pPr>
              <w:adjustRightInd w:val="0"/>
              <w:snapToGrid w:val="0"/>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技术参数响应。“▲”条款不符合每条扣</w:t>
            </w:r>
            <w:r>
              <w:rPr>
                <w:rFonts w:hint="eastAsia" w:ascii="宋体" w:hAnsi="宋体" w:cs="宋体"/>
                <w:sz w:val="20"/>
                <w:lang w:val="en-US" w:eastAsia="zh-CN"/>
              </w:rPr>
              <w:t>4</w:t>
            </w:r>
            <w:r>
              <w:rPr>
                <w:rFonts w:hint="eastAsia" w:ascii="宋体" w:hAnsi="宋体" w:cs="宋体"/>
                <w:sz w:val="20"/>
              </w:rPr>
              <w:t>分，普通参数每条不符合扣</w:t>
            </w:r>
            <w:r>
              <w:rPr>
                <w:rFonts w:hint="eastAsia" w:ascii="宋体" w:hAnsi="宋体" w:cs="宋体"/>
                <w:sz w:val="20"/>
                <w:lang w:val="en-US" w:eastAsia="zh-CN"/>
              </w:rPr>
              <w:t>1.5</w:t>
            </w:r>
            <w:r>
              <w:rPr>
                <w:rFonts w:hint="eastAsia" w:ascii="宋体" w:hAnsi="宋体" w:cs="宋体"/>
                <w:sz w:val="20"/>
              </w:rPr>
              <w:t>分，扣完为止。</w:t>
            </w:r>
          </w:p>
          <w:p w14:paraId="50D921F3">
            <w:pPr>
              <w:adjustRightInd w:val="0"/>
              <w:snapToGrid w:val="0"/>
              <w:rPr>
                <w:rFonts w:hint="eastAsia" w:ascii="宋体" w:hAnsi="宋体" w:cs="宋体"/>
                <w:sz w:val="20"/>
              </w:rPr>
            </w:pPr>
            <w:r>
              <w:rPr>
                <w:rFonts w:hint="eastAsia" w:ascii="宋体" w:hAnsi="宋体" w:cs="宋体"/>
                <w:sz w:val="20"/>
              </w:rPr>
              <w:t>注：投标人须按照招标技术参数明确的要求提供相应证明材料，若未按照要求提供或提供不全，评标委员会按照负偏离进行扣分。</w:t>
            </w:r>
          </w:p>
        </w:tc>
        <w:tc>
          <w:tcPr>
            <w:tcW w:w="1085" w:type="dxa"/>
            <w:vAlign w:val="center"/>
          </w:tcPr>
          <w:p w14:paraId="34F84B62">
            <w:pPr>
              <w:adjustRightInd w:val="0"/>
              <w:snapToGrid w:val="0"/>
              <w:jc w:val="center"/>
              <w:rPr>
                <w:rFonts w:hint="eastAsia" w:ascii="宋体" w:hAnsi="宋体" w:cs="宋体"/>
                <w:sz w:val="20"/>
              </w:rPr>
            </w:pPr>
            <w:r>
              <w:rPr>
                <w:rFonts w:hint="eastAsia" w:ascii="宋体" w:hAnsi="宋体" w:cs="宋体"/>
                <w:sz w:val="20"/>
                <w:lang w:val="en-US" w:eastAsia="zh-CN"/>
              </w:rPr>
              <w:t>35</w:t>
            </w:r>
            <w:r>
              <w:rPr>
                <w:rFonts w:hint="eastAsia" w:ascii="宋体" w:hAnsi="宋体" w:cs="宋体"/>
                <w:sz w:val="20"/>
              </w:rPr>
              <w:t>分</w:t>
            </w:r>
          </w:p>
        </w:tc>
      </w:tr>
      <w:tr w14:paraId="27AA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63E37E73">
            <w:pPr>
              <w:adjustRightInd w:val="0"/>
              <w:snapToGrid w:val="0"/>
              <w:jc w:val="center"/>
              <w:rPr>
                <w:rFonts w:hint="eastAsia" w:ascii="宋体" w:hAnsi="宋体" w:cs="宋体"/>
                <w:sz w:val="20"/>
              </w:rPr>
            </w:pPr>
            <w:r>
              <w:rPr>
                <w:rFonts w:hint="eastAsia" w:ascii="宋体" w:hAnsi="宋体" w:cs="宋体"/>
                <w:sz w:val="20"/>
              </w:rPr>
              <w:t>3</w:t>
            </w:r>
          </w:p>
        </w:tc>
        <w:tc>
          <w:tcPr>
            <w:tcW w:w="1271" w:type="dxa"/>
            <w:vMerge w:val="continue"/>
            <w:vAlign w:val="center"/>
          </w:tcPr>
          <w:p w14:paraId="2976DCF7">
            <w:pPr>
              <w:adjustRightInd w:val="0"/>
              <w:snapToGrid w:val="0"/>
              <w:jc w:val="center"/>
              <w:rPr>
                <w:rFonts w:hint="eastAsia" w:ascii="宋体" w:hAnsi="宋体" w:cs="宋体"/>
                <w:sz w:val="20"/>
              </w:rPr>
            </w:pPr>
          </w:p>
        </w:tc>
        <w:tc>
          <w:tcPr>
            <w:tcW w:w="6395" w:type="dxa"/>
          </w:tcPr>
          <w:p w14:paraId="5007CBBE">
            <w:pPr>
              <w:adjustRightInd w:val="0"/>
              <w:snapToGrid w:val="0"/>
            </w:pPr>
            <w:r>
              <w:rPr>
                <w:rFonts w:hint="eastAsia"/>
              </w:rPr>
              <w:t>2、信息安全等级保护。为保证系统信息安全，系统需符合信息安全等级保护要求，提供由公安机关颁发的“信息系统安全等级保护三级</w:t>
            </w:r>
            <w:r>
              <w:rPr>
                <w:rFonts w:hint="eastAsia"/>
                <w:lang w:val="en-US" w:eastAsia="zh-CN"/>
              </w:rPr>
              <w:t>或者三级以上</w:t>
            </w:r>
            <w:r>
              <w:rPr>
                <w:rFonts w:hint="eastAsia"/>
              </w:rPr>
              <w:t>备案证明”复印件。提供备案证明复印件得</w:t>
            </w:r>
            <w:r>
              <w:rPr>
                <w:rFonts w:hint="eastAsia"/>
                <w:lang w:val="en-US" w:eastAsia="zh-CN"/>
              </w:rPr>
              <w:t>8</w:t>
            </w:r>
            <w:r>
              <w:rPr>
                <w:rFonts w:hint="eastAsia"/>
              </w:rPr>
              <w:t>分，不提供不得分。</w:t>
            </w:r>
          </w:p>
        </w:tc>
        <w:tc>
          <w:tcPr>
            <w:tcW w:w="1085" w:type="dxa"/>
            <w:vAlign w:val="center"/>
          </w:tcPr>
          <w:p w14:paraId="562013F6">
            <w:pPr>
              <w:adjustRightInd w:val="0"/>
              <w:snapToGrid w:val="0"/>
              <w:jc w:val="center"/>
            </w:pPr>
            <w:r>
              <w:rPr>
                <w:rFonts w:hint="eastAsia"/>
                <w:lang w:val="en-US" w:eastAsia="zh-CN"/>
              </w:rPr>
              <w:t>8</w:t>
            </w:r>
            <w:r>
              <w:rPr>
                <w:rFonts w:hint="eastAsia"/>
              </w:rPr>
              <w:t>分</w:t>
            </w:r>
          </w:p>
        </w:tc>
      </w:tr>
      <w:tr w14:paraId="72D9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09" w:type="dxa"/>
            <w:vAlign w:val="center"/>
          </w:tcPr>
          <w:p w14:paraId="4901996F">
            <w:pPr>
              <w:adjustRightInd w:val="0"/>
              <w:snapToGrid w:val="0"/>
              <w:jc w:val="center"/>
              <w:rPr>
                <w:rFonts w:hint="eastAsia" w:ascii="宋体" w:hAnsi="宋体" w:cs="宋体"/>
                <w:sz w:val="20"/>
                <w:lang w:val="en-US" w:eastAsia="zh-CN"/>
              </w:rPr>
            </w:pPr>
            <w:r>
              <w:rPr>
                <w:rFonts w:hint="eastAsia" w:ascii="宋体" w:hAnsi="宋体" w:cs="宋体"/>
                <w:sz w:val="20"/>
                <w:lang w:val="en-US" w:eastAsia="zh-CN"/>
              </w:rPr>
              <w:t>4</w:t>
            </w:r>
          </w:p>
          <w:p w14:paraId="281570CE">
            <w:pPr>
              <w:adjustRightInd w:val="0"/>
              <w:snapToGrid w:val="0"/>
              <w:jc w:val="center"/>
              <w:rPr>
                <w:rFonts w:hint="eastAsia" w:ascii="宋体" w:hAnsi="宋体" w:eastAsia="宋体" w:cs="宋体"/>
                <w:sz w:val="20"/>
                <w:lang w:val="en-US" w:eastAsia="zh-CN"/>
              </w:rPr>
            </w:pPr>
          </w:p>
        </w:tc>
        <w:tc>
          <w:tcPr>
            <w:tcW w:w="1271" w:type="dxa"/>
            <w:vMerge w:val="restart"/>
            <w:vAlign w:val="center"/>
          </w:tcPr>
          <w:p w14:paraId="5D6821DF">
            <w:pPr>
              <w:adjustRightInd w:val="0"/>
              <w:snapToGrid w:val="0"/>
              <w:jc w:val="center"/>
              <w:rPr>
                <w:rFonts w:hint="eastAsia" w:ascii="宋体" w:hAnsi="宋体" w:cs="宋体"/>
                <w:sz w:val="20"/>
              </w:rPr>
            </w:pPr>
            <w:r>
              <w:rPr>
                <w:rFonts w:hint="eastAsia" w:ascii="宋体" w:hAnsi="宋体" w:cs="宋体"/>
                <w:sz w:val="20"/>
              </w:rPr>
              <w:t>综合实力</w:t>
            </w:r>
          </w:p>
          <w:p w14:paraId="7EE84D16">
            <w:pPr>
              <w:adjustRightInd w:val="0"/>
              <w:snapToGrid w:val="0"/>
              <w:jc w:val="center"/>
              <w:rPr>
                <w:rFonts w:hint="eastAsia" w:ascii="宋体" w:hAnsi="宋体" w:cs="宋体"/>
                <w:sz w:val="20"/>
              </w:rPr>
            </w:pPr>
            <w:r>
              <w:rPr>
                <w:rFonts w:hint="eastAsia" w:ascii="宋体" w:hAnsi="宋体" w:cs="宋体"/>
                <w:sz w:val="20"/>
              </w:rPr>
              <w:t>(</w:t>
            </w:r>
            <w:r>
              <w:rPr>
                <w:rFonts w:hint="eastAsia" w:ascii="宋体" w:hAnsi="宋体" w:cs="宋体"/>
                <w:sz w:val="20"/>
                <w:lang w:val="en-US" w:eastAsia="zh-CN"/>
              </w:rPr>
              <w:t>27</w:t>
            </w:r>
            <w:r>
              <w:rPr>
                <w:rFonts w:hint="eastAsia" w:ascii="宋体" w:hAnsi="宋体" w:cs="宋体"/>
                <w:sz w:val="20"/>
              </w:rPr>
              <w:t>分)</w:t>
            </w:r>
          </w:p>
        </w:tc>
        <w:tc>
          <w:tcPr>
            <w:tcW w:w="6395" w:type="dxa"/>
            <w:vAlign w:val="center"/>
          </w:tcPr>
          <w:p w14:paraId="635948A8">
            <w:pPr>
              <w:adjustRightInd w:val="0"/>
              <w:snapToGrid w:val="0"/>
              <w:rPr>
                <w:rFonts w:hint="eastAsia" w:ascii="宋体" w:hAnsi="宋体" w:eastAsia="宋体" w:cs="宋体"/>
                <w:kern w:val="2"/>
                <w:sz w:val="20"/>
                <w:lang w:val="en-US" w:eastAsia="zh-CN" w:bidi="ar-SA"/>
              </w:rPr>
            </w:pPr>
            <w:r>
              <w:rPr>
                <w:rFonts w:hint="eastAsia" w:cs="Times New Roman" w:asciiTheme="minorEastAsia" w:hAnsiTheme="minorEastAsia"/>
                <w:kern w:val="2"/>
                <w:sz w:val="21"/>
                <w:szCs w:val="21"/>
                <w:lang w:val="en-US" w:eastAsia="zh-CN" w:bidi="ar-SA"/>
              </w:rPr>
              <w:t>1、</w:t>
            </w:r>
            <w:r>
              <w:rPr>
                <w:rFonts w:hint="eastAsia" w:eastAsia="宋体" w:cs="Times New Roman" w:asciiTheme="minorEastAsia" w:hAnsiTheme="minorEastAsia"/>
                <w:kern w:val="2"/>
                <w:sz w:val="21"/>
                <w:szCs w:val="21"/>
                <w:lang w:val="en-US" w:eastAsia="zh-CN" w:bidi="ar-SA"/>
              </w:rPr>
              <w:t>为响应国家核心技术自主性，满足国家提出的重要信息系统要全面实现国产化代替的新要求，心电网络系统厂家需具备兼容国产主流CPU、操作系统和数据库的能力，提供由主流国产供应厂商出具的相互兼容性测试认证证书复印件。每提供一个证书类型得</w:t>
            </w:r>
            <w:r>
              <w:rPr>
                <w:rFonts w:hint="eastAsia" w:cs="Times New Roman" w:asciiTheme="minorEastAsia" w:hAnsiTheme="minorEastAsia"/>
                <w:kern w:val="2"/>
                <w:sz w:val="21"/>
                <w:szCs w:val="21"/>
                <w:lang w:val="en-US" w:eastAsia="zh-CN" w:bidi="ar-SA"/>
              </w:rPr>
              <w:t>7</w:t>
            </w:r>
            <w:r>
              <w:rPr>
                <w:rFonts w:hint="eastAsia" w:eastAsia="宋体" w:cs="Times New Roman" w:asciiTheme="minorEastAsia" w:hAnsiTheme="minorEastAsia"/>
                <w:kern w:val="2"/>
                <w:sz w:val="21"/>
                <w:szCs w:val="21"/>
                <w:lang w:val="en-US" w:eastAsia="zh-CN" w:bidi="ar-SA"/>
              </w:rPr>
              <w:t>分，最高</w:t>
            </w:r>
            <w:r>
              <w:rPr>
                <w:rFonts w:hint="eastAsia" w:cs="Times New Roman" w:asciiTheme="minorEastAsia" w:hAnsiTheme="minorEastAsia"/>
                <w:kern w:val="2"/>
                <w:sz w:val="21"/>
                <w:szCs w:val="21"/>
                <w:lang w:val="en-US" w:eastAsia="zh-CN" w:bidi="ar-SA"/>
              </w:rPr>
              <w:t>14</w:t>
            </w:r>
            <w:r>
              <w:rPr>
                <w:rFonts w:hint="eastAsia" w:eastAsia="宋体" w:cs="Times New Roman" w:asciiTheme="minorEastAsia" w:hAnsiTheme="minorEastAsia"/>
                <w:kern w:val="2"/>
                <w:sz w:val="21"/>
                <w:szCs w:val="21"/>
                <w:lang w:val="en-US" w:eastAsia="zh-CN" w:bidi="ar-SA"/>
              </w:rPr>
              <w:t>分。</w:t>
            </w:r>
          </w:p>
        </w:tc>
        <w:tc>
          <w:tcPr>
            <w:tcW w:w="1085" w:type="dxa"/>
            <w:vAlign w:val="center"/>
          </w:tcPr>
          <w:p w14:paraId="28EEF92D">
            <w:pPr>
              <w:adjustRightInd w:val="0"/>
              <w:snapToGrid w:val="0"/>
              <w:jc w:val="center"/>
              <w:rPr>
                <w:rFonts w:hint="eastAsia" w:ascii="宋体" w:hAnsi="宋体" w:cs="宋体"/>
                <w:sz w:val="20"/>
                <w:lang w:val="en-US" w:eastAsia="zh-CN"/>
              </w:rPr>
            </w:pPr>
            <w:r>
              <w:rPr>
                <w:rFonts w:hint="eastAsia" w:ascii="宋体" w:hAnsi="宋体" w:cs="宋体"/>
                <w:sz w:val="20"/>
                <w:lang w:val="en-US" w:eastAsia="zh-CN"/>
              </w:rPr>
              <w:t>14分</w:t>
            </w:r>
          </w:p>
          <w:p w14:paraId="35AB48E1">
            <w:pPr>
              <w:adjustRightInd w:val="0"/>
              <w:snapToGrid w:val="0"/>
              <w:jc w:val="center"/>
              <w:rPr>
                <w:rFonts w:hint="eastAsia" w:ascii="宋体" w:hAnsi="宋体" w:eastAsia="宋体" w:cs="宋体"/>
                <w:kern w:val="2"/>
                <w:sz w:val="20"/>
                <w:lang w:val="en-US" w:eastAsia="zh-CN" w:bidi="ar-SA"/>
              </w:rPr>
            </w:pPr>
          </w:p>
        </w:tc>
      </w:tr>
      <w:tr w14:paraId="3BF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2EFA017C">
            <w:pPr>
              <w:adjustRightInd w:val="0"/>
              <w:snapToGrid w:val="0"/>
              <w:jc w:val="center"/>
              <w:rPr>
                <w:rFonts w:hint="default" w:ascii="宋体" w:hAnsi="宋体" w:eastAsia="宋体" w:cs="宋体"/>
                <w:sz w:val="20"/>
                <w:lang w:val="en-US" w:eastAsia="zh-CN"/>
              </w:rPr>
            </w:pPr>
            <w:r>
              <w:rPr>
                <w:rFonts w:hint="eastAsia" w:ascii="宋体" w:hAnsi="宋体" w:cs="宋体"/>
                <w:sz w:val="20"/>
                <w:lang w:val="en-US" w:eastAsia="zh-CN"/>
              </w:rPr>
              <w:t>5</w:t>
            </w:r>
          </w:p>
        </w:tc>
        <w:tc>
          <w:tcPr>
            <w:tcW w:w="1271" w:type="dxa"/>
            <w:vMerge w:val="continue"/>
            <w:vAlign w:val="center"/>
          </w:tcPr>
          <w:p w14:paraId="4817CD3C">
            <w:pPr>
              <w:adjustRightInd w:val="0"/>
              <w:snapToGrid w:val="0"/>
              <w:jc w:val="center"/>
              <w:rPr>
                <w:rFonts w:hint="eastAsia" w:ascii="宋体" w:hAnsi="宋体" w:cs="宋体"/>
                <w:sz w:val="20"/>
              </w:rPr>
            </w:pPr>
          </w:p>
        </w:tc>
        <w:tc>
          <w:tcPr>
            <w:tcW w:w="6395" w:type="dxa"/>
            <w:vAlign w:val="center"/>
          </w:tcPr>
          <w:p w14:paraId="542952CF">
            <w:pPr>
              <w:pStyle w:val="8"/>
              <w:adjustRightInd w:val="0"/>
              <w:snapToGrid w:val="0"/>
              <w:spacing w:after="0"/>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集成开发能力：</w:t>
            </w:r>
          </w:p>
          <w:p w14:paraId="505AAB23">
            <w:pPr>
              <w:pStyle w:val="8"/>
              <w:adjustRightInd w:val="0"/>
              <w:snapToGrid w:val="0"/>
              <w:spacing w:after="0"/>
              <w:rPr>
                <w:rFonts w:hint="eastAsia" w:eastAsia="宋体" w:cs="Times New Roman" w:asciiTheme="minorEastAsia" w:hAnsiTheme="minorEastAsia"/>
                <w:szCs w:val="21"/>
              </w:rPr>
            </w:pPr>
            <w:r>
              <w:rPr>
                <w:rFonts w:hint="eastAsia" w:asciiTheme="minorEastAsia" w:hAnsiTheme="minorEastAsia"/>
                <w:szCs w:val="21"/>
              </w:rPr>
              <w:t>为证明产品集成开发能力，提供产品供应商获得的由SEI组织官方注册认证的“</w:t>
            </w:r>
            <w:r>
              <w:rPr>
                <w:rFonts w:asciiTheme="minorEastAsia" w:hAnsiTheme="minorEastAsia"/>
                <w:szCs w:val="21"/>
              </w:rPr>
              <w:t>CMMI</w:t>
            </w:r>
            <w:r>
              <w:rPr>
                <w:rFonts w:hint="eastAsia" w:asciiTheme="minorEastAsia" w:hAnsiTheme="minorEastAsia"/>
                <w:szCs w:val="21"/>
              </w:rPr>
              <w:t>能力成熟度五级证书”复印件。满足</w:t>
            </w:r>
            <w:r>
              <w:rPr>
                <w:rFonts w:asciiTheme="minorEastAsia" w:hAnsiTheme="minorEastAsia"/>
                <w:szCs w:val="21"/>
              </w:rPr>
              <w:t>5</w:t>
            </w:r>
            <w:r>
              <w:rPr>
                <w:rFonts w:hint="eastAsia" w:asciiTheme="minorEastAsia" w:hAnsiTheme="minorEastAsia"/>
                <w:szCs w:val="21"/>
              </w:rPr>
              <w:t>级得</w:t>
            </w:r>
            <w:r>
              <w:rPr>
                <w:rFonts w:hint="eastAsia" w:asciiTheme="minorEastAsia" w:hAnsiTheme="minorEastAsia"/>
                <w:szCs w:val="21"/>
                <w:lang w:val="en-US" w:eastAsia="zh-CN"/>
              </w:rPr>
              <w:t>7</w:t>
            </w:r>
            <w:r>
              <w:rPr>
                <w:rFonts w:hint="eastAsia" w:asciiTheme="minorEastAsia" w:hAnsiTheme="minorEastAsia"/>
                <w:szCs w:val="21"/>
              </w:rPr>
              <w:t>分，</w:t>
            </w:r>
            <w:r>
              <w:rPr>
                <w:rFonts w:asciiTheme="minorEastAsia" w:hAnsiTheme="minorEastAsia"/>
                <w:szCs w:val="21"/>
              </w:rPr>
              <w:t>5</w:t>
            </w:r>
            <w:r>
              <w:rPr>
                <w:rFonts w:hint="eastAsia" w:asciiTheme="minorEastAsia" w:hAnsiTheme="minorEastAsia"/>
                <w:szCs w:val="21"/>
              </w:rPr>
              <w:t>级以下得</w:t>
            </w:r>
            <w:r>
              <w:rPr>
                <w:rFonts w:hint="eastAsia" w:asciiTheme="minorEastAsia" w:hAnsiTheme="minorEastAsia"/>
                <w:szCs w:val="21"/>
                <w:lang w:val="en-US" w:eastAsia="zh-CN"/>
              </w:rPr>
              <w:t>3</w:t>
            </w:r>
            <w:r>
              <w:rPr>
                <w:rFonts w:hint="eastAsia" w:asciiTheme="minorEastAsia" w:hAnsiTheme="minorEastAsia"/>
                <w:szCs w:val="21"/>
              </w:rPr>
              <w:t>分，不提供不得分。</w:t>
            </w:r>
          </w:p>
        </w:tc>
        <w:tc>
          <w:tcPr>
            <w:tcW w:w="1085" w:type="dxa"/>
            <w:vAlign w:val="center"/>
          </w:tcPr>
          <w:p w14:paraId="416432AF">
            <w:pPr>
              <w:adjustRightInd w:val="0"/>
              <w:snapToGrid w:val="0"/>
              <w:jc w:val="center"/>
              <w:rPr>
                <w:rFonts w:hint="eastAsia" w:ascii="宋体" w:hAnsi="宋体" w:eastAsia="宋体" w:cs="宋体"/>
                <w:sz w:val="20"/>
                <w:lang w:val="en-US" w:eastAsia="zh-CN"/>
              </w:rPr>
            </w:pPr>
            <w:r>
              <w:rPr>
                <w:rFonts w:hint="eastAsia" w:ascii="宋体" w:hAnsi="宋体" w:cs="宋体"/>
                <w:sz w:val="20"/>
                <w:lang w:val="en-US" w:eastAsia="zh-CN"/>
              </w:rPr>
              <w:t>7分</w:t>
            </w:r>
          </w:p>
        </w:tc>
      </w:tr>
      <w:tr w14:paraId="6FB9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63991E79">
            <w:pPr>
              <w:adjustRightInd w:val="0"/>
              <w:snapToGrid w:val="0"/>
              <w:jc w:val="center"/>
              <w:rPr>
                <w:rFonts w:hint="default" w:ascii="宋体" w:hAnsi="宋体" w:eastAsia="宋体" w:cs="宋体"/>
                <w:sz w:val="20"/>
                <w:lang w:val="en-US" w:eastAsia="zh-CN"/>
              </w:rPr>
            </w:pPr>
            <w:r>
              <w:rPr>
                <w:rFonts w:hint="eastAsia" w:ascii="宋体" w:hAnsi="宋体" w:cs="宋体"/>
                <w:sz w:val="20"/>
                <w:lang w:val="en-US" w:eastAsia="zh-CN"/>
              </w:rPr>
              <w:t>6</w:t>
            </w:r>
          </w:p>
        </w:tc>
        <w:tc>
          <w:tcPr>
            <w:tcW w:w="1271" w:type="dxa"/>
            <w:vMerge w:val="continue"/>
            <w:vAlign w:val="center"/>
          </w:tcPr>
          <w:p w14:paraId="0432E433">
            <w:pPr>
              <w:adjustRightInd w:val="0"/>
              <w:snapToGrid w:val="0"/>
              <w:jc w:val="center"/>
              <w:rPr>
                <w:rFonts w:hint="eastAsia" w:ascii="宋体" w:hAnsi="宋体" w:cs="宋体"/>
                <w:sz w:val="20"/>
              </w:rPr>
            </w:pPr>
          </w:p>
        </w:tc>
        <w:tc>
          <w:tcPr>
            <w:tcW w:w="6395" w:type="dxa"/>
            <w:vAlign w:val="center"/>
          </w:tcPr>
          <w:p w14:paraId="2F691CA5">
            <w:pPr>
              <w:pStyle w:val="16"/>
              <w:adjustRightInd w:val="0"/>
              <w:snapToGrid w:val="0"/>
              <w:ind w:firstLine="0" w:firstLineChars="0"/>
              <w:jc w:val="left"/>
            </w:pPr>
            <w:r>
              <w:rPr>
                <w:rFonts w:hint="eastAsia"/>
                <w:lang w:val="en-US" w:eastAsia="zh-CN"/>
              </w:rPr>
              <w:t>3、</w:t>
            </w:r>
            <w:r>
              <w:rPr>
                <w:rFonts w:hint="eastAsia"/>
              </w:rPr>
              <w:t>评级案例：</w:t>
            </w:r>
          </w:p>
          <w:p w14:paraId="6E7CAE8B">
            <w:pPr>
              <w:pStyle w:val="16"/>
              <w:adjustRightInd w:val="0"/>
              <w:snapToGrid w:val="0"/>
              <w:ind w:firstLine="0" w:firstLineChars="0"/>
              <w:jc w:val="left"/>
            </w:pPr>
            <w:r>
              <w:rPr>
                <w:rFonts w:hint="eastAsia"/>
                <w:lang w:val="en-US" w:eastAsia="zh-CN"/>
              </w:rPr>
              <w:t>厂家</w:t>
            </w:r>
            <w:r>
              <w:rPr>
                <w:rFonts w:hint="eastAsia"/>
              </w:rPr>
              <w:t>具有协助医院通过电子病历评级6级（含）以上或类似项目案例的，每提供一个得1分，最高</w:t>
            </w:r>
            <w:r>
              <w:rPr>
                <w:rFonts w:hint="eastAsia"/>
                <w:lang w:val="en-US" w:eastAsia="zh-CN"/>
              </w:rPr>
              <w:t>3</w:t>
            </w:r>
            <w:r>
              <w:rPr>
                <w:rFonts w:hint="eastAsia"/>
              </w:rPr>
              <w:t>分；协助医院通过互联互通评审5级或类似项目案例的，每提供一个得1分，最高</w:t>
            </w:r>
            <w:r>
              <w:rPr>
                <w:rFonts w:hint="eastAsia"/>
                <w:lang w:val="en-US" w:eastAsia="zh-CN"/>
              </w:rPr>
              <w:t>3</w:t>
            </w:r>
            <w:r>
              <w:rPr>
                <w:rFonts w:hint="eastAsia"/>
              </w:rPr>
              <w:t>分。</w:t>
            </w:r>
          </w:p>
          <w:p w14:paraId="40410B13">
            <w:pPr>
              <w:adjustRightInd w:val="0"/>
              <w:snapToGrid w:val="0"/>
              <w:jc w:val="left"/>
              <w:rPr>
                <w:rFonts w:hint="eastAsia" w:ascii="宋体" w:hAnsi="宋体" w:eastAsia="宋体" w:cs="宋体"/>
                <w:sz w:val="20"/>
                <w:lang w:val="en-US" w:eastAsia="zh-CN"/>
              </w:rPr>
            </w:pPr>
            <w:r>
              <w:rPr>
                <w:rFonts w:hint="eastAsia"/>
              </w:rPr>
              <w:t>证明材料要求：电子病历评级案例或类似项目案例</w:t>
            </w:r>
            <w:r>
              <w:rPr>
                <w:rFonts w:hint="eastAsia" w:asciiTheme="minorEastAsia" w:hAnsiTheme="minorEastAsia"/>
                <w:szCs w:val="21"/>
              </w:rPr>
              <w:t>。</w:t>
            </w:r>
          </w:p>
        </w:tc>
        <w:tc>
          <w:tcPr>
            <w:tcW w:w="1085" w:type="dxa"/>
            <w:vAlign w:val="center"/>
          </w:tcPr>
          <w:p w14:paraId="1A52A60E">
            <w:pPr>
              <w:adjustRightInd w:val="0"/>
              <w:snapToGrid w:val="0"/>
              <w:jc w:val="center"/>
              <w:rPr>
                <w:rFonts w:hint="eastAsia" w:ascii="宋体" w:hAnsi="宋体" w:cs="宋体"/>
                <w:sz w:val="20"/>
              </w:rPr>
            </w:pPr>
            <w:r>
              <w:rPr>
                <w:rFonts w:hint="eastAsia" w:ascii="宋体" w:hAnsi="宋体" w:cs="宋体"/>
                <w:sz w:val="20"/>
                <w:lang w:val="en-US" w:eastAsia="zh-CN"/>
              </w:rPr>
              <w:t>6</w:t>
            </w:r>
            <w:r>
              <w:rPr>
                <w:rFonts w:hint="eastAsia" w:ascii="宋体" w:hAnsi="宋体" w:cs="宋体"/>
                <w:sz w:val="20"/>
              </w:rPr>
              <w:t>分</w:t>
            </w:r>
          </w:p>
        </w:tc>
      </w:tr>
      <w:tr w14:paraId="6CED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2DD4DA1D">
            <w:pPr>
              <w:adjustRightInd w:val="0"/>
              <w:snapToGrid w:val="0"/>
              <w:jc w:val="center"/>
              <w:rPr>
                <w:rFonts w:hint="default" w:ascii="宋体" w:hAnsi="宋体" w:eastAsia="宋体" w:cs="宋体"/>
                <w:sz w:val="20"/>
                <w:lang w:val="en-US" w:eastAsia="zh-CN"/>
              </w:rPr>
            </w:pPr>
            <w:bookmarkStart w:id="1" w:name="_GoBack" w:colFirst="2" w:colLast="2"/>
            <w:r>
              <w:rPr>
                <w:rFonts w:hint="eastAsia" w:ascii="宋体" w:hAnsi="宋体" w:cs="宋体"/>
                <w:sz w:val="20"/>
                <w:lang w:val="en-US" w:eastAsia="zh-CN"/>
              </w:rPr>
              <w:t>7</w:t>
            </w:r>
          </w:p>
        </w:tc>
        <w:tc>
          <w:tcPr>
            <w:tcW w:w="1271" w:type="dxa"/>
            <w:vMerge w:val="restart"/>
            <w:vAlign w:val="center"/>
          </w:tcPr>
          <w:p w14:paraId="59C044C1">
            <w:pPr>
              <w:adjustRightInd w:val="0"/>
              <w:snapToGrid w:val="0"/>
              <w:jc w:val="center"/>
              <w:rPr>
                <w:rFonts w:hint="eastAsia" w:ascii="宋体" w:hAnsi="宋体" w:cs="宋体"/>
                <w:sz w:val="20"/>
              </w:rPr>
            </w:pPr>
          </w:p>
          <w:p w14:paraId="401A7F1F">
            <w:pPr>
              <w:adjustRightInd w:val="0"/>
              <w:snapToGrid w:val="0"/>
              <w:jc w:val="center"/>
              <w:rPr>
                <w:rFonts w:hint="eastAsia" w:ascii="宋体" w:hAnsi="宋体" w:cs="宋体"/>
                <w:sz w:val="20"/>
              </w:rPr>
            </w:pPr>
            <w:r>
              <w:rPr>
                <w:rFonts w:hint="eastAsia" w:ascii="宋体" w:hAnsi="宋体" w:cs="宋体"/>
                <w:sz w:val="20"/>
              </w:rPr>
              <w:t>技术方案</w:t>
            </w:r>
          </w:p>
          <w:p w14:paraId="538BAE63">
            <w:pPr>
              <w:adjustRightInd w:val="0"/>
              <w:snapToGrid w:val="0"/>
              <w:jc w:val="center"/>
              <w:rPr>
                <w:rFonts w:hint="eastAsia" w:ascii="宋体" w:hAnsi="宋体" w:cs="宋体"/>
                <w:sz w:val="20"/>
              </w:rPr>
            </w:pPr>
            <w:r>
              <w:rPr>
                <w:rFonts w:hint="eastAsia" w:ascii="宋体" w:hAnsi="宋体" w:cs="宋体"/>
                <w:sz w:val="20"/>
              </w:rPr>
              <w:t>（</w:t>
            </w:r>
            <w:r>
              <w:rPr>
                <w:rFonts w:hint="eastAsia" w:ascii="宋体" w:hAnsi="宋体" w:cs="宋体"/>
                <w:sz w:val="20"/>
                <w:lang w:val="en-US" w:eastAsia="zh-CN"/>
              </w:rPr>
              <w:t>20</w:t>
            </w:r>
            <w:r>
              <w:rPr>
                <w:rFonts w:hint="eastAsia" w:ascii="宋体" w:hAnsi="宋体" w:cs="宋体"/>
                <w:sz w:val="20"/>
              </w:rPr>
              <w:t>）</w:t>
            </w:r>
          </w:p>
        </w:tc>
        <w:tc>
          <w:tcPr>
            <w:tcW w:w="6395" w:type="dxa"/>
            <w:vAlign w:val="center"/>
          </w:tcPr>
          <w:p w14:paraId="30ADFBE9">
            <w:pPr>
              <w:adjustRightInd w:val="0"/>
              <w:snapToGrid w:val="0"/>
              <w:rPr>
                <w:rFonts w:hint="eastAsia" w:asciiTheme="minorEastAsia" w:hAnsiTheme="minorEastAsia"/>
                <w:color w:val="auto"/>
                <w:szCs w:val="21"/>
              </w:rPr>
            </w:pPr>
            <w:r>
              <w:rPr>
                <w:rFonts w:asciiTheme="minorEastAsia" w:hAnsiTheme="minorEastAsia"/>
                <w:color w:val="auto"/>
                <w:szCs w:val="21"/>
              </w:rPr>
              <w:t>技术方案</w:t>
            </w:r>
            <w:r>
              <w:rPr>
                <w:rFonts w:hint="eastAsia" w:asciiTheme="minorEastAsia" w:hAnsiTheme="minorEastAsia"/>
                <w:color w:val="auto"/>
                <w:szCs w:val="21"/>
              </w:rPr>
              <w:t>：</w:t>
            </w:r>
          </w:p>
          <w:p w14:paraId="1DA5DB5C">
            <w:pPr>
              <w:adjustRightInd w:val="0"/>
              <w:snapToGrid w:val="0"/>
              <w:rPr>
                <w:rFonts w:hint="eastAsia" w:asciiTheme="minorEastAsia" w:hAnsiTheme="minorEastAsia"/>
                <w:color w:val="auto"/>
                <w:szCs w:val="21"/>
              </w:rPr>
            </w:pPr>
            <w:r>
              <w:rPr>
                <w:rFonts w:asciiTheme="minorEastAsia" w:hAnsiTheme="minorEastAsia"/>
                <w:color w:val="auto"/>
                <w:szCs w:val="21"/>
              </w:rPr>
              <w:t>投标人技术方案具有行业先进性，方案综合考虑建设方需求，整体方案架构合理。评标人根据投标人所投产品的系统架构、功能模块等方面进行横向比较，综合评定。</w:t>
            </w:r>
          </w:p>
          <w:p w14:paraId="7EDD175C">
            <w:pPr>
              <w:adjustRightInd w:val="0"/>
              <w:snapToGrid w:val="0"/>
              <w:rPr>
                <w:rFonts w:hint="eastAsia" w:ascii="宋体" w:hAnsi="宋体" w:cs="宋体"/>
                <w:color w:val="auto"/>
                <w:sz w:val="20"/>
              </w:rPr>
            </w:pPr>
            <w:r>
              <w:rPr>
                <w:rFonts w:hint="eastAsia" w:ascii="宋体" w:hAnsi="宋体" w:cs="宋体"/>
                <w:color w:val="auto"/>
                <w:sz w:val="20"/>
              </w:rPr>
              <w:t>方案完整合理、清晰明确、可行性高得5分；</w:t>
            </w:r>
          </w:p>
          <w:p w14:paraId="02D61472">
            <w:pPr>
              <w:adjustRightInd w:val="0"/>
              <w:snapToGrid w:val="0"/>
              <w:rPr>
                <w:rFonts w:hint="eastAsia" w:ascii="宋体" w:hAnsi="宋体" w:cs="宋体"/>
                <w:color w:val="auto"/>
                <w:sz w:val="20"/>
              </w:rPr>
            </w:pPr>
            <w:r>
              <w:rPr>
                <w:rFonts w:hint="eastAsia" w:ascii="宋体" w:hAnsi="宋体" w:cs="宋体"/>
                <w:color w:val="auto"/>
                <w:sz w:val="20"/>
              </w:rPr>
              <w:t>方案基本完整合理、可行性一般得3分；</w:t>
            </w:r>
          </w:p>
          <w:p w14:paraId="69DAFBCE">
            <w:pPr>
              <w:adjustRightInd w:val="0"/>
              <w:snapToGrid w:val="0"/>
              <w:rPr>
                <w:rFonts w:hint="eastAsia" w:ascii="宋体" w:hAnsi="宋体" w:cs="宋体"/>
                <w:color w:val="auto"/>
                <w:sz w:val="20"/>
              </w:rPr>
            </w:pPr>
            <w:r>
              <w:rPr>
                <w:rFonts w:hint="eastAsia" w:ascii="宋体" w:hAnsi="宋体" w:cs="宋体"/>
                <w:color w:val="auto"/>
                <w:sz w:val="20"/>
              </w:rPr>
              <w:t>方案粗略不太完整得</w:t>
            </w:r>
            <w:r>
              <w:rPr>
                <w:rFonts w:hint="eastAsia" w:ascii="宋体" w:hAnsi="宋体" w:cs="宋体"/>
                <w:color w:val="auto"/>
                <w:sz w:val="20"/>
                <w:lang w:val="en-US" w:eastAsia="zh-CN"/>
              </w:rPr>
              <w:t>1</w:t>
            </w:r>
            <w:r>
              <w:rPr>
                <w:rFonts w:hint="eastAsia" w:ascii="宋体" w:hAnsi="宋体" w:cs="宋体"/>
                <w:color w:val="auto"/>
                <w:sz w:val="20"/>
              </w:rPr>
              <w:t>分；</w:t>
            </w:r>
          </w:p>
          <w:p w14:paraId="10FAF5FE">
            <w:pPr>
              <w:adjustRightInd w:val="0"/>
              <w:snapToGrid w:val="0"/>
              <w:rPr>
                <w:rFonts w:hint="eastAsia" w:ascii="宋体" w:hAnsi="宋体" w:cs="宋体"/>
                <w:color w:val="auto"/>
                <w:sz w:val="20"/>
              </w:rPr>
            </w:pPr>
            <w:r>
              <w:rPr>
                <w:rFonts w:hint="eastAsia" w:ascii="宋体" w:hAnsi="宋体" w:cs="宋体"/>
                <w:color w:val="auto"/>
                <w:sz w:val="20"/>
                <w:lang w:val="zh-CN"/>
              </w:rPr>
              <w:t>未提供得</w:t>
            </w:r>
            <w:r>
              <w:rPr>
                <w:rFonts w:hint="eastAsia" w:ascii="宋体" w:hAnsi="宋体" w:cs="宋体"/>
                <w:color w:val="auto"/>
                <w:sz w:val="20"/>
              </w:rPr>
              <w:t>0</w:t>
            </w:r>
            <w:r>
              <w:rPr>
                <w:rFonts w:hint="eastAsia" w:ascii="宋体" w:hAnsi="宋体" w:cs="宋体"/>
                <w:color w:val="auto"/>
                <w:sz w:val="20"/>
                <w:lang w:val="zh-CN"/>
              </w:rPr>
              <w:t>分。</w:t>
            </w:r>
          </w:p>
        </w:tc>
        <w:tc>
          <w:tcPr>
            <w:tcW w:w="1085" w:type="dxa"/>
            <w:vAlign w:val="center"/>
          </w:tcPr>
          <w:p w14:paraId="06BBC7D3">
            <w:pPr>
              <w:adjustRightInd w:val="0"/>
              <w:snapToGrid w:val="0"/>
              <w:jc w:val="center"/>
              <w:rPr>
                <w:rFonts w:hint="eastAsia" w:ascii="宋体" w:hAnsi="宋体" w:cs="宋体"/>
                <w:sz w:val="20"/>
              </w:rPr>
            </w:pPr>
            <w:r>
              <w:rPr>
                <w:rFonts w:hint="eastAsia" w:ascii="宋体" w:hAnsi="宋体" w:cs="宋体"/>
                <w:sz w:val="20"/>
                <w:lang w:val="en-US" w:eastAsia="zh-CN"/>
              </w:rPr>
              <w:t>5</w:t>
            </w:r>
            <w:r>
              <w:rPr>
                <w:rFonts w:hint="eastAsia" w:ascii="宋体" w:hAnsi="宋体" w:cs="宋体"/>
                <w:sz w:val="20"/>
              </w:rPr>
              <w:t>分</w:t>
            </w:r>
          </w:p>
        </w:tc>
      </w:tr>
      <w:tr w14:paraId="5B53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14:paraId="740ABD23">
            <w:pPr>
              <w:adjustRightInd w:val="0"/>
              <w:snapToGrid w:val="0"/>
              <w:jc w:val="center"/>
              <w:rPr>
                <w:rFonts w:hint="default" w:ascii="宋体" w:hAnsi="宋体" w:eastAsia="宋体" w:cs="宋体"/>
                <w:sz w:val="20"/>
                <w:lang w:val="en-US" w:eastAsia="zh-CN"/>
              </w:rPr>
            </w:pPr>
            <w:r>
              <w:rPr>
                <w:rFonts w:hint="eastAsia" w:ascii="宋体" w:hAnsi="宋体" w:cs="宋体"/>
                <w:sz w:val="20"/>
                <w:lang w:val="en-US" w:eastAsia="zh-CN"/>
              </w:rPr>
              <w:t>8</w:t>
            </w:r>
          </w:p>
        </w:tc>
        <w:tc>
          <w:tcPr>
            <w:tcW w:w="1271" w:type="dxa"/>
            <w:vMerge w:val="continue"/>
            <w:vAlign w:val="center"/>
          </w:tcPr>
          <w:p w14:paraId="5B06EBD0">
            <w:pPr>
              <w:adjustRightInd w:val="0"/>
              <w:snapToGrid w:val="0"/>
              <w:jc w:val="center"/>
              <w:rPr>
                <w:rFonts w:hint="eastAsia" w:ascii="宋体" w:hAnsi="宋体" w:cs="宋体"/>
                <w:sz w:val="20"/>
              </w:rPr>
            </w:pPr>
          </w:p>
        </w:tc>
        <w:tc>
          <w:tcPr>
            <w:tcW w:w="6395" w:type="dxa"/>
            <w:vAlign w:val="center"/>
          </w:tcPr>
          <w:p w14:paraId="33916D65">
            <w:pPr>
              <w:adjustRightInd w:val="0"/>
              <w:snapToGrid w:val="0"/>
              <w:rPr>
                <w:rFonts w:hint="eastAsia" w:ascii="宋体" w:hAnsi="宋体" w:cs="宋体"/>
                <w:color w:val="auto"/>
                <w:sz w:val="20"/>
              </w:rPr>
            </w:pPr>
            <w:r>
              <w:rPr>
                <w:rFonts w:hint="eastAsia" w:ascii="宋体" w:hAnsi="宋体" w:cs="宋体"/>
                <w:color w:val="auto"/>
                <w:sz w:val="20"/>
              </w:rPr>
              <w:t>实施方案：</w:t>
            </w:r>
          </w:p>
          <w:p w14:paraId="6D1E8591">
            <w:pPr>
              <w:adjustRightInd w:val="0"/>
              <w:snapToGrid w:val="0"/>
              <w:rPr>
                <w:rFonts w:hint="eastAsia" w:ascii="宋体" w:hAnsi="宋体" w:cs="宋体"/>
                <w:color w:val="auto"/>
                <w:sz w:val="20"/>
              </w:rPr>
            </w:pPr>
            <w:r>
              <w:rPr>
                <w:rFonts w:hint="eastAsia" w:ascii="宋体" w:hAnsi="宋体" w:cs="宋体"/>
                <w:color w:val="auto"/>
                <w:sz w:val="20"/>
              </w:rPr>
              <w:t>项目实施方案包含需求调研、设计、安装调试、测试、试运行等内容的工作程序和步骤、关键步骤思路和要点、进度计划安排，以及项目重难点分析等，尤其要确保按期进行系统试运行。</w:t>
            </w:r>
          </w:p>
          <w:p w14:paraId="46F70FA0">
            <w:pPr>
              <w:adjustRightInd w:val="0"/>
              <w:snapToGrid w:val="0"/>
              <w:rPr>
                <w:rFonts w:hint="eastAsia" w:ascii="宋体" w:hAnsi="宋体" w:cs="宋体"/>
                <w:color w:val="auto"/>
                <w:sz w:val="20"/>
              </w:rPr>
            </w:pPr>
            <w:r>
              <w:rPr>
                <w:rFonts w:hint="eastAsia" w:ascii="宋体" w:hAnsi="宋体" w:cs="宋体"/>
                <w:color w:val="auto"/>
                <w:sz w:val="20"/>
              </w:rPr>
              <w:t>方案完整合理、清晰明确、可行性高得5分；</w:t>
            </w:r>
          </w:p>
          <w:p w14:paraId="0F1F4206">
            <w:pPr>
              <w:adjustRightInd w:val="0"/>
              <w:snapToGrid w:val="0"/>
              <w:rPr>
                <w:rFonts w:hint="eastAsia" w:ascii="宋体" w:hAnsi="宋体" w:cs="宋体"/>
                <w:color w:val="auto"/>
                <w:sz w:val="20"/>
              </w:rPr>
            </w:pPr>
            <w:r>
              <w:rPr>
                <w:rFonts w:hint="eastAsia" w:ascii="宋体" w:hAnsi="宋体" w:cs="宋体"/>
                <w:color w:val="auto"/>
                <w:sz w:val="20"/>
              </w:rPr>
              <w:t>方案基本完整合理、可行性一般得3分；</w:t>
            </w:r>
          </w:p>
          <w:p w14:paraId="3D348BF0">
            <w:pPr>
              <w:adjustRightInd w:val="0"/>
              <w:snapToGrid w:val="0"/>
              <w:rPr>
                <w:rFonts w:hint="eastAsia" w:ascii="宋体" w:hAnsi="宋体" w:cs="宋体"/>
                <w:color w:val="auto"/>
                <w:sz w:val="20"/>
              </w:rPr>
            </w:pPr>
            <w:r>
              <w:rPr>
                <w:rFonts w:hint="eastAsia" w:ascii="宋体" w:hAnsi="宋体" w:cs="宋体"/>
                <w:color w:val="auto"/>
                <w:sz w:val="20"/>
              </w:rPr>
              <w:t>方案粗略不太完整得1分；</w:t>
            </w:r>
          </w:p>
          <w:p w14:paraId="23E95307">
            <w:pPr>
              <w:adjustRightInd w:val="0"/>
              <w:snapToGrid w:val="0"/>
              <w:rPr>
                <w:rFonts w:hint="eastAsia" w:ascii="宋体" w:hAnsi="宋体" w:cs="宋体"/>
                <w:color w:val="auto"/>
                <w:sz w:val="20"/>
              </w:rPr>
            </w:pPr>
            <w:r>
              <w:rPr>
                <w:rFonts w:hint="eastAsia" w:ascii="宋体" w:hAnsi="宋体" w:cs="宋体"/>
                <w:color w:val="auto"/>
                <w:sz w:val="20"/>
                <w:lang w:val="zh-CN"/>
              </w:rPr>
              <w:t>未提供得</w:t>
            </w:r>
            <w:r>
              <w:rPr>
                <w:rFonts w:hint="eastAsia" w:ascii="宋体" w:hAnsi="宋体" w:cs="宋体"/>
                <w:color w:val="auto"/>
                <w:sz w:val="20"/>
              </w:rPr>
              <w:t>0</w:t>
            </w:r>
            <w:r>
              <w:rPr>
                <w:rFonts w:hint="eastAsia" w:ascii="宋体" w:hAnsi="宋体" w:cs="宋体"/>
                <w:color w:val="auto"/>
                <w:sz w:val="20"/>
                <w:lang w:val="zh-CN"/>
              </w:rPr>
              <w:t>分。</w:t>
            </w:r>
          </w:p>
        </w:tc>
        <w:tc>
          <w:tcPr>
            <w:tcW w:w="1085" w:type="dxa"/>
            <w:vAlign w:val="center"/>
          </w:tcPr>
          <w:p w14:paraId="4922E90B">
            <w:pPr>
              <w:adjustRightInd w:val="0"/>
              <w:snapToGrid w:val="0"/>
              <w:jc w:val="center"/>
              <w:rPr>
                <w:rFonts w:hint="eastAsia" w:ascii="宋体" w:hAnsi="宋体" w:cs="宋体"/>
                <w:sz w:val="20"/>
              </w:rPr>
            </w:pPr>
            <w:r>
              <w:rPr>
                <w:rFonts w:hint="eastAsia" w:ascii="宋体" w:hAnsi="宋体" w:cs="宋体"/>
                <w:sz w:val="20"/>
                <w:lang w:val="en-US" w:eastAsia="zh-CN"/>
              </w:rPr>
              <w:t>5</w:t>
            </w:r>
            <w:r>
              <w:rPr>
                <w:rFonts w:hint="eastAsia" w:ascii="宋体" w:hAnsi="宋体" w:cs="宋体"/>
                <w:sz w:val="20"/>
              </w:rPr>
              <w:t>分</w:t>
            </w:r>
          </w:p>
        </w:tc>
      </w:tr>
      <w:tr w14:paraId="5DF8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09" w:type="dxa"/>
            <w:vAlign w:val="center"/>
          </w:tcPr>
          <w:p w14:paraId="2E504A66">
            <w:pPr>
              <w:adjustRightInd w:val="0"/>
              <w:snapToGrid w:val="0"/>
              <w:jc w:val="center"/>
              <w:rPr>
                <w:rFonts w:hint="eastAsia" w:ascii="宋体" w:hAnsi="宋体" w:eastAsia="宋体" w:cs="宋体"/>
                <w:sz w:val="20"/>
                <w:lang w:val="en-US" w:eastAsia="zh-CN"/>
              </w:rPr>
            </w:pPr>
            <w:r>
              <w:rPr>
                <w:rFonts w:hint="eastAsia" w:ascii="宋体" w:hAnsi="宋体" w:cs="宋体"/>
                <w:sz w:val="20"/>
                <w:lang w:val="en-US" w:eastAsia="zh-CN"/>
              </w:rPr>
              <w:t>9</w:t>
            </w:r>
          </w:p>
        </w:tc>
        <w:tc>
          <w:tcPr>
            <w:tcW w:w="1271" w:type="dxa"/>
            <w:vMerge w:val="continue"/>
            <w:vAlign w:val="center"/>
          </w:tcPr>
          <w:p w14:paraId="7AA09FEE">
            <w:pPr>
              <w:adjustRightInd w:val="0"/>
              <w:snapToGrid w:val="0"/>
              <w:jc w:val="center"/>
              <w:rPr>
                <w:rFonts w:hint="eastAsia" w:ascii="宋体" w:hAnsi="宋体" w:cs="宋体"/>
                <w:sz w:val="20"/>
              </w:rPr>
            </w:pPr>
          </w:p>
        </w:tc>
        <w:tc>
          <w:tcPr>
            <w:tcW w:w="6395" w:type="dxa"/>
            <w:shd w:val="clear" w:color="auto" w:fill="auto"/>
            <w:vAlign w:val="center"/>
          </w:tcPr>
          <w:p w14:paraId="2C4D3D81">
            <w:pPr>
              <w:adjustRightInd w:val="0"/>
              <w:snapToGrid w:val="0"/>
              <w:rPr>
                <w:rFonts w:hint="eastAsia" w:ascii="宋体" w:hAnsi="宋体" w:cs="宋体"/>
                <w:color w:val="auto"/>
                <w:sz w:val="20"/>
              </w:rPr>
            </w:pPr>
            <w:r>
              <w:rPr>
                <w:rFonts w:hint="eastAsia" w:ascii="宋体" w:hAnsi="宋体" w:cs="宋体"/>
                <w:color w:val="auto"/>
                <w:sz w:val="20"/>
              </w:rPr>
              <w:t>培训方案：</w:t>
            </w:r>
          </w:p>
          <w:p w14:paraId="72DAA6BE">
            <w:pPr>
              <w:adjustRightInd w:val="0"/>
              <w:snapToGrid w:val="0"/>
              <w:rPr>
                <w:rFonts w:hint="eastAsia" w:ascii="宋体" w:hAnsi="宋体" w:cs="宋体"/>
                <w:color w:val="auto"/>
                <w:sz w:val="20"/>
              </w:rPr>
            </w:pPr>
            <w:r>
              <w:rPr>
                <w:rFonts w:hint="eastAsia" w:ascii="宋体" w:hAnsi="宋体" w:cs="宋体"/>
                <w:color w:val="auto"/>
                <w:sz w:val="20"/>
              </w:rPr>
              <w:t xml:space="preserve">针对本项目具有可行的技术培训方案，培训采购人指定的技术人员和管理人员，制定培训课程计划表，列出每种培训的地点和时间，培训内容应包括所提供产品的原理和技术性能、操作维护方法、安装调试、排除故障等各个方面，培训的具体日期及人数由使用单位确定。确保培训后的人员应能熟练操作设备，了解产品结构、工作原理，并能排除一般故障。 </w:t>
            </w:r>
          </w:p>
          <w:p w14:paraId="36B76F63">
            <w:pPr>
              <w:adjustRightInd w:val="0"/>
              <w:snapToGrid w:val="0"/>
              <w:rPr>
                <w:rFonts w:hint="eastAsia" w:ascii="宋体" w:hAnsi="宋体" w:cs="宋体"/>
                <w:color w:val="auto"/>
                <w:sz w:val="20"/>
              </w:rPr>
            </w:pPr>
            <w:r>
              <w:rPr>
                <w:rFonts w:hint="eastAsia" w:ascii="宋体" w:hAnsi="宋体" w:cs="宋体"/>
                <w:color w:val="auto"/>
                <w:sz w:val="20"/>
              </w:rPr>
              <w:t>方案完整合理、清晰明确、可行性高得5分；</w:t>
            </w:r>
          </w:p>
          <w:p w14:paraId="533AACB2">
            <w:pPr>
              <w:adjustRightInd w:val="0"/>
              <w:snapToGrid w:val="0"/>
              <w:rPr>
                <w:rFonts w:hint="eastAsia" w:ascii="宋体" w:hAnsi="宋体" w:cs="宋体"/>
                <w:color w:val="auto"/>
                <w:sz w:val="20"/>
              </w:rPr>
            </w:pPr>
            <w:r>
              <w:rPr>
                <w:rFonts w:hint="eastAsia" w:ascii="宋体" w:hAnsi="宋体" w:cs="宋体"/>
                <w:color w:val="auto"/>
                <w:sz w:val="20"/>
              </w:rPr>
              <w:t>方案基本完整合理、可行性一般得3分；</w:t>
            </w:r>
          </w:p>
          <w:p w14:paraId="48BBF6DC">
            <w:pPr>
              <w:adjustRightInd w:val="0"/>
              <w:snapToGrid w:val="0"/>
              <w:rPr>
                <w:rFonts w:hint="eastAsia" w:ascii="宋体" w:hAnsi="宋体" w:cs="宋体"/>
                <w:color w:val="auto"/>
                <w:sz w:val="20"/>
              </w:rPr>
            </w:pPr>
            <w:r>
              <w:rPr>
                <w:rFonts w:hint="eastAsia" w:ascii="宋体" w:hAnsi="宋体" w:cs="宋体"/>
                <w:color w:val="auto"/>
                <w:sz w:val="20"/>
              </w:rPr>
              <w:t>方案粗略不太完整得1分；</w:t>
            </w:r>
          </w:p>
          <w:p w14:paraId="455FF1E5">
            <w:pPr>
              <w:adjustRightInd w:val="0"/>
              <w:snapToGrid w:val="0"/>
              <w:rPr>
                <w:rFonts w:hint="eastAsia" w:ascii="宋体" w:hAnsi="宋体" w:eastAsia="宋体" w:cs="宋体"/>
                <w:color w:val="auto"/>
                <w:kern w:val="2"/>
                <w:sz w:val="20"/>
                <w:lang w:val="zh-CN" w:eastAsia="zh-CN" w:bidi="ar-SA"/>
              </w:rPr>
            </w:pPr>
            <w:r>
              <w:rPr>
                <w:rFonts w:hint="eastAsia" w:ascii="宋体" w:hAnsi="宋体" w:cs="宋体"/>
                <w:color w:val="auto"/>
                <w:sz w:val="20"/>
                <w:lang w:val="zh-CN"/>
              </w:rPr>
              <w:t>未提供得</w:t>
            </w:r>
            <w:r>
              <w:rPr>
                <w:rFonts w:hint="eastAsia" w:ascii="宋体" w:hAnsi="宋体" w:cs="宋体"/>
                <w:color w:val="auto"/>
                <w:sz w:val="20"/>
              </w:rPr>
              <w:t>0</w:t>
            </w:r>
            <w:r>
              <w:rPr>
                <w:rFonts w:hint="eastAsia" w:ascii="宋体" w:hAnsi="宋体" w:cs="宋体"/>
                <w:color w:val="auto"/>
                <w:sz w:val="20"/>
                <w:lang w:val="zh-CN"/>
              </w:rPr>
              <w:t>分。</w:t>
            </w:r>
          </w:p>
        </w:tc>
        <w:tc>
          <w:tcPr>
            <w:tcW w:w="1085" w:type="dxa"/>
            <w:shd w:val="clear" w:color="auto" w:fill="auto"/>
            <w:vAlign w:val="center"/>
          </w:tcPr>
          <w:p w14:paraId="6B075E71">
            <w:pPr>
              <w:adjustRightInd w:val="0"/>
              <w:snapToGrid w:val="0"/>
              <w:jc w:val="center"/>
              <w:rPr>
                <w:rFonts w:hint="eastAsia" w:ascii="宋体" w:hAnsi="宋体" w:eastAsia="宋体" w:cs="宋体"/>
                <w:kern w:val="2"/>
                <w:sz w:val="20"/>
                <w:lang w:val="en-US" w:eastAsia="zh-CN" w:bidi="ar-SA"/>
              </w:rPr>
            </w:pPr>
            <w:r>
              <w:rPr>
                <w:rFonts w:hint="eastAsia" w:ascii="宋体" w:hAnsi="宋体" w:cs="宋体"/>
                <w:sz w:val="20"/>
                <w:lang w:val="en-US" w:eastAsia="zh-CN"/>
              </w:rPr>
              <w:t>5</w:t>
            </w:r>
            <w:r>
              <w:rPr>
                <w:rFonts w:hint="eastAsia" w:ascii="宋体" w:hAnsi="宋体" w:cs="宋体"/>
                <w:sz w:val="20"/>
              </w:rPr>
              <w:t>分</w:t>
            </w:r>
          </w:p>
        </w:tc>
      </w:tr>
      <w:tr w14:paraId="39CD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09" w:type="dxa"/>
            <w:vAlign w:val="center"/>
          </w:tcPr>
          <w:p w14:paraId="370EB84F">
            <w:pPr>
              <w:adjustRightInd w:val="0"/>
              <w:snapToGrid w:val="0"/>
              <w:jc w:val="center"/>
              <w:rPr>
                <w:rFonts w:hint="default" w:ascii="宋体" w:hAnsi="宋体" w:eastAsia="宋体" w:cs="宋体"/>
                <w:sz w:val="20"/>
                <w:lang w:val="en-US" w:eastAsia="zh-CN"/>
              </w:rPr>
            </w:pPr>
            <w:r>
              <w:rPr>
                <w:rFonts w:hint="eastAsia" w:ascii="宋体" w:hAnsi="宋体" w:cs="宋体"/>
                <w:sz w:val="20"/>
                <w:lang w:val="en-US" w:eastAsia="zh-CN"/>
              </w:rPr>
              <w:t>10</w:t>
            </w:r>
          </w:p>
        </w:tc>
        <w:tc>
          <w:tcPr>
            <w:tcW w:w="1271" w:type="dxa"/>
            <w:vMerge w:val="continue"/>
            <w:vAlign w:val="center"/>
          </w:tcPr>
          <w:p w14:paraId="4AC1732F">
            <w:pPr>
              <w:adjustRightInd w:val="0"/>
              <w:snapToGrid w:val="0"/>
              <w:jc w:val="center"/>
              <w:rPr>
                <w:rFonts w:hint="eastAsia" w:ascii="宋体" w:hAnsi="宋体" w:cs="宋体"/>
                <w:sz w:val="20"/>
              </w:rPr>
            </w:pPr>
          </w:p>
        </w:tc>
        <w:tc>
          <w:tcPr>
            <w:tcW w:w="6395" w:type="dxa"/>
            <w:vAlign w:val="center"/>
          </w:tcPr>
          <w:p w14:paraId="7A6CACA9">
            <w:pPr>
              <w:adjustRightInd w:val="0"/>
              <w:snapToGrid w:val="0"/>
              <w:rPr>
                <w:rFonts w:hint="eastAsia" w:ascii="宋体" w:hAnsi="宋体" w:cs="宋体"/>
                <w:color w:val="auto"/>
                <w:sz w:val="20"/>
              </w:rPr>
            </w:pPr>
            <w:r>
              <w:rPr>
                <w:rFonts w:hint="eastAsia" w:ascii="宋体" w:hAnsi="宋体" w:cs="宋体"/>
                <w:color w:val="auto"/>
                <w:sz w:val="20"/>
              </w:rPr>
              <w:t>售后服务方案：</w:t>
            </w:r>
          </w:p>
          <w:p w14:paraId="3628C063">
            <w:pPr>
              <w:adjustRightInd w:val="0"/>
              <w:snapToGrid w:val="0"/>
              <w:rPr>
                <w:rFonts w:hint="eastAsia" w:ascii="宋体" w:hAnsi="宋体" w:cs="宋体"/>
                <w:color w:val="auto"/>
                <w:sz w:val="20"/>
              </w:rPr>
            </w:pPr>
            <w:r>
              <w:rPr>
                <w:rFonts w:hint="eastAsia" w:ascii="宋体" w:hAnsi="宋体" w:cs="宋体"/>
                <w:color w:val="auto"/>
                <w:sz w:val="20"/>
              </w:rPr>
              <w:t>售后服务机构健全，具有相应的物力、人力保障，能够保证产、供、销，服务正常运转，有详细的在发生不同类型故障后的到达现场时间、解决故障时间、补救措施等方面的措施或方案，同时具有明确的质保期内、质保期外的服务承诺且符合实际需求。</w:t>
            </w:r>
          </w:p>
          <w:p w14:paraId="54696C82">
            <w:pPr>
              <w:adjustRightInd w:val="0"/>
              <w:snapToGrid w:val="0"/>
              <w:rPr>
                <w:rFonts w:hint="eastAsia" w:ascii="宋体" w:hAnsi="宋体" w:cs="宋体"/>
                <w:color w:val="auto"/>
                <w:sz w:val="20"/>
              </w:rPr>
            </w:pPr>
            <w:r>
              <w:rPr>
                <w:rFonts w:hint="eastAsia" w:ascii="宋体" w:hAnsi="宋体" w:cs="宋体"/>
                <w:color w:val="auto"/>
                <w:sz w:val="20"/>
              </w:rPr>
              <w:t>方案完整合理、清晰明确、可行性高得5分；</w:t>
            </w:r>
          </w:p>
          <w:p w14:paraId="6B748932">
            <w:pPr>
              <w:adjustRightInd w:val="0"/>
              <w:snapToGrid w:val="0"/>
              <w:rPr>
                <w:rFonts w:hint="eastAsia" w:ascii="宋体" w:hAnsi="宋体" w:cs="宋体"/>
                <w:color w:val="auto"/>
                <w:sz w:val="20"/>
              </w:rPr>
            </w:pPr>
            <w:r>
              <w:rPr>
                <w:rFonts w:hint="eastAsia" w:ascii="宋体" w:hAnsi="宋体" w:cs="宋体"/>
                <w:color w:val="auto"/>
                <w:sz w:val="20"/>
              </w:rPr>
              <w:t>方案基本完整合理、可行性一般得3分；</w:t>
            </w:r>
          </w:p>
          <w:p w14:paraId="70C0386D">
            <w:pPr>
              <w:adjustRightInd w:val="0"/>
              <w:snapToGrid w:val="0"/>
              <w:rPr>
                <w:rFonts w:hint="eastAsia" w:ascii="宋体" w:hAnsi="宋体" w:cs="宋体"/>
                <w:color w:val="auto"/>
                <w:sz w:val="20"/>
              </w:rPr>
            </w:pPr>
            <w:r>
              <w:rPr>
                <w:rFonts w:hint="eastAsia" w:ascii="宋体" w:hAnsi="宋体" w:cs="宋体"/>
                <w:color w:val="auto"/>
                <w:sz w:val="20"/>
              </w:rPr>
              <w:t>方案粗略不太完整得1分；</w:t>
            </w:r>
          </w:p>
          <w:p w14:paraId="194191C8">
            <w:pPr>
              <w:rPr>
                <w:color w:val="auto"/>
              </w:rPr>
            </w:pPr>
            <w:r>
              <w:rPr>
                <w:rFonts w:hint="eastAsia" w:ascii="宋体" w:hAnsi="宋体" w:cs="宋体"/>
                <w:color w:val="auto"/>
                <w:sz w:val="20"/>
                <w:lang w:val="zh-CN"/>
              </w:rPr>
              <w:t>未提供得</w:t>
            </w:r>
            <w:r>
              <w:rPr>
                <w:rFonts w:hint="eastAsia" w:ascii="宋体" w:hAnsi="宋体" w:cs="宋体"/>
                <w:color w:val="auto"/>
                <w:sz w:val="20"/>
              </w:rPr>
              <w:t>0</w:t>
            </w:r>
            <w:r>
              <w:rPr>
                <w:rFonts w:hint="eastAsia" w:ascii="宋体" w:hAnsi="宋体" w:cs="宋体"/>
                <w:color w:val="auto"/>
                <w:sz w:val="20"/>
                <w:lang w:val="zh-CN"/>
              </w:rPr>
              <w:t>分。</w:t>
            </w:r>
          </w:p>
        </w:tc>
        <w:tc>
          <w:tcPr>
            <w:tcW w:w="1085" w:type="dxa"/>
            <w:vAlign w:val="center"/>
          </w:tcPr>
          <w:p w14:paraId="03825397">
            <w:pPr>
              <w:adjustRightInd w:val="0"/>
              <w:snapToGrid w:val="0"/>
              <w:jc w:val="center"/>
              <w:rPr>
                <w:rFonts w:hint="eastAsia" w:ascii="宋体" w:hAnsi="宋体" w:cs="宋体"/>
                <w:sz w:val="20"/>
              </w:rPr>
            </w:pPr>
            <w:r>
              <w:rPr>
                <w:rFonts w:hint="eastAsia" w:ascii="宋体" w:hAnsi="宋体" w:cs="宋体"/>
                <w:sz w:val="20"/>
              </w:rPr>
              <w:t>5分</w:t>
            </w:r>
          </w:p>
        </w:tc>
      </w:tr>
      <w:bookmarkEnd w:id="1"/>
    </w:tbl>
    <w:p w14:paraId="170FE0ED">
      <w:pPr>
        <w:widowControl/>
        <w:spacing w:line="360" w:lineRule="auto"/>
        <w:jc w:val="left"/>
        <w:rPr>
          <w:sz w:val="24"/>
        </w:rPr>
      </w:pPr>
    </w:p>
    <w:p w14:paraId="40D6173F">
      <w:pPr>
        <w:pStyle w:val="16"/>
        <w:widowControl/>
        <w:numPr>
          <w:ilvl w:val="0"/>
          <w:numId w:val="0"/>
        </w:numPr>
        <w:ind w:leftChars="0"/>
        <w:jc w:val="left"/>
        <w:rPr>
          <w:rFonts w:hint="eastAsia" w:ascii="宋体" w:hAnsi="宋体" w:eastAsia="宋体"/>
          <w:b w:val="0"/>
          <w:bCs w:val="0"/>
          <w:szCs w:val="21"/>
          <w:lang w:val="en-US" w:eastAsia="zh-CN"/>
        </w:rPr>
      </w:pPr>
      <w:r>
        <w:rPr>
          <w:rFonts w:hint="eastAsia" w:ascii="宋体" w:hAnsi="宋体"/>
          <w:b w:val="0"/>
          <w:bCs w:val="0"/>
          <w:szCs w:val="21"/>
          <w:lang w:val="en-US" w:eastAsia="zh-CN"/>
        </w:rPr>
        <w:t>备注：</w:t>
      </w:r>
      <w:r>
        <w:rPr>
          <w:rFonts w:hint="eastAsia" w:ascii="宋体" w:hAnsi="宋体" w:cs="宋体"/>
          <w:b w:val="0"/>
          <w:bCs w:val="0"/>
          <w:lang w:val="en-US" w:eastAsia="zh-CN"/>
        </w:rPr>
        <w:t>投标供应商提供的</w:t>
      </w:r>
      <w:r>
        <w:rPr>
          <w:rFonts w:hint="eastAsia" w:ascii="宋体" w:hAnsi="宋体" w:cs="宋体"/>
          <w:b w:val="0"/>
          <w:bCs w:val="0"/>
        </w:rPr>
        <w:t>服务在质量、技术、方案等方面须实质性满足</w:t>
      </w:r>
      <w:r>
        <w:rPr>
          <w:rFonts w:hint="eastAsia" w:ascii="宋体" w:hAnsi="宋体" w:cs="宋体"/>
          <w:b w:val="0"/>
          <w:bCs w:val="0"/>
          <w:lang w:val="en-US" w:eastAsia="zh-CN"/>
        </w:rPr>
        <w:t>采购</w:t>
      </w:r>
      <w:r>
        <w:rPr>
          <w:rFonts w:hint="eastAsia" w:ascii="宋体" w:hAnsi="宋体" w:cs="宋体"/>
          <w:b w:val="0"/>
          <w:bCs w:val="0"/>
        </w:rPr>
        <w:t>文件要求，如果经评审后综合评分总得分低于60分，视为未实质性满足</w:t>
      </w:r>
      <w:r>
        <w:rPr>
          <w:rFonts w:hint="eastAsia" w:ascii="宋体" w:hAnsi="宋体" w:cs="宋体"/>
          <w:b w:val="0"/>
          <w:bCs w:val="0"/>
          <w:lang w:val="en-US" w:eastAsia="zh-CN"/>
        </w:rPr>
        <w:t>采购</w:t>
      </w:r>
      <w:r>
        <w:rPr>
          <w:rFonts w:hint="eastAsia" w:ascii="宋体" w:hAnsi="宋体" w:cs="宋体"/>
          <w:b w:val="0"/>
          <w:bCs w:val="0"/>
        </w:rPr>
        <w:t>文件要求(该项评价在技术、商务部分评分后进行)。</w:t>
      </w:r>
    </w:p>
    <w:sectPr>
      <w:headerReference r:id="rId3" w:type="default"/>
      <w:footerReference r:id="rId4" w:type="default"/>
      <w:pgSz w:w="11850" w:h="16783"/>
      <w:pgMar w:top="1440" w:right="1080" w:bottom="1440" w:left="1080" w:header="737" w:footer="680"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B9BE0">
    <w:pPr>
      <w:pStyle w:val="10"/>
    </w:pPr>
    <w:r>
      <w:rPr>
        <w:rFonts w:hint="eastAsia"/>
        <w:b/>
        <w:i/>
      </w:rPr>
      <w:t xml:space="preserve">            </w:t>
    </w:r>
    <w:r>
      <w:rPr>
        <w:rFonts w:hint="eastAsia"/>
      </w:rPr>
      <w:t xml:space="preserve">                       </w:t>
    </w:r>
    <w:r>
      <w:rPr>
        <w:rFonts w:hint="eastAsia"/>
      </w:rPr>
      <w:tab/>
    </w:r>
    <w:r>
      <w:rPr>
        <w:rFonts w:hint="eastAsia"/>
      </w:rPr>
      <w:tab/>
    </w:r>
    <w:r>
      <w:rPr>
        <w:rFonts w:hint="eastAsia"/>
      </w:rPr>
      <w:t xml:space="preserve">   </w:t>
    </w:r>
    <w:r>
      <w:rPr>
        <w:rStyle w:val="14"/>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94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64B09"/>
    <w:multiLevelType w:val="multilevel"/>
    <w:tmpl w:val="52264B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404705"/>
    <w:multiLevelType w:val="multilevel"/>
    <w:tmpl w:val="64404705"/>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45"/>
    <w:rsid w:val="000028F4"/>
    <w:rsid w:val="000042AA"/>
    <w:rsid w:val="00005402"/>
    <w:rsid w:val="00016980"/>
    <w:rsid w:val="00024715"/>
    <w:rsid w:val="00030B9D"/>
    <w:rsid w:val="00040787"/>
    <w:rsid w:val="00062E78"/>
    <w:rsid w:val="00062EB3"/>
    <w:rsid w:val="00063F20"/>
    <w:rsid w:val="000700AB"/>
    <w:rsid w:val="00072352"/>
    <w:rsid w:val="0007283F"/>
    <w:rsid w:val="00074B7F"/>
    <w:rsid w:val="000758D3"/>
    <w:rsid w:val="0007713B"/>
    <w:rsid w:val="000844C3"/>
    <w:rsid w:val="0009436C"/>
    <w:rsid w:val="0009602A"/>
    <w:rsid w:val="000A1397"/>
    <w:rsid w:val="000A68D2"/>
    <w:rsid w:val="000C4E1B"/>
    <w:rsid w:val="000C52DF"/>
    <w:rsid w:val="000E7E1A"/>
    <w:rsid w:val="000F04B3"/>
    <w:rsid w:val="000F2F33"/>
    <w:rsid w:val="0010237A"/>
    <w:rsid w:val="00104408"/>
    <w:rsid w:val="00112C17"/>
    <w:rsid w:val="00114F27"/>
    <w:rsid w:val="00126B57"/>
    <w:rsid w:val="0013046C"/>
    <w:rsid w:val="0013467B"/>
    <w:rsid w:val="001406F5"/>
    <w:rsid w:val="00145BC7"/>
    <w:rsid w:val="001570A4"/>
    <w:rsid w:val="00172EAA"/>
    <w:rsid w:val="00173CCA"/>
    <w:rsid w:val="00184C67"/>
    <w:rsid w:val="001944AA"/>
    <w:rsid w:val="0019573B"/>
    <w:rsid w:val="00195BAC"/>
    <w:rsid w:val="001A47F1"/>
    <w:rsid w:val="001B5488"/>
    <w:rsid w:val="001B7B0A"/>
    <w:rsid w:val="001C0D6C"/>
    <w:rsid w:val="001C0FBC"/>
    <w:rsid w:val="001C19EE"/>
    <w:rsid w:val="001C4B82"/>
    <w:rsid w:val="001C5263"/>
    <w:rsid w:val="001C666E"/>
    <w:rsid w:val="001D6F07"/>
    <w:rsid w:val="001E054C"/>
    <w:rsid w:val="001E5A2C"/>
    <w:rsid w:val="001E7B34"/>
    <w:rsid w:val="001F1D23"/>
    <w:rsid w:val="001F240C"/>
    <w:rsid w:val="00214CC1"/>
    <w:rsid w:val="002301D5"/>
    <w:rsid w:val="00236A84"/>
    <w:rsid w:val="00246FDB"/>
    <w:rsid w:val="0024789C"/>
    <w:rsid w:val="002531BE"/>
    <w:rsid w:val="002575C2"/>
    <w:rsid w:val="002677AF"/>
    <w:rsid w:val="0027245F"/>
    <w:rsid w:val="00277131"/>
    <w:rsid w:val="00280E5D"/>
    <w:rsid w:val="00296612"/>
    <w:rsid w:val="002A4C71"/>
    <w:rsid w:val="002A6F74"/>
    <w:rsid w:val="002B350C"/>
    <w:rsid w:val="002B53BF"/>
    <w:rsid w:val="002B6DFF"/>
    <w:rsid w:val="002C0BD9"/>
    <w:rsid w:val="002C3125"/>
    <w:rsid w:val="002D2421"/>
    <w:rsid w:val="002D47F2"/>
    <w:rsid w:val="002D50CA"/>
    <w:rsid w:val="002E025A"/>
    <w:rsid w:val="002E12A2"/>
    <w:rsid w:val="002F044D"/>
    <w:rsid w:val="002F7557"/>
    <w:rsid w:val="003138C0"/>
    <w:rsid w:val="00322AA7"/>
    <w:rsid w:val="00346706"/>
    <w:rsid w:val="003477A3"/>
    <w:rsid w:val="003536DB"/>
    <w:rsid w:val="00356A22"/>
    <w:rsid w:val="00362293"/>
    <w:rsid w:val="00362CEF"/>
    <w:rsid w:val="00363E4B"/>
    <w:rsid w:val="003651D7"/>
    <w:rsid w:val="0037444A"/>
    <w:rsid w:val="0037746A"/>
    <w:rsid w:val="0038506D"/>
    <w:rsid w:val="00387839"/>
    <w:rsid w:val="003A017A"/>
    <w:rsid w:val="003A058E"/>
    <w:rsid w:val="003B0C3F"/>
    <w:rsid w:val="003B4EBE"/>
    <w:rsid w:val="003C5CA3"/>
    <w:rsid w:val="003D4AF7"/>
    <w:rsid w:val="003E7D05"/>
    <w:rsid w:val="003F7BD5"/>
    <w:rsid w:val="004001D3"/>
    <w:rsid w:val="00413EB2"/>
    <w:rsid w:val="00416833"/>
    <w:rsid w:val="0043529C"/>
    <w:rsid w:val="00436830"/>
    <w:rsid w:val="004518CA"/>
    <w:rsid w:val="00453993"/>
    <w:rsid w:val="004751E7"/>
    <w:rsid w:val="00480984"/>
    <w:rsid w:val="004868A7"/>
    <w:rsid w:val="00486901"/>
    <w:rsid w:val="004874D5"/>
    <w:rsid w:val="0049040D"/>
    <w:rsid w:val="004911B3"/>
    <w:rsid w:val="004927AD"/>
    <w:rsid w:val="004976CF"/>
    <w:rsid w:val="004A09D4"/>
    <w:rsid w:val="004A2D12"/>
    <w:rsid w:val="004A7EBE"/>
    <w:rsid w:val="004B6764"/>
    <w:rsid w:val="004C278A"/>
    <w:rsid w:val="004C5C79"/>
    <w:rsid w:val="004D35C1"/>
    <w:rsid w:val="004D41B2"/>
    <w:rsid w:val="004E2CB6"/>
    <w:rsid w:val="004E4F17"/>
    <w:rsid w:val="004E64D1"/>
    <w:rsid w:val="004E65C5"/>
    <w:rsid w:val="004E7153"/>
    <w:rsid w:val="004E73C4"/>
    <w:rsid w:val="004F2A5D"/>
    <w:rsid w:val="004F46C3"/>
    <w:rsid w:val="004F75BC"/>
    <w:rsid w:val="005057DA"/>
    <w:rsid w:val="00507EEE"/>
    <w:rsid w:val="0053189A"/>
    <w:rsid w:val="0054027C"/>
    <w:rsid w:val="00543121"/>
    <w:rsid w:val="0055508E"/>
    <w:rsid w:val="005675F8"/>
    <w:rsid w:val="00580CA3"/>
    <w:rsid w:val="0058422D"/>
    <w:rsid w:val="0058758F"/>
    <w:rsid w:val="005A46D3"/>
    <w:rsid w:val="005A5D10"/>
    <w:rsid w:val="005B4D5D"/>
    <w:rsid w:val="005C0841"/>
    <w:rsid w:val="005C65D1"/>
    <w:rsid w:val="005D0201"/>
    <w:rsid w:val="005E2013"/>
    <w:rsid w:val="005E7317"/>
    <w:rsid w:val="005E758C"/>
    <w:rsid w:val="005F3B4D"/>
    <w:rsid w:val="005F4C66"/>
    <w:rsid w:val="005F54B9"/>
    <w:rsid w:val="00602EC6"/>
    <w:rsid w:val="0061122A"/>
    <w:rsid w:val="006142E5"/>
    <w:rsid w:val="0062067C"/>
    <w:rsid w:val="00623301"/>
    <w:rsid w:val="0063509C"/>
    <w:rsid w:val="00636F84"/>
    <w:rsid w:val="00665E33"/>
    <w:rsid w:val="006771D8"/>
    <w:rsid w:val="00690C3A"/>
    <w:rsid w:val="00692E7B"/>
    <w:rsid w:val="00695178"/>
    <w:rsid w:val="00695565"/>
    <w:rsid w:val="006A00C6"/>
    <w:rsid w:val="006B0D5E"/>
    <w:rsid w:val="006B2958"/>
    <w:rsid w:val="006B3BDF"/>
    <w:rsid w:val="006B5F33"/>
    <w:rsid w:val="006F4017"/>
    <w:rsid w:val="007114BB"/>
    <w:rsid w:val="00712055"/>
    <w:rsid w:val="00712A40"/>
    <w:rsid w:val="0072018D"/>
    <w:rsid w:val="00727FF5"/>
    <w:rsid w:val="00730B37"/>
    <w:rsid w:val="0073527F"/>
    <w:rsid w:val="007501A5"/>
    <w:rsid w:val="00751E62"/>
    <w:rsid w:val="007538A5"/>
    <w:rsid w:val="00754179"/>
    <w:rsid w:val="00755715"/>
    <w:rsid w:val="007613B4"/>
    <w:rsid w:val="0076252D"/>
    <w:rsid w:val="0077110B"/>
    <w:rsid w:val="00772B09"/>
    <w:rsid w:val="007751E0"/>
    <w:rsid w:val="00777531"/>
    <w:rsid w:val="0078104B"/>
    <w:rsid w:val="007835F4"/>
    <w:rsid w:val="00784F58"/>
    <w:rsid w:val="00786355"/>
    <w:rsid w:val="007956FD"/>
    <w:rsid w:val="007A0871"/>
    <w:rsid w:val="007A18AD"/>
    <w:rsid w:val="007B0D29"/>
    <w:rsid w:val="007C3877"/>
    <w:rsid w:val="007C39C6"/>
    <w:rsid w:val="007C5CDE"/>
    <w:rsid w:val="007C5D1E"/>
    <w:rsid w:val="007D4AE6"/>
    <w:rsid w:val="007D55AC"/>
    <w:rsid w:val="007F5278"/>
    <w:rsid w:val="007F7EF6"/>
    <w:rsid w:val="00815FBB"/>
    <w:rsid w:val="0082149E"/>
    <w:rsid w:val="00823A5E"/>
    <w:rsid w:val="00826A23"/>
    <w:rsid w:val="00827ED7"/>
    <w:rsid w:val="00830AA5"/>
    <w:rsid w:val="00837999"/>
    <w:rsid w:val="00837ECE"/>
    <w:rsid w:val="0084292E"/>
    <w:rsid w:val="00850C72"/>
    <w:rsid w:val="008544DE"/>
    <w:rsid w:val="008614C6"/>
    <w:rsid w:val="008631AF"/>
    <w:rsid w:val="00863F54"/>
    <w:rsid w:val="0087179A"/>
    <w:rsid w:val="00871C97"/>
    <w:rsid w:val="008914B7"/>
    <w:rsid w:val="008937EA"/>
    <w:rsid w:val="008A1555"/>
    <w:rsid w:val="008A28EC"/>
    <w:rsid w:val="008B1858"/>
    <w:rsid w:val="008B30CF"/>
    <w:rsid w:val="008B388C"/>
    <w:rsid w:val="008B38E2"/>
    <w:rsid w:val="008B3AC9"/>
    <w:rsid w:val="008B5660"/>
    <w:rsid w:val="008B7BDA"/>
    <w:rsid w:val="008B7F5F"/>
    <w:rsid w:val="008C0555"/>
    <w:rsid w:val="008C2B39"/>
    <w:rsid w:val="008C67CD"/>
    <w:rsid w:val="008C77C5"/>
    <w:rsid w:val="008C7B45"/>
    <w:rsid w:val="008D01C4"/>
    <w:rsid w:val="008D1B48"/>
    <w:rsid w:val="008E15F6"/>
    <w:rsid w:val="008E79B6"/>
    <w:rsid w:val="008F67AC"/>
    <w:rsid w:val="008F7133"/>
    <w:rsid w:val="00901024"/>
    <w:rsid w:val="009106B5"/>
    <w:rsid w:val="00916D31"/>
    <w:rsid w:val="00923B99"/>
    <w:rsid w:val="009259EC"/>
    <w:rsid w:val="00931422"/>
    <w:rsid w:val="00944495"/>
    <w:rsid w:val="00947DFC"/>
    <w:rsid w:val="009501F4"/>
    <w:rsid w:val="00952DEC"/>
    <w:rsid w:val="00956199"/>
    <w:rsid w:val="00961E75"/>
    <w:rsid w:val="00965A07"/>
    <w:rsid w:val="0097603C"/>
    <w:rsid w:val="009811CD"/>
    <w:rsid w:val="009902EB"/>
    <w:rsid w:val="00995737"/>
    <w:rsid w:val="009A74B7"/>
    <w:rsid w:val="009B176A"/>
    <w:rsid w:val="009B58B9"/>
    <w:rsid w:val="009C1097"/>
    <w:rsid w:val="009C767E"/>
    <w:rsid w:val="009E4A1F"/>
    <w:rsid w:val="009F702C"/>
    <w:rsid w:val="00A046A0"/>
    <w:rsid w:val="00A262BA"/>
    <w:rsid w:val="00A42857"/>
    <w:rsid w:val="00A4446F"/>
    <w:rsid w:val="00A44C62"/>
    <w:rsid w:val="00A45BF4"/>
    <w:rsid w:val="00A478A2"/>
    <w:rsid w:val="00A56D82"/>
    <w:rsid w:val="00A670E4"/>
    <w:rsid w:val="00A700D7"/>
    <w:rsid w:val="00A73311"/>
    <w:rsid w:val="00A911FD"/>
    <w:rsid w:val="00A91776"/>
    <w:rsid w:val="00A91DE5"/>
    <w:rsid w:val="00A94870"/>
    <w:rsid w:val="00AA02C2"/>
    <w:rsid w:val="00AA5FDA"/>
    <w:rsid w:val="00AB1337"/>
    <w:rsid w:val="00AB28EB"/>
    <w:rsid w:val="00AB300C"/>
    <w:rsid w:val="00AB3C59"/>
    <w:rsid w:val="00AC3634"/>
    <w:rsid w:val="00AD12A4"/>
    <w:rsid w:val="00AD24B7"/>
    <w:rsid w:val="00AE40D9"/>
    <w:rsid w:val="00AF4D40"/>
    <w:rsid w:val="00AF5EE3"/>
    <w:rsid w:val="00B119CA"/>
    <w:rsid w:val="00B22E8A"/>
    <w:rsid w:val="00B41163"/>
    <w:rsid w:val="00B469AD"/>
    <w:rsid w:val="00B51014"/>
    <w:rsid w:val="00B55B29"/>
    <w:rsid w:val="00B57A69"/>
    <w:rsid w:val="00B61E45"/>
    <w:rsid w:val="00B649D4"/>
    <w:rsid w:val="00B66838"/>
    <w:rsid w:val="00B76409"/>
    <w:rsid w:val="00B76547"/>
    <w:rsid w:val="00B875C5"/>
    <w:rsid w:val="00B87AA8"/>
    <w:rsid w:val="00B92A3F"/>
    <w:rsid w:val="00B978B4"/>
    <w:rsid w:val="00BB4B7F"/>
    <w:rsid w:val="00BB4FB2"/>
    <w:rsid w:val="00BC659C"/>
    <w:rsid w:val="00BD1835"/>
    <w:rsid w:val="00BD1A31"/>
    <w:rsid w:val="00BD7C0A"/>
    <w:rsid w:val="00BE11F0"/>
    <w:rsid w:val="00BE2155"/>
    <w:rsid w:val="00BE2C55"/>
    <w:rsid w:val="00BF3B4B"/>
    <w:rsid w:val="00BF7BBA"/>
    <w:rsid w:val="00C014FD"/>
    <w:rsid w:val="00C068FA"/>
    <w:rsid w:val="00C07F16"/>
    <w:rsid w:val="00C12B41"/>
    <w:rsid w:val="00C1376F"/>
    <w:rsid w:val="00C20535"/>
    <w:rsid w:val="00C217F5"/>
    <w:rsid w:val="00C23C00"/>
    <w:rsid w:val="00C262CA"/>
    <w:rsid w:val="00C505D0"/>
    <w:rsid w:val="00C52E1C"/>
    <w:rsid w:val="00C72E67"/>
    <w:rsid w:val="00C86271"/>
    <w:rsid w:val="00CA13ED"/>
    <w:rsid w:val="00CA1CDD"/>
    <w:rsid w:val="00CA6AB9"/>
    <w:rsid w:val="00CB0829"/>
    <w:rsid w:val="00CB6EBE"/>
    <w:rsid w:val="00CC2DCC"/>
    <w:rsid w:val="00CC50F1"/>
    <w:rsid w:val="00CE08F3"/>
    <w:rsid w:val="00CE11A3"/>
    <w:rsid w:val="00CE66D4"/>
    <w:rsid w:val="00D061F1"/>
    <w:rsid w:val="00D20361"/>
    <w:rsid w:val="00D332F9"/>
    <w:rsid w:val="00D37D39"/>
    <w:rsid w:val="00D44A76"/>
    <w:rsid w:val="00D453B6"/>
    <w:rsid w:val="00D5060F"/>
    <w:rsid w:val="00D5405E"/>
    <w:rsid w:val="00D54E89"/>
    <w:rsid w:val="00D642EB"/>
    <w:rsid w:val="00D67337"/>
    <w:rsid w:val="00D67A1D"/>
    <w:rsid w:val="00D755F6"/>
    <w:rsid w:val="00D86FD0"/>
    <w:rsid w:val="00D8784F"/>
    <w:rsid w:val="00D91449"/>
    <w:rsid w:val="00DD26D7"/>
    <w:rsid w:val="00DD78E7"/>
    <w:rsid w:val="00DE0037"/>
    <w:rsid w:val="00DE1260"/>
    <w:rsid w:val="00DE3BC9"/>
    <w:rsid w:val="00DE69B1"/>
    <w:rsid w:val="00E019C1"/>
    <w:rsid w:val="00E01E8F"/>
    <w:rsid w:val="00E020C5"/>
    <w:rsid w:val="00E02BAD"/>
    <w:rsid w:val="00E04EDF"/>
    <w:rsid w:val="00E0785C"/>
    <w:rsid w:val="00E1099A"/>
    <w:rsid w:val="00E12E70"/>
    <w:rsid w:val="00E13631"/>
    <w:rsid w:val="00E17FB0"/>
    <w:rsid w:val="00E35A96"/>
    <w:rsid w:val="00E36B93"/>
    <w:rsid w:val="00E457FD"/>
    <w:rsid w:val="00E46475"/>
    <w:rsid w:val="00E50B64"/>
    <w:rsid w:val="00E75FBF"/>
    <w:rsid w:val="00E81509"/>
    <w:rsid w:val="00E83446"/>
    <w:rsid w:val="00E83D10"/>
    <w:rsid w:val="00E862A1"/>
    <w:rsid w:val="00E92BA4"/>
    <w:rsid w:val="00EA09B9"/>
    <w:rsid w:val="00EA3745"/>
    <w:rsid w:val="00EC06C6"/>
    <w:rsid w:val="00EC0889"/>
    <w:rsid w:val="00EC3321"/>
    <w:rsid w:val="00ED55F7"/>
    <w:rsid w:val="00ED68CC"/>
    <w:rsid w:val="00EF49E9"/>
    <w:rsid w:val="00F007D0"/>
    <w:rsid w:val="00F04FB8"/>
    <w:rsid w:val="00F061D7"/>
    <w:rsid w:val="00F06508"/>
    <w:rsid w:val="00F12F06"/>
    <w:rsid w:val="00F1569F"/>
    <w:rsid w:val="00F15C1F"/>
    <w:rsid w:val="00F17D0A"/>
    <w:rsid w:val="00F23BAD"/>
    <w:rsid w:val="00F31CD8"/>
    <w:rsid w:val="00F34256"/>
    <w:rsid w:val="00F411DF"/>
    <w:rsid w:val="00F434E0"/>
    <w:rsid w:val="00F4429A"/>
    <w:rsid w:val="00F475E2"/>
    <w:rsid w:val="00F47A39"/>
    <w:rsid w:val="00F5107B"/>
    <w:rsid w:val="00F52AC3"/>
    <w:rsid w:val="00F5698C"/>
    <w:rsid w:val="00F56DA5"/>
    <w:rsid w:val="00F60773"/>
    <w:rsid w:val="00F62C70"/>
    <w:rsid w:val="00F65BF5"/>
    <w:rsid w:val="00F70CE0"/>
    <w:rsid w:val="00F72C46"/>
    <w:rsid w:val="00F7669D"/>
    <w:rsid w:val="00F77099"/>
    <w:rsid w:val="00F77EB3"/>
    <w:rsid w:val="00F83130"/>
    <w:rsid w:val="00F83470"/>
    <w:rsid w:val="00F94005"/>
    <w:rsid w:val="00F96B60"/>
    <w:rsid w:val="00F97718"/>
    <w:rsid w:val="00F97849"/>
    <w:rsid w:val="00FA186D"/>
    <w:rsid w:val="00FB39C8"/>
    <w:rsid w:val="00FC0694"/>
    <w:rsid w:val="00FC1691"/>
    <w:rsid w:val="00FC753D"/>
    <w:rsid w:val="00FD6BAB"/>
    <w:rsid w:val="00FD730A"/>
    <w:rsid w:val="00FF33F4"/>
    <w:rsid w:val="00FF6634"/>
    <w:rsid w:val="02FA082F"/>
    <w:rsid w:val="036443B3"/>
    <w:rsid w:val="049251C3"/>
    <w:rsid w:val="05793607"/>
    <w:rsid w:val="06A4180F"/>
    <w:rsid w:val="07666909"/>
    <w:rsid w:val="08070A00"/>
    <w:rsid w:val="08CA54C0"/>
    <w:rsid w:val="0983157E"/>
    <w:rsid w:val="09954E0D"/>
    <w:rsid w:val="0B354AFA"/>
    <w:rsid w:val="0C711B61"/>
    <w:rsid w:val="0FA67D74"/>
    <w:rsid w:val="119500A0"/>
    <w:rsid w:val="13767A5D"/>
    <w:rsid w:val="14074B59"/>
    <w:rsid w:val="1537321C"/>
    <w:rsid w:val="15A72150"/>
    <w:rsid w:val="16D276A1"/>
    <w:rsid w:val="180B10BC"/>
    <w:rsid w:val="18845183"/>
    <w:rsid w:val="18BF3C55"/>
    <w:rsid w:val="19940409"/>
    <w:rsid w:val="1A5E5154"/>
    <w:rsid w:val="1B7E7DF7"/>
    <w:rsid w:val="1EC71AB5"/>
    <w:rsid w:val="1F8310C6"/>
    <w:rsid w:val="24BF3B68"/>
    <w:rsid w:val="251D3512"/>
    <w:rsid w:val="25AE12D9"/>
    <w:rsid w:val="27E5759F"/>
    <w:rsid w:val="280451E0"/>
    <w:rsid w:val="28093C65"/>
    <w:rsid w:val="2A273408"/>
    <w:rsid w:val="2C7C5EDD"/>
    <w:rsid w:val="2D3B5B48"/>
    <w:rsid w:val="2E1F6B96"/>
    <w:rsid w:val="2E8E45A1"/>
    <w:rsid w:val="2F2E7A55"/>
    <w:rsid w:val="3049232A"/>
    <w:rsid w:val="319F53A2"/>
    <w:rsid w:val="33721193"/>
    <w:rsid w:val="337E678E"/>
    <w:rsid w:val="340500A3"/>
    <w:rsid w:val="35F745D6"/>
    <w:rsid w:val="37D06A81"/>
    <w:rsid w:val="37F012DD"/>
    <w:rsid w:val="38F372D7"/>
    <w:rsid w:val="39F350B4"/>
    <w:rsid w:val="3AAB598F"/>
    <w:rsid w:val="3B1F2605"/>
    <w:rsid w:val="3D644C0E"/>
    <w:rsid w:val="405451D7"/>
    <w:rsid w:val="40776A3F"/>
    <w:rsid w:val="41CC2DBB"/>
    <w:rsid w:val="43140575"/>
    <w:rsid w:val="437764B0"/>
    <w:rsid w:val="44421112"/>
    <w:rsid w:val="44464016"/>
    <w:rsid w:val="4465410B"/>
    <w:rsid w:val="44F90A89"/>
    <w:rsid w:val="4521777E"/>
    <w:rsid w:val="45317BCE"/>
    <w:rsid w:val="45C25741"/>
    <w:rsid w:val="46724F2F"/>
    <w:rsid w:val="46737CA9"/>
    <w:rsid w:val="471952E9"/>
    <w:rsid w:val="47F03878"/>
    <w:rsid w:val="49425710"/>
    <w:rsid w:val="4B5F673A"/>
    <w:rsid w:val="4B8D6B91"/>
    <w:rsid w:val="4C255EE1"/>
    <w:rsid w:val="4D19766B"/>
    <w:rsid w:val="50860E67"/>
    <w:rsid w:val="511264FA"/>
    <w:rsid w:val="51200A2D"/>
    <w:rsid w:val="51F83758"/>
    <w:rsid w:val="52516C94"/>
    <w:rsid w:val="52D60D2E"/>
    <w:rsid w:val="531A3C68"/>
    <w:rsid w:val="541A5CB0"/>
    <w:rsid w:val="5571253B"/>
    <w:rsid w:val="56701B0F"/>
    <w:rsid w:val="56813D1C"/>
    <w:rsid w:val="57C3726B"/>
    <w:rsid w:val="588E4FEE"/>
    <w:rsid w:val="598C3104"/>
    <w:rsid w:val="5A68536B"/>
    <w:rsid w:val="5B055AC7"/>
    <w:rsid w:val="5BAE65A3"/>
    <w:rsid w:val="5BF62AB6"/>
    <w:rsid w:val="5D5C4B9B"/>
    <w:rsid w:val="5E6615F0"/>
    <w:rsid w:val="5EB91099"/>
    <w:rsid w:val="61244ACF"/>
    <w:rsid w:val="63032F4E"/>
    <w:rsid w:val="630F26B0"/>
    <w:rsid w:val="65506306"/>
    <w:rsid w:val="65B01354"/>
    <w:rsid w:val="68943F59"/>
    <w:rsid w:val="69DB27B6"/>
    <w:rsid w:val="6ADC731B"/>
    <w:rsid w:val="6ADF6E0B"/>
    <w:rsid w:val="6B3410B7"/>
    <w:rsid w:val="6B5B2936"/>
    <w:rsid w:val="6BF40694"/>
    <w:rsid w:val="6C5F1FB2"/>
    <w:rsid w:val="6E3A0F28"/>
    <w:rsid w:val="6ED547AD"/>
    <w:rsid w:val="6EEF1D13"/>
    <w:rsid w:val="6F5E0C47"/>
    <w:rsid w:val="6FE74798"/>
    <w:rsid w:val="6FED3D79"/>
    <w:rsid w:val="717402AD"/>
    <w:rsid w:val="71B608C6"/>
    <w:rsid w:val="727F33AE"/>
    <w:rsid w:val="74212243"/>
    <w:rsid w:val="76B03803"/>
    <w:rsid w:val="77C836CF"/>
    <w:rsid w:val="781C24E2"/>
    <w:rsid w:val="7855353D"/>
    <w:rsid w:val="789E522D"/>
    <w:rsid w:val="79A87D37"/>
    <w:rsid w:val="79EB757B"/>
    <w:rsid w:val="7B0F7299"/>
    <w:rsid w:val="7B7F61CD"/>
    <w:rsid w:val="7BDD7AD8"/>
    <w:rsid w:val="7CF91FAF"/>
    <w:rsid w:val="7DAE0FEB"/>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9"/>
    <w:pPr>
      <w:keepNext/>
      <w:keepLines/>
      <w:spacing w:line="360" w:lineRule="auto"/>
      <w:outlineLvl w:val="0"/>
    </w:pPr>
    <w:rPr>
      <w:b/>
      <w:kern w:val="44"/>
      <w:sz w:val="32"/>
    </w:rPr>
  </w:style>
  <w:style w:type="paragraph" w:styleId="4">
    <w:name w:val="heading 2"/>
    <w:basedOn w:val="1"/>
    <w:next w:val="1"/>
    <w:link w:val="22"/>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annotation text"/>
    <w:basedOn w:val="1"/>
    <w:link w:val="20"/>
    <w:unhideWhenUsed/>
    <w:qFormat/>
    <w:uiPriority w:val="99"/>
    <w:pPr>
      <w:jc w:val="left"/>
    </w:pPr>
  </w:style>
  <w:style w:type="paragraph" w:styleId="8">
    <w:name w:val="Body Text"/>
    <w:basedOn w:val="1"/>
    <w:link w:val="27"/>
    <w:semiHidden/>
    <w:unhideWhenUsed/>
    <w:qFormat/>
    <w:uiPriority w:val="99"/>
    <w:pPr>
      <w:spacing w:after="120"/>
    </w:pPr>
    <w:rPr>
      <w:rFonts w:asciiTheme="minorHAnsi" w:hAnsiTheme="minorHAnsi" w:eastAsiaTheme="minorEastAsia" w:cstheme="minorBidi"/>
      <w:szCs w:val="24"/>
    </w:rPr>
  </w:style>
  <w:style w:type="paragraph" w:styleId="9">
    <w:name w:val="Balloon Text"/>
    <w:basedOn w:val="1"/>
    <w:link w:val="21"/>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unhideWhenUsed/>
    <w:qFormat/>
    <w:uiPriority w:val="99"/>
  </w:style>
  <w:style w:type="character" w:styleId="15">
    <w:name w:val="annotation reference"/>
    <w:qFormat/>
    <w:uiPriority w:val="0"/>
    <w:rPr>
      <w:sz w:val="21"/>
      <w:szCs w:val="21"/>
    </w:rPr>
  </w:style>
  <w:style w:type="paragraph" w:styleId="16">
    <w:name w:val="List Paragraph"/>
    <w:basedOn w:val="1"/>
    <w:link w:val="24"/>
    <w:qFormat/>
    <w:uiPriority w:val="34"/>
    <w:pPr>
      <w:ind w:firstLine="420" w:firstLineChars="200"/>
    </w:pPr>
  </w:style>
  <w:style w:type="character" w:customStyle="1" w:styleId="17">
    <w:name w:val="页眉 字符"/>
    <w:basedOn w:val="13"/>
    <w:link w:val="11"/>
    <w:qFormat/>
    <w:uiPriority w:val="99"/>
    <w:rPr>
      <w:sz w:val="18"/>
      <w:szCs w:val="18"/>
    </w:rPr>
  </w:style>
  <w:style w:type="character" w:customStyle="1" w:styleId="18">
    <w:name w:val="页脚 字符"/>
    <w:basedOn w:val="13"/>
    <w:link w:val="10"/>
    <w:qFormat/>
    <w:uiPriority w:val="99"/>
    <w:rPr>
      <w:sz w:val="18"/>
      <w:szCs w:val="18"/>
    </w:rPr>
  </w:style>
  <w:style w:type="character" w:customStyle="1" w:styleId="19">
    <w:name w:val="标题 1 字符"/>
    <w:basedOn w:val="13"/>
    <w:link w:val="3"/>
    <w:qFormat/>
    <w:uiPriority w:val="9"/>
    <w:rPr>
      <w:rFonts w:ascii="Times New Roman" w:hAnsi="Times New Roman" w:eastAsia="宋体" w:cs="Times New Roman"/>
      <w:b/>
      <w:kern w:val="44"/>
      <w:sz w:val="32"/>
      <w:szCs w:val="20"/>
    </w:rPr>
  </w:style>
  <w:style w:type="character" w:customStyle="1" w:styleId="20">
    <w:name w:val="批注文字 字符"/>
    <w:basedOn w:val="13"/>
    <w:link w:val="7"/>
    <w:qFormat/>
    <w:uiPriority w:val="99"/>
    <w:rPr>
      <w:rFonts w:ascii="Times New Roman" w:hAnsi="Times New Roman" w:eastAsia="宋体" w:cs="Times New Roman"/>
      <w:szCs w:val="20"/>
    </w:rPr>
  </w:style>
  <w:style w:type="character" w:customStyle="1" w:styleId="21">
    <w:name w:val="批注框文本 字符"/>
    <w:basedOn w:val="13"/>
    <w:link w:val="9"/>
    <w:semiHidden/>
    <w:qFormat/>
    <w:uiPriority w:val="99"/>
    <w:rPr>
      <w:rFonts w:ascii="Times New Roman" w:hAnsi="Times New Roman" w:eastAsia="宋体" w:cs="Times New Roman"/>
      <w:sz w:val="18"/>
      <w:szCs w:val="18"/>
    </w:rPr>
  </w:style>
  <w:style w:type="character" w:customStyle="1" w:styleId="22">
    <w:name w:val="标题 2 字符"/>
    <w:basedOn w:val="13"/>
    <w:link w:val="4"/>
    <w:qFormat/>
    <w:uiPriority w:val="0"/>
    <w:rPr>
      <w:rFonts w:ascii="Cambria" w:hAnsi="Cambria" w:eastAsia="宋体" w:cs="Times New Roman"/>
      <w:b/>
      <w:bCs/>
      <w:sz w:val="32"/>
      <w:szCs w:val="32"/>
    </w:rPr>
  </w:style>
  <w:style w:type="paragraph" w:customStyle="1" w:styleId="23">
    <w:name w:val="列出段落1"/>
    <w:basedOn w:val="1"/>
    <w:qFormat/>
    <w:uiPriority w:val="34"/>
    <w:pPr>
      <w:ind w:firstLine="420" w:firstLineChars="200"/>
    </w:pPr>
    <w:rPr>
      <w:sz w:val="24"/>
      <w:szCs w:val="24"/>
    </w:rPr>
  </w:style>
  <w:style w:type="character" w:customStyle="1" w:styleId="24">
    <w:name w:val="列表段落 字符"/>
    <w:link w:val="16"/>
    <w:qFormat/>
    <w:uiPriority w:val="34"/>
    <w:rPr>
      <w:rFonts w:ascii="Times New Roman" w:hAnsi="Times New Roman" w:eastAsia="宋体" w:cs="Times New Roman"/>
      <w:szCs w:val="20"/>
    </w:rPr>
  </w:style>
  <w:style w:type="character" w:customStyle="1" w:styleId="25">
    <w:name w:val="标题 3 字符"/>
    <w:basedOn w:val="13"/>
    <w:link w:val="5"/>
    <w:qFormat/>
    <w:uiPriority w:val="9"/>
    <w:rPr>
      <w:rFonts w:ascii="Times New Roman" w:hAnsi="Times New Roman" w:eastAsia="宋体" w:cs="Times New Roman"/>
      <w:b/>
      <w:bCs/>
      <w:sz w:val="32"/>
      <w:szCs w:val="32"/>
    </w:rPr>
  </w:style>
  <w:style w:type="character" w:customStyle="1" w:styleId="26">
    <w:name w:val="标题 4 字符"/>
    <w:basedOn w:val="13"/>
    <w:link w:val="6"/>
    <w:semiHidden/>
    <w:qFormat/>
    <w:uiPriority w:val="9"/>
    <w:rPr>
      <w:rFonts w:asciiTheme="majorHAnsi" w:hAnsiTheme="majorHAnsi" w:eastAsiaTheme="majorEastAsia" w:cstheme="majorBidi"/>
      <w:b/>
      <w:bCs/>
      <w:kern w:val="2"/>
      <w:sz w:val="28"/>
      <w:szCs w:val="28"/>
    </w:rPr>
  </w:style>
  <w:style w:type="character" w:customStyle="1" w:styleId="27">
    <w:name w:val="正文文本 字符"/>
    <w:basedOn w:val="13"/>
    <w:link w:val="8"/>
    <w:semiHidden/>
    <w:qFormat/>
    <w:uiPriority w:val="99"/>
    <w:rPr>
      <w:rFonts w:asciiTheme="minorHAnsi" w:hAnsiTheme="minorHAnsi" w:eastAsiaTheme="minorEastAsia" w:cstheme="minorBidi"/>
      <w:kern w:val="2"/>
      <w:sz w:val="21"/>
      <w:szCs w:val="24"/>
    </w:rPr>
  </w:style>
  <w:style w:type="paragraph" w:customStyle="1" w:styleId="28">
    <w:name w:val="标题1"/>
    <w:basedOn w:val="1"/>
    <w:qFormat/>
    <w:uiPriority w:val="0"/>
    <w:pPr>
      <w:widowControl/>
      <w:spacing w:line="360" w:lineRule="auto"/>
      <w:jc w:val="center"/>
    </w:pPr>
    <w:rPr>
      <w:rFonts w:ascii="黑体" w:eastAsia="黑体"/>
      <w:b/>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HaoXiTong.Com</Company>
  <Pages>4</Pages>
  <Words>3640</Words>
  <Characters>3809</Characters>
  <Lines>31</Lines>
  <Paragraphs>8</Paragraphs>
  <TotalTime>0</TotalTime>
  <ScaleCrop>false</ScaleCrop>
  <LinksUpToDate>false</LinksUpToDate>
  <CharactersWithSpaces>3843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2019-04-08T03:41:00Z</dcterms:created>
  <dc:creator>PC</dc:creator>
  <cp:lastModifiedBy>追梦</cp:lastModifiedBy>
  <dcterms:modified xsi:type="dcterms:W3CDTF">2025-09-11T06:57:24Z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eyJoZGlkIjoiNGY3NDhkNGY0YmNmZmExNmZhYmE2NTUwNDc2MTY1OTEiLCJ1c2VySWQiOiI1ODQyNzY2OTgifQ==</vt:lpwstr>
  </property>
  <property fmtid="{D5CDD505-2E9C-101B-9397-08002B2CF9AE}" pid="4" name="ICV">
    <vt:lpwstr>F4E426B3BFE3443F804696E4EE3C483A_13</vt:lpwstr>
  </property>
</Properties>
</file>