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eastAsia="zh-CN"/>
        </w:rPr>
        <w:t>南湾</w:t>
      </w:r>
      <w:r>
        <w:rPr>
          <w:rFonts w:hint="default" w:ascii="方正小标宋简体" w:hAnsi="方正小标宋简体" w:eastAsia="方正小标宋简体" w:cs="方正小标宋简体"/>
          <w:sz w:val="44"/>
          <w:szCs w:val="44"/>
          <w:lang w:val="en-US" w:eastAsia="zh-CN"/>
        </w:rPr>
        <w:t>街道2025年“四防”基础设施</w:t>
      </w:r>
      <w:r>
        <w:rPr>
          <w:rFonts w:hint="eastAsia" w:ascii="方正小标宋简体" w:hAnsi="方正小标宋简体" w:eastAsia="方正小标宋简体" w:cs="方正小标宋简体"/>
          <w:sz w:val="44"/>
          <w:szCs w:val="44"/>
          <w:lang w:val="en-US" w:eastAsia="zh-CN"/>
        </w:rPr>
        <w:t>采购</w:t>
      </w:r>
    </w:p>
    <w:p>
      <w:pPr>
        <w:pStyle w:val="5"/>
        <w:keepNext w:val="0"/>
        <w:keepLines w:val="0"/>
        <w:widowControl/>
        <w:suppressLineNumbers w:val="0"/>
        <w:spacing w:before="0" w:beforeAutospacing="0" w:after="0" w:afterAutospacing="0"/>
        <w:ind w:left="0" w:leftChars="0" w:right="0" w:firstLine="0" w:firstLineChars="0"/>
        <w:jc w:val="center"/>
        <w:rPr>
          <w:rFonts w:hint="default"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项目</w:t>
      </w:r>
      <w:r>
        <w:rPr>
          <w:rFonts w:hint="default" w:ascii="方正小标宋简体" w:hAnsi="方正小标宋简体" w:eastAsia="方正小标宋简体" w:cs="方正小标宋简体"/>
          <w:sz w:val="44"/>
          <w:szCs w:val="44"/>
          <w:lang w:eastAsia="zh-CN"/>
        </w:rPr>
        <w:t>公开询价公告</w:t>
      </w:r>
    </w:p>
    <w:p>
      <w:pPr>
        <w:numPr>
          <w:ilvl w:val="0"/>
          <w:numId w:val="0"/>
        </w:numPr>
        <w:tabs>
          <w:tab w:val="left" w:pos="740"/>
        </w:tabs>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eastAsia="zh-CN"/>
        </w:rPr>
        <w:t>深圳市龙岗区</w:t>
      </w:r>
      <w:r>
        <w:rPr>
          <w:rFonts w:hint="eastAsia" w:ascii="仿宋_GB2312" w:hAnsi="仿宋_GB2312" w:eastAsia="仿宋_GB2312" w:cs="仿宋_GB2312"/>
          <w:b w:val="0"/>
          <w:bCs w:val="0"/>
          <w:color w:val="auto"/>
          <w:sz w:val="32"/>
          <w:szCs w:val="32"/>
          <w:highlight w:val="none"/>
          <w:lang w:val="en-US" w:eastAsia="zh-CN"/>
        </w:rPr>
        <w:t>南湾</w:t>
      </w:r>
      <w:r>
        <w:rPr>
          <w:rFonts w:hint="default" w:ascii="仿宋_GB2312" w:hAnsi="仿宋_GB2312" w:eastAsia="仿宋_GB2312" w:cs="仿宋_GB2312"/>
          <w:b w:val="0"/>
          <w:bCs w:val="0"/>
          <w:color w:val="auto"/>
          <w:sz w:val="32"/>
          <w:szCs w:val="32"/>
          <w:highlight w:val="none"/>
          <w:lang w:eastAsia="zh-CN"/>
        </w:rPr>
        <w:t>街道</w:t>
      </w:r>
      <w:r>
        <w:rPr>
          <w:rFonts w:hint="default" w:ascii="仿宋_GB2312" w:hAnsi="仿宋_GB2312" w:eastAsia="仿宋_GB2312" w:cs="仿宋_GB2312"/>
          <w:b w:val="0"/>
          <w:bCs w:val="0"/>
          <w:color w:val="auto"/>
          <w:sz w:val="32"/>
          <w:szCs w:val="32"/>
          <w:highlight w:val="none"/>
          <w:lang w:val="en-US" w:eastAsia="zh-CN"/>
        </w:rPr>
        <w:t>2025年“四防”基础设施</w:t>
      </w:r>
      <w:r>
        <w:rPr>
          <w:rFonts w:hint="default" w:ascii="仿宋_GB2312" w:hAnsi="仿宋_GB2312" w:eastAsia="仿宋_GB2312" w:cs="仿宋_GB2312"/>
          <w:b w:val="0"/>
          <w:bCs w:val="0"/>
          <w:color w:val="auto"/>
          <w:sz w:val="32"/>
          <w:szCs w:val="32"/>
          <w:highlight w:val="none"/>
          <w:lang w:eastAsia="zh-CN"/>
        </w:rPr>
        <w:t>采购项目，采用</w:t>
      </w:r>
      <w:r>
        <w:rPr>
          <w:rFonts w:hint="eastAsia" w:ascii="仿宋_GB2312" w:hAnsi="仿宋_GB2312" w:eastAsia="仿宋_GB2312" w:cs="仿宋_GB2312"/>
          <w:b w:val="0"/>
          <w:bCs w:val="0"/>
          <w:color w:val="auto"/>
          <w:sz w:val="32"/>
          <w:szCs w:val="32"/>
          <w:highlight w:val="none"/>
          <w:lang w:val="en-US" w:eastAsia="zh-CN"/>
        </w:rPr>
        <w:t>公开</w:t>
      </w:r>
      <w:r>
        <w:rPr>
          <w:rFonts w:hint="default" w:ascii="仿宋_GB2312" w:hAnsi="仿宋_GB2312" w:eastAsia="仿宋_GB2312" w:cs="仿宋_GB2312"/>
          <w:b w:val="0"/>
          <w:bCs w:val="0"/>
          <w:color w:val="auto"/>
          <w:sz w:val="32"/>
          <w:szCs w:val="32"/>
          <w:highlight w:val="none"/>
          <w:lang w:eastAsia="zh-CN"/>
        </w:rPr>
        <w:t>询价</w:t>
      </w:r>
      <w:r>
        <w:rPr>
          <w:rFonts w:hint="eastAsia" w:ascii="仿宋_GB2312" w:hAnsi="仿宋_GB2312" w:eastAsia="仿宋_GB2312" w:cs="仿宋_GB2312"/>
          <w:b w:val="0"/>
          <w:bCs w:val="0"/>
          <w:color w:val="auto"/>
          <w:sz w:val="32"/>
          <w:szCs w:val="32"/>
          <w:highlight w:val="none"/>
          <w:lang w:val="en-US" w:eastAsia="zh-CN"/>
        </w:rPr>
        <w:t>进行采购</w:t>
      </w:r>
      <w:r>
        <w:rPr>
          <w:rFonts w:hint="default" w:ascii="仿宋_GB2312" w:hAnsi="仿宋_GB2312" w:eastAsia="仿宋_GB2312" w:cs="仿宋_GB2312"/>
          <w:b w:val="0"/>
          <w:bCs w:val="0"/>
          <w:color w:val="auto"/>
          <w:sz w:val="32"/>
          <w:szCs w:val="32"/>
          <w:highlight w:val="none"/>
          <w:lang w:eastAsia="zh-CN"/>
        </w:rPr>
        <w:t>，</w:t>
      </w:r>
      <w:r>
        <w:rPr>
          <w:rFonts w:hint="default" w:ascii="仿宋_GB2312" w:hAnsi="仿宋_GB2312" w:cs="仿宋_GB2312"/>
          <w:b w:val="0"/>
          <w:bCs w:val="0"/>
          <w:color w:val="auto"/>
          <w:sz w:val="32"/>
          <w:szCs w:val="32"/>
          <w:highlight w:val="none"/>
          <w:lang w:eastAsia="zh-CN"/>
        </w:rPr>
        <w:t>评审</w:t>
      </w:r>
      <w:r>
        <w:rPr>
          <w:rFonts w:hint="default" w:ascii="仿宋_GB2312" w:hAnsi="仿宋_GB2312" w:eastAsia="仿宋_GB2312" w:cs="仿宋_GB2312"/>
          <w:b w:val="0"/>
          <w:bCs w:val="0"/>
          <w:color w:val="auto"/>
          <w:sz w:val="32"/>
          <w:szCs w:val="32"/>
          <w:highlight w:val="none"/>
          <w:lang w:eastAsia="zh-CN"/>
        </w:rPr>
        <w:t>方法为最低价法，欢迎符合资格的供应商报名参加。</w:t>
      </w:r>
    </w:p>
    <w:tbl>
      <w:tblPr>
        <w:tblStyle w:val="7"/>
        <w:tblW w:w="9421"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887"/>
        <w:gridCol w:w="173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项目名称</w:t>
            </w:r>
          </w:p>
        </w:tc>
        <w:tc>
          <w:tcPr>
            <w:tcW w:w="2887"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rPr>
              <w:t>南湾街道2025年“四防”基础设施采购</w:t>
            </w:r>
          </w:p>
        </w:tc>
        <w:tc>
          <w:tcPr>
            <w:tcW w:w="1738"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cente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预算</w:t>
            </w: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金额（元）</w:t>
            </w:r>
          </w:p>
        </w:tc>
        <w:tc>
          <w:tcPr>
            <w:tcW w:w="3134"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cente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rPr>
              <w:t>124980</w:t>
            </w:r>
          </w:p>
          <w:p>
            <w:pPr>
              <w:pStyle w:val="5"/>
              <w:keepNext w:val="0"/>
              <w:keepLines w:val="0"/>
              <w:widowControl/>
              <w:suppressLineNumbers w:val="0"/>
              <w:spacing w:before="0" w:beforeAutospacing="0" w:after="0" w:afterAutospacing="0" w:line="560" w:lineRule="exact"/>
              <w:ind w:left="0" w:leftChars="0" w:right="0" w:firstLine="0" w:firstLineChars="0"/>
              <w:jc w:val="cente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项目内容</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rPr>
              <w:t>采购一批“四防”基础设施，防蚊闸1258个（规格：750*450mm，750个；规格：600*400mm，2</w:t>
            </w:r>
            <w:r>
              <w:rPr>
                <w:rFonts w:hint="default" w:ascii="仿宋_GB2312" w:hAnsi="仿宋_GB2312" w:cs="仿宋_GB2312"/>
                <w:i w:val="0"/>
                <w:iCs w:val="0"/>
                <w:caps w:val="0"/>
                <w:color w:val="auto"/>
                <w:spacing w:val="0"/>
                <w:kern w:val="2"/>
                <w:sz w:val="32"/>
                <w:szCs w:val="32"/>
                <w:highlight w:val="none"/>
                <w:shd w:val="clear" w:color="auto" w:fill="auto"/>
                <w:vertAlign w:val="baseline"/>
                <w:lang w:val="en-US" w:eastAsia="zh-CN"/>
              </w:rPr>
              <w:t>50</w:t>
            </w: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rPr>
              <w:t>个；规格：500*300mm,258个；材质：玻璃钢纤维），毒鼠屋300个（规格：30*22*15mm，材质：玻璃钢）。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662" w:type="dxa"/>
            <w:noWrap w:val="0"/>
            <w:vAlign w:val="top"/>
          </w:tcPr>
          <w:p>
            <w:pPr>
              <w:pStyle w:val="5"/>
              <w:keepNext w:val="0"/>
              <w:keepLines w:val="0"/>
              <w:widowControl/>
              <w:numPr>
                <w:ilvl w:val="0"/>
                <w:numId w:val="0"/>
              </w:numPr>
              <w:suppressLineNumbers w:val="0"/>
              <w:spacing w:before="0" w:beforeAutospacing="0" w:after="0" w:afterAutospacing="0" w:line="560" w:lineRule="exact"/>
              <w:ind w:right="0" w:rightChars="0"/>
              <w:jc w:val="left"/>
              <w:rPr>
                <w:rFonts w:hint="default" w:ascii="仿宋_GB2312" w:hAnsi="仿宋_GB2312" w:eastAsia="仿宋_GB2312" w:cs="仿宋_GB2312"/>
                <w:i w:val="0"/>
                <w:iCs w:val="0"/>
                <w:caps w:val="0"/>
                <w:color w:val="auto"/>
                <w:spacing w:val="0"/>
                <w:kern w:val="2"/>
                <w:sz w:val="28"/>
                <w:szCs w:val="28"/>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供应商资格条件</w:t>
            </w:r>
          </w:p>
        </w:tc>
        <w:tc>
          <w:tcPr>
            <w:tcW w:w="7759" w:type="dxa"/>
            <w:gridSpan w:val="3"/>
            <w:noWrap w:val="0"/>
            <w:vAlign w:val="top"/>
          </w:tcPr>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bookmarkStart w:id="0" w:name="_Hlk72162904"/>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1.具有独立承担民事责任的能力（提供营业执照或事业单位法人证书等证明资料</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复印</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件，原件备查，分支机构参与</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响应</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的，须同时提供总公司授权文件且授权书载明其民事责任由总公司承担）；</w:t>
            </w:r>
            <w:bookmarkEnd w:id="0"/>
          </w:p>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2.本项目不接受联合体投标，不接受投标人选用进口产品参与投标，不允许分包；</w:t>
            </w:r>
          </w:p>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3.参与本项目政府采购活动时不存在被有关部门禁止参与政府采购活动且在有效期内的情况（由供应商在《</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参与政府采购活动及履约承诺函</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》中作出声明）；</w:t>
            </w:r>
          </w:p>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4.具备《中华人民共和国政府采购法》第二十二条第一款的条件（由供应商在《</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参与政府采购活动及履约承诺函</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》中作出声明）；</w:t>
            </w:r>
          </w:p>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5.未被列入失信被执行人、重大税收违法案件当事人名单、政府采购严重违法失信行为记录名单（由供应商在《</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参与政府采购活动及履约承诺函</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》中作出声明）；</w:t>
            </w:r>
          </w:p>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6</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报价清单</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防蚊闸1258个（规格：750*450mm，750个；规格：600*400mm，2</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50</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个；规格：500*300mm,258个），毒鼠屋300个（规格：30*22*15mm），预算金额</w:t>
            </w: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bidi="ar-SA"/>
              </w:rPr>
              <w:t>合计</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124980元。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报名文件</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bidi="ar-SA"/>
              </w:rPr>
              <w:t>1、</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资格性审查资料（有效期内营业执照复印件、参与政府采购活动及履约承诺函、</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供应商基本情况表</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以及其他与项目相关的资质材料）；</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bidi="ar-SA"/>
              </w:rPr>
              <w:t>2、</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符合性审查资料（报价资料，此项需对照报价清单，分别填报单项报价和总价）；</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bidi="ar-SA"/>
              </w:rPr>
              <w:t>3、</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投递人身份证明资料（</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法人代表证明书、法人身份证</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复印件</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、法人代表授权书等</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4、供应商认为与响应本项目相关的其他资料，如同类项目履约资料等。（以上资料均需加盖公司公章</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，密封现场递交至采购部门，不接受快递投递文件</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pP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评选方法</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最低价法</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。如有相同最低价，</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以竞价方式从相同最低价中选出成交供应商</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报名</w:t>
            </w: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及公示</w:t>
            </w: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截止时间</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bidi="ar-SA"/>
              </w:rPr>
              <w:t>2025年9月11日至2025年9月15日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default"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询问及联系方式</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1、</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采购</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单位</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联系方式</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联系人：</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谢达偲</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 xml:space="preserve">         联系方式：</w:t>
            </w: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bidi="ar-SA"/>
              </w:rPr>
              <w:t>0755-</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28706907</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2、街道政府采购领导小组办公室</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联系方式：</w:t>
            </w:r>
            <w:r>
              <w:rPr>
                <w:rFonts w:hint="eastAsia" w:ascii="仿宋_GB2312" w:hAnsi="仿宋_GB2312" w:cs="仿宋_GB2312"/>
                <w:i w:val="0"/>
                <w:iCs w:val="0"/>
                <w:caps w:val="0"/>
                <w:color w:val="auto"/>
                <w:spacing w:val="0"/>
                <w:kern w:val="2"/>
                <w:sz w:val="32"/>
                <w:szCs w:val="32"/>
                <w:highlight w:val="none"/>
                <w:shd w:val="clear" w:color="auto" w:fill="auto"/>
                <w:vertAlign w:val="baseline"/>
                <w:lang w:val="en-US" w:eastAsia="zh-CN" w:bidi="ar-SA"/>
              </w:rPr>
              <w:t>0755-</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89609693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1662" w:type="dxa"/>
            <w:noWrap w:val="0"/>
            <w:vAlign w:val="top"/>
          </w:tcPr>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000000"/>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t>备注</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1、</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请供应商严格按照报价清单进行报价，对</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报价清单</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规定的项目需求内容或者需求数量进行修改的，视为</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符合性审查不通过，不得参与本次自行采购活动</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单项报价为0的，视为无效报价。</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2、请供应商严格对照资格性审查资料准备相应材料，在资格性审查阶段出现资料缺少的，视为资格性审查不通过，不得参与本次自行采购活动</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3、</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本项目服务费采用包干制，应包括服务成本、法定税费和企业的利润。由供应商根据</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采购公告等资料</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自行测算报价；一经采购，报价总价</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和细项单价</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作为应邀单位与采购单位签定的合同金额，合同期限内不作调整。</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4、供应商信用信息相关查询路径：</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（1）深圳市政府采购监管网（</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begin"/>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instrText xml:space="preserve"> HYPERLINK "http://zfcg.sz.gov.cn/cgjg/cxda/index.html" </w:instrTex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separate"/>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http://zfcg.sz.gov.cn/cgjg/cxda/index.html</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end"/>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（2）国家企业信用信息公示系统（https://www.gsxt.gov.cn/index.html)</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bookmarkStart w:id="1" w:name="_GoBack"/>
            <w:bookmarkEnd w:id="1"/>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或全国社会组织信用信息公示平台（</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begin"/>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instrText xml:space="preserve"> HYPERLINK "https://xxgs.chinanpo.mca.gov.cn/gsxt/newList" </w:instrTex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separate"/>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https://xxgs.chinanpo.mca.gov.cn/gsxt/newList</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end"/>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（3）中国政府采购网（</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begin"/>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instrText xml:space="preserve"> HYPERLINK "http://www.ccgp.gov.cn/search/cr/" </w:instrTex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separate"/>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http://www.ccgp.gov.cn/search/cr/</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fldChar w:fldCharType="end"/>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（4）信用中国（www.creditchina.gov.cn）</w:t>
            </w: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相关</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查询</w:t>
            </w:r>
            <w:r>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信息以开标当日的查询结果为准</w:t>
            </w:r>
            <w:r>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bidi="ar-SA"/>
              </w:rPr>
              <w:t>。</w:t>
            </w:r>
          </w:p>
        </w:tc>
      </w:tr>
    </w:tbl>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D12A"/>
    <w:rsid w:val="6FBFD12A"/>
    <w:rsid w:val="7EBBD5F2"/>
    <w:rsid w:val="7FEF04CB"/>
    <w:rsid w:val="8ABF9C1F"/>
    <w:rsid w:val="97FF6B72"/>
    <w:rsid w:val="B374908E"/>
    <w:rsid w:val="BDFE1DCE"/>
    <w:rsid w:val="FF770139"/>
    <w:rsid w:val="FFF364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
    <w:name w:val="Body Text"/>
    <w:basedOn w:val="1"/>
    <w:next w:val="1"/>
    <w:qFormat/>
    <w:uiPriority w:val="99"/>
    <w:rPr>
      <w:rFonts w:ascii="Times New Roman" w:hAnsi="Times New Roman"/>
      <w:sz w:val="32"/>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2025-08-03T14:40:00Z</dcterms:created>
  <dc:creator>WPS_1565408614</dc:creator>
  <cp:lastModifiedBy>公共服务办公室(政务服务组)</cp:lastModifiedBy>
  <dcterms:modified xsi:type="dcterms:W3CDTF">2025-09-10T17:34:43Z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ABD2F5A053E95CCB066C8C68381819AB</vt:lpwstr>
  </property>
</Properties>
</file>