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rPr>
      </w:pPr>
      <w:r>
        <w:rPr>
          <w:rFonts w:hint="eastAsia" w:ascii="宋体" w:hAnsi="宋体"/>
          <w:b/>
          <w:bCs/>
          <w:sz w:val="44"/>
        </w:rPr>
        <w:t>深圳市龙岗区第七人民医院</w:t>
      </w:r>
    </w:p>
    <w:p>
      <w:pPr>
        <w:jc w:val="center"/>
        <w:rPr>
          <w:rFonts w:hint="eastAsia" w:ascii="宋体" w:hAnsi="宋体"/>
          <w:b/>
          <w:bCs/>
          <w:sz w:val="44"/>
        </w:rPr>
      </w:pPr>
      <w:r>
        <w:rPr>
          <w:rFonts w:hint="eastAsia" w:ascii="宋体" w:hAnsi="宋体"/>
          <w:b/>
          <w:bCs/>
          <w:sz w:val="44"/>
        </w:rPr>
        <w:t>院内采购标书</w:t>
      </w:r>
    </w:p>
    <w:p>
      <w:pPr>
        <w:rPr>
          <w:rFonts w:hint="eastAsia" w:ascii="宋体" w:hAnsi="宋体"/>
          <w:b/>
          <w:bCs/>
          <w:sz w:val="44"/>
        </w:rPr>
      </w:pPr>
    </w:p>
    <w:p>
      <w:pPr>
        <w:jc w:val="center"/>
        <w:rPr>
          <w:rFonts w:hint="eastAsia" w:ascii="宋体" w:hAnsi="宋体"/>
          <w:b/>
          <w:bCs/>
          <w:sz w:val="44"/>
        </w:rPr>
      </w:pPr>
      <w:r>
        <w:rPr>
          <w:rFonts w:hint="eastAsia" w:ascii="宋体" w:hAnsi="宋体"/>
          <w:b/>
          <w:bCs/>
          <w:sz w:val="44"/>
        </w:rPr>
        <w:t>招标文件信息</w:t>
      </w:r>
    </w:p>
    <w:p>
      <w:pPr>
        <w:jc w:val="center"/>
        <w:rPr>
          <w:rFonts w:hint="eastAsia" w:ascii="宋体" w:hAnsi="宋体"/>
          <w:b/>
          <w:bCs/>
          <w:sz w:val="44"/>
        </w:rPr>
      </w:pPr>
    </w:p>
    <w:p>
      <w:pPr>
        <w:pStyle w:val="9"/>
        <w:rPr>
          <w:rFonts w:hint="eastAsia"/>
        </w:rPr>
      </w:pPr>
    </w:p>
    <w:p>
      <w:pPr>
        <w:pStyle w:val="24"/>
        <w:spacing w:line="360" w:lineRule="auto"/>
        <w:ind w:firstLine="0" w:firstLineChars="0"/>
        <w:rPr>
          <w:rFonts w:hint="eastAsia"/>
          <w:color w:val="auto"/>
          <w:sz w:val="36"/>
          <w:szCs w:val="36"/>
        </w:rPr>
      </w:pPr>
      <w:r>
        <w:rPr>
          <w:rFonts w:hint="eastAsia"/>
          <w:b/>
          <w:bCs/>
          <w:color w:val="auto"/>
          <w:sz w:val="36"/>
          <w:szCs w:val="36"/>
        </w:rPr>
        <w:t>采购项目：</w:t>
      </w:r>
      <w:r>
        <w:rPr>
          <w:rFonts w:hint="eastAsia"/>
          <w:color w:val="auto"/>
          <w:sz w:val="36"/>
          <w:szCs w:val="36"/>
        </w:rPr>
        <w:t>深圳市龙岗区第七人民医院龙岭院区门诊楼业务用房房屋结构安全检测鉴定服务项目</w:t>
      </w:r>
    </w:p>
    <w:p>
      <w:pPr>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采购项目编号：</w:t>
      </w:r>
      <w:r>
        <w:rPr>
          <w:rFonts w:hint="eastAsia" w:ascii="仿宋_GB2312" w:hAnsi="仿宋_GB2312" w:eastAsia="仿宋_GB2312" w:cs="仿宋_GB2312"/>
          <w:sz w:val="36"/>
          <w:szCs w:val="36"/>
        </w:rPr>
        <w:t>深龙七医采[LGQY2025ZW006]</w:t>
      </w:r>
    </w:p>
    <w:p>
      <w:pPr>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项目类型：</w:t>
      </w:r>
      <w:r>
        <w:rPr>
          <w:rFonts w:hint="eastAsia" w:ascii="仿宋_GB2312" w:hAnsi="仿宋_GB2312" w:eastAsia="仿宋_GB2312" w:cs="仿宋_GB2312"/>
          <w:sz w:val="36"/>
          <w:szCs w:val="36"/>
        </w:rPr>
        <w:t>服务类</w:t>
      </w:r>
    </w:p>
    <w:p>
      <w:pPr>
        <w:snapToGrid w:val="0"/>
        <w:spacing w:line="360" w:lineRule="auto"/>
        <w:rPr>
          <w:rFonts w:eastAsia="仿宋_GB2312"/>
        </w:rPr>
      </w:pPr>
      <w:r>
        <w:rPr>
          <w:rFonts w:hint="eastAsia" w:ascii="仿宋_GB2312" w:hAnsi="仿宋_GB2312" w:eastAsia="仿宋_GB2312" w:cs="仿宋_GB2312"/>
          <w:b/>
          <w:bCs/>
          <w:sz w:val="36"/>
          <w:szCs w:val="36"/>
        </w:rPr>
        <w:t>采购数量：</w:t>
      </w:r>
      <w:r>
        <w:rPr>
          <w:rFonts w:hint="eastAsia" w:ascii="仿宋_GB2312" w:hAnsi="仿宋_GB2312" w:eastAsia="仿宋_GB2312" w:cs="仿宋_GB2312"/>
          <w:sz w:val="36"/>
          <w:szCs w:val="36"/>
        </w:rPr>
        <w:t>1项</w:t>
      </w:r>
    </w:p>
    <w:p>
      <w:pPr>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采购方式：</w:t>
      </w:r>
      <w:r>
        <w:rPr>
          <w:rFonts w:hint="eastAsia" w:ascii="仿宋_GB2312" w:hAnsi="仿宋_GB2312" w:eastAsia="仿宋_GB2312" w:cs="仿宋_GB2312"/>
          <w:sz w:val="36"/>
          <w:szCs w:val="36"/>
        </w:rPr>
        <w:t>院内公开采购</w:t>
      </w:r>
    </w:p>
    <w:p>
      <w:pPr>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评标方法：</w:t>
      </w:r>
      <w:r>
        <w:rPr>
          <w:rFonts w:hint="eastAsia" w:ascii="仿宋_GB2312" w:hAnsi="仿宋_GB2312" w:eastAsia="仿宋_GB2312" w:cs="仿宋_GB2312"/>
          <w:sz w:val="36"/>
          <w:szCs w:val="36"/>
        </w:rPr>
        <w:t>综合评分法</w:t>
      </w:r>
    </w:p>
    <w:p>
      <w:pPr>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投标货币</w:t>
      </w:r>
      <w:r>
        <w:rPr>
          <w:rFonts w:hint="eastAsia" w:ascii="仿宋_GB2312" w:hAnsi="仿宋_GB2312" w:eastAsia="仿宋_GB2312" w:cs="仿宋_GB2312"/>
          <w:sz w:val="36"/>
          <w:szCs w:val="36"/>
        </w:rPr>
        <w:t>：人民币</w:t>
      </w:r>
    </w:p>
    <w:p>
      <w:pPr>
        <w:pStyle w:val="10"/>
        <w:rPr>
          <w:rFonts w:hint="default"/>
        </w:rPr>
      </w:pPr>
    </w:p>
    <w:p>
      <w:pPr>
        <w:pStyle w:val="10"/>
        <w:rPr>
          <w:rFonts w:hint="default"/>
          <w:szCs w:val="20"/>
        </w:rPr>
      </w:pPr>
    </w:p>
    <w:p>
      <w:pPr>
        <w:pStyle w:val="5"/>
      </w:pPr>
    </w:p>
    <w:p/>
    <w:p>
      <w:pPr>
        <w:pStyle w:val="2"/>
      </w:pPr>
    </w:p>
    <w:p/>
    <w:p>
      <w:pPr>
        <w:pStyle w:val="2"/>
        <w:ind w:firstLine="1920" w:firstLineChars="600"/>
        <w:rPr>
          <w:rFonts w:cs="宋体"/>
          <w:sz w:val="40"/>
          <w:szCs w:val="40"/>
        </w:rPr>
      </w:pPr>
      <w:r>
        <w:rPr>
          <w:rFonts w:ascii="仿宋_GB2312" w:hAnsi="仿宋_GB2312" w:eastAsia="仿宋_GB2312" w:cs="仿宋_GB2312"/>
          <w:sz w:val="32"/>
          <w:szCs w:val="32"/>
        </w:rPr>
        <w:t>日期：     年    月    日</w:t>
      </w:r>
    </w:p>
    <w:p>
      <w:pPr>
        <w:spacing w:line="360" w:lineRule="auto"/>
        <w:rPr>
          <w:rFonts w:hint="eastAsia" w:ascii="宋体" w:hAnsi="宋体" w:cs="宋体"/>
          <w:b/>
          <w:bCs/>
          <w:sz w:val="40"/>
          <w:szCs w:val="40"/>
        </w:rPr>
      </w:pPr>
    </w:p>
    <w:p>
      <w:pPr>
        <w:spacing w:line="360" w:lineRule="auto"/>
        <w:jc w:val="center"/>
        <w:rPr>
          <w:rFonts w:hint="eastAsia" w:ascii="宋体" w:hAnsi="宋体" w:cs="宋体"/>
          <w:b/>
          <w:bCs/>
          <w:sz w:val="40"/>
          <w:szCs w:val="40"/>
        </w:rPr>
      </w:pPr>
    </w:p>
    <w:p>
      <w:pPr>
        <w:pStyle w:val="9"/>
        <w:rPr>
          <w:rFonts w:hint="eastAsia"/>
        </w:rPr>
      </w:pPr>
    </w:p>
    <w:p>
      <w:pPr>
        <w:spacing w:line="360" w:lineRule="auto"/>
        <w:jc w:val="center"/>
        <w:rPr>
          <w:rFonts w:hint="eastAsia" w:ascii="仿宋_GB2312" w:hAnsi="仿宋_GB2312" w:eastAsia="仿宋_GB2312" w:cs="仿宋_GB2312"/>
          <w:b/>
          <w:bCs/>
          <w:sz w:val="36"/>
          <w:szCs w:val="36"/>
        </w:rPr>
      </w:pPr>
      <w:r>
        <w:rPr>
          <w:rFonts w:hint="eastAsia" w:ascii="宋体" w:hAnsi="宋体" w:cs="宋体"/>
          <w:b/>
          <w:bCs/>
          <w:sz w:val="40"/>
          <w:szCs w:val="40"/>
        </w:rPr>
        <w:t>第一章</w:t>
      </w:r>
    </w:p>
    <w:p>
      <w:pPr>
        <w:pStyle w:val="24"/>
        <w:spacing w:line="460" w:lineRule="exact"/>
        <w:ind w:firstLine="0" w:firstLineChars="0"/>
        <w:jc w:val="center"/>
        <w:rPr>
          <w:rFonts w:hint="eastAsia" w:ascii="宋体" w:hAnsi="宋体" w:eastAsia="宋体" w:cs="黑体"/>
          <w:color w:val="000000"/>
          <w:kern w:val="0"/>
          <w:sz w:val="40"/>
          <w:szCs w:val="40"/>
        </w:rPr>
      </w:pPr>
      <w:r>
        <w:rPr>
          <w:rFonts w:hint="eastAsia" w:ascii="宋体" w:hAnsi="宋体" w:eastAsia="宋体" w:cs="黑体"/>
          <w:color w:val="000000"/>
          <w:kern w:val="0"/>
          <w:sz w:val="40"/>
          <w:szCs w:val="40"/>
        </w:rPr>
        <w:t>深圳市龙岗区第七人民医院龙岭院区门诊楼</w:t>
      </w:r>
    </w:p>
    <w:p>
      <w:pPr>
        <w:pStyle w:val="24"/>
        <w:spacing w:line="460" w:lineRule="exact"/>
        <w:ind w:firstLine="0" w:firstLineChars="0"/>
        <w:jc w:val="center"/>
        <w:rPr>
          <w:rFonts w:hint="eastAsia" w:ascii="宋体" w:hAnsi="宋体" w:eastAsia="宋体" w:cs="黑体"/>
          <w:color w:val="000000"/>
          <w:kern w:val="0"/>
          <w:sz w:val="40"/>
          <w:szCs w:val="40"/>
        </w:rPr>
      </w:pPr>
      <w:r>
        <w:rPr>
          <w:rFonts w:hint="eastAsia" w:ascii="宋体" w:hAnsi="宋体" w:eastAsia="宋体" w:cs="黑体"/>
          <w:color w:val="000000"/>
          <w:kern w:val="0"/>
          <w:sz w:val="40"/>
          <w:szCs w:val="40"/>
        </w:rPr>
        <w:t>业务用房房屋结构安全检测鉴定服务项目</w:t>
      </w:r>
    </w:p>
    <w:p>
      <w:pPr>
        <w:pStyle w:val="24"/>
        <w:spacing w:line="460" w:lineRule="exact"/>
        <w:ind w:firstLine="0" w:firstLineChars="0"/>
        <w:jc w:val="center"/>
        <w:rPr>
          <w:rFonts w:hint="eastAsia" w:ascii="宋体" w:hAnsi="宋体" w:eastAsia="宋体" w:cs="黑体"/>
          <w:color w:val="000000"/>
          <w:kern w:val="0"/>
          <w:sz w:val="40"/>
          <w:szCs w:val="40"/>
        </w:rPr>
      </w:pPr>
      <w:r>
        <w:rPr>
          <w:rFonts w:hint="eastAsia" w:ascii="宋体" w:hAnsi="宋体" w:eastAsia="宋体" w:cs="黑体"/>
          <w:color w:val="000000"/>
          <w:kern w:val="0"/>
          <w:sz w:val="40"/>
          <w:szCs w:val="40"/>
        </w:rPr>
        <w:t>院内公开采购的公告</w:t>
      </w:r>
    </w:p>
    <w:p>
      <w:pPr>
        <w:spacing w:line="480" w:lineRule="exact"/>
        <w:ind w:firstLine="560" w:firstLineChars="200"/>
        <w:rPr>
          <w:rFonts w:hint="eastAsia" w:ascii="仿宋_GB2312" w:hAnsi="宋体" w:eastAsia="仿宋_GB2312"/>
          <w:sz w:val="28"/>
          <w:szCs w:val="28"/>
        </w:rPr>
      </w:pP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根据政府采购的相关规定和《深圳市龙岗区第七人民医院采购管理办法》的有关规定，我院拟对以下项目进行院内公开招标，欢迎符合条件具有供应能力的供应商前来报名参加。</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一、采购项目</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（一）项目编号：深龙七医采[LGQY2025ZW006]</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（二）项目名称：深圳市龙岗区第七人民医院龙岭院区门诊楼业务用房房屋结构安全检测鉴定服务项目</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（三）采购数量：1项</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（四）预算金额/最高限价：19万元</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二、资质要求</w:t>
      </w:r>
    </w:p>
    <w:p>
      <w:pPr>
        <w:pStyle w:val="24"/>
        <w:rPr>
          <w:rFonts w:hint="eastAsia"/>
        </w:rPr>
      </w:pPr>
      <w:r>
        <w:rPr>
          <w:rFonts w:hint="eastAsia"/>
        </w:rPr>
        <w:t>（一）满足《中华人民共和国政府采购法》第二十二条规定（须提供具有独立承担民事责任能力的法人或其他组织或个体工商户的营业执照或法人证书等证明材料复印件或扫描件）。如果是分支机构参与投标，还须同时提供其具有独立法人资格的上级主体出具的有效授权书及上级主体的营业执照或法人证书等证明材料的复印件或扫描件加盖投标人公章；本项目不接受总公司与分支机构同时参与投标，也不接受同一总公司有两个或以上分支机构参与投标，如出现以上情形，该两家或以上投标人均按无效投标处理。</w:t>
      </w:r>
    </w:p>
    <w:p>
      <w:pPr>
        <w:pStyle w:val="24"/>
        <w:rPr>
          <w:rFonts w:hint="eastAsia"/>
        </w:rPr>
      </w:pPr>
      <w:r>
        <w:rPr>
          <w:rFonts w:hint="eastAsia"/>
        </w:rPr>
        <w:t>（二）本项目的特定资格要求（须按本项目投标文件格式要求提供《投标及履约承诺函》加盖投标人公章）：</w:t>
      </w:r>
    </w:p>
    <w:p>
      <w:pPr>
        <w:pStyle w:val="24"/>
        <w:rPr>
          <w:rFonts w:hint="eastAsia"/>
        </w:rPr>
      </w:pPr>
      <w:r>
        <w:rPr>
          <w:rFonts w:hint="eastAsia"/>
        </w:rPr>
        <w:t>1.参与本项目采购活动前三年内，在经营活动中没有重大违法记录；</w:t>
      </w:r>
    </w:p>
    <w:p>
      <w:pPr>
        <w:pStyle w:val="24"/>
        <w:rPr>
          <w:rFonts w:hint="eastAsia"/>
        </w:rPr>
      </w:pPr>
      <w:r>
        <w:rPr>
          <w:rFonts w:hint="eastAsia"/>
        </w:rPr>
        <w:t>2.参与本项目采购活动时不存在被有关部门禁止参与政府采购活动且在有效期内的情况；</w:t>
      </w:r>
    </w:p>
    <w:p>
      <w:pPr>
        <w:pStyle w:val="24"/>
        <w:rPr>
          <w:rFonts w:hint="eastAsia"/>
        </w:rPr>
      </w:pPr>
      <w:r>
        <w:rPr>
          <w:rFonts w:hint="eastAsia"/>
        </w:rPr>
        <w:t>3.除单一来源采购项目外，为采购项目提供整体设计、规范编制或者项目管理、监理、检测等服务的供应商，不得再参加该采购项目的其他采购活动；</w:t>
      </w:r>
    </w:p>
    <w:p>
      <w:pPr>
        <w:pStyle w:val="24"/>
        <w:rPr>
          <w:rFonts w:hint="eastAsia"/>
        </w:rPr>
      </w:pPr>
      <w:r>
        <w:rPr>
          <w:rFonts w:hint="eastAsia"/>
        </w:rPr>
        <w:t>4.参与本项目采购活动不存在与其他采购参加人串通投标，隐瞒真实情况，提供虚假资料等违法违规情形；</w:t>
      </w:r>
    </w:p>
    <w:p>
      <w:pPr>
        <w:pStyle w:val="24"/>
        <w:rPr>
          <w:rFonts w:hint="eastAsia"/>
        </w:rPr>
      </w:pPr>
      <w:r>
        <w:rPr>
          <w:rFonts w:hint="eastAsia"/>
        </w:rPr>
        <w:t>5.单位负责人为同一人或者存在直接控股、管理关系的不同供应商，不得参加同一合同项下的政府采购活动；不同供应商的法定代表人、主要经营负责人、项目投标授权代表人、项目负责人、主要技术人员不得为同一人、属于同一单位或者在同一单位缴纳社会保险；不同投标供应商的投标文件不得由同一单位或者同一人编制（须按本项目投标文件格式要求提供《供应商基本情况表》相关信息）；</w:t>
      </w:r>
    </w:p>
    <w:p>
      <w:pPr>
        <w:pStyle w:val="24"/>
        <w:rPr>
          <w:rFonts w:hint="eastAsia"/>
        </w:rPr>
      </w:pPr>
      <w:r>
        <w:rPr>
          <w:rFonts w:hint="eastAsia"/>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市政府采购监管网为投标人信用信息查询渠道，相关信息以开标当日的查询结果为准）；</w:t>
      </w:r>
    </w:p>
    <w:p>
      <w:pPr>
        <w:pStyle w:val="24"/>
        <w:rPr>
          <w:rStyle w:val="22"/>
          <w:rFonts w:ascii="Calibri" w:hAnsi="Calibri" w:eastAsia="宋体" w:cs="黑体"/>
          <w:color w:val="auto"/>
        </w:rPr>
      </w:pPr>
      <w:r>
        <w:rPr>
          <w:rFonts w:hint="eastAsia"/>
        </w:rPr>
        <w:t>7.法律、行政法规和国家有关规定对供应商从事特定经营活动有资质、资格规定的，供应商应当具备的相应条件；</w:t>
      </w:r>
    </w:p>
    <w:p>
      <w:pPr>
        <w:pStyle w:val="24"/>
        <w:rPr>
          <w:rStyle w:val="22"/>
          <w:rFonts w:ascii="Calibri" w:hAnsi="Calibri" w:eastAsia="宋体" w:cs="黑体"/>
          <w:color w:val="auto"/>
        </w:rPr>
      </w:pPr>
      <w:r>
        <w:rPr>
          <w:rFonts w:hint="eastAsia"/>
        </w:rPr>
        <w:t>8.本项目不接受联合体投标，不允许非法分包或转包。</w:t>
      </w:r>
    </w:p>
    <w:p>
      <w:pPr>
        <w:pStyle w:val="24"/>
        <w:rPr>
          <w:rFonts w:hint="eastAsia"/>
          <w:lang w:eastAsia="zh-CN"/>
        </w:rPr>
      </w:pPr>
      <w:r>
        <w:rPr>
          <w:rFonts w:hint="default"/>
          <w:lang w:eastAsia="zh-CN"/>
        </w:rPr>
        <w:t>（</w:t>
      </w:r>
      <w:r>
        <w:rPr>
          <w:rFonts w:hint="default"/>
          <w:lang w:val="en-US" w:eastAsia="zh-CN"/>
        </w:rPr>
        <w:t>三</w:t>
      </w:r>
      <w:r>
        <w:rPr>
          <w:rFonts w:hint="default"/>
          <w:lang w:eastAsia="zh-CN"/>
        </w:rPr>
        <w:t>）</w:t>
      </w:r>
      <w:r>
        <w:rPr>
          <w:rFonts w:hint="default"/>
          <w:lang w:val="en-US" w:eastAsia="zh-CN"/>
        </w:rPr>
        <w:t>具备</w:t>
      </w:r>
      <w:r>
        <w:rPr>
          <w:rFonts w:hint="eastAsia"/>
        </w:rPr>
        <w:t>建设主管部门核发的《建设工程质量检测机构资质证书》</w:t>
      </w:r>
      <w:r>
        <w:rPr>
          <w:rFonts w:hint="eastAsia"/>
          <w:lang w:eastAsia="zh-CN"/>
        </w:rPr>
        <w:t>，且资质证书的检测范围必须同时包含【主体结构工程现场检测】和【地基基础工程检测】。</w:t>
      </w:r>
    </w:p>
    <w:p>
      <w:pPr>
        <w:pStyle w:val="24"/>
        <w:rPr>
          <w:rFonts w:hint="default"/>
          <w:highlight w:val="yellow"/>
          <w:lang w:eastAsia="zh-CN"/>
        </w:rPr>
      </w:pPr>
      <w:r>
        <w:rPr>
          <w:rFonts w:hint="eastAsia"/>
          <w:lang w:val="en-US" w:eastAsia="zh-CN"/>
        </w:rPr>
        <w:t>（四）</w:t>
      </w:r>
      <w:r>
        <w:rPr>
          <w:rFonts w:hint="default"/>
          <w:lang w:val="en-US" w:eastAsia="zh-CN"/>
        </w:rPr>
        <w:t>具备</w:t>
      </w:r>
      <w:r>
        <w:rPr>
          <w:rFonts w:hint="eastAsia"/>
        </w:rPr>
        <w:t>由市场监督管理部门核发的《检验检测机构资质认定证书》（CMA认证）</w:t>
      </w:r>
      <w:r>
        <w:rPr>
          <w:rFonts w:hint="default"/>
          <w:lang w:eastAsia="zh-CN"/>
        </w:rPr>
        <w:t>。</w:t>
      </w:r>
    </w:p>
    <w:p>
      <w:pPr>
        <w:pStyle w:val="24"/>
        <w:rPr>
          <w:rFonts w:hint="eastAsia"/>
        </w:rPr>
      </w:pPr>
      <w:r>
        <w:rPr>
          <w:rFonts w:hint="eastAsia"/>
        </w:rPr>
        <w:t>所有资质文件均需在有效期内并加盖投标方公章。</w:t>
      </w:r>
    </w:p>
    <w:p>
      <w:pPr>
        <w:pStyle w:val="25"/>
        <w:spacing w:line="400" w:lineRule="exact"/>
        <w:ind w:firstLine="56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三</w:t>
      </w:r>
      <w:r>
        <w:rPr>
          <w:rFonts w:hint="eastAsia" w:ascii="仿宋_GB2312" w:hAnsi="仿宋_GB2312" w:eastAsia="仿宋_GB2312" w:cs="仿宋_GB2312"/>
          <w:sz w:val="28"/>
          <w:szCs w:val="28"/>
        </w:rPr>
        <w:t>、采购方式：院内公开招标</w:t>
      </w:r>
    </w:p>
    <w:p>
      <w:pPr>
        <w:pStyle w:val="25"/>
        <w:spacing w:line="400" w:lineRule="exact"/>
        <w:ind w:firstLine="56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四</w:t>
      </w:r>
      <w:r>
        <w:rPr>
          <w:rFonts w:hint="eastAsia" w:ascii="仿宋_GB2312" w:hAnsi="仿宋_GB2312" w:eastAsia="仿宋_GB2312" w:cs="仿宋_GB2312"/>
          <w:sz w:val="28"/>
          <w:szCs w:val="28"/>
        </w:rPr>
        <w:t>、评标方法：综合评分法</w:t>
      </w:r>
    </w:p>
    <w:p>
      <w:pPr>
        <w:pStyle w:val="25"/>
        <w:spacing w:line="400" w:lineRule="exact"/>
        <w:ind w:firstLine="56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五</w:t>
      </w:r>
      <w:r>
        <w:rPr>
          <w:rFonts w:hint="eastAsia" w:ascii="仿宋_GB2312" w:hAnsi="仿宋_GB2312" w:eastAsia="仿宋_GB2312" w:cs="仿宋_GB2312"/>
          <w:sz w:val="28"/>
          <w:szCs w:val="28"/>
        </w:rPr>
        <w:t>、投标人报名资料要求</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（一）院内采购报名表。</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（二）法定代表人参加的提供法定代表人资格证明书及个人身份证复印件；非法定代表人参加的须提供法定代表人资格证明书及法定代表人身份证复印件、法定代表人授权书及授权代表人身份证复印件。</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（三）供应商须提供具有独立承担民事责任能力的法人或其他组织或个体工商户的营业执照或法人证书等证明材料复印件或扫描件。</w:t>
      </w:r>
    </w:p>
    <w:p>
      <w:pPr>
        <w:pStyle w:val="24"/>
        <w:rPr>
          <w:rFonts w:hint="eastAsia"/>
          <w:lang w:eastAsia="zh-CN"/>
        </w:rPr>
      </w:pPr>
      <w:r>
        <w:rPr>
          <w:rFonts w:hint="default"/>
          <w:lang w:eastAsia="zh-CN"/>
        </w:rPr>
        <w:t>（</w:t>
      </w:r>
      <w:r>
        <w:rPr>
          <w:rFonts w:hint="default"/>
          <w:lang w:val="en-US" w:eastAsia="zh-CN"/>
        </w:rPr>
        <w:t>三</w:t>
      </w:r>
      <w:r>
        <w:rPr>
          <w:rFonts w:hint="default"/>
          <w:lang w:eastAsia="zh-CN"/>
        </w:rPr>
        <w:t>）</w:t>
      </w:r>
      <w:r>
        <w:rPr>
          <w:rFonts w:hint="eastAsia"/>
          <w:lang w:val="en-US" w:eastAsia="zh-CN"/>
        </w:rPr>
        <w:t>提供</w:t>
      </w:r>
      <w:r>
        <w:rPr>
          <w:rFonts w:hint="eastAsia"/>
          <w:lang w:eastAsia="zh-CN"/>
        </w:rPr>
        <w:t>建设主管部门核发的《建设工程质量检测机构资质证书》</w:t>
      </w:r>
      <w:r>
        <w:rPr>
          <w:rFonts w:hint="eastAsia"/>
          <w:lang w:val="en-US" w:eastAsia="zh-CN"/>
        </w:rPr>
        <w:t>复印件</w:t>
      </w:r>
      <w:r>
        <w:rPr>
          <w:rFonts w:hint="eastAsia"/>
          <w:lang w:eastAsia="zh-CN"/>
        </w:rPr>
        <w:t>，且资质证书的检测范围必须同时包含【主体结构工程现场检测】和【地基基础工程检测】。</w:t>
      </w:r>
    </w:p>
    <w:p>
      <w:pPr>
        <w:pStyle w:val="24"/>
        <w:rPr>
          <w:rFonts w:hint="default"/>
          <w:highlight w:val="yellow"/>
          <w:lang w:eastAsia="zh-CN"/>
        </w:rPr>
      </w:pPr>
      <w:r>
        <w:rPr>
          <w:rFonts w:hint="eastAsia"/>
          <w:lang w:val="en-US" w:eastAsia="zh-CN"/>
        </w:rPr>
        <w:t>（四）提供</w:t>
      </w:r>
      <w:r>
        <w:rPr>
          <w:rFonts w:hint="eastAsia"/>
          <w:lang w:eastAsia="zh-CN"/>
        </w:rPr>
        <w:t>由市场监督管理部门核发的《检验检测机构资质认定证书》（CMA认证）</w:t>
      </w:r>
      <w:r>
        <w:rPr>
          <w:rFonts w:hint="eastAsia"/>
          <w:lang w:val="en-US" w:eastAsia="zh-CN"/>
        </w:rPr>
        <w:t>复印件</w:t>
      </w:r>
      <w:r>
        <w:rPr>
          <w:rFonts w:hint="default"/>
          <w:lang w:eastAsia="zh-CN"/>
        </w:rPr>
        <w:t>。</w:t>
      </w:r>
      <w:bookmarkStart w:id="23" w:name="_GoBack"/>
      <w:bookmarkEnd w:id="23"/>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）供应商基本情况表。</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）提供法定代表人、主要经营负责人、投标授权代表人、项目负责人（如有）、主要技术人员（如有）最近一个月的社保证明。</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）通过以下3个官网的信用信息查询记录网络截图件并加盖投标人公章：①信用中国②中国政府采购网③深圳市政府采购监管网。相关信息以开标当日的查询结果为准。</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）投标及履约承诺函。</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以上资料均需在有效期内并加盖投标方公章。本项目实行资格预审，投标人报名时将进行资格审查，未经审查或审查未通过的不能参与投标。</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六、报名截止时间及地点：2025年9月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日17:00，简竹护理院行政楼三楼招采办。</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七、递交投标文件及开标时间及地点：2025年9月1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日10:00，深圳市龙岗区南湾街道吉厦社区简竹路12号简竹护理院行政楼五楼活动室（如有变动，另行通知）。</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八、联系人及联系电话：陈女士，0755-28740471。</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九、公告日期：自公告发布之日起5个工作日。</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pStyle w:val="25"/>
        <w:spacing w:line="400" w:lineRule="exact"/>
        <w:ind w:firstLine="56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1.深圳市龙岗区第七人民医院院内公开采购报名表</w:t>
      </w:r>
    </w:p>
    <w:p>
      <w:pPr>
        <w:pStyle w:val="24"/>
        <w:rPr>
          <w:rFonts w:hint="eastAsia"/>
        </w:rPr>
      </w:pPr>
      <w:r>
        <w:rPr>
          <w:rFonts w:hint="eastAsia"/>
        </w:rPr>
        <w:t>2.</w:t>
      </w:r>
      <w:r>
        <w:rPr>
          <w:rFonts w:hint="eastAsia" w:hAnsi="宋体"/>
        </w:rPr>
        <w:t>深圳市龙岗区第七人民医院龙岭院区门诊楼业务用房房屋结构安全检测鉴定服务项目招标</w:t>
      </w:r>
      <w:r>
        <w:rPr>
          <w:rFonts w:hint="eastAsia"/>
        </w:rPr>
        <w:t>文件</w:t>
      </w:r>
    </w:p>
    <w:p>
      <w:pPr>
        <w:pStyle w:val="25"/>
        <w:spacing w:line="400" w:lineRule="exact"/>
        <w:ind w:firstLine="0" w:firstLineChars="0"/>
        <w:rPr>
          <w:rFonts w:ascii="仿宋_GB2312" w:eastAsia="仿宋_GB2312"/>
          <w:sz w:val="28"/>
          <w:szCs w:val="28"/>
        </w:rPr>
      </w:pPr>
    </w:p>
    <w:p>
      <w:pPr>
        <w:pStyle w:val="25"/>
        <w:spacing w:line="400" w:lineRule="exact"/>
        <w:ind w:firstLine="560"/>
        <w:jc w:val="center"/>
        <w:rPr>
          <w:rFonts w:ascii="仿宋_GB2312" w:eastAsia="仿宋_GB2312"/>
          <w:sz w:val="28"/>
          <w:szCs w:val="28"/>
        </w:rPr>
      </w:pPr>
      <w:r>
        <w:rPr>
          <w:rFonts w:hint="eastAsia" w:ascii="仿宋_GB2312" w:eastAsia="仿宋_GB2312"/>
          <w:sz w:val="28"/>
          <w:szCs w:val="28"/>
        </w:rPr>
        <w:t xml:space="preserve">                             深圳市龙岗区第七人民医院</w:t>
      </w:r>
    </w:p>
    <w:p>
      <w:pPr>
        <w:pStyle w:val="25"/>
        <w:spacing w:line="400" w:lineRule="exact"/>
        <w:ind w:firstLine="560"/>
        <w:jc w:val="center"/>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color w:val="FFC000"/>
          <w:sz w:val="28"/>
          <w:szCs w:val="28"/>
        </w:rPr>
        <w:t xml:space="preserve">  </w:t>
      </w:r>
      <w:r>
        <w:rPr>
          <w:rFonts w:hint="eastAsia" w:ascii="仿宋_GB2312" w:eastAsia="仿宋_GB2312"/>
          <w:sz w:val="28"/>
          <w:szCs w:val="28"/>
        </w:rPr>
        <w:t xml:space="preserve">  2025年9月</w:t>
      </w:r>
      <w:r>
        <w:rPr>
          <w:rFonts w:hint="eastAsia" w:ascii="仿宋_GB2312" w:eastAsia="仿宋_GB2312"/>
          <w:sz w:val="28"/>
          <w:szCs w:val="28"/>
          <w:lang w:val="en-US" w:eastAsia="zh-CN"/>
        </w:rPr>
        <w:t>8</w:t>
      </w:r>
      <w:r>
        <w:rPr>
          <w:rFonts w:hint="eastAsia" w:ascii="仿宋_GB2312" w:eastAsia="仿宋_GB2312"/>
          <w:sz w:val="28"/>
          <w:szCs w:val="28"/>
        </w:rPr>
        <w:t>日</w:t>
      </w:r>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spacing w:line="360" w:lineRule="auto"/>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第二章  院内公开采购项目需求</w:t>
      </w:r>
    </w:p>
    <w:p>
      <w:pPr>
        <w:widowControl/>
        <w:spacing w:line="500" w:lineRule="exact"/>
        <w:ind w:firstLine="560" w:firstLineChars="200"/>
        <w:jc w:val="left"/>
        <w:rPr>
          <w:rFonts w:hint="eastAsia" w:ascii="仿宋_GB2312" w:hAnsi="仿宋_GB2312" w:eastAsia="仿宋_GB2312" w:cs="仿宋_GB2312"/>
          <w:sz w:val="28"/>
          <w:szCs w:val="28"/>
        </w:rPr>
      </w:pPr>
    </w:p>
    <w:p>
      <w:pPr>
        <w:numPr>
          <w:ilvl w:val="0"/>
          <w:numId w:val="0"/>
        </w:numPr>
        <w:spacing w:line="4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一、</w:t>
      </w:r>
      <w:r>
        <w:rPr>
          <w:rFonts w:hint="eastAsia" w:ascii="仿宋_GB2312" w:hAnsi="仿宋_GB2312" w:eastAsia="仿宋_GB2312" w:cs="仿宋_GB2312"/>
          <w:b/>
          <w:bCs/>
          <w:color w:val="000000" w:themeColor="text1"/>
          <w:kern w:val="2"/>
          <w:sz w:val="28"/>
          <w:szCs w:val="28"/>
          <w14:textFill>
            <w14:solidFill>
              <w14:schemeClr w14:val="tx1"/>
            </w14:solidFill>
          </w14:textFill>
        </w:rPr>
        <w:t>项</w:t>
      </w:r>
      <w:r>
        <w:rPr>
          <w:rFonts w:hint="eastAsia" w:ascii="仿宋_GB2312" w:hAnsi="仿宋_GB2312" w:eastAsia="仿宋_GB2312" w:cs="仿宋_GB2312"/>
          <w:b/>
          <w:bCs/>
          <w:kern w:val="0"/>
          <w:sz w:val="28"/>
          <w:szCs w:val="28"/>
        </w:rPr>
        <w:t>目概况</w:t>
      </w:r>
      <w:r>
        <w:rPr>
          <w:rFonts w:hint="eastAsia" w:ascii="仿宋_GB2312" w:hAnsi="仿宋_GB2312" w:eastAsia="仿宋_GB2312" w:cs="仿宋_GB2312"/>
          <w:b/>
          <w:bCs/>
          <w:sz w:val="28"/>
          <w:szCs w:val="28"/>
        </w:rPr>
        <w:t>：</w:t>
      </w:r>
      <w:r>
        <w:rPr>
          <w:rFonts w:hint="eastAsia" w:ascii="仿宋_GB2312" w:hAnsi="仿宋_GB2312" w:eastAsia="仿宋_GB2312" w:cs="仿宋_GB2312"/>
          <w:color w:val="000000" w:themeColor="text1"/>
          <w:sz w:val="28"/>
          <w:szCs w:val="28"/>
          <w14:textFill>
            <w14:solidFill>
              <w14:schemeClr w14:val="tx1"/>
            </w14:solidFill>
          </w14:textFill>
        </w:rPr>
        <w:t>我院（含简竹护理院）的业务功能将于2025年10月底前整体搬迁至龙岭院区。结合《深圳市龙岗区第二人民医院</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门诊楼</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结构安全检测鉴定》（2020年12月22日）报告结果，门诊楼B栋房屋危险性等级评定为B级，即“个别结构构件评定为危险构件，但不影响主体结构安全，基本能满足安全使用要求”。依据《建筑工程抗震设防分类标准》（</w:t>
      </w:r>
      <w:r>
        <w:rPr>
          <w:rFonts w:ascii="仿宋_GB2312" w:hAnsi="仿宋_GB2312" w:eastAsia="仿宋_GB2312" w:cs="仿宋_GB2312"/>
          <w:color w:val="000000" w:themeColor="text1"/>
          <w:sz w:val="28"/>
          <w:szCs w:val="28"/>
          <w14:textFill>
            <w14:solidFill>
              <w14:schemeClr w14:val="tx1"/>
            </w14:solidFill>
          </w14:textFill>
        </w:rPr>
        <w:t>GB50223</w:t>
      </w:r>
      <w:r>
        <w:rPr>
          <w:rFonts w:hint="eastAsia" w:ascii="仿宋_GB2312" w:hAnsi="仿宋_GB2312" w:eastAsia="仿宋_GB2312" w:cs="仿宋_GB2312"/>
          <w:color w:val="000000" w:themeColor="text1"/>
          <w:sz w:val="28"/>
          <w:szCs w:val="28"/>
          <w14:textFill>
            <w14:solidFill>
              <w14:schemeClr w14:val="tx1"/>
            </w14:solidFill>
          </w14:textFill>
        </w:rPr>
        <w:t>）和《建筑抗震设计规范》（</w:t>
      </w:r>
      <w:r>
        <w:rPr>
          <w:rFonts w:ascii="仿宋_GB2312" w:hAnsi="仿宋_GB2312" w:eastAsia="仿宋_GB2312" w:cs="仿宋_GB2312"/>
          <w:color w:val="000000" w:themeColor="text1"/>
          <w:sz w:val="28"/>
          <w:szCs w:val="28"/>
          <w14:textFill>
            <w14:solidFill>
              <w14:schemeClr w14:val="tx1"/>
            </w14:solidFill>
          </w14:textFill>
        </w:rPr>
        <w:t>GB50011</w:t>
      </w:r>
      <w:r>
        <w:rPr>
          <w:rFonts w:hint="eastAsia" w:ascii="仿宋_GB2312" w:hAnsi="仿宋_GB2312" w:eastAsia="仿宋_GB2312" w:cs="仿宋_GB2312"/>
          <w:color w:val="000000" w:themeColor="text1"/>
          <w:sz w:val="28"/>
          <w:szCs w:val="28"/>
          <w14:textFill>
            <w14:solidFill>
              <w14:schemeClr w14:val="tx1"/>
            </w14:solidFill>
          </w14:textFill>
        </w:rPr>
        <w:t>），建筑物抗震设防类别划分为甲、乙、丙、丁四个级别。其中，医院作为保障人民群众生命健康的重点场所，被归为乙类（重点设防类），要求按照高于本地区抗震设防烈度一度的标准进行抗震设计与加固，以增强其在地震等灾害发生时的抵御能力，确保医疗救治工作的连续性与安全性。</w:t>
      </w:r>
    </w:p>
    <w:p>
      <w:pPr>
        <w:pStyle w:val="25"/>
        <w:spacing w:line="420" w:lineRule="exact"/>
        <w:ind w:firstLine="560"/>
        <w:jc w:val="left"/>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深圳市龙岗区第七人民医院迁址龙岭院区后拟对龙岭院区门诊楼总建筑面积约10512.15平方米业务用房开展房屋结构加固工程，拟委托专业机构开展房屋结构安全检测鉴定服务。</w:t>
      </w:r>
    </w:p>
    <w:p>
      <w:pPr>
        <w:pStyle w:val="24"/>
        <w:rPr>
          <w:rFonts w:hint="eastAsia"/>
          <w:b/>
          <w:bCs/>
        </w:rPr>
      </w:pPr>
      <w:r>
        <w:rPr>
          <w:rFonts w:hint="eastAsia"/>
          <w:b/>
          <w:bCs/>
        </w:rPr>
        <w:t>二、采购组织形式（勾选）：</w:t>
      </w:r>
      <w:r>
        <w:rPr>
          <w:rFonts w:hint="eastAsia"/>
        </w:rPr>
        <w:t>政府集中采购□、院内集中采购</w:t>
      </w:r>
      <w:r>
        <w:rPr>
          <w:rFonts w:hint="eastAsia" w:ascii="MS Gothic" w:hAnsi="MS Gothic" w:eastAsia="MS Gothic" w:cs="MS Gothic"/>
        </w:rPr>
        <w:t>☑</w:t>
      </w:r>
      <w:r>
        <w:rPr>
          <w:rFonts w:hint="eastAsia"/>
        </w:rPr>
        <w:t>、院内委托代理采购□、集团联合采购□、其他□。</w:t>
      </w:r>
    </w:p>
    <w:p>
      <w:pPr>
        <w:spacing w:line="400" w:lineRule="exact"/>
      </w:pPr>
      <w:r>
        <w:rPr>
          <w:rFonts w:hint="eastAsia" w:ascii="仿宋_GB2312" w:hAnsi="仿宋_GB2312" w:eastAsia="仿宋_GB2312" w:cs="仿宋_GB2312"/>
          <w:b/>
          <w:bCs/>
          <w:sz w:val="28"/>
          <w:szCs w:val="28"/>
        </w:rPr>
        <w:t xml:space="preserve">    三、采购方式（勾选）：</w:t>
      </w:r>
      <w:r>
        <w:rPr>
          <w:rFonts w:hint="eastAsia" w:ascii="仿宋_GB2312" w:hAnsi="仿宋_GB2312" w:eastAsia="仿宋_GB2312" w:cs="仿宋_GB2312"/>
          <w:sz w:val="28"/>
          <w:szCs w:val="28"/>
        </w:rPr>
        <w:t>院内招标☑、院内竞价□、院内邀标□、院内询价□、竞争性磋商□、院内直接议价□、其他□。</w:t>
      </w:r>
    </w:p>
    <w:p>
      <w:pPr>
        <w:widowControl/>
        <w:spacing w:line="400" w:lineRule="exact"/>
        <w:ind w:firstLine="562" w:firstLineChars="20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四、投标人资格要求</w:t>
      </w:r>
    </w:p>
    <w:p>
      <w:pPr>
        <w:pStyle w:val="24"/>
        <w:rPr>
          <w:rFonts w:hint="eastAsia"/>
        </w:rPr>
      </w:pPr>
      <w:r>
        <w:rPr>
          <w:rFonts w:hint="eastAsia"/>
        </w:rPr>
        <w:t>（一）满足《中华人民共和国政府采购法》第二十二条规定（须提供具有独立承担民事责任能力的法人或其他组织或个体工商户的营业执照或法人证书等证明材料复印件或扫描件）。如果是分支机构参与投标，还须同时提供其具有独立法人资格的上级主体出具的有效授权书及上级主体的营业执照或法人证书等证明材料的复印件或扫描件加盖投标人公章；本项目不接受总公司与分支机构同时参与投标，也不接受同一总公司有两个或以上分支机构参与投标，如出现以上情形，该两家或以上投标人均按无效投标处理。</w:t>
      </w:r>
    </w:p>
    <w:p>
      <w:pPr>
        <w:pStyle w:val="24"/>
        <w:rPr>
          <w:rFonts w:hint="eastAsia"/>
        </w:rPr>
      </w:pPr>
      <w:r>
        <w:rPr>
          <w:rFonts w:hint="eastAsia"/>
        </w:rPr>
        <w:t>（二）本项目的特定资格要求（须按本项目投标文件格式要求提供《投标及履约承诺函》加盖投标人公章）：</w:t>
      </w:r>
    </w:p>
    <w:p>
      <w:pPr>
        <w:pStyle w:val="24"/>
        <w:rPr>
          <w:rFonts w:hint="eastAsia"/>
        </w:rPr>
      </w:pPr>
      <w:r>
        <w:rPr>
          <w:rFonts w:hint="eastAsia"/>
        </w:rPr>
        <w:t>1.参与本项目采购活动前三年内，在经营活动中没有重大违法记录；</w:t>
      </w:r>
    </w:p>
    <w:p>
      <w:pPr>
        <w:pStyle w:val="24"/>
        <w:rPr>
          <w:rFonts w:hint="eastAsia"/>
        </w:rPr>
      </w:pPr>
      <w:r>
        <w:rPr>
          <w:rFonts w:hint="eastAsia"/>
        </w:rPr>
        <w:t>2.参与本项目采购活动时不存在被有关部门禁止参与政府采购活动且在有效期内的情况；</w:t>
      </w:r>
    </w:p>
    <w:p>
      <w:pPr>
        <w:pStyle w:val="24"/>
        <w:rPr>
          <w:rFonts w:hint="eastAsia"/>
        </w:rPr>
      </w:pPr>
      <w:r>
        <w:rPr>
          <w:rFonts w:hint="eastAsia"/>
        </w:rPr>
        <w:t>3.除单一来源采购项目外，为采购项目提供整体设计、规范编制或者项目管理、监理、检测等服务的供应商，不得再参加该采购项目的其他采购活动；</w:t>
      </w:r>
    </w:p>
    <w:p>
      <w:pPr>
        <w:pStyle w:val="24"/>
        <w:rPr>
          <w:rFonts w:hint="eastAsia"/>
        </w:rPr>
      </w:pPr>
      <w:r>
        <w:rPr>
          <w:rFonts w:hint="eastAsia"/>
        </w:rPr>
        <w:t>4.参与本项目采购活动不存在与其他采购参加人串通投标，隐瞒真实情况，提供虚假资料等违法违规情形；</w:t>
      </w:r>
    </w:p>
    <w:p>
      <w:pPr>
        <w:pStyle w:val="24"/>
        <w:rPr>
          <w:rFonts w:hint="eastAsia"/>
        </w:rPr>
      </w:pPr>
      <w:r>
        <w:rPr>
          <w:rFonts w:hint="eastAsia"/>
        </w:rPr>
        <w:t>5.单位负责人为同一人或者存在直接控股、管理关系的不同供应商，不得参加同一合同项下的政府采购活动；不同供应商的法定代表人、主要经营负责人、项目投标授权代表人、项目负责人、主要技术人员不得为同一人、属于同一单位或者在同一单位缴纳社会保险；不同投标供应商的投标文件不得由同一单位或者同一人编制（须按本项目投标文件格式要求提供《供应商基本情况表》相关信息）；</w:t>
      </w:r>
    </w:p>
    <w:p>
      <w:pPr>
        <w:pStyle w:val="24"/>
        <w:rPr>
          <w:rFonts w:hint="eastAsia"/>
        </w:rPr>
      </w:pPr>
      <w:r>
        <w:rPr>
          <w:rFonts w:hint="eastAsia"/>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市政府采购监管网为投标人信用信息查询渠道，相关信息以开标当日的查询结果为准）；</w:t>
      </w:r>
    </w:p>
    <w:p>
      <w:pPr>
        <w:pStyle w:val="24"/>
        <w:rPr>
          <w:rFonts w:hint="eastAsia"/>
        </w:rPr>
      </w:pPr>
      <w:r>
        <w:rPr>
          <w:rFonts w:hint="eastAsia"/>
        </w:rPr>
        <w:t>7.法律、行政法规和国家有关规定对供应商从事特定经营活动有资质、资格规定的，供应商应当具备的相应条件；</w:t>
      </w:r>
    </w:p>
    <w:p>
      <w:pPr>
        <w:pStyle w:val="24"/>
        <w:rPr>
          <w:rFonts w:hint="eastAsia"/>
        </w:rPr>
      </w:pPr>
      <w:r>
        <w:rPr>
          <w:rFonts w:hint="eastAsia"/>
        </w:rPr>
        <w:t>8.本项目不接受联合体投标，不允许非法分包或转包。</w:t>
      </w:r>
    </w:p>
    <w:p>
      <w:pPr>
        <w:pStyle w:val="24"/>
        <w:rPr>
          <w:rFonts w:hint="eastAsia"/>
          <w:lang w:eastAsia="zh-CN"/>
        </w:rPr>
      </w:pPr>
      <w:r>
        <w:rPr>
          <w:rFonts w:hint="default"/>
          <w:lang w:eastAsia="zh-CN"/>
        </w:rPr>
        <w:t>（</w:t>
      </w:r>
      <w:r>
        <w:rPr>
          <w:rFonts w:hint="default"/>
          <w:lang w:val="en-US" w:eastAsia="zh-CN"/>
        </w:rPr>
        <w:t>三</w:t>
      </w:r>
      <w:r>
        <w:rPr>
          <w:rFonts w:hint="default"/>
          <w:lang w:eastAsia="zh-CN"/>
        </w:rPr>
        <w:t>）</w:t>
      </w:r>
      <w:r>
        <w:rPr>
          <w:rFonts w:hint="default"/>
          <w:lang w:val="en-US" w:eastAsia="zh-CN"/>
        </w:rPr>
        <w:t>具备</w:t>
      </w:r>
      <w:r>
        <w:rPr>
          <w:rFonts w:hint="eastAsia"/>
        </w:rPr>
        <w:t>建设主管部门核发的《建设工程质量检测机构资质证书》</w:t>
      </w:r>
      <w:r>
        <w:rPr>
          <w:rFonts w:hint="eastAsia"/>
          <w:lang w:eastAsia="zh-CN"/>
        </w:rPr>
        <w:t>，且资质证书的检测范围必须同时包含【主体结构工程现场检测】和【地基基础工程检测】。</w:t>
      </w:r>
    </w:p>
    <w:p>
      <w:pPr>
        <w:pStyle w:val="24"/>
        <w:rPr>
          <w:rFonts w:hint="eastAsia"/>
        </w:rPr>
      </w:pPr>
      <w:r>
        <w:rPr>
          <w:rFonts w:hint="eastAsia"/>
          <w:lang w:val="en-US" w:eastAsia="zh-CN"/>
        </w:rPr>
        <w:t>（四）</w:t>
      </w:r>
      <w:r>
        <w:rPr>
          <w:rFonts w:hint="default"/>
          <w:lang w:val="en-US" w:eastAsia="zh-CN"/>
        </w:rPr>
        <w:t>具备</w:t>
      </w:r>
      <w:r>
        <w:rPr>
          <w:rFonts w:hint="eastAsia"/>
        </w:rPr>
        <w:t>由市场监督管理部门核发的《检验检测机构资质认定证书》（CMA认证）</w:t>
      </w:r>
      <w:r>
        <w:rPr>
          <w:rFonts w:hint="default"/>
          <w:lang w:eastAsia="zh-CN"/>
        </w:rPr>
        <w:t>。</w:t>
      </w:r>
    </w:p>
    <w:p>
      <w:pPr>
        <w:pStyle w:val="24"/>
        <w:rPr>
          <w:rFonts w:hint="eastAsia"/>
        </w:rPr>
      </w:pPr>
      <w:r>
        <w:rPr>
          <w:rFonts w:hint="eastAsia"/>
        </w:rPr>
        <w:t>所有资质文件均需在有效期内并加盖投标方公章。</w:t>
      </w:r>
    </w:p>
    <w:p>
      <w:pPr>
        <w:pStyle w:val="24"/>
        <w:rPr>
          <w:rFonts w:hint="eastAsia"/>
          <w:b/>
          <w:bCs/>
          <w:color w:val="auto"/>
        </w:rPr>
      </w:pPr>
      <w:r>
        <w:rPr>
          <w:rFonts w:hint="eastAsia"/>
          <w:b/>
          <w:bCs/>
          <w:color w:val="auto"/>
        </w:rPr>
        <w:t>五、服务内容及要求</w:t>
      </w:r>
    </w:p>
    <w:p>
      <w:pPr>
        <w:pStyle w:val="24"/>
        <w:rPr>
          <w:rFonts w:hint="eastAsia" w:ascii="楷体_GB2312" w:hAnsi="楷体_GB2312" w:eastAsia="楷体_GB2312" w:cs="楷体_GB2312"/>
          <w:b w:val="0"/>
          <w:bCs/>
        </w:rPr>
      </w:pPr>
      <w:r>
        <w:rPr>
          <w:rFonts w:hint="eastAsia" w:ascii="楷体_GB2312" w:hAnsi="楷体_GB2312" w:eastAsia="楷体_GB2312" w:cs="楷体_GB2312"/>
          <w:b w:val="0"/>
          <w:bCs/>
        </w:rPr>
        <w:t>（一）服务要求</w:t>
      </w:r>
    </w:p>
    <w:p>
      <w:pPr>
        <w:pStyle w:val="25"/>
        <w:spacing w:line="420" w:lineRule="exact"/>
        <w:ind w:firstLine="56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1.本服务内容主要为对</w:t>
      </w:r>
      <w:r>
        <w:rPr>
          <w:rFonts w:hint="eastAsia" w:ascii="仿宋_GB2312" w:hAnsi="仿宋_GB2312" w:eastAsia="仿宋_GB2312" w:cs="仿宋_GB2312"/>
          <w:color w:val="000000" w:themeColor="text1"/>
          <w:sz w:val="28"/>
          <w:szCs w:val="28"/>
          <w14:textFill>
            <w14:solidFill>
              <w14:schemeClr w14:val="tx1"/>
            </w14:solidFill>
          </w14:textFill>
        </w:rPr>
        <w:t>龙岭院区门诊楼总建筑面积约10512.15平方米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业务用房开展房屋结构安全检测鉴定服务，原则上包含采购人计划开展实施房屋结构加固前和采购人完成房屋结构加固工程后共计两次的房屋结构安全检测鉴定服务。加固工程后的房屋结构安全检测鉴定工作是否开展，将视实际情况而定。如采购人根据加固前（第一次）检测鉴定结果审核确认并实施完成门诊楼加固工程的，采购人将在工程完工后，下达书面通知给中标人开展第二次（加固后）的房屋结构安全鉴定服务。如采购人并未实施加固工程，则无需开展第二次检测鉴定服务。</w:t>
      </w:r>
    </w:p>
    <w:p>
      <w:pPr>
        <w:pStyle w:val="25"/>
        <w:spacing w:line="420" w:lineRule="exact"/>
        <w:ind w:firstLine="56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.根据项目需要，加固后检测鉴定可能涉及框架柱加固等问题，投标人需提供涵盖主体结构工程现场检测和地基基础工程检测的综合性房屋结构安全鉴定服务，具体包括但不限于以下内容：</w:t>
      </w:r>
    </w:p>
    <w:p>
      <w:pPr>
        <w:pStyle w:val="25"/>
        <w:spacing w:line="420" w:lineRule="exact"/>
        <w:ind w:firstLine="56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（1）主体结构工程现场检测</w:t>
      </w:r>
    </w:p>
    <w:p>
      <w:pPr>
        <w:pStyle w:val="25"/>
        <w:spacing w:line="420" w:lineRule="exact"/>
        <w:ind w:firstLine="56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a.结构构件（梁、板、柱、墙等）的强度、变形、裂缝等现场检测；</w:t>
      </w:r>
    </w:p>
    <w:p>
      <w:pPr>
        <w:pStyle w:val="25"/>
        <w:spacing w:line="420" w:lineRule="exact"/>
        <w:ind w:firstLine="56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b.结构整体稳定性与抗震性能评估；</w:t>
      </w:r>
    </w:p>
    <w:p>
      <w:pPr>
        <w:pStyle w:val="25"/>
        <w:spacing w:line="420" w:lineRule="exact"/>
        <w:ind w:firstLine="56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c.既有建筑结构损伤调查与安全性评级等。</w:t>
      </w:r>
    </w:p>
    <w:p>
      <w:pPr>
        <w:pStyle w:val="25"/>
        <w:spacing w:line="420" w:lineRule="exact"/>
        <w:ind w:firstLine="56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（2）地基基础工程检测</w:t>
      </w:r>
    </w:p>
    <w:p>
      <w:pPr>
        <w:pStyle w:val="25"/>
        <w:spacing w:line="420" w:lineRule="exact"/>
        <w:ind w:firstLine="56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a.地基承载力、变形特性及稳定性的检测与分析；</w:t>
      </w:r>
    </w:p>
    <w:p>
      <w:pPr>
        <w:pStyle w:val="25"/>
        <w:spacing w:line="420" w:lineRule="exact"/>
        <w:ind w:firstLine="56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b.桩基完整性、承载力及沉降观测等。</w:t>
      </w:r>
    </w:p>
    <w:p>
      <w:pPr>
        <w:pStyle w:val="24"/>
        <w:numPr>
          <w:ilvl w:val="0"/>
          <w:numId w:val="0"/>
        </w:numPr>
        <w:ind w:firstLine="560" w:firstLineChars="200"/>
        <w:jc w:val="left"/>
        <w:rPr>
          <w:rFonts w:hint="eastAsia" w:ascii="仿宋_GB2312" w:hAnsi="仿宋_GB2312" w:eastAsia="仿宋_GB2312" w:cs="仿宋_GB2312"/>
          <w:kern w:val="0"/>
          <w:sz w:val="32"/>
          <w:szCs w:val="32"/>
        </w:rPr>
      </w:pPr>
      <w:r>
        <w:rPr>
          <w:rFonts w:hint="eastAsia" w:cs="仿宋_GB2312"/>
          <w:sz w:val="28"/>
          <w:szCs w:val="28"/>
          <w:lang w:val="en-US" w:eastAsia="zh-CN"/>
        </w:rPr>
        <w:t>3.</w:t>
      </w:r>
      <w:r>
        <w:rPr>
          <w:rFonts w:hint="eastAsia" w:ascii="仿宋_GB2312" w:hAnsi="仿宋_GB2312" w:eastAsia="仿宋_GB2312" w:cs="仿宋_GB2312"/>
          <w:sz w:val="28"/>
          <w:szCs w:val="28"/>
        </w:rPr>
        <w:t>房屋结构安全检测鉴定</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报告成果符合《建筑结构检测技术标准</w:t>
      </w:r>
      <w:r>
        <w:rPr>
          <w:rFonts w:hint="eastAsia" w:cs="仿宋_GB2312"/>
          <w:color w:val="000000" w:themeColor="text1"/>
          <w:kern w:val="2"/>
          <w:sz w:val="28"/>
          <w:szCs w:val="28"/>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建筑结构荷载规范</w:t>
      </w:r>
      <w:r>
        <w:rPr>
          <w:rFonts w:hint="eastAsia" w:cs="仿宋_GB2312"/>
          <w:color w:val="000000" w:themeColor="text1"/>
          <w:kern w:val="2"/>
          <w:sz w:val="28"/>
          <w:szCs w:val="28"/>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建筑抗震设计规范</w:t>
      </w:r>
      <w:r>
        <w:rPr>
          <w:rFonts w:hint="eastAsia" w:cs="仿宋_GB2312"/>
          <w:color w:val="000000" w:themeColor="text1"/>
          <w:kern w:val="2"/>
          <w:sz w:val="28"/>
          <w:szCs w:val="28"/>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建筑工程抗震设防分类标准</w:t>
      </w:r>
      <w:r>
        <w:rPr>
          <w:rFonts w:hint="eastAsia" w:cs="仿宋_GB2312"/>
          <w:color w:val="000000" w:themeColor="text1"/>
          <w:kern w:val="2"/>
          <w:sz w:val="28"/>
          <w:szCs w:val="28"/>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危险房屋鉴定标准》等国家现行规范标准，并具</w:t>
      </w:r>
      <w:r>
        <w:rPr>
          <w:rFonts w:hint="eastAsia" w:ascii="仿宋_GB2312" w:hAnsi="仿宋_GB2312" w:eastAsia="仿宋_GB2312" w:cs="仿宋_GB2312"/>
          <w:kern w:val="2"/>
          <w:sz w:val="28"/>
          <w:szCs w:val="28"/>
        </w:rPr>
        <w:t>有完整性、数据准确性、分析科学性、结论明确性、合同符合性、规范性等。</w:t>
      </w:r>
    </w:p>
    <w:p>
      <w:pPr>
        <w:pStyle w:val="25"/>
        <w:spacing w:line="420" w:lineRule="exact"/>
        <w:ind w:firstLine="560"/>
        <w:jc w:val="left"/>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28"/>
          <w:szCs w:val="28"/>
          <w14:textFill>
            <w14:solidFill>
              <w14:schemeClr w14:val="tx1"/>
            </w14:solidFill>
          </w14:textFill>
        </w:rPr>
        <w:t>投标人必须确保项目在服务期内，严格按照甲方的要求和标准执行。对于任何可能影响项目进度或质量的因素，投标人必须及时通知甲方，并提出相应的解决方案。</w:t>
      </w:r>
    </w:p>
    <w:p>
      <w:pPr>
        <w:pStyle w:val="25"/>
        <w:spacing w:line="420" w:lineRule="exact"/>
        <w:ind w:firstLine="56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kern w:val="2"/>
          <w:sz w:val="28"/>
          <w:szCs w:val="28"/>
          <w14:textFill>
            <w14:solidFill>
              <w14:schemeClr w14:val="tx1"/>
            </w14:solidFill>
          </w14:textFill>
        </w:rPr>
        <w:t>.保密相关：投标人必须严格遵守保密协议，对于从甲方获得的任何保密信息，未经甲方书面同意，不得向任何第三方披露或使用。投标人应采取一切必要措施，确保其员工和</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关联方</w:t>
      </w:r>
      <w:r>
        <w:rPr>
          <w:rFonts w:hint="eastAsia" w:ascii="仿宋_GB2312" w:hAnsi="仿宋_GB2312" w:eastAsia="仿宋_GB2312" w:cs="仿宋_GB2312"/>
          <w:color w:val="000000" w:themeColor="text1"/>
          <w:kern w:val="2"/>
          <w:sz w:val="28"/>
          <w:szCs w:val="28"/>
          <w14:textFill>
            <w14:solidFill>
              <w14:schemeClr w14:val="tx1"/>
            </w14:solidFill>
          </w14:textFill>
        </w:rPr>
        <w:t>遵守本保密协议。</w:t>
      </w:r>
    </w:p>
    <w:p>
      <w:pPr>
        <w:pStyle w:val="24"/>
        <w:rPr>
          <w:rFonts w:hint="eastAsia" w:ascii="楷体_GB2312" w:hAnsi="楷体_GB2312" w:eastAsia="楷体_GB2312" w:cs="楷体_GB2312"/>
          <w:b w:val="0"/>
          <w:bCs/>
        </w:rPr>
      </w:pPr>
      <w:r>
        <w:rPr>
          <w:rFonts w:hint="eastAsia" w:ascii="楷体_GB2312" w:hAnsi="楷体_GB2312" w:eastAsia="楷体_GB2312" w:cs="楷体_GB2312"/>
          <w:b w:val="0"/>
          <w:bCs/>
        </w:rPr>
        <w:t>（二）人员要求</w:t>
      </w:r>
    </w:p>
    <w:tbl>
      <w:tblPr>
        <w:tblStyle w:val="17"/>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27"/>
        <w:gridCol w:w="1191"/>
        <w:gridCol w:w="1064"/>
        <w:gridCol w:w="1509"/>
        <w:gridCol w:w="4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序号</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★人员类别</w:t>
            </w:r>
          </w:p>
        </w:tc>
        <w:tc>
          <w:tcPr>
            <w:tcW w:w="5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★人员数量</w:t>
            </w: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★人员必须具备条件</w:t>
            </w:r>
          </w:p>
        </w:tc>
        <w:tc>
          <w:tcPr>
            <w:tcW w:w="2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人员可偏离条件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1</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项目负责人</w:t>
            </w:r>
          </w:p>
        </w:tc>
        <w:tc>
          <w:tcPr>
            <w:tcW w:w="5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1</w:t>
            </w: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left"/>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1.投标人自有员工。</w:t>
            </w:r>
          </w:p>
          <w:p>
            <w:pPr>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left"/>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2.具备有效的一级注册结构工程师执业资格</w:t>
            </w:r>
          </w:p>
        </w:tc>
        <w:tc>
          <w:tcPr>
            <w:tcW w:w="2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left"/>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1.具有</w:t>
            </w:r>
            <w:r>
              <w:rPr>
                <w:rFonts w:hint="eastAsia" w:ascii="仿宋_GB2312" w:hAnsi="仿宋_GB2312" w:eastAsia="仿宋_GB2312" w:cs="仿宋_GB2312"/>
                <w:b w:val="0"/>
                <w:bCs w:val="0"/>
                <w:kern w:val="0"/>
                <w:sz w:val="24"/>
                <w:szCs w:val="24"/>
                <w:lang w:val="zh-CN" w:eastAsia="zh-CN" w:bidi="ar-SA"/>
              </w:rPr>
              <w:t>结构类</w:t>
            </w:r>
            <w:r>
              <w:rPr>
                <w:rFonts w:hint="eastAsia" w:ascii="仿宋_GB2312" w:hAnsi="仿宋_GB2312" w:eastAsia="仿宋_GB2312" w:cs="仿宋_GB2312"/>
                <w:b w:val="0"/>
                <w:bCs w:val="0"/>
                <w:kern w:val="0"/>
                <w:sz w:val="24"/>
                <w:szCs w:val="24"/>
                <w:lang w:val="en-US" w:eastAsia="zh-CN" w:bidi="ar-SA"/>
              </w:rPr>
              <w:t>本科或以上学历。</w:t>
            </w:r>
          </w:p>
          <w:p>
            <w:pPr>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left"/>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2.具有高级或以上技术职称（结构类专业）。</w:t>
            </w:r>
          </w:p>
          <w:p>
            <w:pPr>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left"/>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3.具有结构类专业检测项目经验。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2</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项目团队成员</w:t>
            </w:r>
          </w:p>
        </w:tc>
        <w:tc>
          <w:tcPr>
            <w:tcW w:w="5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4</w:t>
            </w:r>
          </w:p>
        </w:tc>
        <w:tc>
          <w:tcPr>
            <w:tcW w:w="8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投标人自有员工</w:t>
            </w:r>
          </w:p>
        </w:tc>
        <w:tc>
          <w:tcPr>
            <w:tcW w:w="25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jc w:val="left"/>
              <w:textAlignment w:val="auto"/>
              <w:rPr>
                <w:rFonts w:hint="eastAsia" w:ascii="仿宋_GB2312" w:hAnsi="仿宋_GB2312" w:eastAsia="仿宋_GB2312" w:cs="仿宋_GB2312"/>
                <w:b w:val="0"/>
                <w:bCs w:val="0"/>
                <w:kern w:val="0"/>
                <w:sz w:val="24"/>
                <w:szCs w:val="24"/>
                <w:highlight w:val="none"/>
                <w:lang w:val="en-US" w:eastAsia="zh-CN" w:bidi="ar-SA"/>
              </w:rPr>
            </w:pPr>
            <w:r>
              <w:rPr>
                <w:rFonts w:hint="eastAsia" w:ascii="仿宋_GB2312" w:hAnsi="仿宋_GB2312" w:eastAsia="仿宋_GB2312" w:cs="仿宋_GB2312"/>
                <w:b w:val="0"/>
                <w:bCs w:val="0"/>
                <w:kern w:val="0"/>
                <w:sz w:val="24"/>
                <w:szCs w:val="24"/>
                <w:highlight w:val="none"/>
                <w:lang w:val="en-US" w:eastAsia="zh-CN" w:bidi="ar-SA"/>
              </w:rPr>
              <w:t>1.具有一级注册结构工程师证书。</w:t>
            </w:r>
          </w:p>
          <w:p>
            <w:pPr>
              <w:keepNext w:val="0"/>
              <w:keepLines w:val="0"/>
              <w:pageBreakBefore w:val="0"/>
              <w:widowControl w:val="0"/>
              <w:numPr>
                <w:ilvl w:val="0"/>
                <w:numId w:val="0"/>
              </w:numPr>
              <w:kinsoku/>
              <w:wordWrap/>
              <w:overflowPunct/>
              <w:topLinePunct w:val="0"/>
              <w:autoSpaceDE w:val="0"/>
              <w:autoSpaceDN w:val="0"/>
              <w:bidi w:val="0"/>
              <w:adjustRightInd/>
              <w:snapToGrid/>
              <w:jc w:val="left"/>
              <w:textAlignment w:val="auto"/>
              <w:rPr>
                <w:rFonts w:hint="eastAsia" w:ascii="仿宋_GB2312" w:hAnsi="仿宋_GB2312" w:eastAsia="仿宋_GB2312" w:cs="仿宋_GB2312"/>
                <w:b w:val="0"/>
                <w:bCs w:val="0"/>
                <w:kern w:val="0"/>
                <w:sz w:val="24"/>
                <w:szCs w:val="24"/>
                <w:highlight w:val="none"/>
                <w:lang w:val="en-US" w:eastAsia="zh-CN" w:bidi="ar-SA"/>
              </w:rPr>
            </w:pPr>
            <w:r>
              <w:rPr>
                <w:rFonts w:hint="eastAsia" w:ascii="仿宋_GB2312" w:hAnsi="仿宋_GB2312" w:eastAsia="仿宋_GB2312" w:cs="仿宋_GB2312"/>
                <w:b w:val="0"/>
                <w:bCs w:val="0"/>
                <w:kern w:val="0"/>
                <w:sz w:val="24"/>
                <w:szCs w:val="24"/>
                <w:highlight w:val="none"/>
                <w:lang w:val="en-US" w:eastAsia="zh-CN" w:bidi="ar-SA"/>
              </w:rPr>
              <w:t>2.具有一级注册岩土工程师证书。</w:t>
            </w:r>
          </w:p>
          <w:p>
            <w:pPr>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left"/>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3.具有（建筑类、结构类</w:t>
            </w:r>
            <w:r>
              <w:rPr>
                <w:rFonts w:hint="eastAsia" w:ascii="仿宋_GB2312" w:hAnsi="仿宋_GB2312" w:eastAsia="仿宋_GB2312" w:cs="仿宋_GB2312"/>
                <w:b w:val="0"/>
                <w:bCs w:val="0"/>
                <w:kern w:val="0"/>
                <w:sz w:val="24"/>
                <w:szCs w:val="24"/>
                <w:highlight w:val="none"/>
                <w:lang w:val="en-US" w:eastAsia="zh-CN" w:bidi="ar-SA"/>
              </w:rPr>
              <w:t>、岩土类）</w:t>
            </w:r>
            <w:r>
              <w:rPr>
                <w:rFonts w:hint="eastAsia" w:ascii="仿宋_GB2312" w:hAnsi="仿宋_GB2312" w:eastAsia="仿宋_GB2312" w:cs="仿宋_GB2312"/>
                <w:b w:val="0"/>
                <w:bCs w:val="0"/>
                <w:kern w:val="0"/>
                <w:sz w:val="24"/>
                <w:szCs w:val="24"/>
                <w:lang w:val="en-US" w:eastAsia="zh-CN" w:bidi="ar-SA"/>
              </w:rPr>
              <w:t>中级工程师或以上职称。</w:t>
            </w:r>
          </w:p>
          <w:p>
            <w:pPr>
              <w:keepNext w:val="0"/>
              <w:keepLines w:val="0"/>
              <w:pageBreakBefore w:val="0"/>
              <w:widowControl w:val="0"/>
              <w:numPr>
                <w:ilvl w:val="0"/>
                <w:numId w:val="0"/>
              </w:numPr>
              <w:kinsoku/>
              <w:wordWrap/>
              <w:overflowPunct/>
              <w:topLinePunct w:val="0"/>
              <w:autoSpaceDE w:val="0"/>
              <w:autoSpaceDN w:val="0"/>
              <w:bidi w:val="0"/>
              <w:adjustRightInd/>
              <w:snapToGrid/>
              <w:ind w:firstLine="0" w:firstLineChars="0"/>
              <w:jc w:val="left"/>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4.具有5年或以上相关检测工作经验。</w:t>
            </w:r>
          </w:p>
        </w:tc>
      </w:tr>
    </w:tbl>
    <w:p>
      <w:pPr>
        <w:pStyle w:val="24"/>
        <w:rPr>
          <w:rFonts w:hint="eastAsia" w:ascii="楷体_GB2312" w:hAnsi="楷体_GB2312" w:eastAsia="楷体_GB2312" w:cs="楷体_GB2312"/>
          <w:b w:val="0"/>
          <w:bCs/>
        </w:rPr>
      </w:pPr>
      <w:r>
        <w:rPr>
          <w:rFonts w:hint="eastAsia" w:ascii="楷体_GB2312" w:hAnsi="楷体_GB2312" w:eastAsia="楷体_GB2312" w:cs="楷体_GB2312"/>
          <w:b w:val="0"/>
          <w:bCs/>
          <w:lang w:val="en-US" w:eastAsia="zh-CN"/>
        </w:rPr>
        <w:t>★</w:t>
      </w:r>
      <w:r>
        <w:rPr>
          <w:rFonts w:hint="eastAsia" w:ascii="楷体_GB2312" w:hAnsi="楷体_GB2312" w:eastAsia="楷体_GB2312" w:cs="楷体_GB2312"/>
          <w:b w:val="0"/>
          <w:bCs/>
        </w:rPr>
        <w:t>（三）成果要求</w:t>
      </w:r>
    </w:p>
    <w:p>
      <w:pPr>
        <w:pStyle w:val="24"/>
        <w:rPr>
          <w:rFonts w:hint="eastAsia" w:cs="仿宋_GB2312"/>
          <w:color w:val="000000" w:themeColor="text1"/>
          <w:sz w:val="28"/>
          <w:szCs w:val="28"/>
          <w:highlight w:val="none"/>
          <w:lang w:eastAsia="zh-CN"/>
          <w14:textFill>
            <w14:solidFill>
              <w14:schemeClr w14:val="tx1"/>
            </w14:solidFill>
          </w14:textFill>
        </w:rPr>
      </w:pPr>
      <w:r>
        <w:rPr>
          <w:rFonts w:hint="eastAsia" w:cs="仿宋_GB2312"/>
          <w:color w:val="000000" w:themeColor="text1"/>
          <w:sz w:val="28"/>
          <w:szCs w:val="28"/>
          <w:highlight w:val="none"/>
          <w:lang w:val="en-US" w:eastAsia="zh-CN"/>
          <w14:textFill>
            <w14:solidFill>
              <w14:schemeClr w14:val="tx1"/>
            </w14:solidFill>
          </w14:textFill>
        </w:rPr>
        <w:t>中标人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对</w:t>
      </w:r>
      <w:r>
        <w:rPr>
          <w:rFonts w:hint="eastAsia" w:ascii="仿宋_GB2312" w:hAnsi="仿宋_GB2312" w:eastAsia="仿宋_GB2312" w:cs="仿宋_GB2312"/>
          <w:color w:val="000000" w:themeColor="text1"/>
          <w:sz w:val="28"/>
          <w:szCs w:val="28"/>
          <w:highlight w:val="none"/>
          <w14:textFill>
            <w14:solidFill>
              <w14:schemeClr w14:val="tx1"/>
            </w14:solidFill>
          </w14:textFill>
        </w:rPr>
        <w:t>龙岭院区门诊楼总建筑面积约10512.15平方米</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业务用房开展房屋结构安全检测鉴定服务，</w:t>
      </w:r>
      <w:r>
        <w:rPr>
          <w:rFonts w:hint="eastAsia" w:cs="仿宋_GB2312"/>
          <w:color w:val="000000" w:themeColor="text1"/>
          <w:sz w:val="28"/>
          <w:szCs w:val="28"/>
          <w:highlight w:val="none"/>
          <w:lang w:val="en-US" w:eastAsia="zh-CN"/>
          <w14:textFill>
            <w14:solidFill>
              <w14:schemeClr w14:val="tx1"/>
            </w14:solidFill>
          </w14:textFill>
        </w:rPr>
        <w:t>根据采购人需要提供</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开展实施房屋结构</w:t>
      </w:r>
      <w:r>
        <w:rPr>
          <w:rFonts w:hint="eastAsia" w:ascii="仿宋_GB2312" w:hAnsi="仿宋_GB2312" w:eastAsia="仿宋_GB2312" w:cs="仿宋_GB2312"/>
          <w:color w:val="000000" w:themeColor="text1"/>
          <w:sz w:val="28"/>
          <w:szCs w:val="28"/>
          <w:highlight w:val="none"/>
          <w14:textFill>
            <w14:solidFill>
              <w14:schemeClr w14:val="tx1"/>
            </w14:solidFill>
          </w14:textFill>
        </w:rPr>
        <w:t>加固前</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和完成房屋结构加固工程</w:t>
      </w:r>
      <w:r>
        <w:rPr>
          <w:rFonts w:hint="eastAsia" w:ascii="仿宋_GB2312" w:hAnsi="仿宋_GB2312" w:eastAsia="仿宋_GB2312" w:cs="仿宋_GB2312"/>
          <w:color w:val="000000" w:themeColor="text1"/>
          <w:sz w:val="28"/>
          <w:szCs w:val="28"/>
          <w:highlight w:val="none"/>
          <w14:textFill>
            <w14:solidFill>
              <w14:schemeClr w14:val="tx1"/>
            </w14:solidFill>
          </w14:textFill>
        </w:rPr>
        <w:t>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共计两次的</w:t>
      </w:r>
      <w:r>
        <w:rPr>
          <w:rFonts w:hint="eastAsia" w:ascii="仿宋_GB2312" w:hAnsi="仿宋_GB2312" w:eastAsia="仿宋_GB2312" w:cs="仿宋_GB2312"/>
          <w:color w:val="000000" w:themeColor="text1"/>
          <w:sz w:val="28"/>
          <w:szCs w:val="28"/>
          <w:highlight w:val="none"/>
          <w14:textFill>
            <w14:solidFill>
              <w14:schemeClr w14:val="tx1"/>
            </w14:solidFill>
          </w14:textFill>
        </w:rPr>
        <w:t>房屋结构安全检测鉴定服务</w:t>
      </w:r>
      <w:r>
        <w:rPr>
          <w:rFonts w:hint="eastAsia"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如采购人并未实施加固工程，则无需开展加固工程后的检测鉴定服务</w:t>
      </w:r>
      <w:r>
        <w:rPr>
          <w:rFonts w:hint="eastAsia" w:ascii="仿宋_GB2312" w:hAnsi="仿宋_GB2312" w:eastAsia="仿宋_GB2312" w:cs="仿宋_GB2312"/>
          <w:strike w:val="0"/>
          <w:dstrike w:val="0"/>
          <w:color w:val="000000" w:themeColor="text1"/>
          <w:sz w:val="28"/>
          <w:szCs w:val="28"/>
          <w:highlight w:val="none"/>
          <w:lang w:val="en-US" w:eastAsia="zh-CN"/>
          <w14:textFill>
            <w14:solidFill>
              <w14:schemeClr w14:val="tx1"/>
            </w14:solidFill>
          </w14:textFill>
        </w:rPr>
        <w:t>，本次</w:t>
      </w:r>
      <w:r>
        <w:rPr>
          <w:rFonts w:hint="eastAsia" w:cs="仿宋_GB2312"/>
          <w:strike w:val="0"/>
          <w:dstrike w:val="0"/>
          <w:color w:val="000000" w:themeColor="text1"/>
          <w:sz w:val="28"/>
          <w:szCs w:val="28"/>
          <w:highlight w:val="none"/>
          <w:lang w:val="en-US" w:eastAsia="zh-CN"/>
          <w14:textFill>
            <w14:solidFill>
              <w14:schemeClr w14:val="tx1"/>
            </w14:solidFill>
          </w14:textFill>
        </w:rPr>
        <w:t>项目</w:t>
      </w:r>
      <w:r>
        <w:rPr>
          <w:rFonts w:hint="eastAsia" w:ascii="仿宋_GB2312" w:hAnsi="仿宋_GB2312" w:eastAsia="仿宋_GB2312" w:cs="仿宋_GB2312"/>
          <w:strike w:val="0"/>
          <w:dstrike w:val="0"/>
          <w:color w:val="000000" w:themeColor="text1"/>
          <w:sz w:val="28"/>
          <w:szCs w:val="28"/>
          <w:highlight w:val="none"/>
          <w:lang w:val="en-US" w:eastAsia="zh-CN"/>
          <w14:textFill>
            <w14:solidFill>
              <w14:schemeClr w14:val="tx1"/>
            </w14:solidFill>
          </w14:textFill>
        </w:rPr>
        <w:t>仅</w:t>
      </w:r>
      <w:r>
        <w:rPr>
          <w:rFonts w:hint="eastAsia" w:cs="仿宋_GB2312"/>
          <w:strike w:val="0"/>
          <w:dstrike w:val="0"/>
          <w:color w:val="000000" w:themeColor="text1"/>
          <w:sz w:val="28"/>
          <w:szCs w:val="28"/>
          <w:highlight w:val="none"/>
          <w:lang w:val="en-US" w:eastAsia="zh-CN"/>
          <w14:textFill>
            <w14:solidFill>
              <w14:schemeClr w14:val="tx1"/>
            </w14:solidFill>
          </w14:textFill>
        </w:rPr>
        <w:t>含</w:t>
      </w:r>
      <w:r>
        <w:rPr>
          <w:rFonts w:hint="eastAsia" w:ascii="仿宋_GB2312" w:hAnsi="仿宋_GB2312" w:eastAsia="仿宋_GB2312" w:cs="仿宋_GB2312"/>
          <w:strike w:val="0"/>
          <w:dstrike w:val="0"/>
          <w:color w:val="000000" w:themeColor="text1"/>
          <w:sz w:val="28"/>
          <w:szCs w:val="28"/>
          <w:highlight w:val="none"/>
          <w:lang w:val="en-US" w:eastAsia="zh-CN"/>
          <w14:textFill>
            <w14:solidFill>
              <w14:schemeClr w14:val="tx1"/>
            </w14:solidFill>
          </w14:textFill>
        </w:rPr>
        <w:t>加固前的房屋结构安全鉴定服务</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pPr>
        <w:pStyle w:val="24"/>
        <w:rPr>
          <w:rFonts w:hint="eastAsia"/>
          <w:kern w:val="2"/>
          <w:sz w:val="28"/>
          <w:szCs w:val="28"/>
          <w:highlight w:val="yellow"/>
        </w:rPr>
      </w:pPr>
      <w:r>
        <w:rPr>
          <w:rFonts w:hint="eastAsia"/>
          <w:kern w:val="2"/>
          <w:sz w:val="28"/>
          <w:szCs w:val="28"/>
          <w:highlight w:val="none"/>
        </w:rPr>
        <w:t>合同签订生效之日起，自采购人书面通知下达后30个日历日内提供</w:t>
      </w:r>
      <w:r>
        <w:rPr>
          <w:rFonts w:hint="eastAsia"/>
          <w:kern w:val="2"/>
          <w:sz w:val="28"/>
          <w:szCs w:val="28"/>
          <w:highlight w:val="none"/>
          <w:lang w:val="en-US" w:eastAsia="zh-CN"/>
        </w:rPr>
        <w:t>完整的</w:t>
      </w:r>
      <w:r>
        <w:rPr>
          <w:rFonts w:hint="eastAsia"/>
          <w:kern w:val="2"/>
          <w:sz w:val="28"/>
          <w:szCs w:val="28"/>
          <w:highlight w:val="none"/>
        </w:rPr>
        <w:t>正式盖章版房屋结构安全检测鉴定报告成果。</w:t>
      </w:r>
      <w:r>
        <w:rPr>
          <w:rFonts w:hint="eastAsia"/>
          <w:highlight w:val="none"/>
        </w:rPr>
        <w:t>所提供成果文件</w:t>
      </w:r>
      <w:r>
        <w:rPr>
          <w:rFonts w:hint="eastAsia"/>
          <w:highlight w:val="none"/>
          <w:lang w:val="en-US" w:eastAsia="zh-CN"/>
        </w:rPr>
        <w:t>应</w:t>
      </w:r>
      <w:r>
        <w:rPr>
          <w:rFonts w:hint="eastAsia"/>
          <w:highlight w:val="none"/>
        </w:rPr>
        <w:t>符</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合国家现行规范标准</w:t>
      </w:r>
      <w:r>
        <w:rPr>
          <w:rFonts w:hint="eastAsia"/>
          <w:highlight w:val="none"/>
        </w:rPr>
        <w:t>。</w:t>
      </w:r>
    </w:p>
    <w:p>
      <w:pPr>
        <w:pStyle w:val="24"/>
        <w:rPr>
          <w:rFonts w:hint="eastAsia"/>
          <w:b/>
          <w:bCs/>
          <w:color w:val="auto"/>
        </w:rPr>
      </w:pPr>
      <w:r>
        <w:rPr>
          <w:rFonts w:hint="eastAsia"/>
          <w:b/>
          <w:bCs/>
          <w:color w:val="auto"/>
        </w:rPr>
        <w:t>六、报价及付款方式</w:t>
      </w:r>
    </w:p>
    <w:p>
      <w:pPr>
        <w:pStyle w:val="24"/>
        <w:rPr>
          <w:rFonts w:hint="eastAsia" w:ascii="楷体_GB2312" w:hAnsi="楷体_GB2312" w:eastAsia="楷体_GB2312" w:cs="楷体_GB2312"/>
        </w:rPr>
      </w:pPr>
      <w:r>
        <w:rPr>
          <w:rFonts w:hint="eastAsia" w:ascii="楷体_GB2312" w:hAnsi="楷体_GB2312" w:eastAsia="楷体_GB2312" w:cs="楷体_GB2312"/>
        </w:rPr>
        <w:t>（一）人民币报价</w:t>
      </w:r>
    </w:p>
    <w:p>
      <w:pPr>
        <w:pStyle w:val="24"/>
        <w:rPr>
          <w:rFonts w:hint="eastAsia"/>
        </w:rPr>
      </w:pPr>
      <w:r>
        <w:rPr>
          <w:rFonts w:hint="eastAsia"/>
        </w:rPr>
        <w:t>（1）本项目最高投标限价为19万元，其中加固前房屋结构安全检测鉴定服务不超过9.5万元、加固后房屋结构安全检测鉴定服务不超过9.5万元。投标总价和分项超出编制费预算控制金额或最高投标限价作无效投标处理。</w:t>
      </w:r>
    </w:p>
    <w:p>
      <w:pPr>
        <w:pStyle w:val="24"/>
        <w:rPr>
          <w:rFonts w:hint="eastAsia"/>
        </w:rPr>
      </w:pPr>
      <w:r>
        <w:rPr>
          <w:rFonts w:hint="eastAsia"/>
        </w:rPr>
        <w:t>（2）本项目服务费采用包干制，包括服务成本、法定税费和企业利润。由投标人根据招标文件所提供的资料自行测算并投标报价。投标报价总价将作为中标单位与招标人</w:t>
      </w:r>
      <w:r>
        <w:rPr>
          <w:rFonts w:hint="eastAsia"/>
          <w:lang w:eastAsia="zh-CN"/>
        </w:rPr>
        <w:t>签订的合同（</w:t>
      </w:r>
      <w:r>
        <w:rPr>
          <w:rFonts w:hint="eastAsia"/>
          <w:lang w:val="en-US" w:eastAsia="zh-CN"/>
        </w:rPr>
        <w:t>支付上限</w:t>
      </w:r>
      <w:r>
        <w:rPr>
          <w:rFonts w:hint="eastAsia"/>
          <w:lang w:eastAsia="zh-CN"/>
        </w:rPr>
        <w:t>）</w:t>
      </w:r>
      <w:r>
        <w:rPr>
          <w:rFonts w:hint="eastAsia"/>
        </w:rPr>
        <w:t>金额，若龙岭院区门诊楼未进行加固实施无需开展加固后房屋结构安全检测鉴定的，则</w:t>
      </w:r>
      <w:r>
        <w:rPr>
          <w:rFonts w:hint="eastAsia"/>
          <w:lang w:val="en-US" w:eastAsia="zh-CN"/>
        </w:rPr>
        <w:t>按</w:t>
      </w:r>
      <w:r>
        <w:rPr>
          <w:rFonts w:hint="eastAsia"/>
        </w:rPr>
        <w:t>加固前房屋结构安全检测鉴定服务</w:t>
      </w:r>
      <w:r>
        <w:rPr>
          <w:rFonts w:hint="eastAsia"/>
          <w:lang w:val="en-US" w:eastAsia="zh-CN"/>
        </w:rPr>
        <w:t>的投标报价结算</w:t>
      </w:r>
      <w:r>
        <w:rPr>
          <w:rFonts w:hint="eastAsia"/>
        </w:rPr>
        <w:t>。</w:t>
      </w:r>
    </w:p>
    <w:p>
      <w:pPr>
        <w:pStyle w:val="24"/>
        <w:rPr>
          <w:rFonts w:hint="eastAsia"/>
        </w:rPr>
      </w:pPr>
      <w:r>
        <w:rPr>
          <w:rFonts w:hint="eastAsia"/>
        </w:rPr>
        <w:t>（3）投标人应根据本企业的成本自行决定报价，但不得以低于其企业成本进行报价投标；评审时，评审老师认为投标人的报价明显低于其他通过符合性审查投标人的报价，有可能影响产品质量或者不能诚信履约的，应当要求其在合理的时间内提供书面说明，必要时提交相关证明材料；投标人不能证明其报价合理性的，评审老师应当将其作为无效投标处理。</w:t>
      </w:r>
    </w:p>
    <w:p>
      <w:pPr>
        <w:pStyle w:val="24"/>
        <w:rPr>
          <w:rFonts w:hint="eastAsia"/>
        </w:rPr>
      </w:pPr>
      <w:r>
        <w:rPr>
          <w:rFonts w:hint="eastAsia"/>
        </w:rPr>
        <w:t>（4）投标人的投标报价，应是本项目招标范围和招标文件及合同条款上所列的各项内容中所述的全部，不得以任何理由予以重复，并以投标人在投标文件中提出的综合单价或总价为依据。</w:t>
      </w:r>
    </w:p>
    <w:p>
      <w:pPr>
        <w:pStyle w:val="24"/>
        <w:rPr>
          <w:rFonts w:hint="eastAsia"/>
        </w:rPr>
      </w:pPr>
      <w:r>
        <w:rPr>
          <w:rFonts w:hint="eastAsia"/>
        </w:rPr>
        <w:t>（5）投标人应充分了解项目的位置、情况、道路及任何其它足以影响投标报价的情况，任何因忽视或误解项目情况而导致的索赔或服务期限延长申请将不获批准。</w:t>
      </w:r>
    </w:p>
    <w:p>
      <w:pPr>
        <w:pStyle w:val="24"/>
        <w:rPr>
          <w:rFonts w:hint="eastAsia" w:ascii="楷体_GB2312" w:hAnsi="楷体_GB2312" w:eastAsia="楷体_GB2312" w:cs="楷体_GB2312"/>
        </w:rPr>
      </w:pPr>
      <w:r>
        <w:rPr>
          <w:rFonts w:hint="eastAsia" w:ascii="楷体_GB2312" w:hAnsi="楷体_GB2312" w:eastAsia="楷体_GB2312" w:cs="楷体_GB2312"/>
        </w:rPr>
        <w:t>（二）付款方式</w:t>
      </w:r>
    </w:p>
    <w:p>
      <w:pPr>
        <w:pStyle w:val="24"/>
        <w:rPr>
          <w:rFonts w:hint="eastAsia"/>
        </w:rPr>
      </w:pPr>
      <w:r>
        <w:rPr>
          <w:rFonts w:hint="eastAsia"/>
        </w:rPr>
        <w:t>（1）合同签订生效之日起，采购人在收齐付款资料后</w:t>
      </w:r>
      <w:r>
        <w:rPr>
          <w:rFonts w:hint="eastAsia"/>
          <w:highlight w:val="none"/>
        </w:rPr>
        <w:t>二十个</w:t>
      </w:r>
      <w:r>
        <w:rPr>
          <w:rFonts w:hint="eastAsia"/>
        </w:rPr>
        <w:t>工作日内向中标人支付加固前房屋结构安全检测鉴定服务内容的50%预付款。</w:t>
      </w:r>
    </w:p>
    <w:p>
      <w:pPr>
        <w:pStyle w:val="24"/>
        <w:rPr>
          <w:rFonts w:hint="eastAsia"/>
        </w:rPr>
      </w:pPr>
      <w:r>
        <w:rPr>
          <w:rFonts w:hint="eastAsia"/>
        </w:rPr>
        <w:t>（2）中标人交付加固前房屋结构安全检测鉴定报告成果，经采购人审查合格后，采购人于</w:t>
      </w:r>
      <w:r>
        <w:rPr>
          <w:rFonts w:hint="eastAsia"/>
          <w:highlight w:val="none"/>
        </w:rPr>
        <w:t>二十个</w:t>
      </w:r>
      <w:r>
        <w:rPr>
          <w:rFonts w:hint="eastAsia"/>
        </w:rPr>
        <w:t>工作日内向中标人支付加固前房屋结构安全检测鉴定服务内容的剩余全部款项。</w:t>
      </w:r>
    </w:p>
    <w:p>
      <w:pPr>
        <w:pStyle w:val="24"/>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（3）采购人书面通知已完成门诊楼加固实施工程允许开展加固后房屋结构安全检测鉴定工作时，采购人在收齐付款资料后</w:t>
      </w:r>
      <w:r>
        <w:rPr>
          <w:rFonts w:hint="eastAsia"/>
          <w:highlight w:val="none"/>
        </w:rPr>
        <w:t>二十个</w:t>
      </w:r>
      <w:r>
        <w:rPr>
          <w:rFonts w:hint="eastAsia"/>
        </w:rPr>
        <w:t>工作日内向中标人支付加固后房屋结构安全检测鉴定服务内容的50%预付款。</w:t>
      </w:r>
    </w:p>
    <w:p>
      <w:pPr>
        <w:pStyle w:val="24"/>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（4）中标人交付加固后房屋结构安全检测鉴定报告成果，经采购人审查合格后，采购人于</w:t>
      </w:r>
      <w:r>
        <w:rPr>
          <w:rFonts w:hint="eastAsia"/>
          <w:highlight w:val="none"/>
        </w:rPr>
        <w:t>二十个</w:t>
      </w:r>
      <w:r>
        <w:rPr>
          <w:rFonts w:hint="eastAsia"/>
        </w:rPr>
        <w:t>工作日内向中标人支付加固后房屋结构安全检测鉴定服务内容的剩余全部款项。</w:t>
      </w:r>
    </w:p>
    <w:p>
      <w:pPr>
        <w:pStyle w:val="24"/>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（5）中标人收取款项前应向招标人开具并提交合法有效的等额增值税专用发票，否则采购人有权拒付款项。因中标人未提供发票或采购人财政审批导致的支付延迟，不视为招标人违约。</w:t>
      </w:r>
    </w:p>
    <w:p>
      <w:pPr>
        <w:pStyle w:val="24"/>
        <w:keepNext w:val="0"/>
        <w:keepLines w:val="0"/>
        <w:pageBreakBefore w:val="0"/>
        <w:widowControl/>
        <w:kinsoku/>
        <w:wordWrap/>
        <w:overflowPunct/>
        <w:topLinePunct w:val="0"/>
        <w:autoSpaceDE/>
        <w:autoSpaceDN/>
        <w:bidi w:val="0"/>
        <w:adjustRightInd/>
        <w:snapToGrid/>
        <w:textAlignment w:val="auto"/>
        <w:rPr>
          <w:rFonts w:hint="eastAsia"/>
          <w:highlight w:val="yellow"/>
        </w:rPr>
      </w:pPr>
      <w:r>
        <w:rPr>
          <w:rFonts w:hint="eastAsia"/>
          <w:b/>
          <w:bCs/>
          <w:color w:val="auto"/>
        </w:rPr>
        <w:t>七、服务期限：</w:t>
      </w:r>
      <w:r>
        <w:rPr>
          <w:rFonts w:hint="eastAsia"/>
        </w:rPr>
        <w:t>自合同签订之日起至完成全部服务内容并提供检测鉴定报告成果为止，如未开展加固后的房屋结构安全检测鉴定服务的，则按提供完毕加固前检测鉴定报告成果</w:t>
      </w:r>
      <w:r>
        <w:rPr>
          <w:rFonts w:hint="eastAsia"/>
          <w:lang w:val="en-US" w:eastAsia="zh-CN"/>
        </w:rPr>
        <w:t>且采购人验收合格</w:t>
      </w:r>
      <w:r>
        <w:rPr>
          <w:rFonts w:hint="eastAsia"/>
        </w:rPr>
        <w:t>为止。</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rPr>
          <w:rFonts w:hint="eastAsia"/>
          <w:b/>
          <w:bCs/>
          <w:color w:val="auto"/>
        </w:rPr>
      </w:pPr>
      <w:r>
        <w:rPr>
          <w:rFonts w:hint="eastAsia"/>
          <w:b/>
          <w:bCs/>
          <w:color w:val="auto"/>
        </w:rPr>
        <w:t>八、验收方案</w:t>
      </w:r>
    </w:p>
    <w:p>
      <w:pPr>
        <w:pStyle w:val="24"/>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rPr>
      </w:pPr>
      <w:r>
        <w:rPr>
          <w:rFonts w:hint="eastAsia"/>
        </w:rPr>
        <w:t>（一）中标人</w:t>
      </w:r>
      <w:r>
        <w:rPr>
          <w:rFonts w:hint="eastAsia"/>
          <w:lang w:val="en-US" w:eastAsia="zh-CN"/>
        </w:rPr>
        <w:t>所提供的成果文件符合国家现行规范标准，提交完整的检测鉴定报告。</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rPr>
          <w:rFonts w:hint="eastAsia"/>
        </w:rPr>
      </w:pPr>
      <w:r>
        <w:rPr>
          <w:rFonts w:hint="eastAsia"/>
        </w:rPr>
        <w:t>（二）中标人已按照合同规定提供了全部成果资料。</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rPr>
          <w:rFonts w:hint="eastAsia"/>
        </w:rPr>
      </w:pPr>
      <w:r>
        <w:rPr>
          <w:rFonts w:hint="eastAsia"/>
        </w:rPr>
        <w:t>（三）服务项目符合招标文件的服务要求。</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rPr>
          <w:rFonts w:hint="eastAsia"/>
        </w:rPr>
      </w:pPr>
      <w:r>
        <w:rPr>
          <w:rFonts w:hint="eastAsia"/>
          <w:lang w:val="en-US" w:eastAsia="zh-CN"/>
        </w:rPr>
        <w:t>以上</w:t>
      </w:r>
      <w:r>
        <w:rPr>
          <w:rFonts w:hint="eastAsia"/>
        </w:rPr>
        <w:t>服务成果双方检验认可后，签署验收报告。</w:t>
      </w:r>
    </w:p>
    <w:p>
      <w:pPr>
        <w:spacing w:line="40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九、项目地点：深圳市龙岗区第七人民医院指定地点。</w:t>
      </w:r>
    </w:p>
    <w:p>
      <w:pPr>
        <w:spacing w:line="440" w:lineRule="exact"/>
        <w:ind w:firstLine="562" w:firstLineChars="200"/>
        <w:rPr>
          <w:rFonts w:hint="eastAsia" w:ascii="仿宋" w:hAnsi="仿宋" w:eastAsia="仿宋"/>
          <w:kern w:val="0"/>
          <w:sz w:val="28"/>
          <w:szCs w:val="28"/>
        </w:rPr>
      </w:pPr>
      <w:r>
        <w:rPr>
          <w:rFonts w:hint="eastAsia" w:ascii="仿宋_GB2312" w:hAnsi="仿宋_GB2312" w:eastAsia="仿宋_GB2312" w:cs="仿宋_GB2312"/>
          <w:b/>
          <w:bCs/>
          <w:sz w:val="28"/>
          <w:szCs w:val="28"/>
        </w:rPr>
        <w:t>十、签订合同</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采购人和中标供应商应当自中标通知书发出之日起十个工作日内，按照招标文件和中标供应商的投标文件订立书面合同。</w:t>
      </w:r>
    </w:p>
    <w:p>
      <w:pPr>
        <w:spacing w:line="40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十一、评标标准</w:t>
      </w:r>
    </w:p>
    <w:tbl>
      <w:tblPr>
        <w:tblStyle w:val="17"/>
        <w:tblpPr w:leftFromText="180" w:rightFromText="180" w:vertAnchor="text" w:horzAnchor="margin" w:tblpY="76"/>
        <w:tblOverlap w:val="never"/>
        <w:tblW w:w="4997"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44"/>
        <w:gridCol w:w="644"/>
        <w:gridCol w:w="1685"/>
        <w:gridCol w:w="676"/>
        <w:gridCol w:w="1067"/>
        <w:gridCol w:w="42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1675"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仿宋" w:hAnsi="仿宋" w:eastAsia="仿宋" w:cs="仿宋"/>
                <w:b/>
                <w:bCs/>
                <w:color w:val="44546A" w:themeColor="text2"/>
                <w:szCs w:val="21"/>
                <w14:textFill>
                  <w14:solidFill>
                    <w14:schemeClr w14:val="tx2"/>
                  </w14:solidFill>
                </w14:textFill>
              </w:rPr>
            </w:pPr>
            <w:r>
              <w:rPr>
                <w:rFonts w:hint="eastAsia" w:ascii="仿宋" w:hAnsi="仿宋" w:eastAsia="仿宋" w:cs="仿宋"/>
                <w:b/>
                <w:bCs/>
                <w:color w:val="44546A" w:themeColor="text2"/>
                <w:szCs w:val="21"/>
                <w14:textFill>
                  <w14:solidFill>
                    <w14:schemeClr w14:val="tx2"/>
                  </w14:solidFill>
                </w14:textFill>
              </w:rPr>
              <w:t>评分项</w:t>
            </w:r>
          </w:p>
        </w:tc>
        <w:tc>
          <w:tcPr>
            <w:tcW w:w="2966" w:type="pct"/>
            <w:gridSpan w:val="2"/>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仿宋" w:hAnsi="仿宋" w:eastAsia="仿宋" w:cs="仿宋"/>
                <w:b/>
                <w:bCs/>
                <w:color w:val="44546A" w:themeColor="text2"/>
                <w:szCs w:val="21"/>
                <w14:textFill>
                  <w14:solidFill>
                    <w14:schemeClr w14:val="tx2"/>
                  </w14:solidFill>
                </w14:textFill>
              </w:rPr>
            </w:pPr>
            <w:r>
              <w:rPr>
                <w:rFonts w:hint="eastAsia" w:ascii="仿宋" w:hAnsi="仿宋" w:eastAsia="仿宋" w:cs="仿宋"/>
                <w:b/>
                <w:bCs/>
                <w:color w:val="44546A" w:themeColor="text2"/>
                <w:szCs w:val="21"/>
                <w14:textFill>
                  <w14:solidFill>
                    <w14:schemeClr w14:val="tx2"/>
                  </w14:solidFill>
                </w14:textFill>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restart"/>
            <w:tcBorders>
              <w:top w:val="single" w:color="000000" w:sz="8" w:space="0"/>
              <w:left w:val="single" w:color="000000" w:sz="8" w:space="0"/>
              <w:bottom w:val="single" w:color="000000" w:sz="8" w:space="0"/>
              <w:right w:val="single" w:color="000000" w:sz="8" w:space="0"/>
            </w:tcBorders>
          </w:tcPr>
          <w:p>
            <w:pPr>
              <w:widowControl/>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1</w:t>
            </w:r>
          </w:p>
        </w:tc>
        <w:tc>
          <w:tcPr>
            <w:tcW w:w="1675" w:type="pct"/>
            <w:gridSpan w:val="3"/>
            <w:tcBorders>
              <w:top w:val="single" w:color="000000" w:sz="8" w:space="0"/>
              <w:left w:val="single" w:color="000000" w:sz="8" w:space="0"/>
              <w:bottom w:val="single" w:color="000000" w:sz="8" w:space="0"/>
              <w:right w:val="single" w:color="000000" w:sz="8" w:space="0"/>
            </w:tcBorders>
          </w:tcPr>
          <w:p>
            <w:pPr>
              <w:widowControl/>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价格</w:t>
            </w:r>
          </w:p>
        </w:tc>
        <w:tc>
          <w:tcPr>
            <w:tcW w:w="2966" w:type="pct"/>
            <w:gridSpan w:val="2"/>
            <w:tcBorders>
              <w:top w:val="single" w:color="000000" w:sz="8" w:space="0"/>
              <w:left w:val="single" w:color="000000" w:sz="8" w:space="0"/>
              <w:bottom w:val="single" w:color="000000" w:sz="8" w:space="0"/>
              <w:right w:val="single" w:color="000000" w:sz="8" w:space="0"/>
            </w:tcBorders>
          </w:tcPr>
          <w:p>
            <w:pPr>
              <w:widowControl/>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869" w:hRule="atLeast"/>
        </w:trPr>
        <w:tc>
          <w:tcPr>
            <w:tcW w:w="359" w:type="pct"/>
            <w:vMerge w:val="continue"/>
            <w:tcBorders>
              <w:top w:val="single" w:color="000000" w:sz="8" w:space="0"/>
              <w:left w:val="single" w:color="000000" w:sz="8" w:space="0"/>
              <w:bottom w:val="single" w:color="000000" w:sz="8" w:space="0"/>
              <w:right w:val="single" w:color="000000" w:sz="8" w:space="0"/>
            </w:tcBorders>
            <w:vAlign w:val="center"/>
          </w:tcPr>
          <w:p>
            <w:pPr>
              <w:pStyle w:val="15"/>
              <w:spacing w:beforeAutospacing="0" w:afterAutospacing="0"/>
              <w:ind w:firstLine="420"/>
              <w:jc w:val="both"/>
              <w:rPr>
                <w:rFonts w:hint="eastAsia" w:ascii="仿宋" w:hAnsi="仿宋" w:eastAsia="仿宋" w:cs="仿宋"/>
                <w:kern w:val="2"/>
                <w:sz w:val="21"/>
                <w:szCs w:val="21"/>
              </w:rPr>
            </w:pPr>
          </w:p>
        </w:tc>
        <w:tc>
          <w:tcPr>
            <w:tcW w:w="4641" w:type="pct"/>
            <w:gridSpan w:val="5"/>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szCs w:val="21"/>
              </w:rPr>
            </w:pPr>
            <w:r>
              <w:rPr>
                <w:rFonts w:hint="eastAsia" w:ascii="宋体" w:hAnsi="宋体"/>
                <w:szCs w:val="21"/>
              </w:rPr>
              <w:t>1.综合评分法中的价格分统一采用低价优先法计算。即满足采购文件要求且投标价格最低的投标报价为评标基准价，其价格分为满分。其他投标人的价格分统一按照下列公式计算：投标报价得分=（评标基准价/投标报价）×分值</w:t>
            </w:r>
          </w:p>
          <w:p>
            <w:pPr>
              <w:rPr>
                <w:rFonts w:hint="eastAsia" w:ascii="宋体" w:hAnsi="宋体"/>
                <w:szCs w:val="21"/>
              </w:rPr>
            </w:pPr>
            <w:r>
              <w:rPr>
                <w:rFonts w:hint="eastAsia" w:ascii="宋体" w:hAnsi="宋体"/>
                <w:szCs w:val="21"/>
              </w:rPr>
              <w:t>备注：</w:t>
            </w:r>
          </w:p>
          <w:p>
            <w:pPr>
              <w:rPr>
                <w:rFonts w:hint="eastAsia" w:ascii="宋体" w:hAnsi="宋体"/>
                <w:szCs w:val="21"/>
              </w:rPr>
            </w:pPr>
            <w:r>
              <w:rPr>
                <w:rFonts w:hint="eastAsia" w:ascii="宋体" w:hAnsi="宋体"/>
                <w:szCs w:val="21"/>
              </w:rPr>
              <w:t>2.投标报价得分四舍五入后，小数点后保留两位有效数。</w:t>
            </w:r>
          </w:p>
          <w:p>
            <w:pPr>
              <w:rPr>
                <w:rFonts w:hint="eastAsia" w:ascii="仿宋" w:hAnsi="仿宋" w:eastAsia="仿宋" w:cs="仿宋"/>
                <w:kern w:val="2"/>
                <w:sz w:val="21"/>
                <w:szCs w:val="21"/>
              </w:rPr>
            </w:pPr>
            <w:r>
              <w:rPr>
                <w:rFonts w:hint="eastAsia" w:ascii="宋体" w:hAnsi="宋体"/>
                <w:szCs w:val="21"/>
              </w:rPr>
              <w:t>因落实政府采购政策进行价格调整的，以调整后的价格计算评标基准价和投标报价。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restart"/>
            <w:tcBorders>
              <w:top w:val="single" w:color="000000" w:sz="8" w:space="0"/>
              <w:left w:val="single" w:color="000000" w:sz="8" w:space="0"/>
              <w:right w:val="single" w:color="000000" w:sz="8" w:space="0"/>
            </w:tcBorders>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w:t>
            </w:r>
          </w:p>
        </w:tc>
        <w:tc>
          <w:tcPr>
            <w:tcW w:w="1675" w:type="pct"/>
            <w:gridSpan w:val="3"/>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color w:val="44546A" w:themeColor="text2"/>
                <w:szCs w:val="21"/>
                <w14:textFill>
                  <w14:solidFill>
                    <w14:schemeClr w14:val="tx2"/>
                  </w14:solidFill>
                </w14:textFill>
              </w:rPr>
            </w:pPr>
            <w:r>
              <w:rPr>
                <w:rFonts w:hint="eastAsia" w:ascii="仿宋" w:hAnsi="仿宋" w:eastAsia="仿宋" w:cs="仿宋"/>
                <w:b/>
                <w:bCs/>
                <w:color w:val="44546A" w:themeColor="text2"/>
                <w:szCs w:val="21"/>
                <w14:textFill>
                  <w14:solidFill>
                    <w14:schemeClr w14:val="tx2"/>
                  </w14:solidFill>
                </w14:textFill>
              </w:rPr>
              <w:t>商务部分</w:t>
            </w:r>
          </w:p>
        </w:tc>
        <w:tc>
          <w:tcPr>
            <w:tcW w:w="2966" w:type="pct"/>
            <w:gridSpan w:val="2"/>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color w:val="44546A" w:themeColor="text2"/>
                <w:szCs w:val="21"/>
                <w14:textFill>
                  <w14:solidFill>
                    <w14:schemeClr w14:val="tx2"/>
                  </w14:solidFill>
                </w14:textFill>
              </w:rPr>
            </w:pPr>
            <w:r>
              <w:rPr>
                <w:rFonts w:hint="eastAsia" w:ascii="仿宋" w:hAnsi="仿宋" w:eastAsia="仿宋" w:cs="仿宋"/>
                <w:b/>
                <w:bCs/>
                <w:color w:val="44546A" w:themeColor="text2"/>
                <w:szCs w:val="21"/>
                <w14:textFill>
                  <w14:solidFill>
                    <w14:schemeClr w14:val="tx2"/>
                  </w14:solidFill>
                </w14:textFill>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7" w:hRule="atLeast"/>
        </w:trPr>
        <w:tc>
          <w:tcPr>
            <w:tcW w:w="359" w:type="pct"/>
            <w:vMerge w:val="continue"/>
            <w:tcBorders>
              <w:left w:val="single" w:color="000000" w:sz="8" w:space="0"/>
              <w:right w:val="single" w:color="000000" w:sz="8" w:space="0"/>
            </w:tcBorders>
          </w:tcPr>
          <w:p>
            <w:pPr>
              <w:jc w:val="center"/>
              <w:rPr>
                <w:rFonts w:hint="eastAsia" w:ascii="仿宋" w:hAnsi="仿宋" w:eastAsia="仿宋" w:cs="仿宋"/>
                <w:b/>
                <w:bCs/>
                <w:color w:val="000000" w:themeColor="text1"/>
                <w:szCs w:val="21"/>
                <w14:textFill>
                  <w14:solidFill>
                    <w14:schemeClr w14:val="tx1"/>
                  </w14:solidFill>
                </w14:textFill>
              </w:rPr>
            </w:pPr>
          </w:p>
        </w:tc>
        <w:tc>
          <w:tcPr>
            <w:tcW w:w="4641" w:type="pct"/>
            <w:gridSpan w:val="5"/>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color w:val="44546A" w:themeColor="text2"/>
                <w:szCs w:val="21"/>
                <w14:textFill>
                  <w14:solidFill>
                    <w14:schemeClr w14:val="tx2"/>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continue"/>
            <w:tcBorders>
              <w:left w:val="single" w:color="000000" w:sz="8" w:space="0"/>
              <w:right w:val="single" w:color="000000" w:sz="8" w:space="0"/>
            </w:tcBorders>
            <w:shd w:val="clear" w:color="auto" w:fill="E6EFFA"/>
            <w:vAlign w:val="center"/>
          </w:tcPr>
          <w:p>
            <w:pPr>
              <w:rPr>
                <w:rFonts w:hint="eastAsia" w:ascii="仿宋" w:hAnsi="仿宋" w:eastAsia="仿宋" w:cs="仿宋"/>
                <w:b/>
                <w:bCs/>
                <w:color w:val="000000" w:themeColor="text1"/>
                <w:szCs w:val="21"/>
                <w14:textFill>
                  <w14:solidFill>
                    <w14:schemeClr w14:val="tx1"/>
                  </w14:solidFill>
                </w14:textFill>
              </w:rPr>
            </w:pPr>
          </w:p>
        </w:tc>
        <w:tc>
          <w:tcPr>
            <w:tcW w:w="359" w:type="pct"/>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940" w:type="pct"/>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评分因素</w:t>
            </w:r>
          </w:p>
        </w:tc>
        <w:tc>
          <w:tcPr>
            <w:tcW w:w="377" w:type="pct"/>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分值范围</w:t>
            </w:r>
          </w:p>
        </w:tc>
        <w:tc>
          <w:tcPr>
            <w:tcW w:w="2966" w:type="pct"/>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continue"/>
            <w:tcBorders>
              <w:left w:val="single" w:color="000000" w:sz="8" w:space="0"/>
              <w:right w:val="single" w:color="000000" w:sz="8"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644"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szCs w:val="21"/>
              </w:rPr>
              <w:t>1</w:t>
            </w:r>
          </w:p>
        </w:tc>
        <w:tc>
          <w:tcPr>
            <w:tcW w:w="168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宋体" w:hAnsi="宋体"/>
                <w:szCs w:val="21"/>
              </w:rPr>
              <w:t>同类项目业绩</w:t>
            </w:r>
          </w:p>
        </w:tc>
        <w:tc>
          <w:tcPr>
            <w:tcW w:w="67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宋体" w:hAnsi="宋体"/>
                <w:szCs w:val="21"/>
              </w:rPr>
              <w:t>6</w:t>
            </w:r>
          </w:p>
        </w:tc>
        <w:tc>
          <w:tcPr>
            <w:tcW w:w="5316" w:type="dxa"/>
            <w:gridSpan w:val="2"/>
            <w:tcBorders>
              <w:top w:val="single" w:color="000000" w:sz="8" w:space="0"/>
              <w:left w:val="single" w:color="000000" w:sz="8" w:space="0"/>
              <w:bottom w:val="single" w:color="000000" w:sz="8" w:space="0"/>
              <w:right w:val="single" w:color="000000" w:sz="8" w:space="0"/>
            </w:tcBorders>
          </w:tcPr>
          <w:p>
            <w:pPr>
              <w:numPr>
                <w:ilvl w:val="0"/>
                <w:numId w:val="0"/>
              </w:numPr>
              <w:spacing w:line="560" w:lineRule="exact"/>
              <w:ind w:left="-318" w:leftChars="0"/>
              <w:jc w:val="left"/>
              <w:rPr>
                <w:rFonts w:hint="eastAsia" w:ascii="宋体" w:hAnsi="宋体"/>
                <w:b/>
                <w:szCs w:val="21"/>
              </w:rPr>
            </w:pPr>
            <w:r>
              <w:rPr>
                <w:rFonts w:hint="eastAsia" w:ascii="宋体" w:hAnsi="宋体"/>
                <w:b/>
                <w:szCs w:val="21"/>
                <w:lang w:val="en-US" w:eastAsia="zh-CN"/>
              </w:rPr>
              <w:t>1.1.</w:t>
            </w:r>
            <w:r>
              <w:rPr>
                <w:rFonts w:hint="eastAsia" w:ascii="宋体" w:hAnsi="宋体"/>
                <w:b/>
                <w:szCs w:val="21"/>
              </w:rPr>
              <w:t>评审标准</w:t>
            </w:r>
          </w:p>
          <w:p>
            <w:pPr>
              <w:rPr>
                <w:rFonts w:hint="eastAsia" w:ascii="宋体" w:hAnsi="宋体"/>
                <w:szCs w:val="21"/>
              </w:rPr>
            </w:pPr>
            <w:r>
              <w:rPr>
                <w:rFonts w:hint="eastAsia" w:ascii="宋体" w:hAnsi="宋体"/>
                <w:szCs w:val="21"/>
              </w:rPr>
              <w:t>投标人自2022年8月1日至投标截止时间前完成的同类项目业绩</w:t>
            </w:r>
            <w:r>
              <w:rPr>
                <w:rFonts w:hint="eastAsia" w:ascii="宋体" w:hAnsi="宋体"/>
                <w:szCs w:val="21"/>
                <w:lang w:eastAsia="zh-CN"/>
              </w:rPr>
              <w:t>（</w:t>
            </w:r>
            <w:r>
              <w:rPr>
                <w:rFonts w:hint="eastAsia" w:ascii="宋体" w:hAnsi="宋体"/>
                <w:szCs w:val="21"/>
              </w:rPr>
              <w:t>房屋结构安全检测类项目，以合同签订时间为准</w:t>
            </w:r>
            <w:r>
              <w:rPr>
                <w:rFonts w:hint="eastAsia" w:ascii="宋体" w:hAnsi="宋体"/>
                <w:szCs w:val="21"/>
                <w:lang w:eastAsia="zh-CN"/>
              </w:rPr>
              <w:t>）</w:t>
            </w:r>
            <w:r>
              <w:rPr>
                <w:rFonts w:hint="eastAsia" w:ascii="宋体" w:hAnsi="宋体"/>
                <w:szCs w:val="21"/>
              </w:rPr>
              <w:t>，每项业绩得2分，满分6分。</w:t>
            </w:r>
          </w:p>
          <w:p>
            <w:pPr>
              <w:numPr>
                <w:ilvl w:val="0"/>
                <w:numId w:val="0"/>
              </w:numPr>
              <w:ind w:left="-318" w:leftChars="0"/>
              <w:rPr>
                <w:rFonts w:hint="eastAsia" w:ascii="宋体" w:hAnsi="宋体"/>
                <w:b/>
                <w:szCs w:val="21"/>
              </w:rPr>
            </w:pPr>
            <w:r>
              <w:rPr>
                <w:rFonts w:hint="eastAsia" w:ascii="宋体" w:hAnsi="宋体"/>
                <w:b/>
                <w:szCs w:val="21"/>
                <w:lang w:val="en-US" w:eastAsia="zh-CN"/>
              </w:rPr>
              <w:t>222.</w:t>
            </w:r>
            <w:r>
              <w:rPr>
                <w:rFonts w:hint="eastAsia" w:ascii="宋体" w:hAnsi="宋体"/>
                <w:b/>
                <w:szCs w:val="21"/>
              </w:rPr>
              <w:t>证明文件</w:t>
            </w:r>
          </w:p>
          <w:p>
            <w:pPr>
              <w:rPr>
                <w:rFonts w:hint="eastAsia" w:ascii="宋体" w:hAnsi="宋体"/>
                <w:szCs w:val="21"/>
              </w:rPr>
            </w:pPr>
            <w:r>
              <w:rPr>
                <w:rFonts w:hint="eastAsia" w:ascii="宋体" w:hAnsi="宋体"/>
                <w:szCs w:val="21"/>
              </w:rPr>
              <w:t>1.要求提供合同关键信息页（通过合同关键信息页无法判断是否得分的，也可提供甲方出具的证明文件等</w:t>
            </w:r>
            <w:r>
              <w:rPr>
                <w:rFonts w:hint="eastAsia" w:ascii="宋体" w:hAnsi="宋体"/>
                <w:szCs w:val="21"/>
                <w:lang w:eastAsia="zh-CN"/>
              </w:rPr>
              <w:t>，</w:t>
            </w:r>
            <w:r>
              <w:rPr>
                <w:rFonts w:hint="eastAsia" w:ascii="宋体" w:hAnsi="宋体"/>
                <w:szCs w:val="21"/>
              </w:rPr>
              <w:t>要求提供</w:t>
            </w:r>
            <w:r>
              <w:rPr>
                <w:rFonts w:hint="eastAsia" w:ascii="宋体" w:hAnsi="宋体"/>
                <w:szCs w:val="21"/>
                <w:lang w:val="en-US" w:eastAsia="zh-CN"/>
              </w:rPr>
              <w:t>复印件</w:t>
            </w:r>
            <w:r>
              <w:rPr>
                <w:rFonts w:hint="eastAsia" w:ascii="宋体" w:hAnsi="宋体"/>
                <w:szCs w:val="21"/>
              </w:rPr>
              <w:t>扫描件，</w:t>
            </w:r>
            <w:r>
              <w:rPr>
                <w:rFonts w:hint="eastAsia" w:ascii="宋体" w:hAnsi="宋体"/>
                <w:szCs w:val="21"/>
                <w:lang w:val="en-US" w:eastAsia="zh-CN"/>
              </w:rPr>
              <w:t>加盖公章，</w:t>
            </w:r>
            <w:r>
              <w:rPr>
                <w:rFonts w:hint="eastAsia" w:ascii="宋体" w:hAnsi="宋体"/>
                <w:szCs w:val="21"/>
              </w:rPr>
              <w:t>原件备查）。</w:t>
            </w:r>
          </w:p>
          <w:p>
            <w:pPr>
              <w:rPr>
                <w:rFonts w:hint="eastAsia" w:ascii="仿宋" w:hAnsi="仿宋" w:eastAsia="仿宋" w:cs="仿宋"/>
                <w:color w:val="000000" w:themeColor="text1"/>
                <w:szCs w:val="21"/>
                <w14:textFill>
                  <w14:solidFill>
                    <w14:schemeClr w14:val="tx1"/>
                  </w14:solidFill>
                </w14:textFill>
              </w:rPr>
            </w:pPr>
            <w:r>
              <w:rPr>
                <w:rFonts w:hint="eastAsia" w:ascii="宋体" w:hAnsi="宋体"/>
                <w:szCs w:val="21"/>
              </w:rPr>
              <w:t>2.评分中出现无证明资料或专家无法凭所提供资料判断是否得分的情况，一律作不得分处理。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continue"/>
            <w:tcBorders>
              <w:left w:val="single" w:color="000000" w:sz="8" w:space="0"/>
              <w:right w:val="single" w:color="000000" w:sz="8"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644"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szCs w:val="21"/>
              </w:rPr>
              <w:t>2</w:t>
            </w:r>
          </w:p>
        </w:tc>
        <w:tc>
          <w:tcPr>
            <w:tcW w:w="168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宋体" w:hAnsi="宋体" w:cs="宋体"/>
                <w:szCs w:val="21"/>
              </w:rPr>
              <w:t>履约评价</w:t>
            </w:r>
          </w:p>
        </w:tc>
        <w:tc>
          <w:tcPr>
            <w:tcW w:w="67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宋体" w:hAnsi="宋体" w:cs="宋体"/>
                <w:szCs w:val="21"/>
              </w:rPr>
              <w:t>6</w:t>
            </w:r>
          </w:p>
        </w:tc>
        <w:tc>
          <w:tcPr>
            <w:tcW w:w="5316" w:type="dxa"/>
            <w:gridSpan w:val="2"/>
            <w:tcBorders>
              <w:top w:val="single" w:color="000000" w:sz="8" w:space="0"/>
              <w:left w:val="single" w:color="000000" w:sz="8" w:space="0"/>
              <w:bottom w:val="single" w:color="000000" w:sz="8" w:space="0"/>
              <w:right w:val="single" w:color="000000" w:sz="8" w:space="0"/>
            </w:tcBorders>
          </w:tcPr>
          <w:p>
            <w:pPr>
              <w:numPr>
                <w:ilvl w:val="0"/>
                <w:numId w:val="1"/>
              </w:numPr>
              <w:ind w:left="0" w:hanging="318"/>
              <w:rPr>
                <w:rFonts w:hint="eastAsia" w:ascii="宋体" w:hAnsi="宋体"/>
                <w:b/>
                <w:szCs w:val="21"/>
              </w:rPr>
            </w:pPr>
            <w:r>
              <w:rPr>
                <w:rFonts w:hint="eastAsia" w:ascii="宋体" w:hAnsi="宋体"/>
                <w:b/>
                <w:szCs w:val="21"/>
                <w:lang w:eastAsia="zh-CN"/>
              </w:rPr>
              <w:t>1.</w:t>
            </w:r>
            <w:r>
              <w:rPr>
                <w:rFonts w:hint="eastAsia" w:ascii="宋体" w:hAnsi="宋体"/>
                <w:b/>
                <w:szCs w:val="21"/>
              </w:rPr>
              <w:t>评审标准</w:t>
            </w:r>
          </w:p>
          <w:p>
            <w:pPr>
              <w:numPr>
                <w:ilvl w:val="0"/>
                <w:numId w:val="1"/>
              </w:numPr>
              <w:ind w:left="0" w:hanging="318"/>
              <w:rPr>
                <w:rFonts w:hint="eastAsia" w:ascii="宋体" w:hAnsi="宋体"/>
                <w:b/>
                <w:szCs w:val="21"/>
              </w:rPr>
            </w:pPr>
            <w:r>
              <w:rPr>
                <w:rFonts w:hint="eastAsia" w:ascii="宋体" w:hAnsi="宋体"/>
                <w:szCs w:val="21"/>
              </w:rPr>
              <w:t>投标人在上述“同类项目业绩”评审项中参加评审的业绩，能够提供用户出具的履约评价书，且评价为优</w:t>
            </w:r>
            <w:r>
              <w:rPr>
                <w:rFonts w:hint="eastAsia" w:ascii="宋体" w:hAnsi="宋体" w:eastAsia="宋体"/>
                <w:szCs w:val="21"/>
              </w:rPr>
              <w:t>（</w:t>
            </w:r>
            <w:r>
              <w:rPr>
                <w:rFonts w:hint="eastAsia" w:ascii="宋体" w:hAnsi="宋体" w:eastAsia="宋体" w:cs="黑体"/>
                <w:sz w:val="21"/>
                <w:szCs w:val="21"/>
              </w:rPr>
              <w:t>或其他最高评价等级</w:t>
            </w:r>
            <w:r>
              <w:rPr>
                <w:rFonts w:hint="eastAsia" w:ascii="宋体" w:hAnsi="宋体" w:eastAsia="宋体"/>
                <w:szCs w:val="21"/>
              </w:rPr>
              <w:t>）的，每份得2分，评价</w:t>
            </w:r>
            <w:r>
              <w:rPr>
                <w:rFonts w:hint="eastAsia" w:ascii="宋体" w:hAnsi="宋体"/>
                <w:szCs w:val="21"/>
              </w:rPr>
              <w:t>为合格（</w:t>
            </w:r>
            <w:r>
              <w:rPr>
                <w:rFonts w:hint="eastAsia" w:ascii="宋体" w:hAnsi="宋体" w:eastAsia="宋体" w:cs="黑体"/>
                <w:sz w:val="21"/>
                <w:szCs w:val="21"/>
              </w:rPr>
              <w:t>或其他</w:t>
            </w:r>
            <w:r>
              <w:rPr>
                <w:rFonts w:hint="eastAsia" w:ascii="宋体" w:hAnsi="宋体" w:eastAsia="宋体" w:cs="黑体"/>
                <w:sz w:val="21"/>
                <w:szCs w:val="21"/>
                <w:lang w:val="en-US" w:eastAsia="zh-CN"/>
              </w:rPr>
              <w:t>次</w:t>
            </w:r>
            <w:r>
              <w:rPr>
                <w:rFonts w:hint="eastAsia" w:ascii="宋体" w:hAnsi="宋体" w:eastAsia="宋体" w:cs="黑体"/>
                <w:sz w:val="21"/>
                <w:szCs w:val="21"/>
              </w:rPr>
              <w:t>高评价等级</w:t>
            </w:r>
            <w:r>
              <w:rPr>
                <w:rFonts w:hint="eastAsia" w:ascii="宋体" w:hAnsi="宋体"/>
                <w:szCs w:val="21"/>
              </w:rPr>
              <w:t>）的，每份得0.5分，其他情况不得分；本项满分6分。</w:t>
            </w:r>
          </w:p>
          <w:p>
            <w:pPr>
              <w:numPr>
                <w:ilvl w:val="0"/>
                <w:numId w:val="1"/>
              </w:numPr>
              <w:ind w:left="0" w:hanging="318"/>
              <w:rPr>
                <w:rFonts w:hint="eastAsia" w:ascii="宋体" w:hAnsi="宋体"/>
                <w:b/>
                <w:szCs w:val="21"/>
              </w:rPr>
            </w:pPr>
            <w:r>
              <w:rPr>
                <w:rFonts w:hint="eastAsia" w:ascii="宋体" w:hAnsi="宋体"/>
                <w:b/>
                <w:szCs w:val="21"/>
                <w:lang w:eastAsia="zh-CN"/>
              </w:rPr>
              <w:t>2.</w:t>
            </w:r>
            <w:r>
              <w:rPr>
                <w:rFonts w:hint="eastAsia" w:ascii="宋体" w:hAnsi="宋体"/>
                <w:b/>
                <w:szCs w:val="21"/>
              </w:rPr>
              <w:t>证明文件</w:t>
            </w:r>
          </w:p>
          <w:p>
            <w:pPr>
              <w:rPr>
                <w:rFonts w:hint="eastAsia" w:ascii="仿宋" w:hAnsi="仿宋" w:eastAsia="仿宋" w:cs="仿宋"/>
                <w:color w:val="000000" w:themeColor="text1"/>
                <w:szCs w:val="21"/>
                <w14:textFill>
                  <w14:solidFill>
                    <w14:schemeClr w14:val="tx1"/>
                  </w14:solidFill>
                </w14:textFill>
              </w:rPr>
            </w:pPr>
            <w:r>
              <w:rPr>
                <w:rFonts w:hint="eastAsia" w:ascii="宋体" w:hAnsi="宋体"/>
                <w:szCs w:val="21"/>
              </w:rPr>
              <w:t>投标人提供用户出具的履约评价书（加盖用户单位公章）原件扫描件，原件备查，未提供或提供不清晰导致无法判断的，不得分。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continue"/>
            <w:tcBorders>
              <w:left w:val="single" w:color="000000" w:sz="8" w:space="0"/>
              <w:bottom w:val="single" w:color="000000" w:sz="8" w:space="0"/>
              <w:right w:val="single" w:color="000000" w:sz="8"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644"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szCs w:val="21"/>
              </w:rPr>
              <w:t>3</w:t>
            </w:r>
          </w:p>
        </w:tc>
        <w:tc>
          <w:tcPr>
            <w:tcW w:w="168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cs="宋体"/>
                <w:szCs w:val="21"/>
              </w:rPr>
              <w:t>投标人资质情况</w:t>
            </w:r>
          </w:p>
        </w:tc>
        <w:tc>
          <w:tcPr>
            <w:tcW w:w="67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宋体" w:cs="仿宋"/>
                <w:color w:val="000000" w:themeColor="text1"/>
                <w:szCs w:val="21"/>
                <w:lang w:eastAsia="zh-CN"/>
                <w14:textFill>
                  <w14:solidFill>
                    <w14:schemeClr w14:val="tx1"/>
                  </w14:solidFill>
                </w14:textFill>
              </w:rPr>
            </w:pPr>
            <w:r>
              <w:rPr>
                <w:rFonts w:hint="eastAsia"/>
                <w:szCs w:val="21"/>
                <w:lang w:val="en-US" w:eastAsia="zh-CN"/>
              </w:rPr>
              <w:t>7</w:t>
            </w:r>
          </w:p>
        </w:tc>
        <w:tc>
          <w:tcPr>
            <w:tcW w:w="5316" w:type="dxa"/>
            <w:gridSpan w:val="2"/>
            <w:tcBorders>
              <w:top w:val="single" w:color="000000" w:sz="8" w:space="0"/>
              <w:left w:val="single" w:color="000000" w:sz="8" w:space="0"/>
              <w:bottom w:val="single" w:color="000000" w:sz="8" w:space="0"/>
              <w:right w:val="single" w:color="000000" w:sz="8" w:space="0"/>
            </w:tcBorders>
            <w:vAlign w:val="center"/>
          </w:tcPr>
          <w:p>
            <w:pPr>
              <w:numPr>
                <w:ilvl w:val="0"/>
                <w:numId w:val="1"/>
              </w:numPr>
              <w:ind w:left="0" w:hanging="318"/>
              <w:rPr>
                <w:rFonts w:hint="eastAsia" w:ascii="宋体" w:hAnsi="宋体"/>
                <w:b/>
                <w:szCs w:val="21"/>
              </w:rPr>
            </w:pPr>
            <w:r>
              <w:rPr>
                <w:rFonts w:hint="eastAsia" w:ascii="宋体" w:hAnsi="宋体"/>
                <w:b/>
                <w:szCs w:val="21"/>
                <w:lang w:eastAsia="zh-CN"/>
              </w:rPr>
              <w:t>1.</w:t>
            </w:r>
            <w:r>
              <w:rPr>
                <w:rFonts w:hint="eastAsia" w:ascii="宋体" w:hAnsi="宋体"/>
                <w:b/>
                <w:szCs w:val="21"/>
              </w:rPr>
              <w:t>评审标准</w:t>
            </w:r>
          </w:p>
          <w:p>
            <w:pPr>
              <w:numPr>
                <w:ilvl w:val="0"/>
                <w:numId w:val="2"/>
              </w:numPr>
              <w:rPr>
                <w:rFonts w:hint="eastAsia" w:ascii="宋体" w:hAnsi="宋体"/>
                <w:szCs w:val="21"/>
              </w:rPr>
            </w:pPr>
            <w:r>
              <w:rPr>
                <w:rFonts w:hint="eastAsia" w:ascii="宋体" w:hAnsi="宋体"/>
                <w:szCs w:val="21"/>
              </w:rPr>
              <w:t>具有质量管理体系认证证书的，得</w:t>
            </w:r>
            <w:r>
              <w:rPr>
                <w:rFonts w:hint="eastAsia" w:ascii="宋体" w:hAnsi="宋体"/>
                <w:szCs w:val="21"/>
                <w:lang w:val="en-US" w:eastAsia="zh-CN"/>
              </w:rPr>
              <w:t>1</w:t>
            </w:r>
            <w:r>
              <w:rPr>
                <w:rFonts w:hint="eastAsia" w:ascii="宋体" w:hAnsi="宋体"/>
                <w:szCs w:val="21"/>
              </w:rPr>
              <w:t>分；</w:t>
            </w:r>
          </w:p>
          <w:p>
            <w:pPr>
              <w:widowControl/>
              <w:numPr>
                <w:ilvl w:val="-1"/>
                <w:numId w:val="0"/>
              </w:numPr>
              <w:spacing w:before="0" w:afterAutospacing="0"/>
              <w:ind w:left="0" w:firstLine="0"/>
              <w:jc w:val="left"/>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.具有CNAS实验室认可证书的，得</w:t>
            </w:r>
            <w:r>
              <w:rPr>
                <w:rFonts w:hint="eastAsia" w:ascii="宋体" w:hAnsi="宋体"/>
                <w:szCs w:val="21"/>
                <w:lang w:val="en-US" w:eastAsia="zh-CN"/>
              </w:rPr>
              <w:t>3</w:t>
            </w:r>
            <w:r>
              <w:rPr>
                <w:rFonts w:hint="eastAsia" w:ascii="宋体" w:hAnsi="宋体"/>
                <w:szCs w:val="21"/>
              </w:rPr>
              <w:t>分</w:t>
            </w:r>
            <w:r>
              <w:rPr>
                <w:rFonts w:hint="eastAsia" w:ascii="宋体" w:hAnsi="宋体"/>
                <w:szCs w:val="21"/>
                <w:lang w:eastAsia="zh-CN"/>
              </w:rPr>
              <w:t>；</w:t>
            </w:r>
          </w:p>
          <w:p>
            <w:pPr>
              <w:numPr>
                <w:ilvl w:val="0"/>
                <w:numId w:val="0"/>
              </w:numPr>
            </w:pPr>
            <w:r>
              <w:rPr>
                <w:rFonts w:hint="eastAsia" w:ascii="宋体" w:hAnsi="宋体"/>
                <w:szCs w:val="21"/>
                <w:lang w:val="en-US" w:eastAsia="zh-CN"/>
              </w:rPr>
              <w:t>3</w:t>
            </w:r>
            <w:r>
              <w:rPr>
                <w:rFonts w:hint="eastAsia" w:ascii="宋体" w:hAnsi="宋体"/>
                <w:szCs w:val="21"/>
              </w:rPr>
              <w:t>.具有CNAS检验机构认可证书的，得</w:t>
            </w:r>
            <w:r>
              <w:rPr>
                <w:rFonts w:hint="eastAsia" w:ascii="宋体" w:hAnsi="宋体"/>
                <w:szCs w:val="21"/>
                <w:lang w:val="en-US" w:eastAsia="zh-CN"/>
              </w:rPr>
              <w:t>3</w:t>
            </w:r>
            <w:r>
              <w:rPr>
                <w:rFonts w:hint="eastAsia" w:ascii="宋体" w:hAnsi="宋体"/>
                <w:szCs w:val="21"/>
              </w:rPr>
              <w:t>分。</w:t>
            </w:r>
          </w:p>
          <w:p>
            <w:pPr>
              <w:numPr>
                <w:ilvl w:val="0"/>
                <w:numId w:val="1"/>
              </w:numPr>
              <w:ind w:left="0" w:hanging="318"/>
              <w:rPr>
                <w:szCs w:val="21"/>
              </w:rPr>
            </w:pPr>
            <w:r>
              <w:rPr>
                <w:rFonts w:hint="eastAsia" w:ascii="宋体" w:hAnsi="宋体"/>
                <w:b/>
                <w:szCs w:val="21"/>
                <w:lang w:eastAsia="zh-CN"/>
              </w:rPr>
              <w:t>2.</w:t>
            </w:r>
            <w:r>
              <w:rPr>
                <w:rFonts w:hint="eastAsia" w:ascii="宋体" w:hAnsi="宋体"/>
                <w:b/>
                <w:szCs w:val="21"/>
              </w:rPr>
              <w:t>证明文件</w:t>
            </w:r>
          </w:p>
          <w:p>
            <w:pPr>
              <w:jc w:val="left"/>
              <w:rPr>
                <w:rFonts w:eastAsia="仿宋" w:cs="宋体"/>
                <w:szCs w:val="21"/>
              </w:rPr>
            </w:pPr>
            <w:r>
              <w:rPr>
                <w:rFonts w:hint="eastAsia" w:cs="宋体"/>
                <w:szCs w:val="21"/>
              </w:rPr>
              <w:t>1.要求提供有效的证书作为得分依据，未提供或不清晰的不得分。</w:t>
            </w:r>
          </w:p>
          <w:p>
            <w:pPr>
              <w:jc w:val="left"/>
              <w:rPr>
                <w:rFonts w:hint="eastAsia" w:ascii="仿宋" w:hAnsi="仿宋" w:eastAsia="仿宋" w:cs="仿宋"/>
                <w:color w:val="000000" w:themeColor="text1"/>
                <w:szCs w:val="21"/>
                <w14:textFill>
                  <w14:solidFill>
                    <w14:schemeClr w14:val="tx1"/>
                  </w14:solidFill>
                </w14:textFill>
              </w:rPr>
            </w:pPr>
            <w:r>
              <w:rPr>
                <w:szCs w:val="21"/>
              </w:rPr>
              <w:t>2</w:t>
            </w:r>
            <w:r>
              <w:rPr>
                <w:rFonts w:hint="eastAsia"/>
                <w:szCs w:val="21"/>
              </w:rPr>
              <w:t>.以上材料提供复印件或扫描件，原件备查。未提供有效证明材料的或者提供的证明材料不符合要求的或者提供的证明材料不清晰导致评审专家无法辨认的，一律作不得分处理。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tcBorders>
              <w:left w:val="single" w:color="000000" w:sz="8" w:space="0"/>
              <w:bottom w:val="single" w:color="000000" w:sz="8" w:space="0"/>
              <w:right w:val="single" w:color="000000" w:sz="8"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644"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szCs w:val="21"/>
              </w:rPr>
              <w:t>4</w:t>
            </w:r>
          </w:p>
        </w:tc>
        <w:tc>
          <w:tcPr>
            <w:tcW w:w="168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宋体" w:cs="仿宋"/>
                <w:color w:val="000000" w:themeColor="text1"/>
                <w:szCs w:val="21"/>
                <w:lang w:eastAsia="zh-CN"/>
                <w14:textFill>
                  <w14:solidFill>
                    <w14:schemeClr w14:val="tx1"/>
                  </w14:solidFill>
                </w14:textFill>
              </w:rPr>
            </w:pPr>
            <w:r>
              <w:rPr>
                <w:rFonts w:hint="eastAsia" w:cs="宋体"/>
                <w:szCs w:val="21"/>
              </w:rPr>
              <w:t>项目负责人</w:t>
            </w:r>
            <w:r>
              <w:rPr>
                <w:rFonts w:hint="eastAsia" w:cs="宋体"/>
                <w:szCs w:val="21"/>
                <w:lang w:eastAsia="zh-CN"/>
              </w:rPr>
              <w:t>（</w:t>
            </w:r>
            <w:r>
              <w:rPr>
                <w:rFonts w:hint="eastAsia" w:cs="宋体"/>
                <w:szCs w:val="21"/>
                <w:lang w:val="en-US" w:eastAsia="zh-CN"/>
              </w:rPr>
              <w:t>仅限1人</w:t>
            </w:r>
            <w:r>
              <w:rPr>
                <w:rFonts w:hint="eastAsia" w:cs="宋体"/>
                <w:szCs w:val="21"/>
                <w:lang w:eastAsia="zh-CN"/>
              </w:rPr>
              <w:t>）</w:t>
            </w:r>
          </w:p>
        </w:tc>
        <w:tc>
          <w:tcPr>
            <w:tcW w:w="67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宋体" w:cs="仿宋"/>
                <w:color w:val="000000" w:themeColor="text1"/>
                <w:szCs w:val="21"/>
                <w:highlight w:val="none"/>
                <w:lang w:eastAsia="zh-CN"/>
                <w14:textFill>
                  <w14:solidFill>
                    <w14:schemeClr w14:val="tx1"/>
                  </w14:solidFill>
                </w14:textFill>
              </w:rPr>
            </w:pPr>
            <w:r>
              <w:rPr>
                <w:rFonts w:hint="eastAsia" w:cs="Courier New"/>
                <w:szCs w:val="21"/>
                <w:highlight w:val="none"/>
                <w:lang w:val="en-US" w:eastAsia="zh-CN"/>
              </w:rPr>
              <w:t>8</w:t>
            </w:r>
          </w:p>
        </w:tc>
        <w:tc>
          <w:tcPr>
            <w:tcW w:w="5316" w:type="dxa"/>
            <w:gridSpan w:val="2"/>
            <w:tcBorders>
              <w:top w:val="single" w:color="000000" w:sz="8" w:space="0"/>
              <w:left w:val="single" w:color="000000" w:sz="8" w:space="0"/>
              <w:bottom w:val="single" w:color="000000" w:sz="8" w:space="0"/>
              <w:right w:val="single" w:color="000000" w:sz="8" w:space="0"/>
            </w:tcBorders>
            <w:vAlign w:val="center"/>
          </w:tcPr>
          <w:p>
            <w:pPr>
              <w:numPr>
                <w:ilvl w:val="0"/>
                <w:numId w:val="0"/>
              </w:numPr>
              <w:ind w:leftChars="0"/>
              <w:rPr>
                <w:rFonts w:hint="eastAsia" w:ascii="宋体" w:hAnsi="宋体"/>
                <w:b/>
                <w:szCs w:val="21"/>
                <w:highlight w:val="none"/>
              </w:rPr>
            </w:pPr>
            <w:r>
              <w:rPr>
                <w:rFonts w:hint="eastAsia" w:ascii="宋体" w:hAnsi="宋体"/>
                <w:b/>
                <w:szCs w:val="21"/>
                <w:highlight w:val="none"/>
                <w:lang w:val="en-US" w:eastAsia="zh-CN"/>
              </w:rPr>
              <w:t>1.</w:t>
            </w:r>
            <w:r>
              <w:rPr>
                <w:rFonts w:hint="eastAsia" w:ascii="宋体" w:hAnsi="宋体"/>
                <w:b/>
                <w:szCs w:val="21"/>
                <w:highlight w:val="none"/>
              </w:rPr>
              <w:t>评审标准</w:t>
            </w:r>
          </w:p>
          <w:p>
            <w:pPr>
              <w:widowControl/>
              <w:numPr>
                <w:ilvl w:val="-1"/>
                <w:numId w:val="0"/>
              </w:numPr>
              <w:spacing w:before="0" w:afterAutospacing="0"/>
              <w:ind w:left="0" w:firstLine="0"/>
              <w:jc w:val="left"/>
              <w:rPr>
                <w:rFonts w:hint="eastAsia" w:ascii="宋体" w:hAnsi="宋体"/>
                <w:szCs w:val="21"/>
                <w:lang w:val="zh-CN"/>
              </w:rPr>
            </w:pPr>
            <w:r>
              <w:rPr>
                <w:rFonts w:hint="eastAsia" w:ascii="宋体" w:hAnsi="宋体"/>
                <w:szCs w:val="21"/>
              </w:rPr>
              <w:t>1.</w:t>
            </w:r>
            <w:r>
              <w:rPr>
                <w:rFonts w:hint="eastAsia" w:ascii="宋体" w:hAnsi="宋体"/>
                <w:szCs w:val="21"/>
                <w:lang w:val="zh-CN"/>
              </w:rPr>
              <w:t>具有结构类</w:t>
            </w:r>
            <w:r>
              <w:rPr>
                <w:rFonts w:hint="eastAsia" w:ascii="宋体" w:hAnsi="宋体"/>
                <w:szCs w:val="21"/>
                <w:lang w:val="en-US" w:eastAsia="zh-CN"/>
              </w:rPr>
              <w:t>本科学历得1分，</w:t>
            </w:r>
            <w:r>
              <w:rPr>
                <w:rFonts w:hint="eastAsia" w:ascii="宋体" w:hAnsi="宋体"/>
                <w:szCs w:val="21"/>
                <w:lang w:val="zh-CN"/>
              </w:rPr>
              <w:t>具有结构类硕士研究生或以上学</w:t>
            </w:r>
            <w:r>
              <w:rPr>
                <w:rFonts w:hint="eastAsia" w:ascii="宋体" w:hAnsi="宋体"/>
                <w:szCs w:val="21"/>
                <w:lang w:val="en-US" w:eastAsia="zh-CN"/>
              </w:rPr>
              <w:t>历</w:t>
            </w:r>
            <w:r>
              <w:rPr>
                <w:rFonts w:hint="eastAsia" w:ascii="宋体" w:hAnsi="宋体"/>
                <w:szCs w:val="21"/>
                <w:lang w:val="zh-CN"/>
              </w:rPr>
              <w:t>得2分；</w:t>
            </w:r>
          </w:p>
          <w:p>
            <w:pPr>
              <w:widowControl/>
              <w:numPr>
                <w:ilvl w:val="-1"/>
                <w:numId w:val="0"/>
              </w:numPr>
              <w:spacing w:before="0" w:afterAutospacing="0"/>
              <w:ind w:left="0" w:firstLine="0"/>
              <w:jc w:val="left"/>
              <w:rPr>
                <w:rFonts w:hint="eastAsia" w:ascii="宋体" w:hAnsi="宋体"/>
                <w:szCs w:val="21"/>
                <w:lang w:val="zh-CN"/>
              </w:rPr>
            </w:pPr>
            <w:r>
              <w:rPr>
                <w:rFonts w:hint="eastAsia" w:ascii="宋体" w:hAnsi="宋体"/>
                <w:szCs w:val="21"/>
              </w:rPr>
              <w:t>2.具有高级</w:t>
            </w:r>
            <w:r>
              <w:rPr>
                <w:rFonts w:hint="eastAsia" w:ascii="宋体" w:hAnsi="宋体"/>
                <w:szCs w:val="21"/>
                <w:lang w:val="en-US" w:eastAsia="zh-CN"/>
              </w:rPr>
              <w:t>或</w:t>
            </w:r>
            <w:r>
              <w:rPr>
                <w:rFonts w:hint="eastAsia" w:ascii="宋体" w:hAnsi="宋体"/>
                <w:szCs w:val="21"/>
              </w:rPr>
              <w:t>以上</w:t>
            </w:r>
            <w:r>
              <w:rPr>
                <w:rFonts w:hint="eastAsia" w:ascii="宋体" w:hAnsi="宋体"/>
                <w:szCs w:val="21"/>
                <w:lang w:val="en-US" w:eastAsia="zh-CN"/>
              </w:rPr>
              <w:t>技术</w:t>
            </w:r>
            <w:r>
              <w:rPr>
                <w:rFonts w:hint="eastAsia" w:ascii="宋体" w:hAnsi="宋体"/>
                <w:szCs w:val="21"/>
              </w:rPr>
              <w:t>职称（结构类专业）得2分</w:t>
            </w:r>
            <w:r>
              <w:rPr>
                <w:rFonts w:hint="eastAsia" w:ascii="宋体" w:hAnsi="宋体"/>
                <w:szCs w:val="21"/>
                <w:lang w:val="zh-CN"/>
              </w:rPr>
              <w:t>；</w:t>
            </w:r>
          </w:p>
          <w:p>
            <w:pPr>
              <w:widowControl/>
              <w:numPr>
                <w:ilvl w:val="-1"/>
                <w:numId w:val="0"/>
              </w:numPr>
              <w:spacing w:before="0" w:afterAutospacing="0"/>
              <w:ind w:left="0" w:firstLine="0"/>
              <w:jc w:val="left"/>
              <w:rPr>
                <w:rFonts w:hint="default" w:eastAsia="宋体" w:cs="Courier New"/>
                <w:szCs w:val="21"/>
                <w:highlight w:val="none"/>
                <w:lang w:val="en-US" w:eastAsia="zh-CN"/>
              </w:rPr>
            </w:pPr>
            <w:r>
              <w:rPr>
                <w:rFonts w:hint="eastAsia" w:ascii="宋体" w:hAnsi="宋体"/>
                <w:szCs w:val="21"/>
                <w:lang w:val="en-US" w:eastAsia="zh-CN"/>
              </w:rPr>
              <w:t>3.具有结构类专业检测</w:t>
            </w:r>
            <w:r>
              <w:rPr>
                <w:rFonts w:hint="eastAsia" w:ascii="宋体" w:hAnsi="宋体"/>
                <w:szCs w:val="21"/>
              </w:rPr>
              <w:t>项目经验</w:t>
            </w:r>
            <w:r>
              <w:rPr>
                <w:rFonts w:hint="eastAsia" w:ascii="宋体" w:hAnsi="宋体"/>
                <w:szCs w:val="21"/>
                <w:lang w:eastAsia="zh-CN"/>
              </w:rPr>
              <w:t>，</w:t>
            </w:r>
            <w:r>
              <w:rPr>
                <w:rFonts w:hint="eastAsia" w:ascii="宋体" w:hAnsi="宋体"/>
                <w:szCs w:val="21"/>
              </w:rPr>
              <w:t>每提供1个</w:t>
            </w:r>
            <w:r>
              <w:rPr>
                <w:rFonts w:hint="eastAsia" w:ascii="宋体" w:hAnsi="宋体"/>
                <w:szCs w:val="21"/>
                <w:lang w:val="en-US" w:eastAsia="zh-CN"/>
              </w:rPr>
              <w:t>结构类专业检测</w:t>
            </w:r>
            <w:r>
              <w:rPr>
                <w:rFonts w:hint="eastAsia" w:ascii="宋体" w:hAnsi="宋体"/>
                <w:szCs w:val="21"/>
              </w:rPr>
              <w:t>项目经验得</w:t>
            </w:r>
            <w:r>
              <w:rPr>
                <w:rFonts w:hint="eastAsia" w:ascii="宋体" w:hAnsi="宋体"/>
                <w:szCs w:val="21"/>
                <w:lang w:val="en-US" w:eastAsia="zh-CN"/>
              </w:rPr>
              <w:t>1</w:t>
            </w:r>
            <w:r>
              <w:rPr>
                <w:rFonts w:hint="eastAsia" w:ascii="宋体" w:hAnsi="宋体"/>
                <w:szCs w:val="21"/>
              </w:rPr>
              <w:t>分，最高得</w:t>
            </w:r>
            <w:r>
              <w:rPr>
                <w:rFonts w:hint="eastAsia" w:ascii="宋体" w:hAnsi="宋体"/>
                <w:szCs w:val="21"/>
                <w:lang w:val="en-US" w:eastAsia="zh-CN"/>
              </w:rPr>
              <w:t>4</w:t>
            </w:r>
            <w:r>
              <w:rPr>
                <w:rFonts w:hint="eastAsia" w:ascii="宋体" w:hAnsi="宋体"/>
                <w:szCs w:val="21"/>
              </w:rPr>
              <w:t>分</w:t>
            </w:r>
            <w:r>
              <w:rPr>
                <w:rFonts w:hint="eastAsia" w:ascii="宋体" w:hAnsi="宋体"/>
                <w:szCs w:val="21"/>
                <w:lang w:val="zh-CN"/>
              </w:rPr>
              <w:t>。</w:t>
            </w:r>
            <w:r>
              <w:rPr>
                <w:rFonts w:hint="eastAsia" w:ascii="宋体" w:hAnsi="宋体"/>
                <w:szCs w:val="21"/>
                <w:lang w:val="en-US" w:eastAsia="zh-CN"/>
              </w:rPr>
              <w:t xml:space="preserve"> </w:t>
            </w:r>
            <w:r>
              <w:rPr>
                <w:rFonts w:hint="eastAsia" w:cs="Courier New"/>
                <w:szCs w:val="21"/>
                <w:highlight w:val="none"/>
                <w:lang w:val="en-US" w:eastAsia="zh-CN"/>
              </w:rPr>
              <w:t xml:space="preserve">            </w:t>
            </w:r>
          </w:p>
          <w:p>
            <w:pPr>
              <w:rPr>
                <w:rFonts w:hint="eastAsia" w:ascii="宋体" w:hAnsi="宋体"/>
                <w:b/>
                <w:szCs w:val="21"/>
                <w:highlight w:val="none"/>
              </w:rPr>
            </w:pPr>
            <w:r>
              <w:rPr>
                <w:rFonts w:hint="eastAsia" w:ascii="宋体" w:hAnsi="宋体"/>
                <w:b/>
                <w:szCs w:val="21"/>
                <w:highlight w:val="none"/>
                <w:lang w:eastAsia="zh-CN"/>
              </w:rPr>
              <w:t>2.</w:t>
            </w:r>
            <w:r>
              <w:rPr>
                <w:rFonts w:hint="eastAsia" w:ascii="宋体" w:hAnsi="宋体"/>
                <w:b/>
                <w:szCs w:val="21"/>
                <w:highlight w:val="none"/>
              </w:rPr>
              <w:t>证明文件</w:t>
            </w:r>
          </w:p>
          <w:p>
            <w:pPr>
              <w:widowControl/>
              <w:numPr>
                <w:ilvl w:val="-1"/>
                <w:numId w:val="0"/>
              </w:numPr>
              <w:spacing w:before="0" w:afterAutospacing="0"/>
              <w:ind w:left="0" w:firstLine="0"/>
              <w:jc w:val="left"/>
              <w:rPr>
                <w:rFonts w:hint="eastAsia" w:ascii="宋体" w:hAnsi="宋体"/>
                <w:szCs w:val="21"/>
                <w:lang w:val="en-US" w:eastAsia="zh-CN"/>
              </w:rPr>
            </w:pPr>
            <w:r>
              <w:rPr>
                <w:rFonts w:hint="eastAsia" w:ascii="宋体" w:hAnsi="宋体"/>
                <w:szCs w:val="21"/>
                <w:lang w:val="en-US" w:eastAsia="zh-CN"/>
              </w:rPr>
              <w:t>提供学位或学历证书复印件或扫描件以及学信网查询记录；学信网无法查询的，可提供其他佐证材料：如毕业院校、人社部门等颁发机构或监管机构等单位出具的证明，留学归国人员如无法提供学信网查询记录截图，提供国（境）外学历证书（以及中文翻译件）和教育部留学服务中心出具的国外学历学位认证证书【或教育部留学服务中心网站（http://zwfw.cscse.edu.cn/）在线查询截图】也予以认可）。</w:t>
            </w:r>
          </w:p>
          <w:p>
            <w:pPr>
              <w:widowControl/>
              <w:numPr>
                <w:ilvl w:val="-1"/>
                <w:numId w:val="0"/>
              </w:numPr>
              <w:spacing w:before="0" w:afterAutospacing="0"/>
              <w:ind w:left="0" w:firstLine="0"/>
              <w:jc w:val="left"/>
              <w:rPr>
                <w:rFonts w:hint="eastAsia" w:ascii="宋体" w:hAnsi="宋体"/>
                <w:szCs w:val="21"/>
                <w:lang w:val="en-US" w:eastAsia="zh-CN"/>
              </w:rPr>
            </w:pPr>
            <w:r>
              <w:rPr>
                <w:rFonts w:hint="eastAsia" w:ascii="宋体" w:hAnsi="宋体"/>
                <w:szCs w:val="21"/>
                <w:lang w:val="en-US" w:eastAsia="zh-CN"/>
              </w:rPr>
              <w:t>2.提供人员的</w:t>
            </w:r>
            <w:r>
              <w:rPr>
                <w:rFonts w:hint="eastAsia" w:ascii="宋体" w:hAnsi="宋体"/>
                <w:szCs w:val="21"/>
                <w:lang w:val="en-US"/>
              </w:rPr>
              <w:t>职称证书</w:t>
            </w:r>
            <w:r>
              <w:rPr>
                <w:rFonts w:hint="eastAsia" w:ascii="宋体" w:hAnsi="宋体"/>
                <w:szCs w:val="21"/>
                <w:lang w:val="en-US" w:eastAsia="zh-CN"/>
              </w:rPr>
              <w:t>复印件或扫描件。</w:t>
            </w:r>
          </w:p>
          <w:p>
            <w:pPr>
              <w:widowControl/>
              <w:numPr>
                <w:ilvl w:val="-1"/>
                <w:numId w:val="0"/>
              </w:numPr>
              <w:spacing w:before="0" w:afterAutospacing="0"/>
              <w:ind w:left="0" w:firstLine="0"/>
              <w:jc w:val="left"/>
              <w:rPr>
                <w:rFonts w:hint="eastAsia" w:ascii="宋体" w:hAnsi="宋体"/>
                <w:szCs w:val="21"/>
                <w:lang w:val="en-US" w:eastAsia="zh-CN"/>
              </w:rPr>
            </w:pPr>
            <w:r>
              <w:rPr>
                <w:rFonts w:hint="eastAsia" w:ascii="宋体" w:hAnsi="宋体"/>
                <w:szCs w:val="21"/>
                <w:lang w:val="zh-CN" w:eastAsia="zh-CN"/>
              </w:rPr>
              <w:t>3</w:t>
            </w:r>
            <w:r>
              <w:rPr>
                <w:rFonts w:hint="eastAsia" w:ascii="宋体" w:hAnsi="宋体"/>
                <w:szCs w:val="21"/>
                <w:lang w:val="en-US" w:eastAsia="zh-CN"/>
              </w:rPr>
              <w:t>.涉及考察人员工作经验，要求提供项目合同或劳动合同关键信息（需体现相应工作经验）作为得分依据，通过合同关键信息无法判断是否得分的，可以提供其他证明文件（加盖公章或业务章）。</w:t>
            </w:r>
          </w:p>
          <w:p>
            <w:pPr>
              <w:widowControl/>
              <w:numPr>
                <w:ilvl w:val="-1"/>
                <w:numId w:val="0"/>
              </w:numPr>
              <w:spacing w:before="0" w:afterAutospacing="0"/>
              <w:ind w:left="0" w:firstLine="0"/>
              <w:jc w:val="left"/>
              <w:rPr>
                <w:rFonts w:hint="eastAsia" w:ascii="宋体" w:hAnsi="宋体"/>
                <w:szCs w:val="21"/>
                <w:lang w:val="en-US" w:eastAsia="zh-CN"/>
              </w:rPr>
            </w:pPr>
            <w:r>
              <w:rPr>
                <w:rFonts w:hint="eastAsia" w:ascii="宋体" w:hAnsi="宋体"/>
                <w:szCs w:val="21"/>
                <w:lang w:val="zh-CN" w:eastAsia="zh-CN"/>
              </w:rPr>
              <w:t>4</w:t>
            </w:r>
            <w:r>
              <w:rPr>
                <w:rFonts w:hint="eastAsia" w:ascii="宋体" w:hAnsi="宋体"/>
                <w:szCs w:val="21"/>
                <w:lang w:val="en-US" w:eastAsia="zh-CN"/>
              </w:rPr>
              <w:t>.提供上述人员近一个月投标人为其购买的社保证明；如开标日上一个月的社保材料因社保部门或税务部门原因暂时无法取得，则可以往前顺延一个月；如投标方注册成立时间不足1个月的，可提供承诺函（格式自拟）。退休返聘人员提供相关人员退休证及劳动合同。</w:t>
            </w:r>
          </w:p>
          <w:p>
            <w:pPr>
              <w:widowControl/>
              <w:numPr>
                <w:ilvl w:val="-1"/>
                <w:numId w:val="0"/>
              </w:numPr>
              <w:spacing w:before="0" w:afterAutospacing="0"/>
              <w:ind w:left="0" w:firstLine="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宋体" w:hAnsi="宋体"/>
                <w:szCs w:val="21"/>
                <w:lang w:val="zh-CN" w:eastAsia="zh-CN"/>
              </w:rPr>
              <w:t>5</w:t>
            </w:r>
            <w:r>
              <w:rPr>
                <w:rFonts w:hint="eastAsia" w:ascii="宋体" w:hAnsi="宋体"/>
                <w:szCs w:val="21"/>
                <w:lang w:val="en-US" w:eastAsia="zh-CN"/>
              </w:rPr>
              <w:t>.以上证明文件原件备查，未按要求提供或提供不清晰、不完整导致专家无法判断的不得分。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tcBorders>
              <w:left w:val="single" w:color="000000" w:sz="8" w:space="0"/>
              <w:bottom w:val="single" w:color="auto" w:sz="4" w:space="0"/>
              <w:right w:val="single" w:color="000000" w:sz="8"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644" w:type="dxa"/>
            <w:tcBorders>
              <w:top w:val="single" w:color="000000" w:sz="8" w:space="0"/>
              <w:left w:val="single" w:color="000000" w:sz="8" w:space="0"/>
              <w:bottom w:val="single" w:color="auto" w:sz="4"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szCs w:val="21"/>
              </w:rPr>
              <w:t>5</w:t>
            </w:r>
          </w:p>
        </w:tc>
        <w:tc>
          <w:tcPr>
            <w:tcW w:w="1685" w:type="dxa"/>
            <w:tcBorders>
              <w:top w:val="single" w:color="000000" w:sz="8" w:space="0"/>
              <w:left w:val="single" w:color="000000" w:sz="8" w:space="0"/>
              <w:bottom w:val="single" w:color="auto" w:sz="4"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cs="宋体"/>
                <w:szCs w:val="21"/>
              </w:rPr>
              <w:t>项目团队（项目负责人除外）成员</w:t>
            </w:r>
          </w:p>
        </w:tc>
        <w:tc>
          <w:tcPr>
            <w:tcW w:w="676" w:type="dxa"/>
            <w:tcBorders>
              <w:top w:val="single" w:color="000000" w:sz="8" w:space="0"/>
              <w:left w:val="single" w:color="000000" w:sz="8" w:space="0"/>
              <w:bottom w:val="single" w:color="auto" w:sz="4" w:space="0"/>
              <w:right w:val="single" w:color="000000" w:sz="8" w:space="0"/>
            </w:tcBorders>
            <w:vAlign w:val="center"/>
          </w:tcPr>
          <w:p>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eastAsia="仿宋"/>
                <w:szCs w:val="21"/>
                <w:highlight w:val="none"/>
                <w:lang w:val="en-US" w:eastAsia="zh-CN"/>
              </w:rPr>
              <w:t>12</w:t>
            </w:r>
          </w:p>
        </w:tc>
        <w:tc>
          <w:tcPr>
            <w:tcW w:w="5316" w:type="dxa"/>
            <w:gridSpan w:val="2"/>
            <w:tcBorders>
              <w:top w:val="single" w:color="000000" w:sz="8" w:space="0"/>
              <w:left w:val="single" w:color="000000" w:sz="8" w:space="0"/>
              <w:bottom w:val="single" w:color="auto" w:sz="4" w:space="0"/>
              <w:right w:val="single" w:color="000000" w:sz="8" w:space="0"/>
            </w:tcBorders>
            <w:vAlign w:val="center"/>
          </w:tcPr>
          <w:p>
            <w:pPr>
              <w:numPr>
                <w:ilvl w:val="-1"/>
                <w:numId w:val="0"/>
              </w:numPr>
              <w:ind w:left="0" w:firstLine="0"/>
              <w:rPr>
                <w:rFonts w:hint="eastAsia" w:ascii="宋体" w:hAnsi="宋体"/>
                <w:b/>
                <w:szCs w:val="21"/>
              </w:rPr>
            </w:pPr>
            <w:r>
              <w:rPr>
                <w:rFonts w:hint="eastAsia" w:ascii="宋体" w:hAnsi="宋体"/>
                <w:b/>
                <w:szCs w:val="21"/>
                <w:lang w:eastAsia="zh-CN"/>
              </w:rPr>
              <w:t>1.</w:t>
            </w:r>
            <w:r>
              <w:rPr>
                <w:rFonts w:hint="eastAsia" w:ascii="宋体" w:hAnsi="宋体"/>
                <w:b/>
                <w:szCs w:val="21"/>
              </w:rPr>
              <w:t>评审标准</w:t>
            </w:r>
          </w:p>
          <w:p>
            <w:pPr>
              <w:rPr>
                <w:rFonts w:hint="eastAsia" w:cs="宋体"/>
                <w:szCs w:val="21"/>
              </w:rPr>
            </w:pPr>
            <w:r>
              <w:rPr>
                <w:rFonts w:hint="eastAsia" w:cs="宋体"/>
                <w:szCs w:val="21"/>
              </w:rPr>
              <w:t>1.拟派检测团队中（不含项目负责人）具有一级注册结构工程师，每有一人得2分，此项满分得2分。</w:t>
            </w:r>
          </w:p>
          <w:p>
            <w:pPr>
              <w:rPr>
                <w:rFonts w:hint="eastAsia" w:cs="宋体"/>
                <w:szCs w:val="21"/>
              </w:rPr>
            </w:pPr>
            <w:r>
              <w:rPr>
                <w:rFonts w:hint="eastAsia" w:cs="宋体"/>
                <w:szCs w:val="21"/>
              </w:rPr>
              <w:t>2.拟派检测团队中（不含项目负责人）具有一级注册岩土工程师证书，每有一人得2分，此项满分得2分。</w:t>
            </w:r>
          </w:p>
          <w:p>
            <w:pPr>
              <w:rPr>
                <w:rFonts w:hint="eastAsia" w:cs="宋体"/>
                <w:szCs w:val="21"/>
              </w:rPr>
            </w:pPr>
            <w:r>
              <w:rPr>
                <w:rFonts w:hint="eastAsia" w:cs="宋体"/>
                <w:szCs w:val="21"/>
                <w:lang w:val="en-US" w:eastAsia="zh-CN"/>
              </w:rPr>
              <w:t>3</w:t>
            </w:r>
            <w:r>
              <w:rPr>
                <w:rFonts w:hint="eastAsia" w:cs="宋体"/>
                <w:szCs w:val="21"/>
              </w:rPr>
              <w:t>.拟派检测团队中（不含项目负责人）具有（建筑类、结构类</w:t>
            </w:r>
            <w:r>
              <w:rPr>
                <w:rFonts w:hint="eastAsia" w:cs="宋体"/>
                <w:szCs w:val="21"/>
                <w:lang w:eastAsia="zh-CN"/>
              </w:rPr>
              <w:t>、</w:t>
            </w:r>
            <w:r>
              <w:rPr>
                <w:rFonts w:hint="eastAsia" w:cs="宋体"/>
                <w:szCs w:val="21"/>
                <w:lang w:val="en-US" w:eastAsia="zh-CN"/>
              </w:rPr>
              <w:t>岩土类</w:t>
            </w:r>
            <w:r>
              <w:rPr>
                <w:rFonts w:hint="eastAsia" w:cs="宋体"/>
                <w:szCs w:val="21"/>
              </w:rPr>
              <w:t>）中级工程师或以上职称，每有一人得0.5分</w:t>
            </w:r>
            <w:r>
              <w:rPr>
                <w:rFonts w:hint="eastAsia" w:cs="宋体"/>
                <w:szCs w:val="21"/>
                <w:lang w:eastAsia="zh-CN"/>
              </w:rPr>
              <w:t>，</w:t>
            </w:r>
            <w:r>
              <w:rPr>
                <w:rFonts w:hint="eastAsia" w:cs="宋体"/>
                <w:szCs w:val="21"/>
              </w:rPr>
              <w:t>具有（建筑类、结构类</w:t>
            </w:r>
            <w:r>
              <w:rPr>
                <w:rFonts w:hint="eastAsia" w:cs="宋体"/>
                <w:szCs w:val="21"/>
                <w:lang w:eastAsia="zh-CN"/>
              </w:rPr>
              <w:t>、</w:t>
            </w:r>
            <w:r>
              <w:rPr>
                <w:rFonts w:hint="eastAsia" w:cs="宋体"/>
                <w:szCs w:val="21"/>
                <w:lang w:val="en-US" w:eastAsia="zh-CN"/>
              </w:rPr>
              <w:t>岩土类</w:t>
            </w:r>
            <w:r>
              <w:rPr>
                <w:rFonts w:hint="eastAsia" w:cs="宋体"/>
                <w:szCs w:val="21"/>
              </w:rPr>
              <w:t>）副高级工程师或以上职称，每有一人得1分</w:t>
            </w:r>
            <w:r>
              <w:rPr>
                <w:rFonts w:hint="eastAsia" w:cs="宋体"/>
                <w:szCs w:val="21"/>
                <w:lang w:eastAsia="zh-CN"/>
              </w:rPr>
              <w:t>；</w:t>
            </w:r>
            <w:r>
              <w:rPr>
                <w:rFonts w:hint="eastAsia" w:cs="宋体"/>
                <w:szCs w:val="21"/>
              </w:rPr>
              <w:t>此项满分得</w:t>
            </w:r>
            <w:r>
              <w:rPr>
                <w:rFonts w:hint="eastAsia" w:cs="宋体"/>
                <w:szCs w:val="21"/>
                <w:lang w:val="en-US" w:eastAsia="zh-CN"/>
              </w:rPr>
              <w:t>4</w:t>
            </w:r>
            <w:r>
              <w:rPr>
                <w:rFonts w:hint="eastAsia" w:cs="宋体"/>
                <w:szCs w:val="21"/>
              </w:rPr>
              <w:t>分。</w:t>
            </w:r>
          </w:p>
          <w:p>
            <w:pPr>
              <w:rPr>
                <w:rFonts w:hint="eastAsia" w:cs="宋体"/>
                <w:szCs w:val="21"/>
              </w:rPr>
            </w:pPr>
            <w:r>
              <w:rPr>
                <w:rFonts w:hint="eastAsia" w:cs="宋体"/>
                <w:szCs w:val="21"/>
                <w:lang w:val="en-US" w:eastAsia="zh-CN"/>
              </w:rPr>
              <w:t>4.</w:t>
            </w:r>
            <w:r>
              <w:rPr>
                <w:rFonts w:hint="eastAsia" w:cs="宋体"/>
                <w:szCs w:val="21"/>
              </w:rPr>
              <w:t>拟派检测团队中（不含项目负责人）</w:t>
            </w:r>
            <w:r>
              <w:rPr>
                <w:rFonts w:hint="eastAsia" w:cs="宋体"/>
                <w:szCs w:val="21"/>
                <w:lang w:val="en-US" w:eastAsia="zh-CN"/>
              </w:rPr>
              <w:t>具有</w:t>
            </w:r>
            <w:r>
              <w:rPr>
                <w:rFonts w:hint="eastAsia" w:cs="宋体"/>
                <w:szCs w:val="21"/>
              </w:rPr>
              <w:t>从事相关检测工作</w:t>
            </w:r>
            <w:r>
              <w:rPr>
                <w:rFonts w:hint="eastAsia" w:cs="宋体"/>
                <w:szCs w:val="21"/>
                <w:lang w:val="en-US" w:eastAsia="zh-CN"/>
              </w:rPr>
              <w:t>5</w:t>
            </w:r>
            <w:r>
              <w:rPr>
                <w:rFonts w:hint="eastAsia" w:cs="宋体"/>
                <w:szCs w:val="21"/>
              </w:rPr>
              <w:t>年</w:t>
            </w:r>
            <w:r>
              <w:rPr>
                <w:rFonts w:hint="eastAsia" w:cs="宋体"/>
                <w:szCs w:val="21"/>
                <w:lang w:val="en-US" w:eastAsia="zh-CN"/>
              </w:rPr>
              <w:t>或</w:t>
            </w:r>
            <w:r>
              <w:rPr>
                <w:rFonts w:hint="eastAsia" w:cs="宋体"/>
                <w:szCs w:val="21"/>
              </w:rPr>
              <w:t>以上</w:t>
            </w:r>
            <w:r>
              <w:rPr>
                <w:rFonts w:hint="eastAsia" w:cs="宋体"/>
                <w:szCs w:val="21"/>
                <w:lang w:val="en-US" w:eastAsia="zh-CN"/>
              </w:rPr>
              <w:t>工作经验的，</w:t>
            </w:r>
            <w:r>
              <w:rPr>
                <w:rFonts w:hint="eastAsia" w:cs="宋体"/>
                <w:szCs w:val="21"/>
              </w:rPr>
              <w:t>每有一人得</w:t>
            </w:r>
            <w:r>
              <w:rPr>
                <w:rFonts w:hint="eastAsia" w:cs="宋体"/>
                <w:szCs w:val="21"/>
                <w:lang w:val="en-US" w:eastAsia="zh-CN"/>
              </w:rPr>
              <w:t>1</w:t>
            </w:r>
            <w:r>
              <w:rPr>
                <w:rFonts w:hint="eastAsia" w:cs="宋体"/>
                <w:szCs w:val="21"/>
              </w:rPr>
              <w:t>分，此项满分得4分。</w:t>
            </w:r>
          </w:p>
          <w:p>
            <w:pPr>
              <w:rPr>
                <w:rFonts w:hint="eastAsia" w:cs="宋体"/>
                <w:szCs w:val="21"/>
              </w:rPr>
            </w:pPr>
            <w:r>
              <w:rPr>
                <w:rFonts w:hint="eastAsia" w:cs="宋体"/>
                <w:szCs w:val="21"/>
              </w:rPr>
              <w:t>同一人员按照最高项得分取值，不重复计算得分。</w:t>
            </w:r>
          </w:p>
          <w:p>
            <w:pPr>
              <w:rPr>
                <w:rFonts w:hint="eastAsia" w:ascii="宋体" w:hAnsi="宋体"/>
                <w:b/>
                <w:szCs w:val="21"/>
              </w:rPr>
            </w:pPr>
            <w:r>
              <w:rPr>
                <w:rFonts w:hint="eastAsia" w:ascii="宋体" w:hAnsi="宋体"/>
                <w:b/>
                <w:szCs w:val="21"/>
                <w:lang w:eastAsia="zh-CN"/>
              </w:rPr>
              <w:t>2.</w:t>
            </w:r>
            <w:r>
              <w:rPr>
                <w:rFonts w:hint="eastAsia" w:ascii="宋体" w:hAnsi="宋体"/>
                <w:b/>
                <w:szCs w:val="21"/>
              </w:rPr>
              <w:t>证明文件</w:t>
            </w:r>
          </w:p>
          <w:p>
            <w:pPr>
              <w:rPr>
                <w:rFonts w:hint="eastAsia" w:cs="宋体"/>
                <w:szCs w:val="21"/>
                <w:lang w:val="en-US" w:eastAsia="zh-CN"/>
              </w:rPr>
            </w:pPr>
            <w:r>
              <w:rPr>
                <w:rFonts w:hint="eastAsia" w:cs="宋体"/>
                <w:szCs w:val="21"/>
                <w:lang w:val="en-US" w:eastAsia="zh-CN"/>
              </w:rPr>
              <w:t>1.提供人员的资质证书、职称证书复印件或扫描件。同一成员具有多种证书，不可重复得分。</w:t>
            </w:r>
          </w:p>
          <w:p>
            <w:pPr>
              <w:rPr>
                <w:rFonts w:hint="eastAsia" w:cs="宋体"/>
                <w:szCs w:val="21"/>
                <w:lang w:val="en-US" w:eastAsia="zh-CN"/>
              </w:rPr>
            </w:pPr>
            <w:r>
              <w:rPr>
                <w:rFonts w:hint="eastAsia" w:cs="宋体"/>
                <w:szCs w:val="21"/>
                <w:lang w:val="en-US" w:eastAsia="zh-CN"/>
              </w:rPr>
              <w:t>2.涉及考察人员工作经验，要求提供项目合同或劳动合同关键信息（需体现相应工作经验年限）作为得分依据，通过合同关键信息无法判断是否得分的，可以提供其他证明文件（加盖公章或业务章）。</w:t>
            </w:r>
          </w:p>
          <w:p>
            <w:pPr>
              <w:rPr>
                <w:rFonts w:hint="eastAsia" w:cs="宋体"/>
                <w:szCs w:val="21"/>
                <w:lang w:val="en-US" w:eastAsia="zh-CN"/>
              </w:rPr>
            </w:pPr>
            <w:r>
              <w:rPr>
                <w:rFonts w:hint="eastAsia" w:cs="宋体"/>
                <w:szCs w:val="21"/>
                <w:lang w:val="en-US" w:eastAsia="zh-CN"/>
              </w:rPr>
              <w:t>3.提供上述人员近一个月投标方为其购买的社保证明；如开标日上一个月的社保材料因社保部门或税务部门原因暂时无法取得，则可以往前顺延一个月；如投标方注册成立时间不足1个月的，可提供承诺函（格式自拟）。退休返聘人员提供相关人员退休证及劳动合同。</w:t>
            </w:r>
          </w:p>
          <w:p>
            <w:pPr>
              <w:rPr>
                <w:rFonts w:hint="eastAsia" w:ascii="仿宋" w:hAnsi="仿宋" w:eastAsia="仿宋" w:cs="仿宋"/>
                <w:color w:val="000000" w:themeColor="text1"/>
                <w:szCs w:val="21"/>
                <w14:textFill>
                  <w14:solidFill>
                    <w14:schemeClr w14:val="tx1"/>
                  </w14:solidFill>
                </w14:textFill>
              </w:rPr>
            </w:pPr>
            <w:r>
              <w:rPr>
                <w:rFonts w:hint="eastAsia" w:cs="宋体"/>
                <w:szCs w:val="21"/>
                <w:lang w:val="en-US" w:eastAsia="zh-CN"/>
              </w:rPr>
              <w:t>4.以上证明文件原件备查，未按要求提供或提供不清晰、不完整导致专家无法判断的不得分。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tcBorders>
              <w:left w:val="single" w:color="000000" w:sz="8" w:space="0"/>
              <w:bottom w:val="single" w:color="auto" w:sz="4" w:space="0"/>
              <w:right w:val="single" w:color="000000" w:sz="8"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644" w:type="dxa"/>
            <w:tcBorders>
              <w:top w:val="single" w:color="000000" w:sz="8" w:space="0"/>
              <w:left w:val="single" w:color="000000" w:sz="8" w:space="0"/>
              <w:bottom w:val="single" w:color="auto" w:sz="4" w:space="0"/>
              <w:right w:val="single" w:color="000000" w:sz="8" w:space="0"/>
            </w:tcBorders>
            <w:vAlign w:val="center"/>
          </w:tcPr>
          <w:p>
            <w:pPr>
              <w:jc w:val="center"/>
              <w:rPr>
                <w:szCs w:val="21"/>
              </w:rPr>
            </w:pPr>
            <w:r>
              <w:rPr>
                <w:rFonts w:hint="eastAsia"/>
                <w:szCs w:val="21"/>
              </w:rPr>
              <w:t>6</w:t>
            </w:r>
          </w:p>
        </w:tc>
        <w:tc>
          <w:tcPr>
            <w:tcW w:w="1685" w:type="dxa"/>
            <w:tcBorders>
              <w:top w:val="single" w:color="000000" w:sz="8" w:space="0"/>
              <w:left w:val="single" w:color="000000" w:sz="8" w:space="0"/>
              <w:bottom w:val="single" w:color="auto" w:sz="4" w:space="0"/>
              <w:right w:val="single" w:color="000000" w:sz="8" w:space="0"/>
            </w:tcBorders>
            <w:vAlign w:val="center"/>
          </w:tcPr>
          <w:p>
            <w:pPr>
              <w:jc w:val="center"/>
              <w:rPr>
                <w:rFonts w:cs="宋体"/>
                <w:szCs w:val="21"/>
              </w:rPr>
            </w:pPr>
            <w:r>
              <w:rPr>
                <w:rFonts w:hint="eastAsia" w:cs="宋体"/>
                <w:szCs w:val="22"/>
              </w:rPr>
              <w:t>业务能力</w:t>
            </w:r>
          </w:p>
        </w:tc>
        <w:tc>
          <w:tcPr>
            <w:tcW w:w="676" w:type="dxa"/>
            <w:tcBorders>
              <w:top w:val="single" w:color="000000" w:sz="8" w:space="0"/>
              <w:left w:val="single" w:color="000000" w:sz="8" w:space="0"/>
              <w:bottom w:val="single" w:color="auto" w:sz="4" w:space="0"/>
              <w:right w:val="single" w:color="000000" w:sz="8" w:space="0"/>
            </w:tcBorders>
            <w:vAlign w:val="center"/>
          </w:tcPr>
          <w:p>
            <w:pPr>
              <w:jc w:val="center"/>
              <w:rPr>
                <w:szCs w:val="21"/>
                <w:highlight w:val="none"/>
              </w:rPr>
            </w:pPr>
            <w:r>
              <w:rPr>
                <w:rFonts w:hint="eastAsia"/>
                <w:bCs/>
                <w:szCs w:val="21"/>
                <w:highlight w:val="none"/>
              </w:rPr>
              <w:t>6</w:t>
            </w:r>
          </w:p>
        </w:tc>
        <w:tc>
          <w:tcPr>
            <w:tcW w:w="5316" w:type="dxa"/>
            <w:gridSpan w:val="2"/>
            <w:tcBorders>
              <w:top w:val="single" w:color="000000" w:sz="8" w:space="0"/>
              <w:left w:val="single" w:color="000000" w:sz="8" w:space="0"/>
              <w:bottom w:val="single" w:color="auto" w:sz="4" w:space="0"/>
              <w:right w:val="single" w:color="000000" w:sz="8" w:space="0"/>
            </w:tcBorders>
            <w:vAlign w:val="center"/>
          </w:tcPr>
          <w:p>
            <w:pPr>
              <w:numPr>
                <w:ilvl w:val="-1"/>
                <w:numId w:val="0"/>
              </w:numPr>
              <w:ind w:left="0" w:firstLine="0"/>
              <w:rPr>
                <w:rFonts w:hint="eastAsia" w:ascii="宋体" w:hAnsi="宋体"/>
                <w:b/>
                <w:szCs w:val="21"/>
              </w:rPr>
            </w:pPr>
            <w:r>
              <w:rPr>
                <w:rFonts w:hint="eastAsia" w:ascii="宋体" w:hAnsi="宋体"/>
                <w:b/>
                <w:szCs w:val="21"/>
                <w:lang w:eastAsia="zh-CN"/>
              </w:rPr>
              <w:t>1.</w:t>
            </w:r>
            <w:r>
              <w:rPr>
                <w:rFonts w:hint="eastAsia" w:ascii="宋体" w:hAnsi="宋体"/>
                <w:b/>
                <w:szCs w:val="21"/>
              </w:rPr>
              <w:t>评审标准</w:t>
            </w:r>
          </w:p>
          <w:p>
            <w:pPr>
              <w:rPr>
                <w:rFonts w:hint="eastAsia" w:eastAsia="宋体"/>
                <w:szCs w:val="21"/>
                <w:highlight w:val="none"/>
                <w:lang w:eastAsia="zh-CN"/>
              </w:rPr>
            </w:pPr>
            <w:r>
              <w:rPr>
                <w:szCs w:val="21"/>
                <w:highlight w:val="none"/>
              </w:rPr>
              <w:t>1.</w:t>
            </w:r>
            <w:r>
              <w:rPr>
                <w:rFonts w:hint="eastAsia"/>
                <w:bCs/>
                <w:szCs w:val="21"/>
                <w:highlight w:val="none"/>
              </w:rPr>
              <w:t>评投标人</w:t>
            </w:r>
            <w:r>
              <w:rPr>
                <w:bCs/>
                <w:szCs w:val="21"/>
                <w:highlight w:val="none"/>
              </w:rPr>
              <w:t>2017</w:t>
            </w:r>
            <w:r>
              <w:rPr>
                <w:rFonts w:hint="eastAsia"/>
                <w:bCs/>
                <w:szCs w:val="21"/>
                <w:highlight w:val="none"/>
              </w:rPr>
              <w:t>年</w:t>
            </w:r>
            <w:r>
              <w:rPr>
                <w:bCs/>
                <w:szCs w:val="21"/>
                <w:highlight w:val="none"/>
              </w:rPr>
              <w:t>1</w:t>
            </w:r>
            <w:r>
              <w:rPr>
                <w:rFonts w:hint="eastAsia"/>
                <w:bCs/>
                <w:szCs w:val="21"/>
                <w:highlight w:val="none"/>
              </w:rPr>
              <w:t>月</w:t>
            </w:r>
            <w:r>
              <w:rPr>
                <w:bCs/>
                <w:szCs w:val="21"/>
                <w:highlight w:val="none"/>
              </w:rPr>
              <w:t>1</w:t>
            </w:r>
            <w:r>
              <w:rPr>
                <w:rFonts w:hint="eastAsia"/>
                <w:bCs/>
                <w:szCs w:val="21"/>
                <w:highlight w:val="none"/>
              </w:rPr>
              <w:t>日至本项目投标截止之日（以标准发布时间为准）参与编制国家、行业、地方标准，每提供</w:t>
            </w:r>
            <w:r>
              <w:rPr>
                <w:bCs/>
                <w:szCs w:val="21"/>
                <w:highlight w:val="none"/>
              </w:rPr>
              <w:t>1</w:t>
            </w:r>
            <w:r>
              <w:rPr>
                <w:rFonts w:hint="eastAsia"/>
                <w:bCs/>
                <w:szCs w:val="21"/>
                <w:highlight w:val="none"/>
              </w:rPr>
              <w:t>项得</w:t>
            </w:r>
            <w:r>
              <w:rPr>
                <w:bCs/>
                <w:szCs w:val="21"/>
                <w:highlight w:val="none"/>
              </w:rPr>
              <w:t>2</w:t>
            </w:r>
            <w:r>
              <w:rPr>
                <w:rFonts w:hint="eastAsia"/>
                <w:bCs/>
                <w:szCs w:val="21"/>
                <w:highlight w:val="none"/>
              </w:rPr>
              <w:t>分，</w:t>
            </w:r>
            <w:r>
              <w:rPr>
                <w:rFonts w:hint="eastAsia"/>
                <w:szCs w:val="21"/>
                <w:highlight w:val="none"/>
              </w:rPr>
              <w:t>本项最高</w:t>
            </w:r>
            <w:r>
              <w:rPr>
                <w:rFonts w:hint="eastAsia"/>
                <w:bCs/>
                <w:szCs w:val="21"/>
                <w:highlight w:val="none"/>
              </w:rPr>
              <w:t>得</w:t>
            </w:r>
            <w:r>
              <w:rPr>
                <w:bCs/>
                <w:szCs w:val="21"/>
                <w:highlight w:val="none"/>
              </w:rPr>
              <w:t>6</w:t>
            </w:r>
            <w:r>
              <w:rPr>
                <w:rFonts w:hint="eastAsia"/>
                <w:bCs/>
                <w:szCs w:val="21"/>
                <w:highlight w:val="none"/>
              </w:rPr>
              <w:t>分</w:t>
            </w:r>
            <w:r>
              <w:rPr>
                <w:rFonts w:hint="eastAsia"/>
                <w:szCs w:val="21"/>
                <w:highlight w:val="none"/>
                <w:lang w:eastAsia="zh-CN"/>
              </w:rPr>
              <w:t>。</w:t>
            </w:r>
          </w:p>
          <w:p>
            <w:pPr>
              <w:rPr>
                <w:rFonts w:hint="eastAsia" w:ascii="宋体" w:hAnsi="宋体"/>
                <w:b/>
                <w:szCs w:val="21"/>
              </w:rPr>
            </w:pPr>
            <w:r>
              <w:rPr>
                <w:rFonts w:hint="eastAsia" w:ascii="宋体" w:hAnsi="宋体"/>
                <w:b/>
                <w:szCs w:val="21"/>
                <w:lang w:eastAsia="zh-CN"/>
              </w:rPr>
              <w:t>2.</w:t>
            </w:r>
            <w:r>
              <w:rPr>
                <w:rFonts w:hint="eastAsia" w:ascii="宋体" w:hAnsi="宋体"/>
                <w:b/>
                <w:szCs w:val="21"/>
              </w:rPr>
              <w:t>证明文件</w:t>
            </w:r>
          </w:p>
          <w:p>
            <w:pPr>
              <w:rPr>
                <w:szCs w:val="21"/>
                <w:highlight w:val="none"/>
              </w:rPr>
            </w:pPr>
            <w:r>
              <w:rPr>
                <w:rFonts w:hint="eastAsia"/>
                <w:szCs w:val="21"/>
                <w:highlight w:val="none"/>
              </w:rPr>
              <w:t>1.</w:t>
            </w:r>
            <w:r>
              <w:rPr>
                <w:rFonts w:hint="eastAsia"/>
                <w:bCs/>
                <w:szCs w:val="21"/>
                <w:highlight w:val="none"/>
              </w:rPr>
              <w:t>提供相关标准封面页、署名页扫描件，需能体现投标人信息。如未按要求提供证明材料，或所提供的证明材料未能体现上述评分内容的，一律作不得分处理</w:t>
            </w:r>
            <w:r>
              <w:rPr>
                <w:rFonts w:hint="eastAsia"/>
                <w:szCs w:val="21"/>
                <w:highlight w:val="none"/>
              </w:rPr>
              <w:t>。</w:t>
            </w:r>
          </w:p>
          <w:p>
            <w:pPr>
              <w:rPr>
                <w:rFonts w:hint="eastAsia" w:ascii="仿宋" w:hAnsi="仿宋" w:eastAsia="仿宋" w:cs="仿宋"/>
                <w:color w:val="000000" w:themeColor="text1"/>
                <w:szCs w:val="21"/>
                <w:highlight w:val="none"/>
                <w14:textFill>
                  <w14:solidFill>
                    <w14:schemeClr w14:val="tx1"/>
                  </w14:solidFill>
                </w14:textFill>
              </w:rPr>
            </w:pPr>
            <w:r>
              <w:rPr>
                <w:rFonts w:hint="eastAsia"/>
                <w:szCs w:val="21"/>
                <w:highlight w:val="none"/>
              </w:rPr>
              <w:t>备注：</w:t>
            </w:r>
            <w:r>
              <w:rPr>
                <w:szCs w:val="21"/>
                <w:highlight w:val="none"/>
              </w:rPr>
              <w:t>未提供有效证明材料的或者提供的证明材料不符合要求的或者提供的证明材料不清晰导致评审专家无法辨认的，一律作不得分处理。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restart"/>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w:t>
            </w:r>
          </w:p>
        </w:tc>
        <w:tc>
          <w:tcPr>
            <w:tcW w:w="1675" w:type="pct"/>
            <w:gridSpan w:val="3"/>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44546A" w:themeColor="text2"/>
                <w:szCs w:val="21"/>
                <w14:textFill>
                  <w14:solidFill>
                    <w14:schemeClr w14:val="tx2"/>
                  </w14:solidFill>
                </w14:textFill>
              </w:rPr>
            </w:pPr>
            <w:r>
              <w:rPr>
                <w:rFonts w:hint="eastAsia" w:ascii="仿宋" w:hAnsi="仿宋" w:eastAsia="仿宋" w:cs="仿宋"/>
                <w:b/>
                <w:bCs/>
                <w:color w:val="44546A" w:themeColor="text2"/>
                <w:szCs w:val="21"/>
                <w14:textFill>
                  <w14:solidFill>
                    <w14:schemeClr w14:val="tx2"/>
                  </w14:solidFill>
                </w14:textFill>
              </w:rPr>
              <w:t>技术部分</w:t>
            </w:r>
          </w:p>
        </w:tc>
        <w:tc>
          <w:tcPr>
            <w:tcW w:w="2966" w:type="pct"/>
            <w:gridSpan w:val="2"/>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44546A" w:themeColor="text2"/>
                <w:szCs w:val="21"/>
                <w14:textFill>
                  <w14:solidFill>
                    <w14:schemeClr w14:val="tx2"/>
                  </w14:solidFill>
                </w14:textFill>
              </w:rPr>
            </w:pPr>
            <w:r>
              <w:rPr>
                <w:rFonts w:hint="eastAsia" w:ascii="仿宋" w:hAnsi="仿宋" w:eastAsia="仿宋" w:cs="仿宋"/>
                <w:b/>
                <w:bCs/>
                <w:color w:val="44546A" w:themeColor="text2"/>
                <w:szCs w:val="21"/>
                <w14:textFill>
                  <w14:solidFill>
                    <w14:schemeClr w14:val="tx2"/>
                  </w14:solidFill>
                </w14:textFill>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continue"/>
            <w:tcBorders>
              <w:top w:val="single" w:color="auto" w:sz="4" w:space="0"/>
              <w:left w:val="single" w:color="auto" w:sz="4" w:space="0"/>
              <w:bottom w:val="single" w:color="auto" w:sz="4" w:space="0"/>
              <w:right w:val="single" w:color="auto" w:sz="4" w:space="0"/>
            </w:tcBorders>
            <w:shd w:val="clear" w:color="auto" w:fill="E6EFFA"/>
            <w:vAlign w:val="center"/>
          </w:tcPr>
          <w:p>
            <w:pPr>
              <w:rPr>
                <w:rFonts w:hint="eastAsia" w:ascii="仿宋" w:hAnsi="仿宋" w:eastAsia="仿宋" w:cs="仿宋"/>
                <w:b/>
                <w:bCs/>
                <w:color w:val="000000" w:themeColor="text1"/>
                <w:szCs w:val="21"/>
                <w14:textFill>
                  <w14:solidFill>
                    <w14:schemeClr w14:val="tx1"/>
                  </w14:solidFill>
                </w14:textFill>
              </w:rPr>
            </w:pPr>
          </w:p>
        </w:tc>
        <w:tc>
          <w:tcPr>
            <w:tcW w:w="359" w:type="pct"/>
            <w:tcBorders>
              <w:top w:val="single" w:color="auto" w:sz="4" w:space="0"/>
              <w:left w:val="single" w:color="auto" w:sz="4" w:space="0"/>
              <w:bottom w:val="single" w:color="auto" w:sz="4" w:space="0"/>
              <w:right w:val="single" w:color="auto" w:sz="4"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940" w:type="pct"/>
            <w:tcBorders>
              <w:top w:val="single" w:color="auto" w:sz="4" w:space="0"/>
              <w:left w:val="single" w:color="auto" w:sz="4" w:space="0"/>
              <w:bottom w:val="single" w:color="auto" w:sz="4" w:space="0"/>
              <w:right w:val="single" w:color="auto" w:sz="4"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评分因素</w:t>
            </w:r>
          </w:p>
        </w:tc>
        <w:tc>
          <w:tcPr>
            <w:tcW w:w="972" w:type="pct"/>
            <w:gridSpan w:val="2"/>
            <w:tcBorders>
              <w:top w:val="single" w:color="auto" w:sz="4" w:space="0"/>
              <w:left w:val="single" w:color="auto" w:sz="4" w:space="0"/>
              <w:bottom w:val="single" w:color="auto" w:sz="4" w:space="0"/>
              <w:right w:val="single" w:color="auto" w:sz="4"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分值范围</w:t>
            </w:r>
          </w:p>
        </w:tc>
        <w:tc>
          <w:tcPr>
            <w:tcW w:w="2371" w:type="pct"/>
            <w:tcBorders>
              <w:top w:val="single" w:color="auto" w:sz="4" w:space="0"/>
              <w:left w:val="single" w:color="auto" w:sz="4" w:space="0"/>
              <w:bottom w:val="single" w:color="auto" w:sz="4" w:space="0"/>
              <w:right w:val="single" w:color="auto" w:sz="4"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38" w:hRule="atLeast"/>
        </w:trPr>
        <w:tc>
          <w:tcPr>
            <w:tcW w:w="359"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szCs w:val="21"/>
              </w:rPr>
              <w:t>1</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cs="仿宋_GB2312" w:asciiTheme="minorEastAsia" w:hAnsiTheme="minorEastAsia" w:eastAsiaTheme="minorEastAsia"/>
                <w:szCs w:val="21"/>
                <w:lang w:val="zh-CN"/>
              </w:rPr>
              <w:t>项目服务方案</w:t>
            </w:r>
          </w:p>
        </w:tc>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szCs w:val="21"/>
              </w:rPr>
              <w:t>10</w:t>
            </w:r>
          </w:p>
        </w:tc>
        <w:tc>
          <w:tcPr>
            <w:tcW w:w="5316"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ind w:left="-318" w:leftChars="0"/>
              <w:rPr>
                <w:rFonts w:hint="eastAsia" w:ascii="宋体" w:hAnsi="宋体"/>
                <w:b/>
                <w:szCs w:val="21"/>
              </w:rPr>
            </w:pPr>
            <w:r>
              <w:rPr>
                <w:rFonts w:hint="eastAsia" w:ascii="宋体" w:hAnsi="宋体"/>
                <w:b/>
                <w:szCs w:val="21"/>
                <w:lang w:val="en-US" w:eastAsia="zh-CN"/>
              </w:rPr>
              <w:t>1.1.</w:t>
            </w:r>
            <w:r>
              <w:rPr>
                <w:rFonts w:hint="eastAsia" w:ascii="宋体" w:hAnsi="宋体"/>
                <w:b/>
                <w:szCs w:val="21"/>
              </w:rPr>
              <w:t>评审标准</w:t>
            </w:r>
          </w:p>
          <w:p>
            <w:pPr>
              <w:snapToGrid w:val="0"/>
              <w:rPr>
                <w:rFonts w:hint="eastAsia"/>
                <w:szCs w:val="21"/>
                <w:lang w:eastAsia="zh-CN"/>
              </w:rPr>
            </w:pPr>
            <w:r>
              <w:rPr>
                <w:rFonts w:hint="eastAsia" w:cs="宋体"/>
                <w:szCs w:val="21"/>
              </w:rPr>
              <w:t>根据采购文件的需求，制定贴切本项目的</w:t>
            </w:r>
            <w:r>
              <w:rPr>
                <w:rFonts w:hint="eastAsia" w:cs="仿宋_GB2312" w:asciiTheme="minorEastAsia" w:hAnsiTheme="minorEastAsia" w:eastAsiaTheme="minorEastAsia"/>
                <w:szCs w:val="21"/>
                <w:lang w:val="zh-CN"/>
              </w:rPr>
              <w:t>项目服务方案</w:t>
            </w:r>
            <w:r>
              <w:rPr>
                <w:rFonts w:hint="eastAsia" w:cs="宋体"/>
                <w:szCs w:val="21"/>
              </w:rPr>
              <w:t>，</w:t>
            </w:r>
            <w:r>
              <w:rPr>
                <w:szCs w:val="21"/>
              </w:rPr>
              <w:t>方案内容包括</w:t>
            </w:r>
            <w:r>
              <w:rPr>
                <w:rFonts w:hint="eastAsia"/>
                <w:szCs w:val="21"/>
                <w:lang w:eastAsia="zh-CN"/>
              </w:rPr>
              <w:t>：</w:t>
            </w:r>
          </w:p>
          <w:p>
            <w:pPr>
              <w:numPr>
                <w:ilvl w:val="0"/>
                <w:numId w:val="0"/>
              </w:numPr>
              <w:snapToGrid w:val="0"/>
              <w:rPr>
                <w:rFonts w:hint="eastAsia" w:eastAsia="宋体"/>
                <w:szCs w:val="21"/>
                <w:lang w:eastAsia="zh-CN"/>
              </w:rPr>
            </w:pPr>
            <w:r>
              <w:rPr>
                <w:rFonts w:ascii="Calibri" w:hAnsi="Calibri" w:eastAsia="宋体" w:cs="黑体"/>
                <w:kern w:val="2"/>
                <w:sz w:val="21"/>
                <w:szCs w:val="21"/>
                <w:lang w:val="en-US" w:eastAsia="zh-CN" w:bidi="ar-SA"/>
              </w:rPr>
              <w:t>（1）</w:t>
            </w:r>
            <w:r>
              <w:rPr>
                <w:szCs w:val="21"/>
              </w:rPr>
              <w:t>项目工作流程</w:t>
            </w:r>
            <w:r>
              <w:rPr>
                <w:rFonts w:hint="eastAsia"/>
                <w:szCs w:val="21"/>
                <w:lang w:eastAsia="zh-CN"/>
              </w:rPr>
              <w:t>；</w:t>
            </w:r>
          </w:p>
          <w:p>
            <w:pPr>
              <w:numPr>
                <w:ilvl w:val="0"/>
                <w:numId w:val="0"/>
              </w:numPr>
              <w:snapToGrid w:val="0"/>
              <w:rPr>
                <w:rFonts w:hint="eastAsia" w:eastAsia="宋体"/>
                <w:szCs w:val="21"/>
                <w:lang w:eastAsia="zh-CN"/>
              </w:rPr>
            </w:pPr>
            <w:r>
              <w:rPr>
                <w:rFonts w:hint="eastAsia"/>
                <w:szCs w:val="21"/>
                <w:lang w:eastAsia="zh-CN"/>
              </w:rPr>
              <w:t>（</w:t>
            </w:r>
            <w:r>
              <w:rPr>
                <w:rFonts w:hint="eastAsia"/>
                <w:szCs w:val="21"/>
                <w:lang w:val="en-US" w:eastAsia="zh-CN"/>
              </w:rPr>
              <w:t>2</w:t>
            </w:r>
            <w:r>
              <w:rPr>
                <w:rFonts w:hint="eastAsia"/>
                <w:szCs w:val="21"/>
                <w:lang w:eastAsia="zh-CN"/>
              </w:rPr>
              <w:t>）</w:t>
            </w:r>
            <w:r>
              <w:rPr>
                <w:rFonts w:hint="eastAsia"/>
                <w:szCs w:val="21"/>
              </w:rPr>
              <w:t>工作方法</w:t>
            </w:r>
            <w:r>
              <w:rPr>
                <w:rFonts w:hint="eastAsia"/>
                <w:szCs w:val="21"/>
                <w:lang w:eastAsia="zh-CN"/>
              </w:rPr>
              <w:t>；</w:t>
            </w:r>
          </w:p>
          <w:p>
            <w:pPr>
              <w:numPr>
                <w:ilvl w:val="0"/>
                <w:numId w:val="0"/>
              </w:numPr>
              <w:snapToGrid w:val="0"/>
              <w:rPr>
                <w:rFonts w:hint="eastAsia" w:eastAsia="宋体"/>
                <w:szCs w:val="21"/>
                <w:lang w:eastAsia="zh-CN"/>
              </w:rPr>
            </w:pPr>
            <w:r>
              <w:rPr>
                <w:rFonts w:ascii="Calibri" w:hAnsi="Calibri" w:eastAsia="宋体" w:cs="黑体"/>
                <w:kern w:val="2"/>
                <w:sz w:val="21"/>
                <w:szCs w:val="21"/>
                <w:lang w:val="en-US" w:eastAsia="zh-CN" w:bidi="ar-SA"/>
              </w:rPr>
              <w:t>（</w:t>
            </w:r>
            <w:r>
              <w:rPr>
                <w:rFonts w:hint="eastAsia" w:cs="黑体"/>
                <w:kern w:val="2"/>
                <w:sz w:val="21"/>
                <w:szCs w:val="21"/>
                <w:lang w:val="en-US" w:eastAsia="zh-CN" w:bidi="ar-SA"/>
              </w:rPr>
              <w:t>3</w:t>
            </w:r>
            <w:r>
              <w:rPr>
                <w:rFonts w:ascii="Calibri" w:hAnsi="Calibri" w:eastAsia="宋体" w:cs="黑体"/>
                <w:kern w:val="2"/>
                <w:sz w:val="21"/>
                <w:szCs w:val="21"/>
                <w:lang w:val="en-US" w:eastAsia="zh-CN" w:bidi="ar-SA"/>
              </w:rPr>
              <w:t>）</w:t>
            </w:r>
            <w:r>
              <w:rPr>
                <w:szCs w:val="21"/>
              </w:rPr>
              <w:t>人员安排</w:t>
            </w:r>
            <w:r>
              <w:rPr>
                <w:rFonts w:hint="eastAsia"/>
                <w:szCs w:val="21"/>
                <w:lang w:eastAsia="zh-CN"/>
              </w:rPr>
              <w:t>；</w:t>
            </w:r>
          </w:p>
          <w:p>
            <w:pPr>
              <w:numPr>
                <w:ilvl w:val="0"/>
                <w:numId w:val="0"/>
              </w:numPr>
              <w:snapToGrid w:val="0"/>
              <w:rPr>
                <w:szCs w:val="21"/>
              </w:rPr>
            </w:pPr>
            <w:r>
              <w:rPr>
                <w:rFonts w:hint="eastAsia"/>
                <w:szCs w:val="21"/>
                <w:lang w:eastAsia="zh-CN"/>
              </w:rPr>
              <w:t>（</w:t>
            </w:r>
            <w:r>
              <w:rPr>
                <w:rFonts w:hint="eastAsia"/>
                <w:szCs w:val="21"/>
                <w:lang w:val="en-US" w:eastAsia="zh-CN"/>
              </w:rPr>
              <w:t>4</w:t>
            </w:r>
            <w:r>
              <w:rPr>
                <w:rFonts w:hint="eastAsia"/>
                <w:szCs w:val="21"/>
                <w:lang w:eastAsia="zh-CN"/>
              </w:rPr>
              <w:t>）</w:t>
            </w:r>
            <w:r>
              <w:rPr>
                <w:rFonts w:hint="eastAsia"/>
                <w:szCs w:val="21"/>
              </w:rPr>
              <w:t>进度计划控制措施</w:t>
            </w:r>
            <w:r>
              <w:rPr>
                <w:szCs w:val="21"/>
              </w:rPr>
              <w:t>方案。</w:t>
            </w:r>
          </w:p>
          <w:p>
            <w:pPr>
              <w:rPr>
                <w:rFonts w:hint="eastAsia" w:ascii="宋体" w:hAnsi="宋体"/>
                <w:b/>
                <w:szCs w:val="21"/>
              </w:rPr>
            </w:pPr>
            <w:r>
              <w:rPr>
                <w:rFonts w:hint="eastAsia" w:ascii="宋体" w:hAnsi="宋体"/>
                <w:b/>
                <w:szCs w:val="21"/>
                <w:lang w:eastAsia="zh-CN"/>
              </w:rPr>
              <w:t>2.</w:t>
            </w:r>
            <w:r>
              <w:rPr>
                <w:rFonts w:hint="eastAsia" w:ascii="宋体" w:hAnsi="宋体"/>
                <w:b/>
                <w:szCs w:val="21"/>
              </w:rPr>
              <w:t>证明文件</w:t>
            </w:r>
          </w:p>
          <w:p>
            <w:pPr>
              <w:snapToGrid w:val="0"/>
              <w:rPr>
                <w:szCs w:val="21"/>
              </w:rPr>
            </w:pPr>
            <w:r>
              <w:rPr>
                <w:rFonts w:hint="eastAsia"/>
                <w:szCs w:val="21"/>
              </w:rPr>
              <w:t>1.投标文件满足评审内容情况，本项最高得</w:t>
            </w:r>
            <w:r>
              <w:rPr>
                <w:szCs w:val="21"/>
              </w:rPr>
              <w:t>4</w:t>
            </w:r>
            <w:r>
              <w:rPr>
                <w:rFonts w:hint="eastAsia"/>
                <w:szCs w:val="21"/>
              </w:rPr>
              <w:t>分。</w:t>
            </w:r>
          </w:p>
          <w:p>
            <w:pPr>
              <w:snapToGrid w:val="0"/>
              <w:rPr>
                <w:szCs w:val="21"/>
              </w:rPr>
            </w:pPr>
            <w:r>
              <w:rPr>
                <w:rFonts w:hint="eastAsia"/>
                <w:szCs w:val="21"/>
              </w:rPr>
              <w:t>每达到1项得1分，未提供服务方案的不得分。</w:t>
            </w:r>
          </w:p>
          <w:p>
            <w:pPr>
              <w:snapToGrid w:val="0"/>
              <w:rPr>
                <w:szCs w:val="21"/>
              </w:rPr>
            </w:pPr>
            <w:r>
              <w:rPr>
                <w:rFonts w:hint="eastAsia"/>
                <w:szCs w:val="21"/>
              </w:rPr>
              <w:t>2.在此基础上，根据方案整体全面性、具体性、针对性、科学合理性、创新性进行评分。</w:t>
            </w:r>
          </w:p>
          <w:p>
            <w:pPr>
              <w:snapToGrid w:val="0"/>
              <w:rPr>
                <w:szCs w:val="21"/>
              </w:rPr>
            </w:pPr>
            <w:r>
              <w:rPr>
                <w:rFonts w:hint="eastAsia"/>
                <w:szCs w:val="21"/>
              </w:rPr>
              <w:t>（1）投标文件响应内容全面；</w:t>
            </w:r>
          </w:p>
          <w:p>
            <w:pPr>
              <w:snapToGrid w:val="0"/>
              <w:rPr>
                <w:szCs w:val="21"/>
              </w:rPr>
            </w:pPr>
            <w:r>
              <w:rPr>
                <w:rFonts w:hint="eastAsia"/>
                <w:szCs w:val="21"/>
              </w:rPr>
              <w:t>（2）投标文件响应内容具体；</w:t>
            </w:r>
          </w:p>
          <w:p>
            <w:pPr>
              <w:snapToGrid w:val="0"/>
              <w:rPr>
                <w:szCs w:val="21"/>
              </w:rPr>
            </w:pPr>
            <w:r>
              <w:rPr>
                <w:rFonts w:hint="eastAsia"/>
                <w:szCs w:val="21"/>
              </w:rPr>
              <w:t>（3）投标文件响应内容针对性强；</w:t>
            </w:r>
          </w:p>
          <w:p>
            <w:pPr>
              <w:snapToGrid w:val="0"/>
              <w:rPr>
                <w:szCs w:val="21"/>
              </w:rPr>
            </w:pPr>
            <w:r>
              <w:rPr>
                <w:rFonts w:hint="eastAsia"/>
                <w:szCs w:val="21"/>
              </w:rPr>
              <w:t>（4）投标文件响应内容科学合理；</w:t>
            </w:r>
          </w:p>
          <w:p>
            <w:pPr>
              <w:snapToGrid w:val="0"/>
              <w:rPr>
                <w:szCs w:val="21"/>
              </w:rPr>
            </w:pPr>
            <w:r>
              <w:rPr>
                <w:rFonts w:hint="eastAsia"/>
                <w:szCs w:val="21"/>
              </w:rPr>
              <w:t>（5）投标文件响应内容创新性强。</w:t>
            </w:r>
          </w:p>
          <w:p>
            <w:pPr>
              <w:snapToGrid w:val="0"/>
              <w:rPr>
                <w:szCs w:val="21"/>
              </w:rPr>
            </w:pPr>
            <w:r>
              <w:rPr>
                <w:rFonts w:hint="eastAsia"/>
                <w:szCs w:val="21"/>
              </w:rPr>
              <w:t>满足以上5项要求的评价为优，加</w:t>
            </w:r>
            <w:r>
              <w:rPr>
                <w:szCs w:val="21"/>
              </w:rPr>
              <w:t>6</w:t>
            </w:r>
            <w:r>
              <w:rPr>
                <w:rFonts w:hint="eastAsia"/>
                <w:szCs w:val="21"/>
              </w:rPr>
              <w:t>分。</w:t>
            </w:r>
          </w:p>
          <w:p>
            <w:pPr>
              <w:snapToGrid w:val="0"/>
              <w:rPr>
                <w:szCs w:val="21"/>
              </w:rPr>
            </w:pPr>
            <w:r>
              <w:rPr>
                <w:rFonts w:hint="eastAsia"/>
                <w:szCs w:val="21"/>
              </w:rPr>
              <w:t>满足以上4项要求的评价为良，加</w:t>
            </w:r>
            <w:r>
              <w:rPr>
                <w:szCs w:val="21"/>
              </w:rPr>
              <w:t>3</w:t>
            </w:r>
            <w:r>
              <w:rPr>
                <w:rFonts w:hint="eastAsia"/>
                <w:szCs w:val="21"/>
              </w:rPr>
              <w:t>分。</w:t>
            </w:r>
          </w:p>
          <w:p>
            <w:pPr>
              <w:snapToGrid w:val="0"/>
              <w:rPr>
                <w:szCs w:val="21"/>
              </w:rPr>
            </w:pPr>
            <w:r>
              <w:rPr>
                <w:rFonts w:hint="eastAsia"/>
                <w:szCs w:val="21"/>
              </w:rPr>
              <w:t>满足以上3项要求的评价为中，加</w:t>
            </w:r>
            <w:r>
              <w:rPr>
                <w:szCs w:val="21"/>
              </w:rPr>
              <w:t>1</w:t>
            </w:r>
            <w:r>
              <w:rPr>
                <w:rFonts w:hint="eastAsia"/>
                <w:szCs w:val="21"/>
              </w:rPr>
              <w:t>分。</w:t>
            </w:r>
          </w:p>
          <w:p>
            <w:pPr>
              <w:snapToGrid w:val="0"/>
              <w:rPr>
                <w:rFonts w:hint="eastAsia" w:ascii="仿宋" w:hAnsi="仿宋" w:eastAsia="仿宋" w:cs="仿宋"/>
                <w:color w:val="000000" w:themeColor="text1"/>
                <w:szCs w:val="21"/>
                <w14:textFill>
                  <w14:solidFill>
                    <w14:schemeClr w14:val="tx1"/>
                  </w14:solidFill>
                </w14:textFill>
              </w:rPr>
            </w:pPr>
            <w:r>
              <w:rPr>
                <w:szCs w:val="21"/>
              </w:rPr>
              <w:t>其他情况的评价为差</w:t>
            </w:r>
            <w:r>
              <w:rPr>
                <w:rFonts w:hint="eastAsia"/>
                <w:szCs w:val="21"/>
              </w:rPr>
              <w:t>，</w:t>
            </w:r>
            <w:r>
              <w:rPr>
                <w:szCs w:val="21"/>
              </w:rPr>
              <w:t>不加分</w:t>
            </w: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38" w:hRule="atLeast"/>
        </w:trPr>
        <w:tc>
          <w:tcPr>
            <w:tcW w:w="359"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szCs w:val="21"/>
              </w:rPr>
              <w:t>2</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宋体" w:cs="仿宋"/>
                <w:color w:val="000000" w:themeColor="text1"/>
                <w:szCs w:val="21"/>
                <w:lang w:val="en-US" w:eastAsia="zh-CN"/>
                <w14:textFill>
                  <w14:solidFill>
                    <w14:schemeClr w14:val="tx1"/>
                  </w14:solidFill>
                </w14:textFill>
              </w:rPr>
            </w:pPr>
            <w:r>
              <w:rPr>
                <w:rFonts w:hint="eastAsia"/>
                <w:szCs w:val="21"/>
              </w:rPr>
              <w:t>项目重难点分析</w:t>
            </w:r>
            <w:r>
              <w:rPr>
                <w:rFonts w:hint="eastAsia"/>
                <w:szCs w:val="21"/>
                <w:lang w:eastAsia="zh-CN"/>
              </w:rPr>
              <w:t>、</w:t>
            </w:r>
            <w:r>
              <w:rPr>
                <w:rFonts w:hint="eastAsia"/>
                <w:szCs w:val="21"/>
              </w:rPr>
              <w:t>应对措施</w:t>
            </w:r>
            <w:r>
              <w:rPr>
                <w:rFonts w:hint="eastAsia"/>
                <w:szCs w:val="21"/>
                <w:lang w:val="en-US" w:eastAsia="zh-CN"/>
              </w:rPr>
              <w:t>及</w:t>
            </w:r>
            <w:r>
              <w:rPr>
                <w:rFonts w:hint="eastAsia"/>
                <w:szCs w:val="21"/>
              </w:rPr>
              <w:t>相关</w:t>
            </w:r>
            <w:r>
              <w:rPr>
                <w:rFonts w:hint="eastAsia"/>
                <w:szCs w:val="21"/>
                <w:lang w:val="en-US" w:eastAsia="zh-CN"/>
              </w:rPr>
              <w:t>的</w:t>
            </w:r>
            <w:r>
              <w:rPr>
                <w:rFonts w:hint="eastAsia"/>
                <w:szCs w:val="21"/>
              </w:rPr>
              <w:t>合理化建议</w:t>
            </w:r>
          </w:p>
        </w:tc>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szCs w:val="21"/>
              </w:rPr>
              <w:t>20</w:t>
            </w:r>
          </w:p>
        </w:tc>
        <w:tc>
          <w:tcPr>
            <w:tcW w:w="5316"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ind w:left="0" w:hanging="318"/>
              <w:rPr>
                <w:rFonts w:hint="eastAsia" w:ascii="宋体" w:hAnsi="宋体"/>
                <w:b/>
                <w:szCs w:val="21"/>
              </w:rPr>
            </w:pPr>
            <w:r>
              <w:rPr>
                <w:rFonts w:hint="eastAsia" w:ascii="宋体" w:hAnsi="宋体"/>
                <w:b/>
                <w:szCs w:val="21"/>
                <w:lang w:eastAsia="zh-CN"/>
              </w:rPr>
              <w:t>1.</w:t>
            </w:r>
            <w:r>
              <w:rPr>
                <w:rFonts w:hint="eastAsia" w:ascii="宋体" w:hAnsi="宋体"/>
                <w:b/>
                <w:szCs w:val="21"/>
              </w:rPr>
              <w:t>评审标准</w:t>
            </w:r>
          </w:p>
          <w:p>
            <w:pPr>
              <w:snapToGrid w:val="0"/>
              <w:rPr>
                <w:szCs w:val="21"/>
              </w:rPr>
            </w:pPr>
            <w:r>
              <w:rPr>
                <w:rFonts w:hint="eastAsia"/>
                <w:szCs w:val="21"/>
              </w:rPr>
              <w:t>投标人提供的项目重点难点分析、应对措施及相关的合理化建议须包含以下内容：</w:t>
            </w:r>
          </w:p>
          <w:p>
            <w:pPr>
              <w:snapToGrid w:val="0"/>
              <w:rPr>
                <w:szCs w:val="21"/>
              </w:rPr>
            </w:pPr>
            <w:r>
              <w:rPr>
                <w:rFonts w:hint="eastAsia"/>
                <w:szCs w:val="21"/>
              </w:rPr>
              <w:t>（1）提供符合本项目相关重点难点分析；</w:t>
            </w:r>
          </w:p>
          <w:p>
            <w:pPr>
              <w:snapToGrid w:val="0"/>
              <w:rPr>
                <w:szCs w:val="21"/>
              </w:rPr>
            </w:pPr>
            <w:r>
              <w:rPr>
                <w:rFonts w:hint="eastAsia"/>
                <w:szCs w:val="21"/>
              </w:rPr>
              <w:t>（2）针对重点难点分析提出的应对措施；</w:t>
            </w:r>
          </w:p>
          <w:p>
            <w:pPr>
              <w:rPr>
                <w:szCs w:val="21"/>
              </w:rPr>
            </w:pPr>
            <w:r>
              <w:rPr>
                <w:rFonts w:hint="eastAsia"/>
                <w:szCs w:val="21"/>
              </w:rPr>
              <w:t>（3）结合上述内容提出相关的合理化建议。</w:t>
            </w:r>
          </w:p>
          <w:p>
            <w:pPr>
              <w:rPr>
                <w:rFonts w:hint="eastAsia" w:ascii="宋体" w:hAnsi="宋体"/>
                <w:b/>
                <w:szCs w:val="21"/>
              </w:rPr>
            </w:pPr>
            <w:r>
              <w:rPr>
                <w:rFonts w:hint="eastAsia" w:ascii="宋体" w:hAnsi="宋体"/>
                <w:b/>
                <w:szCs w:val="21"/>
                <w:lang w:eastAsia="zh-CN"/>
              </w:rPr>
              <w:t>2.</w:t>
            </w:r>
            <w:r>
              <w:rPr>
                <w:rFonts w:hint="eastAsia" w:ascii="宋体" w:hAnsi="宋体"/>
                <w:b/>
                <w:szCs w:val="21"/>
              </w:rPr>
              <w:t>证明文件</w:t>
            </w:r>
          </w:p>
          <w:p>
            <w:pPr>
              <w:snapToGrid w:val="0"/>
              <w:rPr>
                <w:szCs w:val="21"/>
              </w:rPr>
            </w:pPr>
            <w:r>
              <w:rPr>
                <w:rFonts w:hint="eastAsia"/>
                <w:szCs w:val="21"/>
              </w:rPr>
              <w:t>1.考察以上项目重点难点分析、应对措施及相关的合理化建议，如果全部满足得10分，满足任意两点得6分，满足任意一点得3分，未满足不得分。</w:t>
            </w:r>
          </w:p>
          <w:p>
            <w:pPr>
              <w:snapToGrid w:val="0"/>
              <w:rPr>
                <w:szCs w:val="21"/>
              </w:rPr>
            </w:pPr>
            <w:r>
              <w:rPr>
                <w:rFonts w:hint="eastAsia"/>
                <w:szCs w:val="21"/>
              </w:rPr>
              <w:t>2.在此基础上，专家根据各供应商的具体响应内容按照量化的评审因素指标进一步评审。</w:t>
            </w:r>
          </w:p>
          <w:p>
            <w:pPr>
              <w:snapToGrid w:val="0"/>
              <w:rPr>
                <w:szCs w:val="21"/>
              </w:rPr>
            </w:pPr>
            <w:r>
              <w:rPr>
                <w:rFonts w:hint="eastAsia"/>
                <w:szCs w:val="21"/>
              </w:rPr>
              <w:t>评审为优（项目重点难点分析透彻、应对措施及相关的合理化建议完善）的加10分；</w:t>
            </w:r>
          </w:p>
          <w:p>
            <w:pPr>
              <w:snapToGrid w:val="0"/>
              <w:rPr>
                <w:szCs w:val="21"/>
              </w:rPr>
            </w:pPr>
            <w:r>
              <w:rPr>
                <w:rFonts w:hint="eastAsia"/>
                <w:szCs w:val="21"/>
              </w:rPr>
              <w:t>评审为良（项目重点难点分析较透彻、应对措施及相关的合理化建议较完善）的加5分；</w:t>
            </w:r>
          </w:p>
          <w:p>
            <w:pPr>
              <w:snapToGrid w:val="0"/>
              <w:rPr>
                <w:szCs w:val="21"/>
              </w:rPr>
            </w:pPr>
            <w:r>
              <w:rPr>
                <w:rFonts w:hint="eastAsia"/>
                <w:szCs w:val="21"/>
              </w:rPr>
              <w:t>评审为中（项目重点难点分析一般、应对措施及相关的合理化建议一般）的加3分；</w:t>
            </w:r>
          </w:p>
          <w:p>
            <w:pPr>
              <w:snapToGrid w:val="0"/>
              <w:rPr>
                <w:rFonts w:hint="eastAsia" w:ascii="仿宋" w:hAnsi="仿宋" w:eastAsia="仿宋" w:cs="仿宋"/>
                <w:color w:val="000000" w:themeColor="text1"/>
                <w:szCs w:val="21"/>
                <w14:textFill>
                  <w14:solidFill>
                    <w14:schemeClr w14:val="tx1"/>
                  </w14:solidFill>
                </w14:textFill>
              </w:rPr>
            </w:pPr>
            <w:r>
              <w:rPr>
                <w:rFonts w:hint="eastAsia"/>
                <w:szCs w:val="21"/>
                <w:lang w:val="en-US" w:eastAsia="zh-CN"/>
              </w:rPr>
              <w:t>其他情况的评价为差，</w:t>
            </w:r>
            <w:r>
              <w:rPr>
                <w:rFonts w:hint="eastAsia"/>
                <w:szCs w:val="21"/>
              </w:rPr>
              <w:t>不</w:t>
            </w:r>
            <w:r>
              <w:rPr>
                <w:rFonts w:hint="eastAsia"/>
                <w:szCs w:val="21"/>
                <w:lang w:val="en-US" w:eastAsia="zh-CN"/>
              </w:rPr>
              <w:t>加</w:t>
            </w:r>
            <w:r>
              <w:rPr>
                <w:rFonts w:hint="eastAsia"/>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60" w:hRule="atLeast"/>
        </w:trPr>
        <w:tc>
          <w:tcPr>
            <w:tcW w:w="359"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szCs w:val="21"/>
              </w:rPr>
              <w:t>3</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szCs w:val="21"/>
              </w:rPr>
              <w:t>质量保障方案</w:t>
            </w:r>
          </w:p>
        </w:tc>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szCs w:val="21"/>
              </w:rPr>
              <w:t>10</w:t>
            </w:r>
          </w:p>
        </w:tc>
        <w:tc>
          <w:tcPr>
            <w:tcW w:w="5316"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ind w:left="0" w:hanging="318"/>
              <w:rPr>
                <w:rFonts w:hint="eastAsia" w:ascii="宋体" w:hAnsi="宋体"/>
                <w:b/>
                <w:szCs w:val="21"/>
              </w:rPr>
            </w:pPr>
            <w:r>
              <w:rPr>
                <w:rFonts w:hint="eastAsia" w:ascii="宋体" w:hAnsi="宋体"/>
                <w:b/>
                <w:szCs w:val="21"/>
                <w:lang w:eastAsia="zh-CN"/>
              </w:rPr>
              <w:t>1.</w:t>
            </w:r>
            <w:r>
              <w:rPr>
                <w:rFonts w:hint="eastAsia" w:ascii="宋体" w:hAnsi="宋体"/>
                <w:b/>
                <w:szCs w:val="21"/>
              </w:rPr>
              <w:t>评审标准</w:t>
            </w:r>
          </w:p>
          <w:p>
            <w:pPr>
              <w:rPr>
                <w:szCs w:val="21"/>
              </w:rPr>
            </w:pPr>
            <w:r>
              <w:rPr>
                <w:rFonts w:hint="eastAsia"/>
                <w:szCs w:val="21"/>
              </w:rPr>
              <w:t>质量保障方案应包括以下内容：</w:t>
            </w:r>
          </w:p>
          <w:p>
            <w:pPr>
              <w:rPr>
                <w:szCs w:val="21"/>
              </w:rPr>
            </w:pPr>
            <w:r>
              <w:rPr>
                <w:rFonts w:hint="eastAsia"/>
                <w:szCs w:val="21"/>
              </w:rPr>
              <w:t>（1）质量控制制度；</w:t>
            </w:r>
          </w:p>
          <w:p>
            <w:pPr>
              <w:rPr>
                <w:szCs w:val="21"/>
              </w:rPr>
            </w:pPr>
            <w:r>
              <w:rPr>
                <w:rFonts w:hint="eastAsia"/>
                <w:szCs w:val="21"/>
              </w:rPr>
              <w:t>（2）质量控制措施；</w:t>
            </w:r>
          </w:p>
          <w:p>
            <w:pPr>
              <w:rPr>
                <w:szCs w:val="21"/>
              </w:rPr>
            </w:pPr>
            <w:r>
              <w:rPr>
                <w:rFonts w:hint="eastAsia"/>
                <w:szCs w:val="21"/>
              </w:rPr>
              <w:t>（3）保密措施</w:t>
            </w:r>
            <w:r>
              <w:rPr>
                <w:rFonts w:hint="eastAsia"/>
                <w:szCs w:val="21"/>
                <w:lang w:eastAsia="zh-CN"/>
              </w:rPr>
              <w:t>；</w:t>
            </w:r>
          </w:p>
          <w:p>
            <w:pPr>
              <w:rPr>
                <w:szCs w:val="21"/>
              </w:rPr>
            </w:pPr>
            <w:r>
              <w:rPr>
                <w:rFonts w:hint="eastAsia"/>
                <w:szCs w:val="21"/>
              </w:rPr>
              <w:t>（4）进度控制措施。</w:t>
            </w:r>
          </w:p>
          <w:p>
            <w:pPr>
              <w:rPr>
                <w:rFonts w:hint="eastAsia" w:ascii="宋体" w:hAnsi="宋体"/>
                <w:b/>
                <w:szCs w:val="21"/>
              </w:rPr>
            </w:pPr>
            <w:r>
              <w:rPr>
                <w:rFonts w:hint="eastAsia" w:ascii="宋体" w:hAnsi="宋体"/>
                <w:b/>
                <w:szCs w:val="21"/>
                <w:lang w:eastAsia="zh-CN"/>
              </w:rPr>
              <w:t>2.</w:t>
            </w:r>
            <w:r>
              <w:rPr>
                <w:rFonts w:hint="eastAsia" w:ascii="宋体" w:hAnsi="宋体"/>
                <w:b/>
                <w:szCs w:val="21"/>
              </w:rPr>
              <w:t>证明文件</w:t>
            </w:r>
          </w:p>
          <w:p>
            <w:pPr>
              <w:snapToGrid w:val="0"/>
              <w:rPr>
                <w:szCs w:val="21"/>
              </w:rPr>
            </w:pPr>
            <w:r>
              <w:rPr>
                <w:rFonts w:hint="eastAsia"/>
                <w:szCs w:val="21"/>
              </w:rPr>
              <w:t>1.投标文件满足评审内容情况，本项最高得</w:t>
            </w:r>
            <w:r>
              <w:rPr>
                <w:szCs w:val="21"/>
              </w:rPr>
              <w:t>4</w:t>
            </w:r>
            <w:r>
              <w:rPr>
                <w:rFonts w:hint="eastAsia"/>
                <w:szCs w:val="21"/>
              </w:rPr>
              <w:t>分。</w:t>
            </w:r>
          </w:p>
          <w:p>
            <w:pPr>
              <w:snapToGrid w:val="0"/>
              <w:rPr>
                <w:szCs w:val="21"/>
              </w:rPr>
            </w:pPr>
            <w:r>
              <w:rPr>
                <w:rFonts w:hint="eastAsia"/>
                <w:szCs w:val="21"/>
              </w:rPr>
              <w:t>每达到1项得1分，未提供服务方案的不得分。</w:t>
            </w:r>
          </w:p>
          <w:p>
            <w:pPr>
              <w:snapToGrid w:val="0"/>
              <w:rPr>
                <w:szCs w:val="21"/>
              </w:rPr>
            </w:pPr>
            <w:r>
              <w:rPr>
                <w:rFonts w:hint="eastAsia"/>
                <w:szCs w:val="21"/>
              </w:rPr>
              <w:t>2.在此基础上，根据方案整体全面性、具体性、针对性、科学合理性、创新性进行评分。</w:t>
            </w:r>
          </w:p>
          <w:p>
            <w:pPr>
              <w:snapToGrid w:val="0"/>
              <w:rPr>
                <w:szCs w:val="21"/>
              </w:rPr>
            </w:pPr>
            <w:r>
              <w:rPr>
                <w:rFonts w:hint="eastAsia"/>
                <w:szCs w:val="21"/>
              </w:rPr>
              <w:t>（1）投标文件响应内容全面；</w:t>
            </w:r>
          </w:p>
          <w:p>
            <w:pPr>
              <w:snapToGrid w:val="0"/>
              <w:rPr>
                <w:szCs w:val="21"/>
              </w:rPr>
            </w:pPr>
            <w:r>
              <w:rPr>
                <w:rFonts w:hint="eastAsia"/>
                <w:szCs w:val="21"/>
              </w:rPr>
              <w:t>（2）投标文件响应内容具体；</w:t>
            </w:r>
          </w:p>
          <w:p>
            <w:pPr>
              <w:snapToGrid w:val="0"/>
              <w:rPr>
                <w:szCs w:val="21"/>
              </w:rPr>
            </w:pPr>
            <w:r>
              <w:rPr>
                <w:rFonts w:hint="eastAsia"/>
                <w:szCs w:val="21"/>
              </w:rPr>
              <w:t>（3）投标文件响应内容针对性强；</w:t>
            </w:r>
          </w:p>
          <w:p>
            <w:pPr>
              <w:snapToGrid w:val="0"/>
              <w:rPr>
                <w:szCs w:val="21"/>
              </w:rPr>
            </w:pPr>
            <w:r>
              <w:rPr>
                <w:rFonts w:hint="eastAsia"/>
                <w:szCs w:val="21"/>
              </w:rPr>
              <w:t>（4）投标文件响应内容科学合理；</w:t>
            </w:r>
          </w:p>
          <w:p>
            <w:pPr>
              <w:snapToGrid w:val="0"/>
              <w:rPr>
                <w:szCs w:val="21"/>
              </w:rPr>
            </w:pPr>
            <w:r>
              <w:rPr>
                <w:rFonts w:hint="eastAsia"/>
                <w:szCs w:val="21"/>
              </w:rPr>
              <w:t>（5）投标文件响应内容创新性强。</w:t>
            </w:r>
          </w:p>
          <w:p>
            <w:pPr>
              <w:snapToGrid w:val="0"/>
              <w:rPr>
                <w:szCs w:val="21"/>
              </w:rPr>
            </w:pPr>
            <w:r>
              <w:rPr>
                <w:rFonts w:hint="eastAsia"/>
                <w:szCs w:val="21"/>
              </w:rPr>
              <w:t>满足以上5项要求的评价为优，加</w:t>
            </w:r>
            <w:r>
              <w:rPr>
                <w:szCs w:val="21"/>
              </w:rPr>
              <w:t>6</w:t>
            </w:r>
            <w:r>
              <w:rPr>
                <w:rFonts w:hint="eastAsia"/>
                <w:szCs w:val="21"/>
              </w:rPr>
              <w:t>分。</w:t>
            </w:r>
          </w:p>
          <w:p>
            <w:pPr>
              <w:snapToGrid w:val="0"/>
              <w:rPr>
                <w:szCs w:val="21"/>
              </w:rPr>
            </w:pPr>
            <w:r>
              <w:rPr>
                <w:rFonts w:hint="eastAsia"/>
                <w:szCs w:val="21"/>
              </w:rPr>
              <w:t>满足以上4项要求的评价为良，加</w:t>
            </w:r>
            <w:r>
              <w:rPr>
                <w:szCs w:val="21"/>
              </w:rPr>
              <w:t>3</w:t>
            </w:r>
            <w:r>
              <w:rPr>
                <w:rFonts w:hint="eastAsia"/>
                <w:szCs w:val="21"/>
              </w:rPr>
              <w:t>分。</w:t>
            </w:r>
          </w:p>
          <w:p>
            <w:pPr>
              <w:snapToGrid w:val="0"/>
              <w:rPr>
                <w:szCs w:val="21"/>
              </w:rPr>
            </w:pPr>
            <w:r>
              <w:rPr>
                <w:rFonts w:hint="eastAsia"/>
                <w:szCs w:val="21"/>
              </w:rPr>
              <w:t>满足以上3项要求的评价为中，加</w:t>
            </w:r>
            <w:r>
              <w:rPr>
                <w:szCs w:val="21"/>
              </w:rPr>
              <w:t>1</w:t>
            </w:r>
            <w:r>
              <w:rPr>
                <w:rFonts w:hint="eastAsia"/>
                <w:szCs w:val="21"/>
              </w:rPr>
              <w:t>分。</w:t>
            </w:r>
          </w:p>
          <w:p>
            <w:pPr>
              <w:snapToGrid w:val="0"/>
              <w:rPr>
                <w:rFonts w:hint="eastAsia" w:ascii="仿宋" w:hAnsi="仿宋" w:eastAsia="仿宋" w:cs="仿宋"/>
                <w:color w:val="000000" w:themeColor="text1"/>
                <w:szCs w:val="21"/>
                <w14:textFill>
                  <w14:solidFill>
                    <w14:schemeClr w14:val="tx1"/>
                  </w14:solidFill>
                </w14:textFill>
              </w:rPr>
            </w:pPr>
            <w:r>
              <w:rPr>
                <w:szCs w:val="21"/>
              </w:rPr>
              <w:t>其他情况的评价为差</w:t>
            </w:r>
            <w:r>
              <w:rPr>
                <w:rFonts w:hint="eastAsia"/>
                <w:szCs w:val="21"/>
              </w:rPr>
              <w:t>，</w:t>
            </w:r>
            <w:r>
              <w:rPr>
                <w:szCs w:val="21"/>
              </w:rPr>
              <w:t>不加分</w:t>
            </w: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restart"/>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w:t>
            </w:r>
          </w:p>
        </w:tc>
        <w:tc>
          <w:tcPr>
            <w:tcW w:w="1675" w:type="pct"/>
            <w:gridSpan w:val="3"/>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44546A" w:themeColor="text2"/>
                <w:szCs w:val="21"/>
                <w14:textFill>
                  <w14:solidFill>
                    <w14:schemeClr w14:val="tx2"/>
                  </w14:solidFill>
                </w14:textFill>
              </w:rPr>
            </w:pPr>
            <w:r>
              <w:rPr>
                <w:rFonts w:hint="eastAsia" w:ascii="仿宋" w:hAnsi="仿宋" w:eastAsia="仿宋" w:cs="仿宋"/>
                <w:b/>
                <w:bCs/>
                <w:color w:val="44546A" w:themeColor="text2"/>
                <w:szCs w:val="21"/>
                <w14:textFill>
                  <w14:solidFill>
                    <w14:schemeClr w14:val="tx2"/>
                  </w14:solidFill>
                </w14:textFill>
              </w:rPr>
              <w:t>诚信部分</w:t>
            </w:r>
          </w:p>
        </w:tc>
        <w:tc>
          <w:tcPr>
            <w:tcW w:w="2966" w:type="pct"/>
            <w:gridSpan w:val="2"/>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44546A" w:themeColor="text2"/>
                <w:szCs w:val="21"/>
                <w14:textFill>
                  <w14:solidFill>
                    <w14:schemeClr w14:val="tx2"/>
                  </w14:solidFill>
                </w14:textFill>
              </w:rPr>
            </w:pPr>
            <w:r>
              <w:rPr>
                <w:rFonts w:hint="eastAsia" w:ascii="仿宋" w:hAnsi="仿宋" w:eastAsia="仿宋" w:cs="仿宋"/>
                <w:b/>
                <w:bCs/>
                <w:color w:val="44546A" w:themeColor="text2"/>
                <w:szCs w:val="21"/>
                <w14:textFill>
                  <w14:solidFill>
                    <w14:schemeClr w14:val="tx2"/>
                  </w14:solidFill>
                </w14:textFill>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continue"/>
            <w:tcBorders>
              <w:top w:val="single" w:color="auto" w:sz="4" w:space="0"/>
              <w:left w:val="single" w:color="auto" w:sz="4" w:space="0"/>
              <w:bottom w:val="single" w:color="auto" w:sz="4" w:space="0"/>
              <w:right w:val="single" w:color="auto" w:sz="4" w:space="0"/>
            </w:tcBorders>
            <w:shd w:val="clear" w:color="auto" w:fill="E6EFFA"/>
            <w:vAlign w:val="center"/>
          </w:tcPr>
          <w:p>
            <w:pPr>
              <w:rPr>
                <w:rFonts w:hint="eastAsia" w:ascii="仿宋" w:hAnsi="仿宋" w:eastAsia="仿宋" w:cs="仿宋"/>
                <w:b/>
                <w:bCs/>
                <w:color w:val="000000" w:themeColor="text1"/>
                <w:szCs w:val="21"/>
                <w14:textFill>
                  <w14:solidFill>
                    <w14:schemeClr w14:val="tx1"/>
                  </w14:solidFill>
                </w14:textFill>
              </w:rPr>
            </w:pPr>
          </w:p>
        </w:tc>
        <w:tc>
          <w:tcPr>
            <w:tcW w:w="359" w:type="pct"/>
            <w:tcBorders>
              <w:top w:val="single" w:color="auto" w:sz="4" w:space="0"/>
              <w:left w:val="single" w:color="auto" w:sz="4" w:space="0"/>
              <w:bottom w:val="single" w:color="auto" w:sz="4" w:space="0"/>
              <w:right w:val="single" w:color="auto" w:sz="4"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940" w:type="pct"/>
            <w:tcBorders>
              <w:top w:val="single" w:color="auto" w:sz="4" w:space="0"/>
              <w:left w:val="single" w:color="auto" w:sz="4" w:space="0"/>
              <w:bottom w:val="single" w:color="auto" w:sz="4" w:space="0"/>
              <w:right w:val="single" w:color="auto" w:sz="4"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评分因素</w:t>
            </w:r>
          </w:p>
        </w:tc>
        <w:tc>
          <w:tcPr>
            <w:tcW w:w="377" w:type="pct"/>
            <w:tcBorders>
              <w:top w:val="single" w:color="auto" w:sz="4" w:space="0"/>
              <w:left w:val="single" w:color="auto" w:sz="4" w:space="0"/>
              <w:bottom w:val="single" w:color="auto" w:sz="4" w:space="0"/>
              <w:right w:val="single" w:color="auto" w:sz="4"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分值范围</w:t>
            </w:r>
          </w:p>
        </w:tc>
        <w:tc>
          <w:tcPr>
            <w:tcW w:w="2966" w:type="pct"/>
            <w:gridSpan w:val="2"/>
            <w:tcBorders>
              <w:top w:val="single" w:color="auto" w:sz="4" w:space="0"/>
              <w:left w:val="single" w:color="auto" w:sz="4" w:space="0"/>
              <w:bottom w:val="single" w:color="auto" w:sz="4" w:space="0"/>
              <w:right w:val="single" w:color="auto" w:sz="4"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35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9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Calibri" w:hAnsi="Calibri" w:eastAsia="宋体" w:cs="宋体"/>
                <w:color w:val="auto"/>
                <w:szCs w:val="21"/>
              </w:rPr>
              <w:t>诚信管理情况</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Calibri" w:hAnsi="Calibri" w:eastAsia="宋体" w:cs="宋体"/>
                <w:color w:val="auto"/>
                <w:szCs w:val="21"/>
              </w:rPr>
              <w:t>5</w:t>
            </w:r>
          </w:p>
        </w:tc>
        <w:tc>
          <w:tcPr>
            <w:tcW w:w="2966"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Calibri" w:hAnsi="Calibri" w:eastAsia="宋体" w:cs="宋体"/>
                <w:szCs w:val="21"/>
              </w:rPr>
            </w:pPr>
            <w:r>
              <w:rPr>
                <w:rFonts w:hint="eastAsia" w:ascii="Calibri" w:hAnsi="Calibri" w:eastAsia="宋体" w:cs="宋体"/>
                <w:szCs w:val="21"/>
              </w:rPr>
              <w:t>投标人存在《深圳市财政局政府采购供应商信用信息管理办法》（深财规〔2023〕3号）列明的一般行政处罚信息、一般违法失信记录信息的，本项不得分，不存在上述情形的本项得5分。</w:t>
            </w:r>
          </w:p>
          <w:p>
            <w:pPr>
              <w:jc w:val="left"/>
              <w:rPr>
                <w:rFonts w:hint="eastAsia" w:ascii="仿宋" w:hAnsi="仿宋" w:eastAsia="仿宋" w:cs="仿宋"/>
                <w:color w:val="000000" w:themeColor="text1"/>
                <w:szCs w:val="21"/>
                <w14:textFill>
                  <w14:solidFill>
                    <w14:schemeClr w14:val="tx1"/>
                  </w14:solidFill>
                </w14:textFill>
              </w:rPr>
            </w:pPr>
            <w:r>
              <w:rPr>
                <w:rFonts w:hint="eastAsia" w:ascii="Calibri" w:hAnsi="Calibri" w:eastAsia="宋体" w:cs="宋体"/>
                <w:szCs w:val="21"/>
              </w:rPr>
              <w:t>查询渠道：通过“信用中国”（下载信用信息报告）、“中国政府采购网”，以及“深圳市政府采购监管网”查询供应商信用信息，信用信息以开标当日的查询结果为准。</w:t>
            </w:r>
          </w:p>
        </w:tc>
      </w:tr>
    </w:tbl>
    <w:p>
      <w:pPr>
        <w:pStyle w:val="24"/>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十二、政策导向</w:t>
      </w:r>
    </w:p>
    <w:p>
      <w:pPr>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（1）投标人提供的服务全部均由优惠主体承接，则对其投标总价给予</w:t>
      </w:r>
      <w:r>
        <w:rPr>
          <w:rFonts w:hint="eastAsia" w:ascii="仿宋_GB2312" w:hAnsi="仿宋_GB2312" w:eastAsia="仿宋_GB2312" w:cs="仿宋_GB2312"/>
          <w:b/>
          <w:kern w:val="0"/>
          <w:sz w:val="28"/>
          <w:szCs w:val="28"/>
          <w:u w:val="single"/>
        </w:rPr>
        <w:t>/</w:t>
      </w:r>
      <w:r>
        <w:rPr>
          <w:rFonts w:hint="eastAsia" w:ascii="仿宋_GB2312" w:hAnsi="仿宋_GB2312" w:eastAsia="仿宋_GB2312" w:cs="仿宋_GB2312"/>
          <w:bCs/>
          <w:kern w:val="0"/>
          <w:sz w:val="28"/>
          <w:szCs w:val="28"/>
        </w:rPr>
        <w:t>的扣除，用扣除后的价格参与评审。满足多项优惠政策的企业，不重复享受多项价格扣除政策。</w:t>
      </w:r>
    </w:p>
    <w:p>
      <w:pPr>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根据《工业和信息化部、国家统计局、国家发展和改革委员会、财政部关于印发中小企业划型标准规定的通知》（工信部联企业〔2011〕300号），本项目采购标的（项目需求）对应的中小企业划分标准所属行业为</w:t>
      </w:r>
      <w:r>
        <w:rPr>
          <w:rStyle w:val="20"/>
          <w:rFonts w:ascii="Segoe UI" w:hAnsi="Segoe UI" w:eastAsia="Segoe UI" w:cs="Segoe UI"/>
          <w:b/>
          <w:bCs/>
          <w:i w:val="0"/>
          <w:iCs w:val="0"/>
          <w:caps w:val="0"/>
          <w:color w:val="0F1115"/>
          <w:spacing w:val="0"/>
          <w:sz w:val="24"/>
          <w:szCs w:val="24"/>
          <w:u w:val="single"/>
          <w:shd w:val="clear" w:fill="FFFFFF"/>
        </w:rPr>
        <w:t>租赁和商务服务业（专业技术服务业）</w:t>
      </w:r>
      <w:r>
        <w:rPr>
          <w:rFonts w:hint="eastAsia" w:ascii="仿宋_GB2312" w:hAnsi="仿宋_GB2312" w:eastAsia="仿宋_GB2312" w:cs="仿宋_GB2312"/>
          <w:bCs/>
          <w:kern w:val="0"/>
          <w:sz w:val="28"/>
          <w:szCs w:val="28"/>
        </w:rPr>
        <w:t>。</w:t>
      </w:r>
    </w:p>
    <w:p>
      <w:pPr>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小型企业、微型企业、残疾人福利性单位作为优惠主体的认定资料为《中小企业声明函》《残疾人福利性单位声明函》；监狱企业作为优惠主体的认定资料为省级以上监狱管理局、戒毒管理局出具的监狱企业证明文件。监狱企业或者代理提供监狱企业货物的供应商如须享受优惠政策，除上述资料外，还须提供省级以上监狱管理局、戒毒管理局出具的监狱企业证明文件。</w:t>
      </w:r>
    </w:p>
    <w:p>
      <w:pPr>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享受价格扣除获得政府采购合同的，小微企业不得将合同分包给大中型企业。根据《工业和信息化部、国家统计局、国家发展和改革委员会、财政部关于印发中小企业划型标准规定的通知》（工信部联企业〔2011〕300号），本项目采购标的（项目需求）对应的中小企业划分标准所属行业为工业。</w:t>
      </w: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r>
        <w:rPr>
          <w:rFonts w:ascii="仿宋_GB2312" w:hAnsi="仿宋_GB2312" w:eastAsia="仿宋_GB2312" w:cs="仿宋_GB2312"/>
          <w:b/>
          <w:bCs/>
          <w:sz w:val="36"/>
          <w:szCs w:val="36"/>
        </w:rPr>
        <w:t>第三章</w:t>
      </w:r>
      <w:r>
        <w:rPr>
          <w:rFonts w:hint="eastAsia" w:ascii="仿宋_GB2312" w:hAnsi="仿宋_GB2312" w:eastAsia="仿宋_GB2312" w:cs="仿宋_GB2312"/>
          <w:b/>
          <w:bCs/>
          <w:sz w:val="36"/>
          <w:szCs w:val="36"/>
        </w:rPr>
        <w:t xml:space="preserve">  投标文件初审表</w:t>
      </w:r>
    </w:p>
    <w:p>
      <w:pPr>
        <w:jc w:val="center"/>
        <w:rPr>
          <w:rFonts w:hint="eastAsia" w:asciiTheme="majorEastAsia" w:hAnsiTheme="majorEastAsia" w:eastAsiaTheme="majorEastAsia"/>
          <w:sz w:val="30"/>
          <w:szCs w:val="30"/>
        </w:rPr>
      </w:pPr>
      <w:r>
        <w:rPr>
          <w:rFonts w:hint="eastAsia" w:ascii="仿宋" w:hAnsi="仿宋" w:eastAsia="仿宋" w:cs="仿宋"/>
          <w:b/>
          <w:sz w:val="22"/>
          <w:szCs w:val="28"/>
        </w:rPr>
        <w:t>（凡未满足下列情形的，投标文件无效，投标作废标处理）</w:t>
      </w:r>
    </w:p>
    <w:p>
      <w:pPr>
        <w:pStyle w:val="2"/>
        <w:spacing w:line="400" w:lineRule="exact"/>
        <w:jc w:val="center"/>
        <w:rPr>
          <w:rFonts w:hint="eastAsia" w:ascii="宋体" w:hAnsi="宋体" w:cs="宋体"/>
          <w:b/>
          <w:bCs/>
          <w:sz w:val="28"/>
          <w:szCs w:val="28"/>
        </w:rPr>
      </w:pPr>
      <w:r>
        <w:rPr>
          <w:rFonts w:hint="eastAsia" w:ascii="宋体" w:hAnsi="宋体" w:cs="宋体"/>
          <w:b/>
          <w:bCs/>
          <w:sz w:val="28"/>
          <w:szCs w:val="28"/>
        </w:rPr>
        <w:t>（一）资格性审查表</w:t>
      </w:r>
    </w:p>
    <w:tbl>
      <w:tblPr>
        <w:tblStyle w:val="17"/>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rPr>
            </w:pPr>
            <w:r>
              <w:rPr>
                <w:rFonts w:hint="eastAsia" w:ascii="宋体" w:cs="宋体"/>
                <w:b/>
              </w:rPr>
              <w:t>序号</w:t>
            </w:r>
          </w:p>
        </w:tc>
        <w:tc>
          <w:tcPr>
            <w:tcW w:w="8014" w:type="dxa"/>
            <w:vAlign w:val="center"/>
          </w:tcPr>
          <w:p>
            <w:pPr>
              <w:jc w:val="center"/>
              <w:rPr>
                <w:rFonts w:ascii="宋体" w:cs="宋体"/>
                <w:b/>
              </w:rPr>
            </w:pPr>
            <w:r>
              <w:rPr>
                <w:rFonts w:hint="eastAsia" w:ascii="宋体" w:hAnsi="宋体" w:cs="宋体"/>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tabs>
                <w:tab w:val="left" w:pos="176"/>
                <w:tab w:val="left" w:pos="612"/>
              </w:tabs>
              <w:ind w:left="342"/>
              <w:jc w:val="center"/>
              <w:rPr>
                <w:rFonts w:hint="eastAsia" w:ascii="宋体" w:hAnsi="宋体" w:cs="宋体"/>
              </w:rPr>
            </w:pPr>
          </w:p>
        </w:tc>
        <w:tc>
          <w:tcPr>
            <w:tcW w:w="8014" w:type="dxa"/>
            <w:vAlign w:val="center"/>
          </w:tcPr>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具备招标文件中规定要求的资格，且资格证明文件齐全。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tabs>
                <w:tab w:val="left" w:pos="176"/>
                <w:tab w:val="left" w:pos="612"/>
              </w:tabs>
              <w:ind w:left="342"/>
              <w:jc w:val="center"/>
              <w:rPr>
                <w:rFonts w:hint="eastAsia" w:ascii="宋体" w:hAnsi="宋体" w:cs="宋体"/>
              </w:rPr>
            </w:pPr>
          </w:p>
        </w:tc>
        <w:tc>
          <w:tcPr>
            <w:tcW w:w="8014" w:type="dxa"/>
            <w:vAlign w:val="center"/>
          </w:tcPr>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投标及履约承诺函已提交并符合招标文件要求的。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tabs>
                <w:tab w:val="left" w:pos="176"/>
                <w:tab w:val="left" w:pos="612"/>
              </w:tabs>
              <w:ind w:left="342"/>
              <w:jc w:val="center"/>
              <w:rPr>
                <w:rFonts w:hint="eastAsia" w:ascii="宋体" w:hAnsi="宋体" w:cs="宋体"/>
              </w:rPr>
            </w:pPr>
            <w:bookmarkStart w:id="0" w:name="_Toc15975"/>
          </w:p>
        </w:tc>
        <w:tc>
          <w:tcPr>
            <w:tcW w:w="8014" w:type="dxa"/>
            <w:vAlign w:val="center"/>
          </w:tcPr>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供应商基本情况表已提交，提供法定代表人、主要经营负责人、项目投标授权代表人、项目负责人（如有）、主要技术人员（如有）最近一个月的社会保险证明。</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1.法定代表人、主要经营负责人、项目投标授权代表人的社会保险未由投标人单位缴纳，亦须提供相应单位为其缴纳的社会保险证明。</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2.项目负责人和主要技术人员的社会保险须由投标人单位缴纳。</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3.投标人为新成立企业且成立时间不足一个月可提供加盖投标人公章的情况说明或者证明材料亦视为符合。</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4.若为退休人员，提供退休证明。如依法不需要缴纳社会保险的，应提供相应文件证明。</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5.若因社保部门原因无法提供的，需提供劳动合同及社保部门官方通知证明（或官网公告截图）。</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6.如本项目未安排项目负责人、主要技术人员的，无需提供项目负责人、主要技术人员的社保。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tabs>
                <w:tab w:val="left" w:pos="176"/>
                <w:tab w:val="left" w:pos="612"/>
              </w:tabs>
              <w:ind w:left="342"/>
              <w:jc w:val="center"/>
              <w:rPr>
                <w:rFonts w:hint="eastAsia" w:ascii="宋体" w:hAnsi="宋体" w:cs="宋体"/>
              </w:rPr>
            </w:pPr>
          </w:p>
        </w:tc>
        <w:tc>
          <w:tcPr>
            <w:tcW w:w="8014" w:type="dxa"/>
            <w:vAlign w:val="center"/>
          </w:tcPr>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不同供应商的法定代表人、主要经营负责人、项目投标授权代表人、项目负责人（如有）、主要技术人员（如有）不存在为同一人或在同一单位缴纳社会保险；或者不存在直接控股、管理关系；不存在因违法行为而被禁止参加政府采购活动等情形。</w:t>
            </w:r>
          </w:p>
        </w:tc>
      </w:tr>
    </w:tbl>
    <w:p>
      <w:pPr>
        <w:adjustRightInd w:val="0"/>
        <w:snapToGrid w:val="0"/>
        <w:spacing w:line="360" w:lineRule="auto"/>
        <w:jc w:val="left"/>
        <w:rPr>
          <w:rFonts w:hint="eastAsia" w:ascii="宋体" w:hAnsi="宋体" w:cs="宋体"/>
        </w:rPr>
      </w:pPr>
    </w:p>
    <w:bookmarkEnd w:id="0"/>
    <w:p/>
    <w:p>
      <w:pPr>
        <w:pStyle w:val="9"/>
        <w:rPr>
          <w:rFonts w:hint="eastAsia"/>
        </w:rPr>
      </w:pPr>
    </w:p>
    <w:p>
      <w:pPr>
        <w:pStyle w:val="14"/>
      </w:pPr>
    </w:p>
    <w:p>
      <w:pPr>
        <w:pStyle w:val="14"/>
      </w:pPr>
    </w:p>
    <w:p>
      <w:pPr>
        <w:pStyle w:val="14"/>
      </w:pPr>
    </w:p>
    <w:p>
      <w:pPr>
        <w:pStyle w:val="14"/>
      </w:pPr>
    </w:p>
    <w:p>
      <w:pPr>
        <w:pStyle w:val="14"/>
      </w:pPr>
    </w:p>
    <w:p>
      <w:pPr>
        <w:pStyle w:val="14"/>
      </w:pPr>
    </w:p>
    <w:p>
      <w:pPr>
        <w:pStyle w:val="14"/>
      </w:pPr>
    </w:p>
    <w:p>
      <w:pPr>
        <w:pStyle w:val="14"/>
      </w:pPr>
    </w:p>
    <w:p>
      <w:pPr>
        <w:pStyle w:val="2"/>
        <w:spacing w:line="400" w:lineRule="exact"/>
        <w:jc w:val="center"/>
        <w:rPr>
          <w:rFonts w:hint="eastAsia" w:ascii="宋体" w:hAnsi="宋体" w:cs="宋体"/>
          <w:b/>
          <w:bCs/>
          <w:sz w:val="28"/>
          <w:szCs w:val="28"/>
        </w:rPr>
      </w:pPr>
      <w:r>
        <w:rPr>
          <w:rFonts w:hint="eastAsia" w:ascii="宋体" w:hAnsi="宋体" w:cs="宋体"/>
          <w:b/>
          <w:bCs/>
          <w:sz w:val="28"/>
          <w:szCs w:val="28"/>
        </w:rPr>
        <w:t>（二）符合性检查表</w:t>
      </w:r>
    </w:p>
    <w:tbl>
      <w:tblPr>
        <w:tblStyle w:val="17"/>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5" w:type="dxa"/>
            <w:noWrap/>
            <w:vAlign w:val="center"/>
          </w:tcPr>
          <w:p>
            <w:pPr>
              <w:jc w:val="center"/>
              <w:rPr>
                <w:rFonts w:hint="eastAsia" w:ascii="宋体" w:hAnsi="宋体" w:cs="宋体"/>
                <w:b/>
              </w:rPr>
            </w:pPr>
            <w:r>
              <w:rPr>
                <w:rFonts w:hint="eastAsia" w:ascii="宋体" w:hAnsi="宋体" w:cs="宋体"/>
                <w:b/>
              </w:rPr>
              <w:t>序号</w:t>
            </w:r>
          </w:p>
        </w:tc>
        <w:tc>
          <w:tcPr>
            <w:tcW w:w="7929" w:type="dxa"/>
            <w:noWrap/>
            <w:vAlign w:val="center"/>
          </w:tcPr>
          <w:p>
            <w:pPr>
              <w:jc w:val="center"/>
              <w:rPr>
                <w:rFonts w:hint="eastAsia" w:ascii="宋体" w:hAnsi="宋体" w:cs="宋体"/>
                <w:b/>
              </w:rPr>
            </w:pPr>
            <w:r>
              <w:rPr>
                <w:rFonts w:hint="eastAsia" w:ascii="宋体" w:hAnsi="宋体" w:cs="宋体"/>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1</w:t>
            </w:r>
          </w:p>
        </w:tc>
        <w:tc>
          <w:tcPr>
            <w:tcW w:w="7929" w:type="dxa"/>
            <w:noWrap/>
            <w:vAlign w:val="center"/>
          </w:tcPr>
          <w:p>
            <w:pPr>
              <w:rPr>
                <w:rFonts w:hint="eastAsia" w:ascii="宋体" w:hAnsi="宋体" w:cs="宋体"/>
                <w:bCs/>
                <w:sz w:val="22"/>
                <w:szCs w:val="22"/>
              </w:rPr>
            </w:pPr>
            <w:r>
              <w:rPr>
                <w:rFonts w:hint="eastAsia"/>
              </w:rPr>
              <w:t>未</w:t>
            </w:r>
            <w:r>
              <w:rPr>
                <w:rFonts w:hint="eastAsia" w:ascii="宋体" w:hAnsi="宋体" w:cs="宋体"/>
                <w:bCs/>
                <w:sz w:val="22"/>
                <w:szCs w:val="22"/>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2</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招标文件未规定允许有替代方案时，对同一货物投标时，</w:t>
            </w:r>
            <w:r>
              <w:rPr>
                <w:rFonts w:hint="eastAsia"/>
              </w:rPr>
              <w:t>未</w:t>
            </w:r>
            <w:r>
              <w:rPr>
                <w:rFonts w:hint="eastAsia" w:ascii="宋体" w:hAnsi="宋体" w:cs="宋体"/>
                <w:bCs/>
                <w:sz w:val="22"/>
                <w:szCs w:val="22"/>
              </w:rPr>
              <w:t>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3</w:t>
            </w:r>
          </w:p>
        </w:tc>
        <w:tc>
          <w:tcPr>
            <w:tcW w:w="7929" w:type="dxa"/>
            <w:noWrap/>
            <w:vAlign w:val="center"/>
          </w:tcPr>
          <w:p>
            <w:pPr>
              <w:rPr>
                <w:rFonts w:hint="eastAsia" w:ascii="宋体" w:hAnsi="宋体" w:cs="宋体"/>
                <w:bCs/>
                <w:sz w:val="22"/>
                <w:szCs w:val="22"/>
              </w:rPr>
            </w:pPr>
            <w:r>
              <w:rPr>
                <w:rFonts w:hint="eastAsia" w:ascii="宋体" w:hAnsi="宋体" w:cs="宋体"/>
                <w:color w:val="000000" w:themeColor="text1"/>
                <w:szCs w:val="21"/>
                <w14:textFill>
                  <w14:solidFill>
                    <w14:schemeClr w14:val="tx1"/>
                  </w14:solidFill>
                </w14:textFill>
              </w:rPr>
              <w:t>投标报价按照招标文件要求进行报价，</w:t>
            </w:r>
            <w:r>
              <w:rPr>
                <w:rFonts w:hint="eastAsia" w:ascii="宋体" w:hAnsi="宋体" w:cs="宋体"/>
                <w:bCs/>
                <w:sz w:val="22"/>
                <w:szCs w:val="22"/>
              </w:rPr>
              <w:t>投标总价或分项报价</w:t>
            </w:r>
            <w:r>
              <w:rPr>
                <w:rFonts w:hint="eastAsia"/>
              </w:rPr>
              <w:t>未</w:t>
            </w:r>
            <w:r>
              <w:rPr>
                <w:rFonts w:hint="eastAsia" w:ascii="宋体" w:hAnsi="宋体" w:cs="宋体"/>
                <w:bCs/>
                <w:sz w:val="22"/>
                <w:szCs w:val="22"/>
              </w:rPr>
              <w:t>高于项目预算限额。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4</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投标人的报价未明显低于其他通过符合性审查投标人的报价，不会影响产品质量或者诚信履约。评委会有权要求投标供应商在规定时间内提供书面说明以及必要的证明材料，投标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5</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同一项目未出现两个或以上报价、单价汇总与总价不符的情况。评委会有权要求投标供应商在规定时间内进行书面澄清说明，投标供应商不能及时进行澄清说明的，评标委员会应当将其作为无效投标处理。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6</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投标报价无缺漏项目或未对采购文件规定的服务清单项目及数量进行修改。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7</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所投产品、工程、服务在质量、技术、方案等方面实质性满足采购文件要求，本项目实质性条款以标注“★”条款为准（是否实质性满足招标文件要求，由评审委员会根据《实质性条款响应情况表》作出评判）。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8</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开标一览表》《投标及履约承诺函》按采购文件规定的格式和内容响应；按采购文件对投标文件组成的要求提供投标文件的（投标文件组成完整）；按照招标文件要求提供密封投标文件；投标文件的数量、密封、签字盖章符合采购文件要求，提供投标文件电子文档；按照采购文件规定的样式及要求填写“法定代表人资格证明书”或“</w:t>
            </w:r>
            <w:r>
              <w:rPr>
                <w:rFonts w:hint="eastAsia" w:ascii="宋体" w:hAnsi="宋体" w:cs="宋体"/>
                <w:bCs/>
                <w:sz w:val="22"/>
                <w:szCs w:val="22"/>
                <w:lang w:bidi="ar"/>
              </w:rPr>
              <w:t>法定代表人授权书</w:t>
            </w:r>
            <w:r>
              <w:rPr>
                <w:rFonts w:hint="eastAsia" w:ascii="宋体" w:hAnsi="宋体" w:cs="宋体"/>
                <w:bCs/>
                <w:sz w:val="22"/>
                <w:szCs w:val="22"/>
              </w:rPr>
              <w:t>”或“分项报价表”。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9</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与其他投标供应商的投标文件未存在异常雷同现象的。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10</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未存在招标文件规定的其他投标无效情形。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11</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法律、法规规定的其他情形。</w:t>
            </w:r>
          </w:p>
        </w:tc>
      </w:tr>
    </w:tbl>
    <w:p>
      <w:pPr>
        <w:adjustRightInd w:val="0"/>
        <w:snapToGrid w:val="0"/>
        <w:spacing w:line="360" w:lineRule="auto"/>
        <w:jc w:val="left"/>
        <w:rPr>
          <w:rFonts w:hint="eastAsia" w:ascii="宋体" w:hAnsi="宋体" w:cs="宋体"/>
        </w:rPr>
      </w:pPr>
    </w:p>
    <w:p>
      <w:pPr>
        <w:adjustRightInd w:val="0"/>
        <w:snapToGrid w:val="0"/>
        <w:spacing w:line="360" w:lineRule="auto"/>
        <w:jc w:val="left"/>
        <w:rPr>
          <w:rFonts w:ascii="宋体" w:cs="宋体"/>
          <w:szCs w:val="21"/>
        </w:rPr>
      </w:pPr>
      <w:r>
        <w:rPr>
          <w:rFonts w:hint="eastAsia" w:ascii="宋体" w:hAnsi="宋体" w:cs="宋体"/>
        </w:rPr>
        <w:t>说明：</w:t>
      </w:r>
      <w:r>
        <w:rPr>
          <w:rFonts w:hint="eastAsia" w:ascii="宋体" w:hAnsi="宋体"/>
        </w:rPr>
        <w:t>投标人必须严格按照《资格性审查表》《符合性检查表》的评审内容的要求如实提供材料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
    <w:p/>
    <w:p>
      <w:pPr>
        <w:pStyle w:val="2"/>
        <w:spacing w:line="400" w:lineRule="exact"/>
        <w:jc w:val="center"/>
        <w:rPr>
          <w:rFonts w:hint="eastAsia" w:ascii="宋体" w:hAnsi="宋体" w:cs="宋体"/>
          <w:b/>
          <w:bCs/>
          <w:sz w:val="32"/>
          <w:szCs w:val="32"/>
        </w:rPr>
      </w:pPr>
      <w:bookmarkStart w:id="1" w:name="_Toc20190"/>
      <w:bookmarkStart w:id="2" w:name="_Toc24877"/>
      <w:bookmarkStart w:id="3" w:name="_Toc417"/>
      <w:r>
        <w:rPr>
          <w:rFonts w:hint="eastAsia" w:ascii="宋体" w:hAnsi="宋体" w:cs="宋体"/>
          <w:b/>
          <w:bCs/>
          <w:sz w:val="28"/>
          <w:szCs w:val="28"/>
        </w:rPr>
        <w:t>（三）供应商自查表</w:t>
      </w:r>
      <w:bookmarkEnd w:id="1"/>
      <w:bookmarkEnd w:id="2"/>
      <w:bookmarkEnd w:id="3"/>
    </w:p>
    <w:p>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17"/>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995"/>
        <w:gridCol w:w="2907"/>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序号</w:t>
            </w:r>
          </w:p>
        </w:tc>
        <w:tc>
          <w:tcPr>
            <w:tcW w:w="5995" w:type="dxa"/>
            <w:vAlign w:val="center"/>
          </w:tcPr>
          <w:p>
            <w:pPr>
              <w:spacing w:line="360" w:lineRule="exact"/>
              <w:jc w:val="center"/>
              <w:rPr>
                <w:rFonts w:hint="eastAsia" w:ascii="宋体" w:hAnsi="宋体"/>
                <w:szCs w:val="21"/>
              </w:rPr>
            </w:pPr>
            <w:r>
              <w:rPr>
                <w:rFonts w:hint="eastAsia" w:ascii="宋体" w:hAnsi="宋体"/>
                <w:szCs w:val="21"/>
              </w:rPr>
              <w:t>是否存在以下投标违规行为</w:t>
            </w:r>
          </w:p>
        </w:tc>
        <w:tc>
          <w:tcPr>
            <w:tcW w:w="2907" w:type="dxa"/>
            <w:vAlign w:val="center"/>
          </w:tcPr>
          <w:p>
            <w:pPr>
              <w:spacing w:line="360" w:lineRule="exact"/>
              <w:jc w:val="center"/>
              <w:rPr>
                <w:rFonts w:hint="eastAsia" w:ascii="宋体" w:hAnsi="宋体"/>
                <w:szCs w:val="21"/>
              </w:rPr>
            </w:pPr>
            <w:r>
              <w:rPr>
                <w:rFonts w:hint="eastAsia" w:ascii="宋体" w:hAnsi="宋体"/>
                <w:szCs w:val="21"/>
              </w:rPr>
              <w:t>自查情况</w:t>
            </w:r>
          </w:p>
          <w:p>
            <w:pPr>
              <w:spacing w:line="360" w:lineRule="exact"/>
              <w:jc w:val="center"/>
              <w:rPr>
                <w:rFonts w:hint="eastAsia" w:ascii="宋体" w:hAnsi="宋体"/>
                <w:szCs w:val="21"/>
              </w:rPr>
            </w:pPr>
            <w:r>
              <w:rPr>
                <w:rFonts w:hint="eastAsia" w:ascii="宋体" w:hAnsi="宋体"/>
                <w:szCs w:val="21"/>
              </w:rPr>
              <w:t>（填写“不存在”或“存在”）</w:t>
            </w:r>
          </w:p>
        </w:tc>
        <w:tc>
          <w:tcPr>
            <w:tcW w:w="919" w:type="dxa"/>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w:t>
            </w:r>
          </w:p>
        </w:tc>
        <w:tc>
          <w:tcPr>
            <w:tcW w:w="5995" w:type="dxa"/>
            <w:vAlign w:val="center"/>
          </w:tcPr>
          <w:p>
            <w:pPr>
              <w:jc w:val="left"/>
              <w:rPr>
                <w:rFonts w:hint="eastAsia" w:ascii="宋体" w:hAnsi="宋体" w:cs="宋体"/>
              </w:rPr>
            </w:pPr>
            <w:r>
              <w:rPr>
                <w:rFonts w:hint="eastAsia" w:ascii="宋体" w:hAnsi="宋体" w:cs="宋体"/>
                <w:bCs/>
                <w:szCs w:val="21"/>
              </w:rPr>
              <w:t>投标供应商之间相互约定给予未中标的供应商利益补偿。</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2</w:t>
            </w:r>
          </w:p>
        </w:tc>
        <w:tc>
          <w:tcPr>
            <w:tcW w:w="5995" w:type="dxa"/>
            <w:vAlign w:val="center"/>
          </w:tcPr>
          <w:p>
            <w:pPr>
              <w:jc w:val="left"/>
              <w:rPr>
                <w:rFonts w:hint="eastAsia"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不同投标供应商的法定代表人、主要经营负责人、项目投标授权代表人、项目负责人、主要技术人员为同一人、属于同一单位或者在同一单位缴纳社会保险。</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3</w:t>
            </w:r>
          </w:p>
        </w:tc>
        <w:tc>
          <w:tcPr>
            <w:tcW w:w="5995" w:type="dxa"/>
            <w:vAlign w:val="center"/>
          </w:tcPr>
          <w:p>
            <w:pPr>
              <w:jc w:val="left"/>
              <w:rPr>
                <w:rFonts w:hint="eastAsia"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4</w:t>
            </w:r>
          </w:p>
        </w:tc>
        <w:tc>
          <w:tcPr>
            <w:tcW w:w="5995" w:type="dxa"/>
            <w:vAlign w:val="center"/>
          </w:tcPr>
          <w:p>
            <w:pPr>
              <w:jc w:val="left"/>
              <w:rPr>
                <w:rFonts w:hint="eastAsia"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5</w:t>
            </w:r>
          </w:p>
        </w:tc>
        <w:tc>
          <w:tcPr>
            <w:tcW w:w="5995" w:type="dxa"/>
            <w:vAlign w:val="center"/>
          </w:tcPr>
          <w:p>
            <w:pPr>
              <w:jc w:val="left"/>
              <w:rPr>
                <w:rFonts w:hint="eastAsia" w:ascii="宋体" w:hAnsi="宋体" w:cs="宋体"/>
                <w:snapToGrid w:val="0"/>
                <w:kern w:val="0"/>
                <w:szCs w:val="21"/>
              </w:rPr>
            </w:pPr>
            <w:r>
              <w:rPr>
                <w:szCs w:val="21"/>
              </w:rPr>
              <w:t>不同投标供应商的投标文件内容存在非正常一致。</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6</w:t>
            </w:r>
          </w:p>
        </w:tc>
        <w:tc>
          <w:tcPr>
            <w:tcW w:w="5995" w:type="dxa"/>
            <w:vAlign w:val="center"/>
          </w:tcPr>
          <w:p>
            <w:pPr>
              <w:jc w:val="left"/>
              <w:rPr>
                <w:rFonts w:hint="eastAsia"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7</w:t>
            </w:r>
          </w:p>
        </w:tc>
        <w:tc>
          <w:tcPr>
            <w:tcW w:w="5995" w:type="dxa"/>
            <w:vAlign w:val="center"/>
          </w:tcPr>
          <w:p>
            <w:pPr>
              <w:jc w:val="left"/>
              <w:rPr>
                <w:rFonts w:hint="eastAsia"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8</w:t>
            </w:r>
          </w:p>
        </w:tc>
        <w:tc>
          <w:tcPr>
            <w:tcW w:w="5995" w:type="dxa"/>
            <w:vAlign w:val="center"/>
          </w:tcPr>
          <w:p>
            <w:pPr>
              <w:jc w:val="left"/>
              <w:rPr>
                <w:rFonts w:hint="eastAsia" w:ascii="宋体" w:hAnsi="宋体" w:cs="宋体"/>
                <w:snapToGrid w:val="0"/>
                <w:kern w:val="0"/>
                <w:szCs w:val="21"/>
              </w:rPr>
            </w:pPr>
            <w:r>
              <w:rPr>
                <w:rFonts w:hint="eastAsia" w:ascii="宋体" w:hAnsi="宋体" w:cs="宋体"/>
              </w:rPr>
              <w:t>不同投标人的投标报价呈规律性差异。</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9</w:t>
            </w:r>
          </w:p>
        </w:tc>
        <w:tc>
          <w:tcPr>
            <w:tcW w:w="5995" w:type="dxa"/>
            <w:vAlign w:val="center"/>
          </w:tcPr>
          <w:p>
            <w:pPr>
              <w:jc w:val="left"/>
              <w:rPr>
                <w:rFonts w:hint="eastAsia" w:ascii="宋体" w:hAnsi="宋体" w:cs="宋体"/>
                <w:snapToGrid w:val="0"/>
                <w:kern w:val="0"/>
                <w:szCs w:val="21"/>
              </w:rPr>
            </w:pPr>
            <w:r>
              <w:rPr>
                <w:rFonts w:hint="eastAsia" w:ascii="宋体" w:hAnsi="宋体" w:cs="宋体"/>
              </w:rPr>
              <w:t>不同投标人的投标保证金从同一单位或者个人的账户转出。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10</w:t>
            </w:r>
          </w:p>
        </w:tc>
        <w:tc>
          <w:tcPr>
            <w:tcW w:w="5995" w:type="dxa"/>
            <w:vAlign w:val="center"/>
          </w:tcPr>
          <w:p>
            <w:pPr>
              <w:jc w:val="left"/>
              <w:rPr>
                <w:rFonts w:hint="eastAsia" w:ascii="宋体" w:hAnsi="宋体" w:cs="宋体"/>
                <w:szCs w:val="21"/>
              </w:rPr>
            </w:pPr>
            <w:r>
              <w:rPr>
                <w:rFonts w:hint="eastAsia" w:ascii="宋体" w:hAnsi="宋体"/>
                <w:szCs w:val="21"/>
              </w:rPr>
              <w:t>投标人之间协商投标报价等投标文件的实质性内容。</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11</w:t>
            </w:r>
          </w:p>
        </w:tc>
        <w:tc>
          <w:tcPr>
            <w:tcW w:w="5995" w:type="dxa"/>
            <w:vAlign w:val="center"/>
          </w:tcPr>
          <w:p>
            <w:pPr>
              <w:jc w:val="left"/>
              <w:rPr>
                <w:rFonts w:hint="eastAsia" w:ascii="宋体" w:hAnsi="宋体" w:cs="宋体"/>
                <w:szCs w:val="21"/>
              </w:rPr>
            </w:pPr>
            <w:r>
              <w:rPr>
                <w:rFonts w:hint="eastAsia" w:ascii="宋体" w:hAnsi="宋体"/>
                <w:szCs w:val="21"/>
              </w:rPr>
              <w:t>投标人之间约定中标人。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12</w:t>
            </w:r>
          </w:p>
        </w:tc>
        <w:tc>
          <w:tcPr>
            <w:tcW w:w="5995" w:type="dxa"/>
            <w:vAlign w:val="center"/>
          </w:tcPr>
          <w:p>
            <w:pPr>
              <w:jc w:val="left"/>
              <w:rPr>
                <w:rFonts w:hint="eastAsia" w:ascii="宋体" w:hAnsi="宋体" w:cs="宋体"/>
                <w:szCs w:val="21"/>
              </w:rPr>
            </w:pPr>
            <w:r>
              <w:rPr>
                <w:rFonts w:hint="eastAsia" w:ascii="宋体" w:hAnsi="宋体"/>
                <w:szCs w:val="21"/>
              </w:rPr>
              <w:t>投标人之间约定部分投标人放弃投标或者中标。</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13</w:t>
            </w:r>
          </w:p>
        </w:tc>
        <w:tc>
          <w:tcPr>
            <w:tcW w:w="5995" w:type="dxa"/>
            <w:vAlign w:val="center"/>
          </w:tcPr>
          <w:p>
            <w:pPr>
              <w:jc w:val="left"/>
              <w:rPr>
                <w:rFonts w:hint="eastAsia" w:ascii="宋体" w:hAnsi="宋体" w:cs="宋体"/>
                <w:szCs w:val="21"/>
              </w:rPr>
            </w:pPr>
            <w:r>
              <w:rPr>
                <w:rFonts w:hint="eastAsia" w:ascii="宋体" w:hAnsi="宋体"/>
                <w:szCs w:val="21"/>
              </w:rPr>
              <w:t>属于同一集团、协会、商会等组织成员的投标人按照该组织要求协同投标。</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14</w:t>
            </w:r>
          </w:p>
        </w:tc>
        <w:tc>
          <w:tcPr>
            <w:tcW w:w="5995" w:type="dxa"/>
            <w:vAlign w:val="center"/>
          </w:tcPr>
          <w:p>
            <w:pPr>
              <w:jc w:val="left"/>
              <w:rPr>
                <w:rFonts w:hint="eastAsia" w:ascii="宋体" w:hAnsi="宋体" w:cs="宋体"/>
                <w:szCs w:val="21"/>
              </w:rPr>
            </w:pPr>
            <w:r>
              <w:rPr>
                <w:rFonts w:hint="eastAsia" w:ascii="宋体" w:hAnsi="宋体"/>
                <w:szCs w:val="21"/>
              </w:rPr>
              <w:t>投标人之间为谋取中标或者排斥特定投标人而采取的其他联合行动。</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15</w:t>
            </w:r>
          </w:p>
        </w:tc>
        <w:tc>
          <w:tcPr>
            <w:tcW w:w="5995" w:type="dxa"/>
            <w:vAlign w:val="center"/>
          </w:tcPr>
          <w:p>
            <w:pPr>
              <w:jc w:val="left"/>
              <w:rPr>
                <w:rFonts w:hint="eastAsia"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16</w:t>
            </w:r>
          </w:p>
        </w:tc>
        <w:tc>
          <w:tcPr>
            <w:tcW w:w="5995" w:type="dxa"/>
            <w:vAlign w:val="center"/>
          </w:tcPr>
          <w:p>
            <w:pPr>
              <w:jc w:val="left"/>
              <w:rPr>
                <w:rFonts w:hint="eastAsia"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17</w:t>
            </w:r>
          </w:p>
        </w:tc>
        <w:tc>
          <w:tcPr>
            <w:tcW w:w="5995" w:type="dxa"/>
            <w:vAlign w:val="center"/>
          </w:tcPr>
          <w:p>
            <w:pPr>
              <w:jc w:val="left"/>
              <w:rPr>
                <w:rFonts w:hint="eastAsia"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18</w:t>
            </w:r>
          </w:p>
        </w:tc>
        <w:tc>
          <w:tcPr>
            <w:tcW w:w="5995" w:type="dxa"/>
            <w:vAlign w:val="center"/>
          </w:tcPr>
          <w:p>
            <w:pPr>
              <w:jc w:val="left"/>
              <w:rPr>
                <w:rFonts w:hint="eastAsia"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19</w:t>
            </w:r>
          </w:p>
        </w:tc>
        <w:tc>
          <w:tcPr>
            <w:tcW w:w="5995" w:type="dxa"/>
            <w:vAlign w:val="center"/>
          </w:tcPr>
          <w:p>
            <w:pPr>
              <w:jc w:val="left"/>
              <w:rPr>
                <w:rFonts w:hint="eastAsia" w:ascii="宋体" w:hAnsi="宋体" w:cs="宋体"/>
                <w:snapToGrid w:val="0"/>
                <w:kern w:val="0"/>
                <w:szCs w:val="21"/>
              </w:rPr>
            </w:pPr>
            <w:r>
              <w:rPr>
                <w:rFonts w:hint="eastAsia" w:ascii="宋体" w:hAnsi="宋体" w:cs="宋体"/>
                <w:szCs w:val="21"/>
              </w:rPr>
              <w:t>投标保证金不是从投标供应商基本账户转出。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20</w:t>
            </w:r>
          </w:p>
        </w:tc>
        <w:tc>
          <w:tcPr>
            <w:tcW w:w="5995" w:type="dxa"/>
            <w:vAlign w:val="center"/>
          </w:tcPr>
          <w:p>
            <w:pPr>
              <w:jc w:val="left"/>
              <w:rPr>
                <w:rFonts w:hint="eastAsia" w:ascii="宋体" w:hAnsi="宋体" w:cs="宋体"/>
                <w:snapToGrid w:val="0"/>
                <w:kern w:val="0"/>
                <w:szCs w:val="21"/>
              </w:rPr>
            </w:pPr>
            <w:r>
              <w:rPr>
                <w:szCs w:val="21"/>
              </w:rPr>
              <w:t>其他隐瞒真实情况、提供虚假资料的行为。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bl>
    <w:p>
      <w:pPr>
        <w:spacing w:line="360" w:lineRule="auto"/>
        <w:jc w:val="left"/>
        <w:rPr>
          <w:rFonts w:hint="eastAsia" w:ascii="宋体" w:hAnsi="宋体" w:cs="宋体"/>
          <w:szCs w:val="21"/>
        </w:rPr>
      </w:pPr>
      <w:r>
        <w:rPr>
          <w:rFonts w:hint="eastAsia" w:ascii="宋体" w:hAnsi="宋体" w:cs="宋体"/>
          <w:szCs w:val="21"/>
        </w:rPr>
        <w:t>注：投标供应商出现上述与其他采购参加人串通投标、隐瞒真实情况</w:t>
      </w:r>
      <w:r>
        <w:rPr>
          <w:rFonts w:hint="eastAsia" w:cs="宋体"/>
          <w:szCs w:val="21"/>
        </w:rPr>
        <w:t>或者</w:t>
      </w:r>
      <w:r>
        <w:rPr>
          <w:rFonts w:hint="eastAsia" w:ascii="宋体" w:hAnsi="宋体" w:cs="宋体"/>
          <w:szCs w:val="21"/>
        </w:rPr>
        <w:t>提供虚假资料行为的，将依法承担法律责任。</w:t>
      </w:r>
    </w:p>
    <w:p>
      <w:pPr>
        <w:pStyle w:val="27"/>
      </w:pPr>
    </w:p>
    <w:p>
      <w:pPr>
        <w:pStyle w:val="27"/>
        <w:ind w:firstLine="0" w:firstLineChars="0"/>
      </w:pPr>
    </w:p>
    <w:p>
      <w:pPr>
        <w:jc w:val="center"/>
        <w:rPr>
          <w:rFonts w:hint="eastAsia" w:ascii="仿宋_GB2312" w:hAnsi="仿宋_GB2312" w:eastAsia="仿宋_GB2312" w:cs="仿宋_GB2312"/>
          <w:b/>
          <w:bCs/>
          <w:sz w:val="36"/>
          <w:szCs w:val="36"/>
        </w:rPr>
      </w:pPr>
      <w:r>
        <w:rPr>
          <w:rFonts w:ascii="仿宋_GB2312" w:hAnsi="仿宋_GB2312" w:eastAsia="仿宋_GB2312" w:cs="仿宋_GB2312"/>
          <w:b/>
          <w:bCs/>
          <w:sz w:val="36"/>
          <w:szCs w:val="36"/>
        </w:rPr>
        <w:t>第四章</w:t>
      </w:r>
      <w:r>
        <w:rPr>
          <w:rFonts w:hint="eastAsia" w:ascii="仿宋_GB2312" w:hAnsi="仿宋_GB2312" w:eastAsia="仿宋_GB2312" w:cs="仿宋_GB2312"/>
          <w:b/>
          <w:bCs/>
          <w:sz w:val="36"/>
          <w:szCs w:val="36"/>
        </w:rPr>
        <w:t xml:space="preserve">  投标须知</w:t>
      </w:r>
    </w:p>
    <w:p>
      <w:pPr>
        <w:pStyle w:val="2"/>
      </w:pPr>
    </w:p>
    <w:p>
      <w:pPr>
        <w:snapToGrid w:val="0"/>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一、为充分体现公平、公正、公开原则，择优选择供应商，参加投标的单位必须满足本项目投标供应商的资质要求</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（一）本项目的潜在供应商应在递交投标文件截止日之前到医院招采办报名投标。</w:t>
      </w:r>
    </w:p>
    <w:p>
      <w:pPr>
        <w:snapToGrid w:val="0"/>
        <w:spacing w:line="40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（二）符合条件的供应商严格按照采购单位提供的招标文件，认真填写投标资料，并在规定时间内将</w:t>
      </w:r>
      <w:r>
        <w:rPr>
          <w:rFonts w:hint="eastAsia" w:ascii="仿宋" w:hAnsi="仿宋" w:eastAsia="仿宋" w:cs="仿宋"/>
          <w:b/>
          <w:bCs/>
          <w:sz w:val="28"/>
          <w:szCs w:val="28"/>
        </w:rPr>
        <w:t>投标文件密封</w:t>
      </w:r>
      <w:r>
        <w:rPr>
          <w:rFonts w:hint="eastAsia" w:ascii="仿宋" w:hAnsi="仿宋" w:eastAsia="仿宋" w:cs="仿宋"/>
          <w:sz w:val="28"/>
          <w:szCs w:val="28"/>
        </w:rPr>
        <w:t>送达指定地点。投标单位法定代表人或授权代表人在规定的时间内未递交投标资料的，视为自动放弃。</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（三）院内公开招标有效投标的供应商不足三家，不得开标。</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（四）存在下列情形的，应予废标：</w:t>
      </w:r>
    </w:p>
    <w:p>
      <w:pPr>
        <w:snapToGrid w:val="0"/>
        <w:spacing w:line="4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1.符合专业条件的供应商或者对招标文件作实质性响应的供应商不足三家的；</w:t>
      </w:r>
    </w:p>
    <w:p>
      <w:pPr>
        <w:snapToGrid w:val="0"/>
        <w:spacing w:line="4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2.出现影响采购公正的违法、违规行为的；</w:t>
      </w:r>
    </w:p>
    <w:p>
      <w:pPr>
        <w:snapToGrid w:val="0"/>
        <w:spacing w:line="4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3.投标人的报价均超过采购预算或最高限价，采购人不能支付的；</w:t>
      </w:r>
    </w:p>
    <w:p>
      <w:pPr>
        <w:snapToGrid w:val="0"/>
        <w:spacing w:line="400" w:lineRule="exact"/>
        <w:ind w:firstLine="638" w:firstLineChars="228"/>
        <w:rPr>
          <w:rFonts w:hint="eastAsia" w:ascii="仿宋" w:hAnsi="仿宋" w:eastAsia="仿宋" w:cs="仿宋"/>
          <w:kern w:val="0"/>
          <w:sz w:val="28"/>
          <w:szCs w:val="28"/>
        </w:rPr>
      </w:pPr>
      <w:r>
        <w:rPr>
          <w:rFonts w:hint="eastAsia" w:ascii="仿宋" w:hAnsi="仿宋" w:eastAsia="仿宋" w:cs="仿宋"/>
          <w:sz w:val="28"/>
          <w:szCs w:val="28"/>
        </w:rPr>
        <w:t>4.因重大变故，采购任务取消的。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（五）投标文件有效期</w:t>
      </w:r>
    </w:p>
    <w:p>
      <w:pPr>
        <w:snapToGrid w:val="0"/>
        <w:spacing w:line="4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1.在递交投标文件截止日期之后的60天内有效；</w:t>
      </w:r>
    </w:p>
    <w:p>
      <w:pPr>
        <w:snapToGrid w:val="0"/>
        <w:spacing w:line="4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2.在原定投标文件有效期满之前，如果出现特殊情况，招采办可以书面形式向供应商提出延长投标文件有效期的要求。</w:t>
      </w:r>
    </w:p>
    <w:p>
      <w:pPr>
        <w:snapToGrid w:val="0"/>
        <w:spacing w:line="4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二、需提供资料及标准</w:t>
      </w:r>
    </w:p>
    <w:p>
      <w:pPr>
        <w:snapToGrid w:val="0"/>
        <w:spacing w:line="40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36"/>
        </w:rPr>
        <w:t>（一）投标文件的规定。投标文件</w:t>
      </w:r>
      <w:r>
        <w:rPr>
          <w:rFonts w:hint="eastAsia" w:ascii="仿宋_GB2312" w:hAnsi="仿宋_GB2312" w:eastAsia="仿宋_GB2312" w:cs="仿宋_GB2312"/>
          <w:b/>
          <w:bCs/>
          <w:sz w:val="28"/>
          <w:szCs w:val="36"/>
        </w:rPr>
        <w:t>须密封装袋</w:t>
      </w:r>
      <w:r>
        <w:rPr>
          <w:rFonts w:hint="eastAsia" w:ascii="仿宋_GB2312" w:hAnsi="仿宋_GB2312" w:eastAsia="仿宋_GB2312" w:cs="仿宋_GB2312"/>
          <w:sz w:val="28"/>
          <w:szCs w:val="36"/>
        </w:rPr>
        <w:t>，制作</w:t>
      </w:r>
      <w:r>
        <w:rPr>
          <w:rFonts w:hint="eastAsia" w:ascii="仿宋_GB2312" w:hAnsi="仿宋_GB2312" w:eastAsia="仿宋_GB2312" w:cs="仿宋_GB2312"/>
          <w:b/>
          <w:bCs/>
          <w:sz w:val="28"/>
          <w:szCs w:val="36"/>
        </w:rPr>
        <w:t>一本正本，2本副本（另：提交一本电子投标文件，用U盘拷贝，U盘不退还，并标明项目名称和公司名称）</w:t>
      </w:r>
      <w:r>
        <w:rPr>
          <w:rFonts w:hint="eastAsia" w:ascii="仿宋_GB2312" w:hAnsi="仿宋_GB2312" w:eastAsia="仿宋_GB2312" w:cs="仿宋_GB2312"/>
          <w:sz w:val="28"/>
          <w:szCs w:val="36"/>
        </w:rPr>
        <w:t>，每份投标文件必须装订且须在封面上清楚标明“</w:t>
      </w:r>
      <w:r>
        <w:rPr>
          <w:rFonts w:hint="eastAsia" w:ascii="仿宋_GB2312" w:hAnsi="仿宋_GB2312" w:eastAsia="仿宋_GB2312" w:cs="仿宋_GB2312"/>
          <w:b/>
          <w:bCs/>
          <w:sz w:val="28"/>
          <w:szCs w:val="36"/>
        </w:rPr>
        <w:t>正本</w:t>
      </w:r>
      <w:r>
        <w:rPr>
          <w:rFonts w:hint="eastAsia" w:ascii="仿宋_GB2312" w:hAnsi="仿宋_GB2312" w:eastAsia="仿宋_GB2312" w:cs="仿宋_GB2312"/>
          <w:sz w:val="28"/>
          <w:szCs w:val="36"/>
        </w:rPr>
        <w:t>”或“</w:t>
      </w:r>
      <w:r>
        <w:rPr>
          <w:rFonts w:hint="eastAsia" w:ascii="仿宋_GB2312" w:hAnsi="仿宋_GB2312" w:eastAsia="仿宋_GB2312" w:cs="仿宋_GB2312"/>
          <w:b/>
          <w:bCs/>
          <w:sz w:val="28"/>
          <w:szCs w:val="36"/>
        </w:rPr>
        <w:t>副本</w:t>
      </w:r>
      <w:r>
        <w:rPr>
          <w:rFonts w:hint="eastAsia" w:ascii="仿宋_GB2312" w:hAnsi="仿宋_GB2312" w:eastAsia="仿宋_GB2312" w:cs="仿宋_GB2312"/>
          <w:sz w:val="28"/>
          <w:szCs w:val="36"/>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rPr>
        <w:t>在修改处签字或盖章</w:t>
      </w:r>
      <w:r>
        <w:rPr>
          <w:rFonts w:hint="eastAsia" w:ascii="仿宋_GB2312" w:hAnsi="仿宋_GB2312" w:eastAsia="仿宋_GB2312" w:cs="仿宋_GB2312"/>
          <w:sz w:val="28"/>
          <w:szCs w:val="36"/>
        </w:rPr>
        <w:t>。</w:t>
      </w:r>
    </w:p>
    <w:p>
      <w:pPr>
        <w:spacing w:line="4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（二）提供本项目开标一览表一份，开标一览表须加盖公章并单独密封，供应商须在开标一览表上签名确认。</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（三）资料封面注有公司名称、地址、联系人、手机号码、办公电话和邮箱地址。</w:t>
      </w:r>
    </w:p>
    <w:p>
      <w:pPr>
        <w:numPr>
          <w:ilvl w:val="255"/>
          <w:numId w:val="0"/>
        </w:numPr>
        <w:snapToGrid w:val="0"/>
        <w:spacing w:line="400" w:lineRule="exact"/>
        <w:ind w:left="-5" w:firstLine="560" w:firstLineChars="200"/>
        <w:jc w:val="left"/>
        <w:rPr>
          <w:rFonts w:hint="eastAsia"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1.所有资料要有封面、目录、页码、装订成册。</w:t>
      </w:r>
    </w:p>
    <w:p>
      <w:pPr>
        <w:numPr>
          <w:ilvl w:val="255"/>
          <w:numId w:val="0"/>
        </w:numPr>
        <w:snapToGrid w:val="0"/>
        <w:spacing w:line="400" w:lineRule="exact"/>
        <w:ind w:left="-5" w:firstLine="560" w:firstLineChars="200"/>
        <w:jc w:val="left"/>
        <w:rPr>
          <w:rFonts w:hint="eastAsia"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2.所有资料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numPr>
          <w:ilvl w:val="255"/>
          <w:numId w:val="0"/>
        </w:numPr>
        <w:snapToGrid w:val="0"/>
        <w:spacing w:line="400" w:lineRule="exact"/>
        <w:ind w:left="-5" w:firstLine="560" w:firstLineChars="200"/>
        <w:jc w:val="left"/>
        <w:rPr>
          <w:rFonts w:hint="eastAsia"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3.所有资料须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snapToGrid w:val="0"/>
        <w:spacing w:line="400" w:lineRule="exact"/>
        <w:ind w:firstLine="560" w:firstLineChars="200"/>
        <w:rPr>
          <w:rFonts w:hint="eastAsia"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（四）携带完整资料到招采办报名登记好公司名称、业务代表姓名、联系电话及提供的产品项目。</w:t>
      </w:r>
    </w:p>
    <w:p>
      <w:pPr>
        <w:snapToGrid w:val="0"/>
        <w:spacing w:line="400" w:lineRule="exact"/>
        <w:ind w:firstLine="560" w:firstLineChars="200"/>
        <w:rPr>
          <w:rFonts w:hint="eastAsia"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院内公开采购活动。</w:t>
      </w:r>
    </w:p>
    <w:p>
      <w:pPr>
        <w:snapToGrid w:val="0"/>
        <w:spacing w:line="400" w:lineRule="exact"/>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（六）投标人的产品质量及服务承诺书不能严重低于招标文件中的服务要求标准作出响应，允许出现负偏差，但不得出现严重负偏差。</w:t>
      </w:r>
    </w:p>
    <w:p>
      <w:pPr>
        <w:snapToGrid w:val="0"/>
        <w:spacing w:line="40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36"/>
        </w:rPr>
        <w:t>（七）评审结束，中标结果公示3天，中标供应商须在收到我院中标通知书后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snapToGrid w:val="0"/>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三、招标文件的澄清</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（一）投标人在收到招标文件后，可以对已发出的招标文件进行必要的澄清或者修改。澄清或者修改应当在原公告发布媒体上发布澄清（更正/变更）公告。</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（三）采购人发出的澄清或修改（更正/变更）的内容为招标文件的组成部分，并对供应商具有约束力。</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对招标文件中描述有歧义或前后不一致的地方，评标委员会有权进行评判，但对同一条款的评判应适用于每个投标人。</w:t>
      </w:r>
    </w:p>
    <w:p>
      <w:pPr>
        <w:snapToGrid w:val="0"/>
        <w:spacing w:line="4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四、招标文件的补充和修正</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（一）采购人可以对已发出的招标文件进行必要的澄清或者修改。澄清或者修改应当在原公告发布媒体上发布澄清（更正/变更）公告。</w:t>
      </w:r>
    </w:p>
    <w:p>
      <w:pPr>
        <w:pStyle w:val="2"/>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w:t>
      </w:r>
      <w:r>
        <w:rPr>
          <w:rFonts w:ascii="仿宋" w:hAnsi="仿宋" w:eastAsia="仿宋" w:cs="仿宋"/>
          <w:sz w:val="28"/>
          <w:szCs w:val="28"/>
        </w:rPr>
        <w:t>采购人对招标文件的补充和修正，将以电子文件等方式发给所有获得招标文件的供应商，补充通知作为招标文件的组成部分，对同意参与招标单位起约束作用。</w:t>
      </w:r>
    </w:p>
    <w:p>
      <w:pPr>
        <w:snapToGrid w:val="0"/>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五、投标文件有效期</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（一）在递交投标文件截止日期之后的60天内有效。</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（二）在原定投标文件有效期满之前，如果出现特殊情况，招采办可以书面形式向投标人提出延长投标文件有效期的要求。</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（三）质疑期限：凡对招标文件有任何质疑的（包括认为招标文件的技术指标或参数存在排他性或歧视性条款），请于开标之日前提出疑问，逾期不予处理。</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（四）招采办将作出澄清和解答，逾期未提交质疑文件的视同无问题。</w:t>
      </w:r>
    </w:p>
    <w:p>
      <w:pPr>
        <w:snapToGrid w:val="0"/>
        <w:spacing w:line="400" w:lineRule="exact"/>
        <w:ind w:firstLine="560" w:firstLineChars="200"/>
        <w:rPr>
          <w:rFonts w:hint="eastAsia" w:ascii="仿宋" w:hAnsi="仿宋" w:eastAsia="仿宋" w:cs="仿宋"/>
          <w:sz w:val="28"/>
          <w:szCs w:val="28"/>
        </w:rPr>
      </w:pPr>
    </w:p>
    <w:p>
      <w:pPr>
        <w:snapToGrid w:val="0"/>
        <w:spacing w:line="400" w:lineRule="exact"/>
        <w:ind w:firstLine="560" w:firstLineChars="200"/>
        <w:rPr>
          <w:rFonts w:hint="eastAsia" w:ascii="仿宋" w:hAnsi="仿宋" w:eastAsia="仿宋" w:cs="仿宋"/>
          <w:sz w:val="28"/>
          <w:szCs w:val="28"/>
        </w:rPr>
      </w:pPr>
    </w:p>
    <w:p>
      <w:pPr>
        <w:snapToGrid w:val="0"/>
        <w:spacing w:line="400" w:lineRule="exact"/>
        <w:ind w:firstLine="560" w:firstLineChars="200"/>
        <w:rPr>
          <w:rFonts w:hint="eastAsia" w:ascii="仿宋" w:hAnsi="仿宋" w:eastAsia="仿宋" w:cs="仿宋"/>
          <w:sz w:val="28"/>
          <w:szCs w:val="28"/>
        </w:rPr>
      </w:pPr>
    </w:p>
    <w:p>
      <w:pPr>
        <w:snapToGrid w:val="0"/>
        <w:spacing w:line="400" w:lineRule="exact"/>
        <w:ind w:firstLine="560" w:firstLineChars="200"/>
        <w:rPr>
          <w:rFonts w:hint="eastAsia" w:ascii="仿宋" w:hAnsi="仿宋" w:eastAsia="仿宋" w:cs="仿宋"/>
          <w:sz w:val="28"/>
          <w:szCs w:val="28"/>
        </w:rPr>
        <w:sectPr>
          <w:footerReference r:id="rId3" w:type="default"/>
          <w:pgSz w:w="11906" w:h="16838"/>
          <w:pgMar w:top="1440" w:right="1576" w:bottom="1440" w:left="1576" w:header="851" w:footer="992" w:gutter="0"/>
          <w:cols w:space="425" w:num="1"/>
          <w:docGrid w:type="lines" w:linePitch="312" w:charSpace="0"/>
        </w:sectPr>
      </w:pPr>
    </w:p>
    <w:p>
      <w:pPr>
        <w:jc w:val="center"/>
        <w:outlineLvl w:val="0"/>
        <w:rPr>
          <w:rFonts w:hint="eastAsia" w:ascii="宋体" w:hAnsi="宋体"/>
          <w:sz w:val="24"/>
        </w:rPr>
      </w:pPr>
      <w:bookmarkStart w:id="4" w:name="_Toc20472"/>
      <w:r>
        <w:rPr>
          <w:rFonts w:hint="eastAsia" w:asciiTheme="minorEastAsia" w:hAnsiTheme="minorEastAsia" w:eastAsiaTheme="minorEastAsia"/>
          <w:b/>
          <w:bCs/>
          <w:sz w:val="44"/>
          <w:szCs w:val="44"/>
        </w:rPr>
        <w:t>特别警示条款</w:t>
      </w:r>
      <w:bookmarkEnd w:id="4"/>
    </w:p>
    <w:p>
      <w:pPr>
        <w:snapToGrid w:val="0"/>
        <w:spacing w:line="400" w:lineRule="exact"/>
        <w:ind w:firstLine="560" w:firstLineChars="200"/>
        <w:rPr>
          <w:rFonts w:hint="eastAsia" w:ascii="仿宋" w:hAnsi="仿宋" w:eastAsia="仿宋" w:cs="仿宋"/>
          <w:sz w:val="28"/>
          <w:szCs w:val="28"/>
        </w:rPr>
      </w:pPr>
      <w:bookmarkStart w:id="5" w:name="_Toc4719"/>
      <w:bookmarkStart w:id="6" w:name="_Toc28128"/>
      <w:bookmarkStart w:id="7" w:name="_Toc16742"/>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一、《深圳经济特区政府采购条例》</w:t>
      </w:r>
      <w:bookmarkEnd w:id="5"/>
      <w:bookmarkEnd w:id="6"/>
      <w:bookmarkEnd w:id="7"/>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（一）在采购活动中应当回避而未回避的；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（二）未按本条例规定签订、履行采购合同，造成严重后果的；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（三）隐瞒真实情况，提供虚假资料的；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（四）以非法手段排斥其他供应商参与竞争的；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（五）与其他采购参加人串通投标的；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（六）恶意投诉的；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（七）向采购项目相关人行贿或者提供其他不当利益的；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（八）阻碍、抗拒主管部门监督检查的；</w:t>
      </w:r>
    </w:p>
    <w:p>
      <w:pPr>
        <w:snapToGrid w:val="0"/>
        <w:spacing w:line="400" w:lineRule="exact"/>
        <w:ind w:firstLine="560" w:firstLineChars="200"/>
        <w:rPr>
          <w:rFonts w:hint="eastAsia" w:ascii="仿宋" w:hAnsi="仿宋" w:eastAsia="仿宋"/>
          <w:sz w:val="28"/>
          <w:szCs w:val="28"/>
        </w:rPr>
      </w:pPr>
      <w:r>
        <w:rPr>
          <w:rFonts w:hint="eastAsia" w:ascii="仿宋" w:hAnsi="仿宋" w:eastAsia="仿宋" w:cs="仿宋"/>
          <w:sz w:val="28"/>
          <w:szCs w:val="28"/>
        </w:rPr>
        <w:t>（九）其他违反本条例规定的行为。</w:t>
      </w:r>
    </w:p>
    <w:p>
      <w:pPr>
        <w:snapToGrid w:val="0"/>
        <w:spacing w:line="400" w:lineRule="exact"/>
        <w:ind w:firstLine="560" w:firstLineChars="200"/>
        <w:rPr>
          <w:rFonts w:hint="eastAsia" w:ascii="仿宋" w:hAnsi="仿宋" w:eastAsia="仿宋" w:cs="仿宋"/>
          <w:sz w:val="28"/>
          <w:szCs w:val="28"/>
        </w:rPr>
      </w:pPr>
      <w:bookmarkStart w:id="8" w:name="_Toc17680"/>
      <w:bookmarkStart w:id="9" w:name="_Toc4026"/>
      <w:bookmarkStart w:id="10" w:name="_Toc6288"/>
      <w:r>
        <w:rPr>
          <w:rFonts w:hint="eastAsia" w:ascii="仿宋" w:hAnsi="仿宋" w:eastAsia="仿宋" w:cs="仿宋"/>
          <w:sz w:val="28"/>
          <w:szCs w:val="28"/>
        </w:rPr>
        <w:t>二、《深圳经济特区政府采购条例实施细则》</w:t>
      </w:r>
      <w:bookmarkEnd w:id="8"/>
      <w:bookmarkEnd w:id="9"/>
      <w:bookmarkEnd w:id="10"/>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第七十五条  供应商有下列情形的，属于采购条例所称的串通投标行为，按照采购条例第五十七条有关规定处理：</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（一）投标供应商之间相互约定给予未中标的供应商利益补偿；</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（二）不同投标供应商的法定代表人、主要经营负责人、项目投标授权代表人、项目负责人、主要技术人员为同一人、属于同一单位或者在同一单位缴纳社会保险；</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（三）不同投标供应商的投标文件由同一单位或者同一人编制，或者由同一人分阶段参与编制的；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（四）不同投标供应商的投标文件或部分投标文件相互混装；</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（五）不同投标供应商的投标文件内容存在非正常一致；</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（六）由同一单位工作人员为两家以上（含两家）供应商进行同一项投标活动的；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（七）主管部门依照法律法规认定的其他情形。</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第七十七条  供应商有下列情形之一的，属于隐瞒真实情况，提供虚假资料，按照采购条例第五十七条的有关规定处理：</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（一）通过转让或者租借等方式从其他单位获取资格或者资质证书投标的；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（二）由其他单位或者其他单位负责人在投标供应商编制的投标文件上加盖印章或者签字的；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（三）项目负责人或者主要技术人员不是本单位人员的；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（四）投标保证金不是从投标供应商基本账户转出的；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（五）其他隐瞒真实情况、提供虚假资料的行为。</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投标供应商不能提供项目负责人或者主要技术人员的劳动合同、社会保险等劳动关系证明材料的，视为存在前款第（三）项规定的情形。</w:t>
      </w:r>
    </w:p>
    <w:p>
      <w:pPr>
        <w:snapToGrid w:val="0"/>
        <w:spacing w:line="400" w:lineRule="exact"/>
        <w:ind w:firstLine="560" w:firstLineChars="200"/>
        <w:rPr>
          <w:rFonts w:hint="eastAsia" w:ascii="仿宋" w:hAnsi="仿宋" w:eastAsia="仿宋" w:cs="仿宋"/>
          <w:sz w:val="28"/>
          <w:szCs w:val="28"/>
        </w:rPr>
      </w:pPr>
      <w:bookmarkStart w:id="11" w:name="_Toc13409"/>
      <w:bookmarkStart w:id="12" w:name="_Toc12769"/>
      <w:bookmarkStart w:id="13" w:name="_Toc5544"/>
      <w:r>
        <w:rPr>
          <w:rFonts w:hint="eastAsia" w:ascii="仿宋" w:hAnsi="仿宋" w:eastAsia="仿宋" w:cs="仿宋"/>
          <w:sz w:val="28"/>
          <w:szCs w:val="28"/>
        </w:rPr>
        <w:t>三、《中华人民共和国政府采购法实施条例》</w:t>
      </w:r>
      <w:bookmarkEnd w:id="11"/>
      <w:bookmarkEnd w:id="12"/>
      <w:bookmarkEnd w:id="13"/>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第十八条  单位负责人为同一人或者存在直接控股、管理关系的不同供应商，不得参加同一合同项下的政府采购活动。</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除单一来源采购项目外，为采购项目提供整体设计、规范编制或者项目管理、监理、检测等服务的供应商，不得再参加该采购项目的其他采购活动。</w:t>
      </w:r>
    </w:p>
    <w:p>
      <w:pPr>
        <w:autoSpaceDE w:val="0"/>
        <w:autoSpaceDN w:val="0"/>
        <w:spacing w:line="320" w:lineRule="exact"/>
        <w:ind w:firstLine="498" w:firstLineChars="177"/>
        <w:rPr>
          <w:rFonts w:hint="eastAsia" w:ascii="仿宋_GB2312" w:eastAsia="仿宋_GB2312" w:hAnsiTheme="minorEastAsia"/>
          <w:b/>
          <w:sz w:val="28"/>
        </w:rPr>
      </w:pPr>
      <w:r>
        <w:rPr>
          <w:rFonts w:hint="eastAsia" w:ascii="仿宋_GB2312" w:eastAsia="仿宋_GB2312" w:hAnsiTheme="minorEastAsia"/>
          <w:b/>
          <w:sz w:val="28"/>
          <w:szCs w:val="28"/>
        </w:rPr>
        <w:t>投标供应商涉嫌存在串通投标等违法行为的，将书面报告财政主管部门依法处理。</w:t>
      </w: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rPr>
          <w:rFonts w:hint="eastAsia" w:ascii="仿宋" w:hAnsi="仿宋" w:eastAsia="仿宋" w:cs="仿宋"/>
          <w:sz w:val="44"/>
          <w:szCs w:val="44"/>
        </w:rPr>
      </w:pPr>
    </w:p>
    <w:p>
      <w:pPr>
        <w:spacing w:line="560" w:lineRule="exact"/>
        <w:ind w:left="2882"/>
      </w:pPr>
      <w:r>
        <w:rPr>
          <w:rFonts w:hint="eastAsia" w:ascii="仿宋" w:hAnsi="仿宋" w:eastAsia="仿宋" w:cs="仿宋"/>
          <w:sz w:val="44"/>
          <w:szCs w:val="44"/>
        </w:rPr>
        <w:t>第五章  供应商标书</w:t>
      </w:r>
    </w:p>
    <w:tbl>
      <w:tblPr>
        <w:tblStyle w:val="17"/>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hint="eastAsia" w:ascii="仿宋" w:hAnsi="仿宋" w:eastAsia="仿宋" w:cs="仿宋"/>
                <w:b/>
                <w:bCs/>
                <w:sz w:val="96"/>
                <w:szCs w:val="96"/>
              </w:rPr>
            </w:pPr>
          </w:p>
          <w:p>
            <w:pPr>
              <w:jc w:val="center"/>
              <w:rPr>
                <w:rFonts w:hint="eastAsia" w:ascii="仿宋" w:hAnsi="仿宋" w:eastAsia="仿宋" w:cs="仿宋"/>
                <w:sz w:val="72"/>
                <w:szCs w:val="72"/>
              </w:rPr>
            </w:pPr>
            <w:r>
              <w:rPr>
                <w:rFonts w:hint="eastAsia" w:ascii="仿宋" w:hAnsi="仿宋" w:eastAsia="仿宋" w:cs="仿宋"/>
                <w:b/>
                <w:bCs/>
                <w:sz w:val="96"/>
                <w:szCs w:val="96"/>
              </w:rPr>
              <w:t>投标书</w:t>
            </w:r>
          </w:p>
          <w:p>
            <w:pPr>
              <w:rPr>
                <w:rFonts w:hint="eastAsia" w:ascii="仿宋" w:hAnsi="仿宋" w:eastAsia="仿宋" w:cs="仿宋"/>
                <w:sz w:val="72"/>
                <w:szCs w:val="72"/>
              </w:rPr>
            </w:pPr>
          </w:p>
          <w:p>
            <w:pPr>
              <w:pStyle w:val="24"/>
              <w:ind w:left="2359" w:leftChars="266" w:hanging="1800" w:hangingChars="500"/>
              <w:rPr>
                <w:rFonts w:hint="eastAsia"/>
                <w:color w:val="auto"/>
                <w:sz w:val="36"/>
                <w:szCs w:val="36"/>
              </w:rPr>
            </w:pPr>
            <w:r>
              <w:rPr>
                <w:rFonts w:hint="eastAsia"/>
                <w:color w:val="auto"/>
                <w:sz w:val="36"/>
                <w:szCs w:val="36"/>
              </w:rPr>
              <w:t>项目名称：深圳市龙岗区第七人民医院龙岭院区门诊楼业务用房房屋结构安全检测鉴定服务项目</w:t>
            </w:r>
          </w:p>
          <w:p>
            <w:pPr>
              <w:snapToGrid w:val="0"/>
              <w:spacing w:line="360" w:lineRule="auto"/>
              <w:rPr>
                <w:rFonts w:hint="eastAsia" w:ascii="仿宋_GB2312" w:hAnsi="仿宋_GB2312" w:eastAsia="仿宋_GB2312" w:cs="仿宋_GB2312"/>
                <w:sz w:val="44"/>
                <w:szCs w:val="44"/>
              </w:rPr>
            </w:pPr>
          </w:p>
          <w:p>
            <w:pPr>
              <w:pStyle w:val="31"/>
              <w:spacing w:line="480" w:lineRule="exact"/>
              <w:ind w:firstLine="0" w:firstLineChars="0"/>
              <w:jc w:val="center"/>
              <w:rPr>
                <w:rFonts w:hint="eastAsia" w:ascii="仿宋_GB2312" w:hAnsi="仿宋_GB2312" w:eastAsia="仿宋_GB2312" w:cs="仿宋_GB2312"/>
                <w:sz w:val="36"/>
                <w:szCs w:val="36"/>
              </w:rPr>
            </w:pPr>
            <w:r>
              <w:rPr>
                <w:rFonts w:hint="eastAsia" w:ascii="仿宋_GB2312" w:hAnsi="仿宋_GB2312" w:eastAsia="仿宋_GB2312" w:cs="仿宋_GB2312"/>
                <w:sz w:val="44"/>
                <w:szCs w:val="44"/>
              </w:rPr>
              <w:t>（</w:t>
            </w:r>
            <w:r>
              <w:rPr>
                <w:rFonts w:hint="eastAsia" w:ascii="仿宋_GB2312" w:hAnsi="仿宋_GB2312" w:eastAsia="仿宋_GB2312" w:cs="仿宋_GB2312"/>
                <w:sz w:val="36"/>
                <w:szCs w:val="36"/>
              </w:rPr>
              <w:t>深龙七医采[LGQY2025ZW006]）</w:t>
            </w:r>
          </w:p>
          <w:p>
            <w:pPr>
              <w:pStyle w:val="31"/>
              <w:spacing w:line="480" w:lineRule="exact"/>
              <w:ind w:firstLine="0" w:firstLineChars="0"/>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采购单位：深圳市龙岗区第七人民医院</w:t>
            </w: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2025年</w:t>
            </w:r>
            <w:r>
              <w:rPr>
                <w:rFonts w:hint="eastAsia" w:ascii="仿宋_GB2312" w:hAnsi="仿宋_GB2312" w:eastAsia="仿宋_GB2312" w:cs="仿宋_GB2312"/>
                <w:b/>
                <w:sz w:val="44"/>
                <w:szCs w:val="44"/>
              </w:rPr>
              <w:t>）</w:t>
            </w:r>
          </w:p>
          <w:p>
            <w:pPr>
              <w:rPr>
                <w:rFonts w:hint="eastAsia" w:ascii="仿宋" w:hAnsi="仿宋" w:eastAsia="仿宋" w:cs="仿宋"/>
                <w:b/>
                <w:sz w:val="36"/>
                <w:szCs w:val="36"/>
              </w:rPr>
            </w:pPr>
          </w:p>
          <w:p>
            <w:pPr>
              <w:jc w:val="left"/>
              <w:rPr>
                <w:rFonts w:hint="eastAsia" w:ascii="仿宋" w:hAnsi="仿宋" w:eastAsia="仿宋" w:cs="仿宋"/>
                <w:b/>
                <w:sz w:val="40"/>
                <w:szCs w:val="40"/>
              </w:rPr>
            </w:pPr>
            <w:r>
              <w:rPr>
                <w:rFonts w:hint="eastAsia" w:ascii="仿宋" w:hAnsi="仿宋" w:eastAsia="仿宋" w:cs="仿宋"/>
                <w:b/>
                <w:sz w:val="40"/>
                <w:szCs w:val="40"/>
              </w:rPr>
              <w:t>投标人：</w:t>
            </w:r>
          </w:p>
          <w:p>
            <w:pPr>
              <w:jc w:val="left"/>
              <w:rPr>
                <w:rFonts w:hint="eastAsia" w:ascii="仿宋" w:hAnsi="仿宋" w:eastAsia="仿宋" w:cs="仿宋"/>
                <w:b/>
                <w:sz w:val="40"/>
                <w:szCs w:val="40"/>
              </w:rPr>
            </w:pPr>
            <w:r>
              <w:rPr>
                <w:rFonts w:hint="eastAsia" w:ascii="仿宋" w:hAnsi="仿宋" w:eastAsia="仿宋" w:cs="仿宋"/>
                <w:b/>
                <w:sz w:val="40"/>
                <w:szCs w:val="40"/>
              </w:rPr>
              <w:t>地  址：</w:t>
            </w:r>
          </w:p>
          <w:p>
            <w:pPr>
              <w:jc w:val="left"/>
              <w:rPr>
                <w:rFonts w:hint="eastAsia" w:ascii="仿宋" w:hAnsi="仿宋" w:eastAsia="仿宋" w:cs="仿宋"/>
                <w:b/>
                <w:sz w:val="40"/>
                <w:szCs w:val="40"/>
              </w:rPr>
            </w:pPr>
            <w:r>
              <w:rPr>
                <w:rFonts w:hint="eastAsia" w:ascii="仿宋" w:hAnsi="仿宋" w:eastAsia="仿宋" w:cs="仿宋"/>
                <w:b/>
                <w:sz w:val="40"/>
                <w:szCs w:val="40"/>
              </w:rPr>
              <w:t>联系人：</w:t>
            </w:r>
          </w:p>
          <w:p>
            <w:pPr>
              <w:jc w:val="left"/>
              <w:rPr>
                <w:rFonts w:hint="eastAsia" w:ascii="仿宋" w:hAnsi="仿宋" w:eastAsia="仿宋" w:cs="仿宋"/>
                <w:b/>
                <w:sz w:val="40"/>
                <w:szCs w:val="40"/>
              </w:rPr>
            </w:pPr>
            <w:r>
              <w:rPr>
                <w:rFonts w:hint="eastAsia" w:ascii="仿宋" w:hAnsi="仿宋" w:eastAsia="仿宋" w:cs="仿宋"/>
                <w:b/>
                <w:sz w:val="40"/>
                <w:szCs w:val="40"/>
              </w:rPr>
              <w:t>电  话：</w:t>
            </w:r>
          </w:p>
          <w:p>
            <w:pPr>
              <w:jc w:val="left"/>
              <w:rPr>
                <w:rFonts w:hint="eastAsia" w:ascii="仿宋" w:hAnsi="仿宋" w:eastAsia="仿宋" w:cs="仿宋"/>
                <w:sz w:val="28"/>
              </w:rPr>
            </w:pPr>
            <w:r>
              <w:rPr>
                <w:rFonts w:hint="eastAsia" w:ascii="仿宋" w:hAnsi="仿宋" w:eastAsia="仿宋" w:cs="仿宋"/>
                <w:b/>
                <w:sz w:val="40"/>
                <w:szCs w:val="40"/>
              </w:rPr>
              <w:t>邮  箱：</w:t>
            </w:r>
          </w:p>
        </w:tc>
      </w:tr>
    </w:tbl>
    <w:p>
      <w:pPr>
        <w:rPr>
          <w:rFonts w:hint="eastAsia" w:ascii="宋体" w:hAnsi="宋体" w:cs="宋体"/>
          <w:b/>
          <w:bCs/>
          <w:sz w:val="44"/>
          <w:szCs w:val="44"/>
        </w:rPr>
      </w:pPr>
    </w:p>
    <w:p>
      <w:pPr>
        <w:jc w:val="center"/>
        <w:rPr>
          <w:rFonts w:hint="eastAsia" w:ascii="仿宋_GB2312" w:hAnsi="仿宋_GB2312" w:eastAsia="仿宋_GB2312" w:cs="仿宋_GB2312"/>
          <w:sz w:val="28"/>
          <w:szCs w:val="28"/>
        </w:rPr>
      </w:pPr>
      <w:r>
        <w:rPr>
          <w:rFonts w:hint="eastAsia" w:ascii="宋体" w:hAnsi="宋体" w:cs="宋体"/>
          <w:b/>
          <w:bCs/>
          <w:sz w:val="44"/>
          <w:szCs w:val="44"/>
        </w:rPr>
        <w:t>目录</w:t>
      </w:r>
      <w:r>
        <w:rPr>
          <w:rFonts w:hint="eastAsia" w:ascii="宋体" w:hAnsi="宋体" w:cs="宋体"/>
          <w:b/>
          <w:bCs/>
          <w:sz w:val="28"/>
          <w:szCs w:val="28"/>
        </w:rPr>
        <w:t>（附页码）</w:t>
      </w:r>
    </w:p>
    <w:p>
      <w:pPr>
        <w:keepNext w:val="0"/>
        <w:keepLines w:val="0"/>
        <w:pageBreakBefore w:val="0"/>
        <w:tabs>
          <w:tab w:val="left" w:pos="630"/>
          <w:tab w:val="left" w:pos="840"/>
        </w:tabs>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1.封面</w:t>
      </w:r>
    </w:p>
    <w:p>
      <w:pPr>
        <w:keepNext w:val="0"/>
        <w:keepLines w:val="0"/>
        <w:pageBreakBefore w:val="0"/>
        <w:tabs>
          <w:tab w:val="left" w:pos="630"/>
          <w:tab w:val="left" w:pos="840"/>
        </w:tabs>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2.目录</w:t>
      </w:r>
    </w:p>
    <w:p>
      <w:pPr>
        <w:keepNext w:val="0"/>
        <w:keepLines w:val="0"/>
        <w:pageBreakBefore w:val="0"/>
        <w:tabs>
          <w:tab w:val="left" w:pos="630"/>
          <w:tab w:val="left" w:pos="840"/>
        </w:tabs>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3.法定代表人资格证明书及身份证复印件</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bidi="ar"/>
        </w:rPr>
        <w:t>法定代表人授权书</w:t>
      </w:r>
      <w:r>
        <w:rPr>
          <w:rFonts w:hint="eastAsia" w:ascii="仿宋_GB2312" w:hAnsi="仿宋_GB2312" w:eastAsia="仿宋_GB2312" w:cs="仿宋_GB2312"/>
          <w:sz w:val="28"/>
          <w:szCs w:val="28"/>
        </w:rPr>
        <w:t>及授权代表人身份证复印件（如有）</w:t>
      </w:r>
    </w:p>
    <w:p>
      <w:pPr>
        <w:keepNext w:val="0"/>
        <w:keepLines w:val="0"/>
        <w:pageBreakBefore w:val="0"/>
        <w:tabs>
          <w:tab w:val="left" w:pos="630"/>
          <w:tab w:val="left" w:pos="840"/>
        </w:tabs>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5.独立承担民事责任能力的法人或其他组织或个体工商户的营业执照或法人证书等证明材料复印件或扫描件</w:t>
      </w:r>
    </w:p>
    <w:p>
      <w:pPr>
        <w:keepNext w:val="0"/>
        <w:keepLines w:val="0"/>
        <w:pageBreakBefore w:val="0"/>
        <w:tabs>
          <w:tab w:val="left" w:pos="630"/>
          <w:tab w:val="left" w:pos="840"/>
        </w:tabs>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6.投标文件初审表</w:t>
      </w:r>
    </w:p>
    <w:p>
      <w:pPr>
        <w:keepNext w:val="0"/>
        <w:keepLines w:val="0"/>
        <w:pageBreakBefore w:val="0"/>
        <w:tabs>
          <w:tab w:val="left" w:pos="630"/>
          <w:tab w:val="left" w:pos="840"/>
        </w:tabs>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7.供应商自查表</w:t>
      </w:r>
    </w:p>
    <w:p>
      <w:pPr>
        <w:keepNext w:val="0"/>
        <w:keepLines w:val="0"/>
        <w:pageBreakBefore w:val="0"/>
        <w:tabs>
          <w:tab w:val="left" w:pos="630"/>
          <w:tab w:val="left" w:pos="840"/>
        </w:tabs>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8.投标函</w:t>
      </w:r>
    </w:p>
    <w:p>
      <w:pPr>
        <w:keepNext w:val="0"/>
        <w:keepLines w:val="0"/>
        <w:pageBreakBefore w:val="0"/>
        <w:tabs>
          <w:tab w:val="left" w:pos="630"/>
          <w:tab w:val="left" w:pos="840"/>
        </w:tabs>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9.投标及履约承诺函</w:t>
      </w:r>
    </w:p>
    <w:p>
      <w:pPr>
        <w:keepNext w:val="0"/>
        <w:keepLines w:val="0"/>
        <w:pageBreakBefore w:val="0"/>
        <w:tabs>
          <w:tab w:val="left" w:pos="630"/>
          <w:tab w:val="left" w:pos="840"/>
        </w:tabs>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10.供应商基本情况表</w:t>
      </w:r>
    </w:p>
    <w:p>
      <w:pPr>
        <w:keepNext w:val="0"/>
        <w:keepLines w:val="0"/>
        <w:pageBreakBefore w:val="0"/>
        <w:tabs>
          <w:tab w:val="left" w:pos="630"/>
          <w:tab w:val="left" w:pos="840"/>
        </w:tabs>
        <w:kinsoku/>
        <w:wordWrap/>
        <w:overflowPunct/>
        <w:topLinePunct w:val="0"/>
        <w:autoSpaceDE/>
        <w:autoSpaceDN/>
        <w:bidi w:val="0"/>
        <w:adjustRightInd/>
        <w:snapToGrid/>
        <w:spacing w:line="44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11.社会保险证明</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lang w:bidi="ar"/>
        </w:rPr>
        <w:t>开标一览表</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13.分项报价</w:t>
      </w:r>
      <w:r>
        <w:rPr>
          <w:rFonts w:hint="eastAsia" w:ascii="仿宋_GB2312" w:hAnsi="仿宋_GB2312" w:eastAsia="仿宋_GB2312" w:cs="仿宋_GB2312"/>
          <w:sz w:val="28"/>
          <w:szCs w:val="28"/>
          <w:lang w:bidi="ar"/>
        </w:rPr>
        <w:t>表</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w:t>
      </w:r>
      <w:r>
        <w:rPr>
          <w:rFonts w:hint="eastAsia" w:ascii="仿宋_GB2312" w:hAnsi="仿宋_GB2312" w:eastAsia="仿宋_GB2312" w:cs="仿宋_GB2312"/>
          <w:sz w:val="28"/>
          <w:szCs w:val="28"/>
          <w:lang w:val="en-US" w:eastAsia="zh-CN" w:bidi="ar"/>
        </w:rPr>
        <w:t>4</w:t>
      </w:r>
      <w:r>
        <w:rPr>
          <w:rFonts w:hint="eastAsia" w:ascii="仿宋_GB2312" w:hAnsi="仿宋_GB2312" w:eastAsia="仿宋_GB2312" w:cs="仿宋_GB2312"/>
          <w:sz w:val="28"/>
          <w:szCs w:val="28"/>
          <w:lang w:bidi="ar"/>
        </w:rPr>
        <w:t>.实质性条款响应情况表</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w:t>
      </w:r>
      <w:r>
        <w:rPr>
          <w:rFonts w:hint="eastAsia" w:ascii="仿宋_GB2312" w:hAnsi="仿宋_GB2312" w:eastAsia="仿宋_GB2312" w:cs="仿宋_GB2312"/>
          <w:sz w:val="28"/>
          <w:szCs w:val="28"/>
          <w:lang w:val="en-US" w:eastAsia="zh-CN" w:bidi="ar"/>
        </w:rPr>
        <w:t>5</w:t>
      </w:r>
      <w:r>
        <w:rPr>
          <w:rFonts w:hint="eastAsia" w:ascii="仿宋_GB2312" w:hAnsi="仿宋_GB2312" w:eastAsia="仿宋_GB2312" w:cs="仿宋_GB2312"/>
          <w:sz w:val="28"/>
          <w:szCs w:val="28"/>
          <w:lang w:bidi="ar"/>
        </w:rPr>
        <w:t>.服务条款偏离表</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.同类项目业绩</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w:t>
      </w:r>
      <w:r>
        <w:rPr>
          <w:rFonts w:hint="eastAsia" w:ascii="仿宋_GB2312" w:hAnsi="仿宋_GB2312" w:eastAsia="仿宋_GB2312" w:cs="仿宋_GB2312"/>
          <w:sz w:val="28"/>
          <w:szCs w:val="28"/>
          <w:lang w:val="en-US" w:eastAsia="zh-CN" w:bidi="ar"/>
        </w:rPr>
        <w:t>7</w:t>
      </w:r>
      <w:r>
        <w:rPr>
          <w:rFonts w:hint="eastAsia" w:ascii="仿宋_GB2312" w:hAnsi="仿宋_GB2312" w:eastAsia="仿宋_GB2312" w:cs="仿宋_GB2312"/>
          <w:sz w:val="28"/>
          <w:szCs w:val="28"/>
          <w:lang w:bidi="ar"/>
        </w:rPr>
        <w:t>.履约评价</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w:t>
      </w:r>
      <w:r>
        <w:rPr>
          <w:rFonts w:hint="eastAsia" w:ascii="仿宋_GB2312" w:hAnsi="仿宋_GB2312" w:eastAsia="仿宋_GB2312" w:cs="仿宋_GB2312"/>
          <w:sz w:val="28"/>
          <w:szCs w:val="28"/>
          <w:lang w:val="en-US" w:eastAsia="zh-CN" w:bidi="ar"/>
        </w:rPr>
        <w:t>8</w:t>
      </w:r>
      <w:r>
        <w:rPr>
          <w:rFonts w:hint="eastAsia" w:ascii="仿宋_GB2312" w:hAnsi="仿宋_GB2312" w:eastAsia="仿宋_GB2312" w:cs="仿宋_GB2312"/>
          <w:sz w:val="28"/>
          <w:szCs w:val="28"/>
          <w:lang w:bidi="ar"/>
        </w:rPr>
        <w:t>.投标人资质情况</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w:t>
      </w:r>
      <w:r>
        <w:rPr>
          <w:rFonts w:hint="eastAsia" w:ascii="仿宋_GB2312" w:hAnsi="仿宋_GB2312" w:eastAsia="仿宋_GB2312" w:cs="仿宋_GB2312"/>
          <w:sz w:val="28"/>
          <w:szCs w:val="28"/>
          <w:lang w:val="en-US" w:eastAsia="zh-CN" w:bidi="ar"/>
        </w:rPr>
        <w:t>9</w:t>
      </w:r>
      <w:r>
        <w:rPr>
          <w:rFonts w:hint="eastAsia" w:ascii="仿宋_GB2312" w:hAnsi="仿宋_GB2312" w:eastAsia="仿宋_GB2312" w:cs="仿宋_GB2312"/>
          <w:sz w:val="28"/>
          <w:szCs w:val="28"/>
          <w:lang w:bidi="ar"/>
        </w:rPr>
        <w:t>.项目负责人</w:t>
      </w:r>
      <w:r>
        <w:rPr>
          <w:rFonts w:hint="eastAsia" w:ascii="仿宋_GB2312" w:hAnsi="仿宋_GB2312" w:eastAsia="仿宋_GB2312" w:cs="仿宋_GB2312"/>
          <w:sz w:val="28"/>
          <w:szCs w:val="28"/>
          <w:lang w:eastAsia="zh-CN" w:bidi="ar"/>
        </w:rPr>
        <w:t>（</w:t>
      </w:r>
      <w:r>
        <w:rPr>
          <w:rFonts w:hint="eastAsia" w:ascii="仿宋_GB2312" w:hAnsi="仿宋_GB2312" w:eastAsia="仿宋_GB2312" w:cs="仿宋_GB2312"/>
          <w:sz w:val="28"/>
          <w:szCs w:val="28"/>
          <w:lang w:val="en-US" w:eastAsia="zh-CN" w:bidi="ar"/>
        </w:rPr>
        <w:t>仅限1人</w:t>
      </w:r>
      <w:r>
        <w:rPr>
          <w:rFonts w:hint="eastAsia" w:ascii="仿宋_GB2312" w:hAnsi="仿宋_GB2312" w:eastAsia="仿宋_GB2312" w:cs="仿宋_GB2312"/>
          <w:sz w:val="28"/>
          <w:szCs w:val="28"/>
          <w:lang w:eastAsia="zh-CN" w:bidi="ar"/>
        </w:rPr>
        <w:t>）</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val="en-US" w:eastAsia="zh-CN" w:bidi="ar"/>
        </w:rPr>
        <w:t>20</w:t>
      </w:r>
      <w:r>
        <w:rPr>
          <w:rFonts w:hint="eastAsia" w:ascii="仿宋_GB2312" w:hAnsi="仿宋_GB2312" w:eastAsia="仿宋_GB2312" w:cs="仿宋_GB2312"/>
          <w:sz w:val="28"/>
          <w:szCs w:val="28"/>
          <w:lang w:bidi="ar"/>
        </w:rPr>
        <w:t>.项目团队（项目负责人除外）成员</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w:t>
      </w:r>
      <w:r>
        <w:rPr>
          <w:rFonts w:hint="eastAsia" w:ascii="仿宋_GB2312" w:hAnsi="仿宋_GB2312" w:eastAsia="仿宋_GB2312" w:cs="仿宋_GB2312"/>
          <w:sz w:val="28"/>
          <w:szCs w:val="28"/>
          <w:lang w:val="en-US" w:eastAsia="zh-CN" w:bidi="ar"/>
        </w:rPr>
        <w:t>1</w:t>
      </w:r>
      <w:r>
        <w:rPr>
          <w:rFonts w:hint="eastAsia" w:ascii="仿宋_GB2312" w:hAnsi="仿宋_GB2312" w:eastAsia="仿宋_GB2312" w:cs="仿宋_GB2312"/>
          <w:sz w:val="28"/>
          <w:szCs w:val="28"/>
          <w:lang w:bidi="ar"/>
        </w:rPr>
        <w:t>.业务能力</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w:t>
      </w:r>
      <w:r>
        <w:rPr>
          <w:rFonts w:hint="eastAsia" w:ascii="仿宋_GB2312" w:hAnsi="仿宋_GB2312" w:eastAsia="仿宋_GB2312" w:cs="仿宋_GB2312"/>
          <w:sz w:val="28"/>
          <w:szCs w:val="28"/>
          <w:lang w:val="en-US" w:eastAsia="zh-CN" w:bidi="ar"/>
        </w:rPr>
        <w:t>2</w:t>
      </w:r>
      <w:r>
        <w:rPr>
          <w:rFonts w:hint="eastAsia" w:ascii="仿宋_GB2312" w:hAnsi="仿宋_GB2312" w:eastAsia="仿宋_GB2312" w:cs="仿宋_GB2312"/>
          <w:sz w:val="28"/>
          <w:szCs w:val="28"/>
          <w:lang w:bidi="ar"/>
        </w:rPr>
        <w:t>.</w:t>
      </w:r>
      <w:r>
        <w:rPr>
          <w:rFonts w:hint="eastAsia" w:ascii="仿宋_GB2312" w:hAnsi="仿宋_GB2312" w:eastAsia="仿宋_GB2312" w:cs="仿宋_GB2312"/>
          <w:sz w:val="28"/>
          <w:szCs w:val="28"/>
          <w:lang w:val="zh-CN" w:bidi="ar"/>
        </w:rPr>
        <w:t>项目服务方案</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w:t>
      </w:r>
      <w:r>
        <w:rPr>
          <w:rFonts w:hint="eastAsia" w:ascii="仿宋_GB2312" w:hAnsi="仿宋_GB2312" w:eastAsia="仿宋_GB2312" w:cs="仿宋_GB2312"/>
          <w:sz w:val="28"/>
          <w:szCs w:val="28"/>
          <w:lang w:val="en-US" w:eastAsia="zh-CN" w:bidi="ar"/>
        </w:rPr>
        <w:t>3</w:t>
      </w:r>
      <w:r>
        <w:rPr>
          <w:rFonts w:hint="eastAsia" w:ascii="仿宋_GB2312" w:hAnsi="仿宋_GB2312" w:eastAsia="仿宋_GB2312" w:cs="仿宋_GB2312"/>
          <w:sz w:val="28"/>
          <w:szCs w:val="28"/>
          <w:lang w:bidi="ar"/>
        </w:rPr>
        <w:t>.项目重难点分析</w:t>
      </w:r>
      <w:r>
        <w:rPr>
          <w:rFonts w:hint="eastAsia" w:ascii="仿宋_GB2312" w:hAnsi="仿宋_GB2312" w:eastAsia="仿宋_GB2312" w:cs="仿宋_GB2312"/>
          <w:sz w:val="28"/>
          <w:szCs w:val="28"/>
          <w:lang w:eastAsia="zh-CN" w:bidi="ar"/>
        </w:rPr>
        <w:t>、</w:t>
      </w:r>
      <w:r>
        <w:rPr>
          <w:rFonts w:hint="eastAsia" w:ascii="仿宋_GB2312" w:hAnsi="仿宋_GB2312" w:eastAsia="仿宋_GB2312" w:cs="仿宋_GB2312"/>
          <w:sz w:val="28"/>
          <w:szCs w:val="28"/>
          <w:lang w:bidi="ar"/>
        </w:rPr>
        <w:t>应对措施</w:t>
      </w:r>
      <w:r>
        <w:rPr>
          <w:rFonts w:hint="eastAsia" w:ascii="仿宋_GB2312" w:hAnsi="仿宋_GB2312" w:eastAsia="仿宋_GB2312" w:cs="仿宋_GB2312"/>
          <w:sz w:val="28"/>
          <w:szCs w:val="28"/>
          <w:lang w:val="en-US" w:eastAsia="zh-CN" w:bidi="ar"/>
        </w:rPr>
        <w:t>及</w:t>
      </w:r>
      <w:r>
        <w:rPr>
          <w:rFonts w:hint="eastAsia" w:ascii="仿宋_GB2312" w:hAnsi="仿宋_GB2312" w:eastAsia="仿宋_GB2312" w:cs="仿宋_GB2312"/>
          <w:sz w:val="28"/>
          <w:szCs w:val="28"/>
          <w:lang w:bidi="ar"/>
        </w:rPr>
        <w:t>相关</w:t>
      </w:r>
      <w:r>
        <w:rPr>
          <w:rFonts w:hint="eastAsia" w:ascii="仿宋_GB2312" w:hAnsi="仿宋_GB2312" w:eastAsia="仿宋_GB2312" w:cs="仿宋_GB2312"/>
          <w:sz w:val="28"/>
          <w:szCs w:val="28"/>
          <w:lang w:val="en-US" w:eastAsia="zh-CN" w:bidi="ar"/>
        </w:rPr>
        <w:t>的</w:t>
      </w:r>
      <w:r>
        <w:rPr>
          <w:rFonts w:hint="eastAsia" w:ascii="仿宋_GB2312" w:hAnsi="仿宋_GB2312" w:eastAsia="仿宋_GB2312" w:cs="仿宋_GB2312"/>
          <w:sz w:val="28"/>
          <w:szCs w:val="28"/>
          <w:lang w:bidi="ar"/>
        </w:rPr>
        <w:t>合理化建议</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w:t>
      </w:r>
      <w:r>
        <w:rPr>
          <w:rFonts w:hint="eastAsia" w:ascii="仿宋_GB2312" w:hAnsi="仿宋_GB2312" w:eastAsia="仿宋_GB2312" w:cs="仿宋_GB2312"/>
          <w:sz w:val="28"/>
          <w:szCs w:val="28"/>
          <w:lang w:val="en-US" w:eastAsia="zh-CN" w:bidi="ar"/>
        </w:rPr>
        <w:t>4</w:t>
      </w:r>
      <w:r>
        <w:rPr>
          <w:rFonts w:hint="eastAsia" w:ascii="仿宋_GB2312" w:hAnsi="仿宋_GB2312" w:eastAsia="仿宋_GB2312" w:cs="仿宋_GB2312"/>
          <w:sz w:val="28"/>
          <w:szCs w:val="28"/>
          <w:lang w:bidi="ar"/>
        </w:rPr>
        <w:t>.质量保障方案</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eastAsia"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25.</w:t>
      </w:r>
      <w:r>
        <w:rPr>
          <w:rFonts w:hint="eastAsia" w:ascii="仿宋_GB2312" w:hAnsi="仿宋_GB2312" w:eastAsia="仿宋_GB2312" w:cs="仿宋_GB2312"/>
          <w:sz w:val="28"/>
          <w:szCs w:val="28"/>
          <w:lang w:bidi="ar"/>
        </w:rPr>
        <w:t>诚信管理情况</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val="en-US" w:eastAsia="zh-CN" w:bidi="ar"/>
        </w:rPr>
        <w:t>26.</w:t>
      </w:r>
      <w:r>
        <w:rPr>
          <w:rFonts w:hint="eastAsia" w:ascii="仿宋_GB2312" w:hAnsi="仿宋_GB2312" w:eastAsia="仿宋_GB2312" w:cs="仿宋_GB2312"/>
          <w:sz w:val="28"/>
          <w:szCs w:val="28"/>
          <w:lang w:bidi="ar"/>
        </w:rPr>
        <w:t>中小企业声明函</w:t>
      </w:r>
    </w:p>
    <w:p>
      <w:pPr>
        <w:keepNext w:val="0"/>
        <w:keepLines w:val="0"/>
        <w:pageBreakBefore w:val="0"/>
        <w:widowControl/>
        <w:tabs>
          <w:tab w:val="left" w:pos="630"/>
          <w:tab w:val="left" w:pos="840"/>
        </w:tabs>
        <w:kinsoku/>
        <w:wordWrap/>
        <w:overflowPunct/>
        <w:topLinePunct w:val="0"/>
        <w:autoSpaceDE/>
        <w:autoSpaceDN/>
        <w:bidi w:val="0"/>
        <w:adjustRightInd/>
        <w:snapToGrid/>
        <w:spacing w:line="440" w:lineRule="exact"/>
        <w:ind w:left="420"/>
        <w:jc w:val="left"/>
        <w:textAlignment w:val="auto"/>
        <w:rPr>
          <w:rFonts w:hint="eastAsia" w:ascii="宋体" w:hAnsi="宋体" w:cs="宋体"/>
          <w:b/>
          <w:bCs/>
          <w:sz w:val="44"/>
          <w:szCs w:val="44"/>
        </w:rPr>
      </w:pPr>
      <w:r>
        <w:rPr>
          <w:rFonts w:hint="eastAsia" w:ascii="仿宋_GB2312" w:hAnsi="仿宋_GB2312" w:eastAsia="仿宋_GB2312" w:cs="仿宋_GB2312"/>
          <w:sz w:val="28"/>
          <w:szCs w:val="28"/>
          <w:lang w:bidi="ar"/>
        </w:rPr>
        <w:t>2</w:t>
      </w:r>
      <w:r>
        <w:rPr>
          <w:rFonts w:hint="eastAsia" w:ascii="仿宋_GB2312" w:hAnsi="仿宋_GB2312" w:eastAsia="仿宋_GB2312" w:cs="仿宋_GB2312"/>
          <w:sz w:val="28"/>
          <w:szCs w:val="28"/>
          <w:lang w:val="en-US" w:eastAsia="zh-CN" w:bidi="ar"/>
        </w:rPr>
        <w:t>7</w:t>
      </w:r>
      <w:r>
        <w:rPr>
          <w:rFonts w:hint="eastAsia" w:ascii="仿宋_GB2312" w:hAnsi="仿宋_GB2312" w:eastAsia="仿宋_GB2312" w:cs="仿宋_GB2312"/>
          <w:sz w:val="28"/>
          <w:szCs w:val="28"/>
          <w:lang w:bidi="ar"/>
        </w:rPr>
        <w:t>.其他证明材料</w:t>
      </w:r>
    </w:p>
    <w:p>
      <w:pPr>
        <w:spacing w:line="480" w:lineRule="exact"/>
        <w:jc w:val="center"/>
        <w:rPr>
          <w:rFonts w:hint="eastAsia" w:ascii="宋体" w:hAnsi="宋体" w:cs="宋体"/>
          <w:b/>
          <w:bCs/>
          <w:sz w:val="44"/>
          <w:szCs w:val="44"/>
        </w:rPr>
      </w:pPr>
      <w:r>
        <w:rPr>
          <w:rFonts w:hint="eastAsia" w:ascii="宋体" w:hAnsi="宋体" w:cs="宋体"/>
          <w:b/>
          <w:bCs/>
          <w:sz w:val="44"/>
          <w:szCs w:val="44"/>
        </w:rPr>
        <w:t>投标函</w:t>
      </w:r>
    </w:p>
    <w:p>
      <w:pPr>
        <w:spacing w:line="460" w:lineRule="exact"/>
        <w:jc w:val="center"/>
        <w:rPr>
          <w:rFonts w:hint="eastAsia" w:ascii="仿宋" w:hAnsi="仿宋" w:eastAsia="仿宋" w:cs="仿宋"/>
          <w:b/>
          <w:bCs/>
          <w:sz w:val="36"/>
          <w:szCs w:val="44"/>
        </w:rPr>
      </w:pP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深圳市龙岗区第七人民医院：</w:t>
      </w:r>
    </w:p>
    <w:p>
      <w:pPr>
        <w:spacing w:line="48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我司已经认真仔细阅读了贵单位关于</w:t>
      </w:r>
      <w:r>
        <w:rPr>
          <w:rFonts w:hint="eastAsia" w:ascii="仿宋_GB2312" w:hAnsi="仿宋_GB2312" w:eastAsia="仿宋_GB2312" w:cs="仿宋_GB2312"/>
          <w:sz w:val="28"/>
          <w:szCs w:val="28"/>
          <w:u w:val="single"/>
        </w:rPr>
        <w:t xml:space="preserve">                   </w:t>
      </w: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项目的招标文件，完全同意招标文件中的所有条款，愿意按招标文件要求，决定以投标报价：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元参与投标并按招标文件要求承包上述项目，并许以如下承诺：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1.我方愿意向招标人提供与本次招标的相关资料，并对其真实性、合法性、有效性负责。</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2.我方将严格履行本投标文件中的全部承诺和责任，并遵守招标文件中对投标人的所有规定。</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3.我方完全理解招标人有保留在授标之前，任何时候根据评标委员会的意见接受或拒绝任何投标的权利，并完全理解招标人对此无解释的义务。</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4.我方完全理解招标人不保证投标价最低的投标人中标。</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5.我方承诺在此次招标过程中涉及的一切应当保密的事项，不向任何第三方泄露，否则承担一切法律责任。</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如果中标，我方承诺中标后按照采购相关规定与采购人签订合同，将保证履行我方投标文件所响应的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9"/>
        <w:spacing w:line="480" w:lineRule="exact"/>
        <w:rPr>
          <w:rFonts w:hint="eastAsia"/>
          <w:sz w:val="28"/>
          <w:szCs w:val="28"/>
        </w:rPr>
      </w:pPr>
    </w:p>
    <w:p>
      <w:pPr>
        <w:spacing w:line="480" w:lineRule="exact"/>
        <w:rPr>
          <w:sz w:val="28"/>
          <w:szCs w:val="28"/>
        </w:rPr>
      </w:pP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法定代表人或其授权代表人（签字）：</w:t>
      </w:r>
    </w:p>
    <w:p>
      <w:pPr>
        <w:spacing w:line="480" w:lineRule="exact"/>
        <w:rPr>
          <w:rFonts w:hint="eastAsia" w:ascii="宋体" w:hAnsi="宋体" w:cs="宋体"/>
          <w:b/>
          <w:bCs/>
          <w:sz w:val="28"/>
          <w:szCs w:val="28"/>
        </w:rPr>
      </w:pPr>
      <w:r>
        <w:rPr>
          <w:rFonts w:hint="eastAsia" w:ascii="仿宋_GB2312" w:hAnsi="仿宋_GB2312" w:eastAsia="仿宋_GB2312" w:cs="仿宋_GB2312"/>
          <w:sz w:val="28"/>
          <w:szCs w:val="28"/>
        </w:rPr>
        <w:t xml:space="preserve">                投标单位全称（加盖公章）：</w:t>
      </w:r>
    </w:p>
    <w:p>
      <w:pPr>
        <w:spacing w:line="440" w:lineRule="exact"/>
        <w:jc w:val="center"/>
        <w:rPr>
          <w:rFonts w:hint="eastAsia" w:ascii="宋体" w:hAnsi="宋体" w:cs="宋体"/>
          <w:b/>
          <w:bCs/>
          <w:sz w:val="28"/>
          <w:szCs w:val="28"/>
        </w:rPr>
      </w:pPr>
    </w:p>
    <w:p>
      <w:pPr>
        <w:spacing w:line="440" w:lineRule="exact"/>
        <w:jc w:val="center"/>
        <w:rPr>
          <w:rFonts w:hint="eastAsia" w:ascii="宋体" w:hAnsi="宋体" w:cs="宋体"/>
          <w:b/>
          <w:bCs/>
          <w:sz w:val="44"/>
          <w:szCs w:val="44"/>
        </w:rPr>
      </w:pPr>
    </w:p>
    <w:p>
      <w:pPr>
        <w:spacing w:line="440" w:lineRule="exact"/>
        <w:jc w:val="center"/>
        <w:rPr>
          <w:rFonts w:hint="eastAsia" w:ascii="宋体" w:hAnsi="宋体" w:cs="宋体"/>
          <w:b/>
          <w:bCs/>
          <w:sz w:val="44"/>
          <w:szCs w:val="44"/>
        </w:rPr>
      </w:pPr>
    </w:p>
    <w:p>
      <w:pPr>
        <w:spacing w:line="440" w:lineRule="exact"/>
        <w:jc w:val="center"/>
        <w:rPr>
          <w:rFonts w:hint="eastAsia" w:ascii="宋体" w:hAnsi="宋体" w:cs="宋体"/>
          <w:b/>
          <w:bCs/>
          <w:sz w:val="44"/>
          <w:szCs w:val="44"/>
        </w:rPr>
      </w:pPr>
      <w:r>
        <w:rPr>
          <w:rFonts w:hint="eastAsia" w:ascii="宋体" w:hAnsi="宋体" w:cs="宋体"/>
          <w:b/>
          <w:bCs/>
          <w:sz w:val="44"/>
          <w:szCs w:val="44"/>
        </w:rPr>
        <w:t>投标及履约承诺函</w:t>
      </w: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深圳市龙岗区第七人民医院：</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项目，编号：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（以下简称“本项目”）院内采购活动，承诺：</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公司参与本项目所提供的货物或服务未侵犯知识产权。我公司具备《中华人民共和国政府采购法》第二十二条第一款规定的六项条件具有独立承担民事责任的能力；具有良好的商业信誉和健全的财务会计制度；具有履行合同所必需的设备和专业技术能力；具有依法缴纳税收和社会保障资金的良好记录；参加采购活动前三年内，在经营活动中没有重大违法记录；法律、行政法规规定的其他条件。包括法律、行政法规和国家有关规定对供应商从事特定经营活动有资质、资格规定的，本公司具备相应条件。</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2.我公司参与本项目政府采购活动前三年内，在经营活动中没有《中华人民共和国政府采购法实施条例》第十九条规定的重大违法记录。</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3.我公司参与本项目政府采购活动时不存在被有关部门禁止参与政府采购活动且在有效期内的情况。</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4.除单一来源采购项目外，为采购项目提供整体设计、规范编制或者项目管理、监理、检测等服务的供应商，不得再参加该采购项目的其他采购活动。</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公司参与本项目政府采购活动，严格遵守政府采购相关法律，做到诚实，不造假，不围标、串标、陪标。参与本项目采购活动不存在与其他采购参加人串通投标，隐瞒真实情况，提供虚假资料等违法违规情形，不存在《深圳市财政局政府采购供应商信用信息管理办法》（深财规〔2023〕3号）列明的严重违法失信行为；我公司已清楚，如违反上述要求，将作无效响应处理，被列入不良记录名单并在网上曝光，同时将被提请政府采购监督管理部门给予一定年限内禁止参与政府采购活动或其他处罚。</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公司参加本项目的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于同一单位或者在同一单位缴纳社会保险，参加同一项目的不同供应商之间不存在直接控股或管理关系”的情形。并按本项目投标文件格式要求提供《供应商基本情况表》相关信息。</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公司未被列入失信被执行人、重大税收违法案件当事人名单、政府采购严重违法失信行为记录名单（信用中国网“信用服务”栏的“重大税收违法失信主体”“失信被执行人”，中国政府采购网“政府采购严重违法失信行为记录名单”，深圳市政府采购监管网为投标人信用信息查询渠道）。</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8.我公司符合法律、行政法规和国家有关规定对本项目从事特定经营活动有资质、资格规定的，供应商应当具备相应条件的要求。</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9.我公司承诺不存在联合体投标，不非法分包、转包。</w:t>
      </w:r>
    </w:p>
    <w:p>
      <w:pPr>
        <w:widowControl/>
        <w:spacing w:line="56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10</w:t>
      </w:r>
      <w:r>
        <w:rPr>
          <w:rFonts w:hint="eastAsia" w:ascii="仿宋_GB2312" w:hAnsi="仿宋_GB2312" w:eastAsia="仿宋_GB2312" w:cs="仿宋_GB2312"/>
          <w:sz w:val="28"/>
          <w:szCs w:val="28"/>
        </w:rPr>
        <w:t>.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以上承诺，如有违反，愿依照国家相关法律法规处理，并承担由此给采购人带来的损失。</w:t>
      </w:r>
    </w:p>
    <w:p>
      <w:pPr>
        <w:widowControl/>
        <w:spacing w:line="560" w:lineRule="exact"/>
        <w:ind w:firstLine="560" w:firstLineChars="200"/>
        <w:jc w:val="left"/>
        <w:rPr>
          <w:rFonts w:hint="eastAsia" w:ascii="仿宋_GB2312" w:hAnsi="仿宋_GB2312" w:eastAsia="仿宋_GB2312" w:cs="仿宋_GB2312"/>
          <w:sz w:val="28"/>
          <w:szCs w:val="28"/>
        </w:rPr>
      </w:pPr>
    </w:p>
    <w:p>
      <w:pPr>
        <w:widowControl/>
        <w:spacing w:line="560" w:lineRule="exact"/>
        <w:ind w:firstLine="560" w:firstLineChars="200"/>
        <w:jc w:val="left"/>
        <w:rPr>
          <w:rFonts w:hint="eastAsia" w:ascii="仿宋_GB2312" w:hAnsi="仿宋_GB2312" w:eastAsia="仿宋_GB2312" w:cs="仿宋_GB2312"/>
          <w:sz w:val="28"/>
          <w:szCs w:val="28"/>
        </w:rPr>
      </w:pPr>
    </w:p>
    <w:p>
      <w:pPr>
        <w:widowControl/>
        <w:spacing w:line="5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投标人（公章）：</w:t>
      </w:r>
    </w:p>
    <w:p>
      <w:pPr>
        <w:widowControl/>
        <w:spacing w:line="5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法定代表人或其授权代表签名：</w:t>
      </w:r>
    </w:p>
    <w:p>
      <w:pPr>
        <w:widowControl/>
        <w:spacing w:line="5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textAlignment w:val="center"/>
        <w:rPr>
          <w:rFonts w:hint="eastAsia" w:ascii="宋体" w:hAnsi="宋体" w:cs="宋体"/>
          <w:color w:val="000000"/>
          <w:kern w:val="0"/>
          <w:sz w:val="44"/>
          <w:szCs w:val="44"/>
          <w:lang w:bidi="ar"/>
        </w:rPr>
      </w:pPr>
      <w:bookmarkStart w:id="14" w:name="_Toc24111"/>
    </w:p>
    <w:p>
      <w:pPr>
        <w:widowControl/>
        <w:jc w:val="center"/>
        <w:textAlignment w:val="center"/>
        <w:rPr>
          <w:rFonts w:hint="eastAsia" w:ascii="宋体" w:hAnsi="宋体" w:cs="宋体"/>
          <w:color w:val="000000"/>
          <w:kern w:val="0"/>
          <w:sz w:val="44"/>
          <w:szCs w:val="44"/>
          <w:lang w:bidi="ar"/>
        </w:rPr>
      </w:pPr>
      <w:r>
        <w:rPr>
          <w:rFonts w:hint="eastAsia" w:ascii="宋体" w:hAnsi="宋体" w:cs="宋体"/>
          <w:color w:val="000000"/>
          <w:kern w:val="0"/>
          <w:sz w:val="44"/>
          <w:szCs w:val="44"/>
          <w:lang w:bidi="ar"/>
        </w:rPr>
        <w:t>法定代表人证明书</w:t>
      </w:r>
    </w:p>
    <w:p>
      <w:pPr>
        <w:rPr>
          <w:rFonts w:hint="eastAsia" w:ascii="仿宋" w:hAnsi="仿宋" w:eastAsia="仿宋" w:cs="仿宋"/>
          <w:color w:val="000000"/>
          <w:sz w:val="28"/>
          <w:szCs w:val="28"/>
        </w:rPr>
      </w:pPr>
    </w:p>
    <w:p>
      <w:pPr>
        <w:spacing w:line="560" w:lineRule="exact"/>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先生/小姐，现任我单位职务，为法定代表人，特此证明。</w:t>
      </w:r>
    </w:p>
    <w:p>
      <w:pPr>
        <w:spacing w:line="560" w:lineRule="exact"/>
        <w:ind w:firstLine="560" w:firstLineChars="200"/>
        <w:rPr>
          <w:rFonts w:hint="eastAsia" w:ascii="仿宋" w:hAnsi="仿宋" w:eastAsia="仿宋" w:cs="仿宋"/>
          <w:color w:val="000000"/>
          <w:sz w:val="28"/>
          <w:szCs w:val="28"/>
        </w:rPr>
      </w:pP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有效日期：               签发日期：  </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单位：                   （盖章）</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附：</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代表人性别：        年龄：       身份证号码：</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营业执照号码：                   经济性质：</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主营（产）：</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兼营（产）：</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进口物品经营许可证号码：</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主营（产）：</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兼营（产）：</w:t>
      </w:r>
    </w:p>
    <w:p>
      <w:pPr>
        <w:spacing w:line="560" w:lineRule="exact"/>
        <w:ind w:firstLine="560" w:firstLineChars="200"/>
        <w:rPr>
          <w:rFonts w:hint="eastAsia" w:ascii="仿宋" w:hAnsi="仿宋" w:eastAsia="仿宋" w:cs="仿宋"/>
          <w:color w:val="000000"/>
          <w:sz w:val="28"/>
          <w:szCs w:val="28"/>
        </w:rPr>
      </w:pP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身份证复印件：</w:t>
      </w:r>
    </w:p>
    <w:tbl>
      <w:tblPr>
        <w:tblStyle w:val="17"/>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9"/>
              <w:rPr>
                <w:rFonts w:hint="eastAsia"/>
              </w:rPr>
            </w:pPr>
          </w:p>
          <w:p>
            <w:pPr>
              <w:ind w:firstLine="2100" w:firstLineChars="1000"/>
            </w:pPr>
            <w:r>
              <w:rPr>
                <w:rFonts w:hint="eastAsia"/>
              </w:rPr>
              <w:t>正反面</w:t>
            </w:r>
          </w:p>
        </w:tc>
      </w:tr>
    </w:tbl>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r>
        <w:rPr>
          <w:rFonts w:hint="eastAsia" w:ascii="宋体" w:hAnsi="宋体" w:cs="宋体"/>
          <w:color w:val="000000"/>
          <w:kern w:val="0"/>
          <w:sz w:val="44"/>
          <w:szCs w:val="44"/>
          <w:lang w:bidi="ar"/>
        </w:rPr>
        <w:t>法定代表人授权书</w:t>
      </w:r>
    </w:p>
    <w:p>
      <w:pPr>
        <w:spacing w:line="440" w:lineRule="exact"/>
        <w:rPr>
          <w:color w:val="000000"/>
        </w:rPr>
      </w:pP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本授权书于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日签字生效，有效期至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特此声明。</w:t>
      </w:r>
    </w:p>
    <w:p>
      <w:pPr>
        <w:spacing w:line="440" w:lineRule="exact"/>
        <w:ind w:firstLine="560" w:firstLineChars="200"/>
        <w:rPr>
          <w:rFonts w:hint="eastAsia" w:ascii="仿宋" w:hAnsi="仿宋" w:eastAsia="仿宋" w:cs="仿宋"/>
          <w:color w:val="000000"/>
          <w:sz w:val="28"/>
          <w:szCs w:val="28"/>
        </w:rPr>
      </w:pP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法定代表人签字： </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被授权人签字：　</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单位盖章：　</w:t>
      </w:r>
    </w:p>
    <w:p>
      <w:pPr>
        <w:spacing w:line="440" w:lineRule="exact"/>
        <w:rPr>
          <w:rFonts w:hint="eastAsia" w:ascii="仿宋" w:hAnsi="仿宋" w:eastAsia="仿宋" w:cs="仿宋"/>
          <w:color w:val="000000"/>
          <w:sz w:val="28"/>
          <w:szCs w:val="28"/>
        </w:rPr>
      </w:pP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附：</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被授权人姓名：                       身份证号：</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职务：</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详细通信地址：</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移动电话：</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传真：</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身份证复印件：</w:t>
      </w:r>
    </w:p>
    <w:tbl>
      <w:tblPr>
        <w:tblStyle w:val="17"/>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tcPr>
          <w:p/>
          <w:p/>
          <w:p>
            <w:pPr>
              <w:ind w:firstLine="2310" w:firstLineChars="1100"/>
            </w:pPr>
          </w:p>
          <w:p>
            <w:pPr>
              <w:ind w:firstLine="2310" w:firstLineChars="1100"/>
            </w:pPr>
            <w:r>
              <w:rPr>
                <w:rFonts w:hint="eastAsia"/>
              </w:rPr>
              <w:t>正反面</w:t>
            </w:r>
          </w:p>
        </w:tc>
      </w:tr>
    </w:tbl>
    <w:p>
      <w:pPr>
        <w:pStyle w:val="2"/>
        <w:ind w:left="420" w:hanging="420"/>
        <w:jc w:val="center"/>
        <w:rPr>
          <w:rFonts w:hint="eastAsia" w:ascii="宋体" w:hAnsi="宋体" w:cs="宋体"/>
          <w:b/>
          <w:bCs/>
          <w:sz w:val="44"/>
          <w:szCs w:val="44"/>
        </w:rPr>
      </w:pPr>
    </w:p>
    <w:p>
      <w:pPr>
        <w:pStyle w:val="2"/>
        <w:ind w:left="420" w:hanging="420"/>
        <w:jc w:val="center"/>
        <w:rPr>
          <w:rFonts w:hint="eastAsia" w:ascii="宋体" w:hAnsi="宋体" w:cs="宋体"/>
          <w:color w:val="000000"/>
          <w:kern w:val="0"/>
          <w:sz w:val="44"/>
          <w:szCs w:val="44"/>
          <w:lang w:bidi="ar"/>
        </w:rPr>
      </w:pPr>
      <w:r>
        <w:rPr>
          <w:rFonts w:hint="eastAsia" w:ascii="宋体" w:hAnsi="宋体" w:cs="宋体"/>
          <w:color w:val="000000"/>
          <w:kern w:val="0"/>
          <w:sz w:val="44"/>
          <w:szCs w:val="44"/>
          <w:lang w:bidi="ar"/>
        </w:rPr>
        <w:t>供应商基本情况表</w:t>
      </w:r>
      <w:bookmarkEnd w:id="14"/>
    </w:p>
    <w:p>
      <w:pPr>
        <w:rPr>
          <w:u w:val="single"/>
        </w:rPr>
      </w:pPr>
      <w:r>
        <w:rPr>
          <w:rFonts w:hint="eastAsia"/>
        </w:rPr>
        <w:t>填表单位：</w:t>
      </w:r>
      <w:r>
        <w:rPr>
          <w:rFonts w:hint="eastAsia"/>
          <w:u w:val="single"/>
        </w:rPr>
        <w:t xml:space="preserve">           </w:t>
      </w:r>
      <w:r>
        <w:rPr>
          <w:rFonts w:hint="eastAsia"/>
        </w:rPr>
        <w:t xml:space="preserve"> （加盖单位公章）                       填表日期：      年  月  日</w:t>
      </w:r>
    </w:p>
    <w:tbl>
      <w:tblPr>
        <w:tblStyle w:val="1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采购单位</w:t>
            </w:r>
          </w:p>
        </w:tc>
        <w:tc>
          <w:tcPr>
            <w:tcW w:w="3386" w:type="dxa"/>
            <w:gridSpan w:val="2"/>
            <w:vAlign w:val="center"/>
          </w:tcPr>
          <w:p>
            <w:pPr>
              <w:spacing w:line="360" w:lineRule="auto"/>
              <w:jc w:val="center"/>
              <w:rPr>
                <w:rFonts w:hint="eastAsia" w:ascii="宋体" w:hAnsi="宋体" w:cs="宋体"/>
                <w:szCs w:val="21"/>
              </w:rPr>
            </w:pPr>
          </w:p>
        </w:tc>
        <w:tc>
          <w:tcPr>
            <w:tcW w:w="3166" w:type="dxa"/>
            <w:gridSpan w:val="2"/>
            <w:vAlign w:val="center"/>
          </w:tcPr>
          <w:p>
            <w:pPr>
              <w:spacing w:line="360" w:lineRule="auto"/>
              <w:jc w:val="center"/>
              <w:rPr>
                <w:rFonts w:hint="eastAsia" w:ascii="宋体" w:hAnsi="宋体" w:cs="宋体"/>
                <w:szCs w:val="21"/>
              </w:rPr>
            </w:pPr>
            <w:r>
              <w:rPr>
                <w:rFonts w:hint="eastAsia" w:ascii="宋体" w:hAnsi="宋体" w:cs="宋体"/>
                <w:szCs w:val="21"/>
              </w:rPr>
              <w:t>项目名称</w:t>
            </w: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投标（响应）供应商</w:t>
            </w:r>
          </w:p>
        </w:tc>
        <w:tc>
          <w:tcPr>
            <w:tcW w:w="3386" w:type="dxa"/>
            <w:gridSpan w:val="2"/>
            <w:vAlign w:val="center"/>
          </w:tcPr>
          <w:p>
            <w:pPr>
              <w:spacing w:line="360" w:lineRule="auto"/>
              <w:jc w:val="center"/>
              <w:rPr>
                <w:rFonts w:hint="eastAsia" w:ascii="宋体" w:hAnsi="宋体" w:cs="宋体"/>
                <w:szCs w:val="21"/>
              </w:rPr>
            </w:pPr>
          </w:p>
        </w:tc>
        <w:tc>
          <w:tcPr>
            <w:tcW w:w="3166" w:type="dxa"/>
            <w:gridSpan w:val="2"/>
            <w:vAlign w:val="center"/>
          </w:tcPr>
          <w:p>
            <w:pPr>
              <w:spacing w:line="360" w:lineRule="auto"/>
              <w:jc w:val="center"/>
              <w:rPr>
                <w:rFonts w:hint="eastAsia" w:ascii="宋体" w:hAnsi="宋体" w:cs="宋体"/>
                <w:szCs w:val="21"/>
              </w:rPr>
            </w:pPr>
            <w:r>
              <w:rPr>
                <w:rFonts w:hint="eastAsia" w:ascii="宋体" w:hAnsi="宋体" w:cs="宋体"/>
                <w:szCs w:val="21"/>
              </w:rPr>
              <w:t>供应商统一社会信用代码</w:t>
            </w: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pPr>
              <w:spacing w:line="360" w:lineRule="auto"/>
              <w:jc w:val="center"/>
              <w:rPr>
                <w:rFonts w:hint="eastAsia" w:ascii="宋体" w:hAnsi="宋体" w:cs="宋体"/>
                <w:szCs w:val="21"/>
              </w:rPr>
            </w:pPr>
            <w:r>
              <w:rPr>
                <w:rFonts w:hint="eastAsia" w:ascii="宋体" w:hAnsi="宋体" w:cs="宋体"/>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职务</w:t>
            </w:r>
          </w:p>
        </w:tc>
        <w:tc>
          <w:tcPr>
            <w:tcW w:w="1429" w:type="dxa"/>
            <w:vAlign w:val="center"/>
          </w:tcPr>
          <w:p>
            <w:pPr>
              <w:spacing w:line="360" w:lineRule="auto"/>
              <w:jc w:val="center"/>
              <w:rPr>
                <w:rFonts w:hint="eastAsia" w:ascii="宋体" w:hAnsi="宋体" w:cs="宋体"/>
                <w:szCs w:val="21"/>
              </w:rPr>
            </w:pPr>
            <w:r>
              <w:rPr>
                <w:rFonts w:hint="eastAsia" w:ascii="宋体" w:hAnsi="宋体" w:cs="宋体"/>
                <w:szCs w:val="21"/>
              </w:rPr>
              <w:t>姓名</w:t>
            </w:r>
          </w:p>
        </w:tc>
        <w:tc>
          <w:tcPr>
            <w:tcW w:w="1583" w:type="dxa"/>
            <w:vAlign w:val="center"/>
          </w:tcPr>
          <w:p>
            <w:pPr>
              <w:spacing w:line="360" w:lineRule="auto"/>
              <w:jc w:val="center"/>
              <w:rPr>
                <w:rFonts w:hint="eastAsia" w:ascii="宋体" w:hAnsi="宋体" w:cs="宋体"/>
                <w:szCs w:val="21"/>
              </w:rPr>
            </w:pPr>
            <w:r>
              <w:rPr>
                <w:rFonts w:hint="eastAsia" w:ascii="宋体" w:hAnsi="宋体" w:cs="宋体"/>
                <w:szCs w:val="21"/>
              </w:rPr>
              <w:t>身份证号码</w:t>
            </w:r>
          </w:p>
        </w:tc>
        <w:tc>
          <w:tcPr>
            <w:tcW w:w="1583" w:type="dxa"/>
            <w:vAlign w:val="center"/>
          </w:tcPr>
          <w:p>
            <w:pPr>
              <w:spacing w:line="360" w:lineRule="auto"/>
              <w:jc w:val="center"/>
              <w:rPr>
                <w:rFonts w:hint="eastAsia" w:ascii="宋体" w:hAnsi="宋体" w:cs="宋体"/>
                <w:szCs w:val="21"/>
              </w:rPr>
            </w:pPr>
            <w:r>
              <w:rPr>
                <w:rFonts w:hint="eastAsia" w:ascii="宋体" w:hAnsi="宋体" w:cs="宋体"/>
                <w:szCs w:val="21"/>
              </w:rPr>
              <w:t>劳动合同</w:t>
            </w:r>
          </w:p>
          <w:p>
            <w:pPr>
              <w:spacing w:line="360" w:lineRule="auto"/>
              <w:jc w:val="center"/>
              <w:rPr>
                <w:rFonts w:hint="eastAsia" w:ascii="宋体" w:hAnsi="宋体" w:cs="宋体"/>
                <w:szCs w:val="21"/>
              </w:rPr>
            </w:pPr>
            <w:r>
              <w:rPr>
                <w:rFonts w:hint="eastAsia" w:ascii="宋体" w:hAnsi="宋体" w:cs="宋体"/>
                <w:szCs w:val="21"/>
              </w:rPr>
              <w:t>关系单位</w:t>
            </w:r>
          </w:p>
        </w:tc>
        <w:tc>
          <w:tcPr>
            <w:tcW w:w="1583" w:type="dxa"/>
            <w:vAlign w:val="center"/>
          </w:tcPr>
          <w:p>
            <w:pPr>
              <w:spacing w:line="360" w:lineRule="auto"/>
              <w:jc w:val="center"/>
              <w:rPr>
                <w:rFonts w:hint="eastAsia" w:ascii="宋体" w:hAnsi="宋体" w:cs="宋体"/>
                <w:szCs w:val="21"/>
              </w:rPr>
            </w:pPr>
            <w:r>
              <w:rPr>
                <w:rFonts w:hint="eastAsia" w:ascii="宋体" w:hAnsi="宋体" w:cs="宋体"/>
                <w:szCs w:val="21"/>
              </w:rPr>
              <w:t>缴纳社会</w:t>
            </w:r>
          </w:p>
          <w:p>
            <w:pPr>
              <w:spacing w:line="360" w:lineRule="auto"/>
              <w:jc w:val="center"/>
              <w:rPr>
                <w:rFonts w:hint="eastAsia"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法定代表人/单位负责人</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主要经营负责人</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项目投标授权代表人</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项目负责人</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主要技术人员</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投标文件编制人员</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center"/>
              <w:rPr>
                <w:rFonts w:hint="eastAsia" w:ascii="宋体" w:hAnsi="宋体" w:cs="宋体"/>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3386" w:type="dxa"/>
            <w:gridSpan w:val="2"/>
            <w:vAlign w:val="center"/>
          </w:tcPr>
          <w:p>
            <w:pPr>
              <w:spacing w:line="360" w:lineRule="auto"/>
              <w:jc w:val="center"/>
              <w:rPr>
                <w:rFonts w:hint="eastAsia" w:ascii="宋体" w:hAnsi="宋体" w:cs="宋体"/>
                <w:szCs w:val="21"/>
              </w:rPr>
            </w:pPr>
            <w:r>
              <w:rPr>
                <w:rFonts w:hint="eastAsia" w:ascii="宋体" w:hAnsi="宋体" w:cs="宋体"/>
                <w:szCs w:val="21"/>
              </w:rPr>
              <w:t>关联关系类型</w:t>
            </w:r>
          </w:p>
        </w:tc>
        <w:tc>
          <w:tcPr>
            <w:tcW w:w="1583" w:type="dxa"/>
            <w:vAlign w:val="center"/>
          </w:tcPr>
          <w:p>
            <w:pPr>
              <w:spacing w:line="360" w:lineRule="auto"/>
              <w:jc w:val="center"/>
              <w:rPr>
                <w:rFonts w:hint="eastAsia" w:ascii="宋体" w:hAnsi="宋体" w:cs="宋体"/>
                <w:szCs w:val="21"/>
              </w:rPr>
            </w:pPr>
            <w:r>
              <w:rPr>
                <w:rFonts w:hint="eastAsia" w:ascii="宋体" w:hAnsi="宋体" w:cs="宋体"/>
                <w:szCs w:val="21"/>
              </w:rPr>
              <w:t>关联主体名称</w:t>
            </w:r>
          </w:p>
        </w:tc>
        <w:tc>
          <w:tcPr>
            <w:tcW w:w="3166" w:type="dxa"/>
            <w:gridSpan w:val="2"/>
            <w:vAlign w:val="center"/>
          </w:tcPr>
          <w:p>
            <w:pPr>
              <w:spacing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3386" w:type="dxa"/>
            <w:gridSpan w:val="2"/>
            <w:vAlign w:val="center"/>
          </w:tcPr>
          <w:p>
            <w:pPr>
              <w:spacing w:line="360" w:lineRule="auto"/>
              <w:jc w:val="center"/>
              <w:rPr>
                <w:rFonts w:hint="eastAsia" w:ascii="宋体" w:hAnsi="宋体" w:cs="宋体"/>
                <w:szCs w:val="21"/>
              </w:rPr>
            </w:pPr>
            <w:r>
              <w:rPr>
                <w:rFonts w:hint="eastAsia" w:ascii="宋体" w:hAnsi="宋体" w:cs="宋体"/>
                <w:szCs w:val="21"/>
              </w:rPr>
              <w:t>控股股东</w:t>
            </w:r>
          </w:p>
        </w:tc>
        <w:tc>
          <w:tcPr>
            <w:tcW w:w="1583" w:type="dxa"/>
            <w:vAlign w:val="center"/>
          </w:tcPr>
          <w:p>
            <w:pPr>
              <w:spacing w:line="360" w:lineRule="auto"/>
              <w:jc w:val="center"/>
              <w:rPr>
                <w:rFonts w:hint="eastAsia" w:ascii="宋体" w:hAnsi="宋体" w:cs="宋体"/>
                <w:szCs w:val="21"/>
              </w:rPr>
            </w:pPr>
          </w:p>
        </w:tc>
        <w:tc>
          <w:tcPr>
            <w:tcW w:w="3166" w:type="dxa"/>
            <w:gridSpan w:val="2"/>
            <w:vAlign w:val="center"/>
          </w:tcPr>
          <w:p>
            <w:pPr>
              <w:spacing w:line="360" w:lineRule="auto"/>
              <w:jc w:val="center"/>
              <w:rPr>
                <w:rFonts w:hint="eastAsia" w:ascii="宋体" w:hAnsi="宋体" w:cs="宋体"/>
                <w:szCs w:val="21"/>
              </w:rPr>
            </w:pPr>
            <w:r>
              <w:rPr>
                <w:rFonts w:hint="eastAsia" w:ascii="宋体" w:hAnsi="宋体" w:cs="宋体"/>
                <w:szCs w:val="21"/>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spacing w:line="360" w:lineRule="auto"/>
              <w:rPr>
                <w:rFonts w:hint="eastAsia" w:ascii="宋体" w:hAnsi="宋体" w:cs="宋体"/>
                <w:szCs w:val="21"/>
              </w:rPr>
            </w:pPr>
            <w:r>
              <w:rPr>
                <w:rFonts w:hint="eastAsia" w:ascii="宋体" w:hAnsi="宋体" w:cs="宋体"/>
                <w:szCs w:val="21"/>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386" w:type="dxa"/>
            <w:gridSpan w:val="2"/>
            <w:vAlign w:val="center"/>
          </w:tcPr>
          <w:p>
            <w:pPr>
              <w:spacing w:line="360" w:lineRule="auto"/>
              <w:jc w:val="center"/>
              <w:rPr>
                <w:rFonts w:hint="eastAsia" w:ascii="宋体" w:hAnsi="宋体" w:cs="宋体"/>
                <w:szCs w:val="21"/>
              </w:rPr>
            </w:pPr>
            <w:r>
              <w:rPr>
                <w:rFonts w:hint="eastAsia" w:ascii="宋体" w:hAnsi="宋体" w:cs="宋体"/>
                <w:szCs w:val="21"/>
              </w:rPr>
              <w:t>管理关系</w:t>
            </w:r>
          </w:p>
        </w:tc>
        <w:tc>
          <w:tcPr>
            <w:tcW w:w="1583" w:type="dxa"/>
            <w:vAlign w:val="center"/>
          </w:tcPr>
          <w:p>
            <w:pPr>
              <w:spacing w:line="360" w:lineRule="auto"/>
              <w:jc w:val="center"/>
              <w:rPr>
                <w:rFonts w:hint="eastAsia" w:ascii="宋体" w:hAnsi="宋体" w:cs="宋体"/>
                <w:szCs w:val="21"/>
              </w:rPr>
            </w:pPr>
          </w:p>
        </w:tc>
        <w:tc>
          <w:tcPr>
            <w:tcW w:w="3166" w:type="dxa"/>
            <w:gridSpan w:val="2"/>
            <w:vAlign w:val="center"/>
          </w:tcPr>
          <w:p>
            <w:pPr>
              <w:spacing w:line="360" w:lineRule="auto"/>
              <w:jc w:val="center"/>
              <w:rPr>
                <w:rFonts w:hint="eastAsia" w:ascii="宋体" w:hAnsi="宋体" w:cs="宋体"/>
                <w:szCs w:val="21"/>
              </w:rPr>
            </w:pPr>
            <w:r>
              <w:rPr>
                <w:rFonts w:hint="eastAsia" w:ascii="宋体" w:hAnsi="宋体" w:cs="宋体"/>
                <w:szCs w:val="21"/>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spacing w:line="360" w:lineRule="auto"/>
              <w:rPr>
                <w:rFonts w:hint="eastAsia" w:ascii="宋体" w:hAnsi="宋体" w:cs="宋体"/>
                <w:szCs w:val="21"/>
              </w:rPr>
            </w:pPr>
            <w:r>
              <w:rPr>
                <w:rFonts w:hint="eastAsia" w:ascii="宋体" w:hAnsi="宋体" w:cs="宋体"/>
                <w:szCs w:val="21"/>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pPr>
              <w:spacing w:line="360" w:lineRule="auto"/>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pPr>
        <w:spacing w:line="360" w:lineRule="auto"/>
        <w:rPr>
          <w:rFonts w:hint="eastAsia" w:ascii="宋体" w:hAnsi="宋体" w:cs="宋体"/>
          <w:b/>
          <w:bCs/>
        </w:rPr>
      </w:pPr>
      <w:r>
        <w:rPr>
          <w:rFonts w:hint="eastAsia" w:ascii="宋体" w:hAnsi="宋体" w:cs="宋体"/>
          <w:b/>
          <w:bCs/>
        </w:rPr>
        <w:t>备注：</w:t>
      </w:r>
    </w:p>
    <w:p>
      <w:pPr>
        <w:spacing w:line="360" w:lineRule="auto"/>
        <w:rPr>
          <w:rFonts w:hint="eastAsia" w:ascii="宋体" w:hAnsi="宋体" w:cs="宋体"/>
          <w:b/>
          <w:bCs/>
        </w:rPr>
      </w:pPr>
      <w:r>
        <w:rPr>
          <w:rFonts w:hint="eastAsia" w:ascii="宋体" w:hAnsi="宋体" w:cs="宋体"/>
          <w:b/>
          <w:bCs/>
        </w:rPr>
        <w:t>1.本表中填报的人员姓名、身份证号码、缴纳社会保险单位应与社保证明材料中显示的信息相同。</w:t>
      </w:r>
    </w:p>
    <w:p>
      <w:pPr>
        <w:spacing w:line="360" w:lineRule="auto"/>
        <w:rPr>
          <w:rFonts w:hint="eastAsia" w:ascii="宋体" w:hAnsi="宋体" w:cs="宋体"/>
          <w:b/>
          <w:bCs/>
        </w:rPr>
      </w:pPr>
      <w:r>
        <w:rPr>
          <w:rFonts w:hint="eastAsia" w:ascii="宋体" w:hAnsi="宋体" w:cs="宋体"/>
          <w:b/>
          <w:bCs/>
        </w:rPr>
        <w:t>2.投标（响应）供应商未按要求填报《供应商基本情况表》或未加盖公章或未按要求提供证明材料的，将按投标（响应）无效处理。</w:t>
      </w:r>
    </w:p>
    <w:p>
      <w:pPr>
        <w:rPr>
          <w:rFonts w:hint="eastAsia" w:ascii="宋体" w:hAnsi="宋体" w:cs="宋体"/>
          <w:sz w:val="30"/>
          <w:szCs w:val="30"/>
        </w:rPr>
      </w:pPr>
      <w:r>
        <w:rPr>
          <w:rFonts w:hint="eastAsia" w:ascii="宋体" w:hAnsi="宋体" w:cs="宋体"/>
          <w:sz w:val="30"/>
          <w:szCs w:val="30"/>
        </w:rPr>
        <w:br w:type="page"/>
      </w:r>
    </w:p>
    <w:p>
      <w:pPr>
        <w:pStyle w:val="2"/>
        <w:ind w:left="420" w:hanging="420"/>
        <w:jc w:val="center"/>
        <w:rPr>
          <w:rFonts w:hint="eastAsia" w:ascii="宋体" w:hAnsi="宋体" w:cs="宋体"/>
          <w:color w:val="000000"/>
          <w:kern w:val="0"/>
          <w:sz w:val="44"/>
          <w:szCs w:val="44"/>
          <w:lang w:bidi="ar"/>
        </w:rPr>
      </w:pPr>
      <w:bookmarkStart w:id="15" w:name="_Toc14311"/>
      <w:bookmarkStart w:id="16" w:name="_Toc17532"/>
      <w:r>
        <w:rPr>
          <w:rFonts w:hint="eastAsia" w:ascii="宋体" w:hAnsi="宋体" w:cs="宋体"/>
          <w:color w:val="000000"/>
          <w:kern w:val="0"/>
          <w:sz w:val="44"/>
          <w:szCs w:val="44"/>
          <w:lang w:bidi="ar"/>
        </w:rPr>
        <w:t>提供社会保险证明</w:t>
      </w:r>
      <w:bookmarkEnd w:id="15"/>
      <w:bookmarkEnd w:id="16"/>
    </w:p>
    <w:p>
      <w:pPr>
        <w:pStyle w:val="32"/>
      </w:pP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提供法定代表人最近一个月的社保证明：</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提供主要经营负责人最近一个月的社保证明：</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项目投标授权代表人最近一个月的社保证明：</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提供项目负责人最近一个月的社保证明（如有）：</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提供主要技术人员最近一个月的社保证明（如有）：</w:t>
      </w:r>
    </w:p>
    <w:p>
      <w:pPr>
        <w:spacing w:line="500" w:lineRule="exact"/>
        <w:rPr>
          <w:rFonts w:hint="eastAsia" w:ascii="宋体" w:hAnsi="宋体"/>
          <w:sz w:val="28"/>
          <w:szCs w:val="28"/>
        </w:rPr>
      </w:pPr>
    </w:p>
    <w:p>
      <w:pPr>
        <w:pStyle w:val="9"/>
        <w:ind w:firstLine="560" w:firstLineChars="200"/>
        <w:rPr>
          <w:rFonts w:hint="eastAsia"/>
          <w:sz w:val="28"/>
          <w:szCs w:val="28"/>
        </w:rPr>
      </w:pPr>
      <w:r>
        <w:rPr>
          <w:rFonts w:hint="eastAsia"/>
          <w:sz w:val="28"/>
          <w:szCs w:val="28"/>
        </w:rPr>
        <w:t>注：</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1.法定代表人、主要经营负责人、项目投标授权代表人的社会保险未由投标人单位缴纳，亦须提供相应单位为其缴纳的社会保险证明（须体现投标人的单位信息）。</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2.项目负责人和主要技术人员的社会保险须由投标人单位缴纳（须体现投标人的单位信息）。</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3.投标人为新成立企业且成立时间不足一个月可提供加盖投标人公章的情况说明或者证明材料亦视为符合。</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4.由于社保部门或税务部门的原因最近一个月的社保证明无法提供的可往前顺延一个月。</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5.如依法不需要缴纳社会保险的，应提供相应文件证明；如为退休返聘人员提供退休证明和聘用合同。</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6.若因社保部门原因无法提供的，需提供劳动合同及社保部门官方通知证明（或官网公告截图）。</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7.如本项目未安排项目负责人、主要技术人员的，无需提供项目负责人、主要技术人员的社会保险证明。</w:t>
      </w: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仿宋" w:hAnsi="仿宋" w:eastAsia="仿宋" w:cs="仿宋"/>
          <w:b/>
          <w:bCs/>
          <w:sz w:val="28"/>
          <w:szCs w:val="36"/>
        </w:rPr>
      </w:pPr>
      <w:r>
        <w:rPr>
          <w:rFonts w:hint="eastAsia" w:ascii="宋体" w:hAnsi="宋体" w:cs="宋体"/>
          <w:b/>
          <w:bCs/>
          <w:sz w:val="44"/>
          <w:szCs w:val="44"/>
        </w:rPr>
        <w:t>政府采购优惠政策（根据实际情况提供）</w:t>
      </w:r>
    </w:p>
    <w:p>
      <w:pPr>
        <w:pStyle w:val="3"/>
        <w:spacing w:beforeAutospacing="0" w:afterAutospacing="0" w:line="500" w:lineRule="exact"/>
        <w:jc w:val="center"/>
        <w:rPr>
          <w:rFonts w:ascii="黑体"/>
          <w:sz w:val="32"/>
          <w:szCs w:val="32"/>
        </w:rPr>
      </w:pPr>
    </w:p>
    <w:p>
      <w:pPr>
        <w:pStyle w:val="3"/>
        <w:spacing w:beforeAutospacing="0" w:afterAutospacing="0" w:line="400" w:lineRule="exact"/>
        <w:ind w:firstLine="560" w:firstLineChars="200"/>
        <w:jc w:val="both"/>
        <w:rPr>
          <w:rFonts w:ascii="黑体" w:hAnsi="黑体" w:eastAsia="黑体" w:cs="黑体"/>
          <w:bCs/>
          <w:sz w:val="28"/>
          <w:szCs w:val="28"/>
        </w:rPr>
      </w:pPr>
      <w:r>
        <w:rPr>
          <w:rFonts w:ascii="黑体" w:hAnsi="黑体" w:eastAsia="黑体" w:cs="黑体"/>
          <w:sz w:val="28"/>
          <w:szCs w:val="28"/>
        </w:rPr>
        <w:t>一、投标人情况及资格证明文件</w:t>
      </w:r>
      <w:bookmarkStart w:id="17" w:name="_Hlk72257590"/>
    </w:p>
    <w:p>
      <w:pPr>
        <w:spacing w:line="400" w:lineRule="exact"/>
        <w:ind w:firstLine="560" w:firstLineChars="200"/>
        <w:jc w:val="left"/>
        <w:outlineLvl w:val="3"/>
        <w:rPr>
          <w:rFonts w:hint="eastAsia" w:ascii="楷体" w:hAnsi="楷体" w:eastAsia="楷体" w:cs="楷体"/>
          <w:bCs/>
          <w:sz w:val="28"/>
          <w:szCs w:val="28"/>
        </w:rPr>
      </w:pPr>
      <w:r>
        <w:rPr>
          <w:rFonts w:hint="eastAsia" w:ascii="楷体" w:hAnsi="楷体" w:eastAsia="楷体" w:cs="楷体"/>
          <w:bCs/>
          <w:sz w:val="28"/>
          <w:szCs w:val="28"/>
        </w:rPr>
        <w:t>（一）投标人资格证明文件</w:t>
      </w:r>
    </w:p>
    <w:p>
      <w:pPr>
        <w:spacing w:line="400" w:lineRule="exact"/>
        <w:ind w:firstLine="560" w:firstLineChars="200"/>
        <w:rPr>
          <w:rFonts w:eastAsia="仿宋_GB2312"/>
          <w:b/>
          <w:bCs/>
          <w:sz w:val="28"/>
          <w:szCs w:val="28"/>
        </w:rPr>
      </w:pPr>
      <w:r>
        <w:rPr>
          <w:rFonts w:hint="eastAsia" w:ascii="仿宋_GB2312" w:hAnsi="仿宋_GB2312" w:eastAsia="仿宋_GB2312" w:cs="仿宋_GB2312"/>
          <w:sz w:val="28"/>
          <w:szCs w:val="28"/>
        </w:rPr>
        <w:t>[特别提示：投标人须按本招标文件第一册第一章招标公告“申请人的资格要求”（即投标人资格要求）提供相关的资格证明资料，未提供或提供不完整、不符合要求的，将作投标无效处理]</w:t>
      </w:r>
    </w:p>
    <w:p>
      <w:pPr>
        <w:spacing w:line="400" w:lineRule="exact"/>
        <w:ind w:firstLine="560" w:firstLineChars="200"/>
        <w:jc w:val="left"/>
        <w:outlineLvl w:val="3"/>
        <w:rPr>
          <w:rFonts w:hint="eastAsia" w:ascii="楷体" w:hAnsi="楷体" w:eastAsia="楷体" w:cs="楷体"/>
          <w:bCs/>
          <w:sz w:val="28"/>
          <w:szCs w:val="28"/>
        </w:rPr>
      </w:pPr>
      <w:r>
        <w:rPr>
          <w:rFonts w:hint="eastAsia" w:ascii="楷体" w:hAnsi="楷体" w:eastAsia="楷体" w:cs="楷体"/>
          <w:bCs/>
          <w:sz w:val="28"/>
          <w:szCs w:val="28"/>
        </w:rPr>
        <w:t>（二）中小企业声明函、残疾人福利性单位声明函及监狱企业声明函</w:t>
      </w:r>
      <w:bookmarkEnd w:id="17"/>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填写指引：</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2.该部分内容填写需要参考的相关文件：</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（1）财政部《政府采购促进中小企业发展管理办法》（财库〔2020〕46号）；</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bookmarkStart w:id="18" w:name="_Hlk71925120"/>
      <w:r>
        <w:rPr>
          <w:rFonts w:hint="eastAsia" w:ascii="仿宋_GB2312" w:hAnsi="仿宋_GB2312" w:eastAsia="仿宋_GB2312" w:cs="仿宋_GB2312"/>
          <w:sz w:val="28"/>
          <w:szCs w:val="28"/>
        </w:rPr>
        <w:t>《工业和信息化部、国家统计局、国家发展和改革委员会、财政部关于印发中小企业划型标准规定的通知》（工信部联企业〔2011〕300号</w:t>
      </w:r>
      <w:bookmarkEnd w:id="18"/>
      <w:r>
        <w:rPr>
          <w:rFonts w:hint="eastAsia" w:ascii="仿宋_GB2312" w:hAnsi="仿宋_GB2312" w:eastAsia="仿宋_GB2312" w:cs="仿宋_GB2312"/>
          <w:sz w:val="28"/>
          <w:szCs w:val="28"/>
        </w:rPr>
        <w:t>，以下简称300号文）；</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（3）《政府采购促进中小企业发展管理办法》（财库〔2020〕46号）；</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（4）《关于印发中小企业划型标准规定的通知》（工信部联企业〔2011〕300号）；</w:t>
      </w:r>
    </w:p>
    <w:p>
      <w:pPr>
        <w:spacing w:line="400" w:lineRule="exact"/>
        <w:ind w:firstLine="560" w:firstLineChars="200"/>
        <w:jc w:val="left"/>
        <w:rPr>
          <w:sz w:val="28"/>
          <w:szCs w:val="28"/>
        </w:rPr>
      </w:pPr>
      <w:r>
        <w:rPr>
          <w:rFonts w:hint="eastAsia" w:ascii="仿宋_GB2312" w:hAnsi="仿宋_GB2312" w:eastAsia="仿宋_GB2312" w:cs="仿宋_GB2312"/>
          <w:sz w:val="28"/>
          <w:szCs w:val="28"/>
        </w:rPr>
        <w:t>（5）《统计上大中小微型企业划分办法（2017）》（国统字〔2017〕213号）；</w:t>
      </w:r>
    </w:p>
    <w:p>
      <w:pPr>
        <w:spacing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（6）《关于促进残疾人就业政府采购政策的通知》（财库〔2017〕141号）；</w:t>
      </w:r>
    </w:p>
    <w:p>
      <w:pPr>
        <w:spacing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（7）《关于政府采购支持监狱企业发展有关问题的通知》（财库〔2014〕68号）。</w:t>
      </w:r>
    </w:p>
    <w:p>
      <w:pPr>
        <w:spacing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3.请依照提供的格式和内容填写声明函，不要随意变更格式；声明函不需要盖章或签字；满足多项优惠政策的投标人，不重复享受多项价格扣除政策。</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4.声明函具体填写要求：</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（1）声明是中小企业须填写《中小企业声明函》的以下内容：</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第一处，在“单位名称”下划线处如实填写采购人名称（深圳公共资源交易中心不是本项目的采购人，而是组织实施机构）；</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第二处，在“项目名称”下划线处如实填写采购项目名称；</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第三处，在“标的名称”下划线处填写所采购货物（标的）的具体名称；如果涉及多项货物（标的）为同一企业制造，“标的名称”下划线处可以如实填写多项货物；</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第四处，在“招标文件中明确的所属行业”下划线处填写采购标的对应的中小企业划分标准所属行业；</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（2）声明：残疾人福利性单位须填写《残疾人福利性单位声明函》的相关内容，具体参照以上《中小企业声明函》填写要求执行。</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（3）声明：监狱企业须填写《监狱企业声明函》的三项内容（填写位置的字体已加粗），具体参照以上《中小企业声明函》填写要求执行。</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5.声明函的有效性最终由评审委员会判定；如评审委员会判定声明函无效，相关供应商不享受价格扣除（但不作投标无效处理）。</w:t>
      </w:r>
    </w:p>
    <w:p>
      <w:pPr>
        <w:pStyle w:val="3"/>
        <w:spacing w:beforeAutospacing="0" w:afterAutospacing="0" w:line="400" w:lineRule="exact"/>
        <w:ind w:firstLine="560" w:firstLineChars="200"/>
        <w:jc w:val="both"/>
        <w:rPr>
          <w:b/>
          <w:sz w:val="28"/>
          <w:szCs w:val="28"/>
        </w:rPr>
      </w:pPr>
      <w:r>
        <w:rPr>
          <w:rFonts w:ascii="黑体" w:hAnsi="黑体" w:eastAsia="黑体" w:cs="黑体"/>
          <w:sz w:val="28"/>
          <w:szCs w:val="28"/>
        </w:rPr>
        <w:t>二、相关模板</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9"/>
        <w:rPr>
          <w:rFonts w:hint="eastAsia"/>
          <w:b/>
          <w:sz w:val="36"/>
          <w:szCs w:val="36"/>
        </w:rPr>
      </w:pPr>
    </w:p>
    <w:p>
      <w:pPr>
        <w:rPr>
          <w:b/>
          <w:sz w:val="36"/>
          <w:szCs w:val="36"/>
        </w:rPr>
      </w:pPr>
    </w:p>
    <w:p>
      <w:pPr>
        <w:pStyle w:val="9"/>
        <w:rPr>
          <w:rFonts w:hint="eastAsia"/>
          <w:b/>
          <w:sz w:val="36"/>
          <w:szCs w:val="36"/>
        </w:rPr>
      </w:pPr>
    </w:p>
    <w:p>
      <w:pPr>
        <w:rPr>
          <w:b/>
          <w:sz w:val="36"/>
          <w:szCs w:val="36"/>
        </w:rPr>
      </w:pPr>
    </w:p>
    <w:p>
      <w:pPr>
        <w:spacing w:line="5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（一）中小企业声明函</w:t>
      </w:r>
    </w:p>
    <w:p>
      <w:pPr>
        <w:spacing w:line="400" w:lineRule="exact"/>
        <w:ind w:firstLine="640" w:firstLineChars="200"/>
        <w:rPr>
          <w:rFonts w:hint="eastAsia" w:ascii="仿宋_GB2312" w:hAnsi="仿宋_GB2312" w:eastAsia="仿宋_GB2312" w:cs="仿宋_GB2312"/>
          <w:sz w:val="32"/>
          <w:szCs w:val="32"/>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相应责任。</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sz w:val="28"/>
          <w:szCs w:val="28"/>
          <w:u w:val="single"/>
        </w:rPr>
        <w:t>（单位名称）</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采购活动，</w:t>
      </w:r>
      <w:r>
        <w:rPr>
          <w:rFonts w:hint="eastAsia" w:ascii="仿宋_GB2312" w:hAnsi="仿宋_GB2312" w:eastAsia="仿宋_GB2312" w:cs="仿宋_GB2312"/>
          <w:snapToGrid w:val="0"/>
          <w:kern w:val="0"/>
          <w:sz w:val="28"/>
          <w:szCs w:val="28"/>
          <w:lang w:val="en-GB"/>
        </w:rPr>
        <w:t>服务全部由符合政策要求的中小企业</w:t>
      </w:r>
      <w:r>
        <w:rPr>
          <w:rFonts w:hint="eastAsia" w:ascii="仿宋_GB2312" w:hAnsi="仿宋_GB2312" w:eastAsia="仿宋_GB2312" w:cs="仿宋_GB2312"/>
          <w:snapToGrid w:val="0"/>
          <w:kern w:val="0"/>
          <w:sz w:val="28"/>
          <w:szCs w:val="28"/>
        </w:rPr>
        <w:t>提供</w:t>
      </w:r>
      <w:r>
        <w:rPr>
          <w:rFonts w:hint="eastAsia" w:ascii="仿宋_GB2312" w:hAnsi="仿宋_GB2312" w:eastAsia="仿宋_GB2312" w:cs="仿宋_GB2312"/>
          <w:sz w:val="28"/>
          <w:szCs w:val="28"/>
        </w:rPr>
        <w:t>。相关企业（含联合体中的中小企业、签订分包意向协议的中小企业）的具体情况如下：</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行业；</w:t>
      </w:r>
      <w:r>
        <w:rPr>
          <w:rFonts w:hint="eastAsia" w:ascii="仿宋_GB2312" w:hAnsi="仿宋_GB2312" w:eastAsia="仿宋_GB2312" w:cs="仿宋_GB2312"/>
          <w:snapToGrid w:val="0"/>
          <w:kern w:val="0"/>
          <w:sz w:val="28"/>
          <w:szCs w:val="28"/>
        </w:rPr>
        <w:t>投标</w:t>
      </w:r>
      <w:r>
        <w:rPr>
          <w:rFonts w:hint="eastAsia" w:ascii="仿宋_GB2312" w:hAnsi="仿宋_GB2312" w:eastAsia="仿宋_GB2312" w:cs="仿宋_GB2312"/>
          <w:snapToGrid w:val="0"/>
          <w:kern w:val="0"/>
          <w:sz w:val="28"/>
          <w:szCs w:val="28"/>
          <w:lang w:val="en-GB"/>
        </w:rPr>
        <w:t>企业为（企业名称），从业人员</w:t>
      </w:r>
      <w:r>
        <w:rPr>
          <w:rFonts w:hint="eastAsia" w:ascii="仿宋_GB2312" w:hAnsi="仿宋_GB2312" w:eastAsia="仿宋_GB2312" w:cs="仿宋_GB2312"/>
          <w:snapToGrid w:val="0"/>
          <w:kern w:val="0"/>
          <w:sz w:val="28"/>
          <w:szCs w:val="28"/>
          <w:u w:val="single"/>
          <w:lang w:val="en-GB"/>
        </w:rPr>
        <w:t xml:space="preserve"> </w:t>
      </w:r>
      <w:r>
        <w:rPr>
          <w:rFonts w:hint="eastAsia" w:ascii="仿宋_GB2312" w:hAnsi="仿宋_GB2312" w:eastAsia="仿宋_GB2312" w:cs="仿宋_GB2312"/>
          <w:snapToGrid w:val="0"/>
          <w:kern w:val="0"/>
          <w:sz w:val="28"/>
          <w:szCs w:val="28"/>
          <w:u w:val="single"/>
          <w:lang w:val="en-GB"/>
        </w:rPr>
        <w:tab/>
      </w:r>
      <w:r>
        <w:rPr>
          <w:rFonts w:hint="eastAsia" w:ascii="仿宋_GB2312" w:hAnsi="仿宋_GB2312" w:eastAsia="仿宋_GB2312" w:cs="仿宋_GB2312"/>
          <w:snapToGrid w:val="0"/>
          <w:kern w:val="0"/>
          <w:sz w:val="28"/>
          <w:szCs w:val="28"/>
          <w:lang w:val="en-GB"/>
        </w:rPr>
        <w:t>人，营业收入为</w:t>
      </w:r>
      <w:r>
        <w:rPr>
          <w:rFonts w:hint="eastAsia" w:ascii="仿宋_GB2312" w:hAnsi="仿宋_GB2312" w:eastAsia="仿宋_GB2312" w:cs="仿宋_GB2312"/>
          <w:snapToGrid w:val="0"/>
          <w:kern w:val="0"/>
          <w:sz w:val="28"/>
          <w:szCs w:val="28"/>
          <w:u w:val="single"/>
          <w:lang w:val="en-GB"/>
        </w:rPr>
        <w:t xml:space="preserve"> </w:t>
      </w:r>
      <w:r>
        <w:rPr>
          <w:rFonts w:hint="eastAsia" w:ascii="仿宋_GB2312" w:hAnsi="仿宋_GB2312" w:eastAsia="仿宋_GB2312" w:cs="仿宋_GB2312"/>
          <w:snapToGrid w:val="0"/>
          <w:kern w:val="0"/>
          <w:sz w:val="28"/>
          <w:szCs w:val="28"/>
          <w:u w:val="single"/>
          <w:lang w:val="en-GB"/>
        </w:rPr>
        <w:tab/>
      </w:r>
      <w:r>
        <w:rPr>
          <w:rFonts w:hint="eastAsia" w:ascii="仿宋_GB2312" w:hAnsi="仿宋_GB2312" w:eastAsia="仿宋_GB2312" w:cs="仿宋_GB2312"/>
          <w:snapToGrid w:val="0"/>
          <w:kern w:val="0"/>
          <w:sz w:val="28"/>
          <w:szCs w:val="28"/>
          <w:lang w:val="en-GB"/>
        </w:rPr>
        <w:t>万元，资产总额为</w:t>
      </w:r>
      <w:r>
        <w:rPr>
          <w:rFonts w:hint="eastAsia" w:ascii="仿宋_GB2312" w:hAnsi="仿宋_GB2312" w:eastAsia="仿宋_GB2312" w:cs="仿宋_GB2312"/>
          <w:snapToGrid w:val="0"/>
          <w:kern w:val="0"/>
          <w:sz w:val="28"/>
          <w:szCs w:val="28"/>
          <w:u w:val="single"/>
          <w:lang w:val="en-GB"/>
        </w:rPr>
        <w:t xml:space="preserve"> </w:t>
      </w:r>
      <w:r>
        <w:rPr>
          <w:rFonts w:hint="eastAsia" w:ascii="仿宋_GB2312" w:hAnsi="仿宋_GB2312" w:eastAsia="仿宋_GB2312" w:cs="仿宋_GB2312"/>
          <w:snapToGrid w:val="0"/>
          <w:kern w:val="0"/>
          <w:sz w:val="28"/>
          <w:szCs w:val="28"/>
          <w:u w:val="single"/>
          <w:lang w:val="en-GB"/>
        </w:rPr>
        <w:tab/>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lang w:val="en-GB"/>
        </w:rPr>
        <w:t>万元，属于</w:t>
      </w:r>
      <w:r>
        <w:rPr>
          <w:rFonts w:hint="eastAsia" w:ascii="仿宋_GB2312" w:hAnsi="仿宋_GB2312" w:eastAsia="仿宋_GB2312" w:cs="仿宋_GB2312"/>
          <w:snapToGrid w:val="0"/>
          <w:kern w:val="0"/>
          <w:sz w:val="28"/>
          <w:szCs w:val="28"/>
          <w:u w:val="single"/>
          <w:lang w:val="en-GB"/>
        </w:rPr>
        <w:t>（中型企业、小型企业、微型企业）</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本企业对上述声明内容的真实性负责。如有虚假，将依法承担相应责任。</w:t>
      </w:r>
    </w:p>
    <w:p>
      <w:pPr>
        <w:pStyle w:val="9"/>
        <w:rPr>
          <w:rFonts w:hint="eastAsia"/>
          <w:sz w:val="28"/>
          <w:szCs w:val="28"/>
        </w:rPr>
      </w:pPr>
    </w:p>
    <w:p>
      <w:pPr>
        <w:spacing w:line="440" w:lineRule="exact"/>
        <w:ind w:firstLine="560" w:firstLineChars="200"/>
        <w:rPr>
          <w:rFonts w:hint="eastAsia" w:ascii="仿宋_GB2312" w:hAnsi="仿宋_GB2312" w:eastAsia="仿宋_GB2312" w:cs="仿宋_GB2312"/>
          <w:sz w:val="28"/>
          <w:szCs w:val="28"/>
        </w:rPr>
      </w:pPr>
      <w:r>
        <w:rPr>
          <w:rFonts w:hint="eastAsia"/>
          <w:sz w:val="28"/>
          <w:szCs w:val="28"/>
        </w:rPr>
        <w:t xml:space="preserve">                                     </w:t>
      </w:r>
      <w:r>
        <w:rPr>
          <w:rFonts w:hint="eastAsia" w:ascii="仿宋_GB2312" w:hAnsi="仿宋_GB2312" w:eastAsia="仿宋_GB2312" w:cs="仿宋_GB2312"/>
          <w:sz w:val="28"/>
          <w:szCs w:val="28"/>
        </w:rPr>
        <w:t>企业名称（盖章）：</w:t>
      </w:r>
    </w:p>
    <w:p>
      <w:pPr>
        <w:spacing w:line="440" w:lineRule="exact"/>
        <w:ind w:firstLine="560" w:firstLineChars="200"/>
        <w:rPr>
          <w:b/>
          <w:sz w:val="36"/>
          <w:szCs w:val="36"/>
        </w:rPr>
      </w:pPr>
      <w:r>
        <w:rPr>
          <w:rFonts w:hint="eastAsia" w:ascii="仿宋_GB2312" w:hAnsi="仿宋_GB2312" w:eastAsia="仿宋_GB2312" w:cs="仿宋_GB2312"/>
          <w:sz w:val="28"/>
          <w:szCs w:val="28"/>
        </w:rPr>
        <w:t xml:space="preserve">                                    日期：</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9"/>
        <w:rPr>
          <w:rFonts w:hint="eastAsia"/>
        </w:rPr>
      </w:pPr>
    </w:p>
    <w:p>
      <w:pPr>
        <w:spacing w:line="500" w:lineRule="exact"/>
        <w:jc w:val="center"/>
        <w:rPr>
          <w:b/>
          <w:sz w:val="36"/>
          <w:szCs w:val="36"/>
        </w:rPr>
      </w:pPr>
      <w:r>
        <w:rPr>
          <w:rFonts w:hint="eastAsia"/>
          <w:b/>
          <w:sz w:val="36"/>
          <w:szCs w:val="36"/>
        </w:rPr>
        <w:t>（二）残疾人福利性单位声明函</w:t>
      </w:r>
    </w:p>
    <w:p>
      <w:pPr>
        <w:spacing w:line="500" w:lineRule="exact"/>
        <w:ind w:firstLine="640" w:firstLineChars="200"/>
        <w:jc w:val="left"/>
        <w:rPr>
          <w:rFonts w:hint="eastAsia" w:ascii="仿宋_GB2312" w:hAnsi="仿宋_GB2312" w:eastAsia="仿宋_GB2312" w:cs="仿宋_GB2312"/>
          <w:sz w:val="32"/>
          <w:szCs w:val="32"/>
        </w:rPr>
      </w:pP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本单位知悉《促进残疾人就业政府采购政策的通知》（财库〔2017〕141号）的规定，承诺提供的声明函内容是真实的，如提供声明函内容不实，则依法追究相关法律责任。</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pStyle w:val="9"/>
        <w:tabs>
          <w:tab w:val="left" w:pos="562"/>
          <w:tab w:val="left" w:pos="3372"/>
          <w:tab w:val="left" w:pos="3653"/>
        </w:tabs>
        <w:spacing w:line="560" w:lineRule="exact"/>
        <w:rPr>
          <w:rFonts w:hint="eastAsia" w:ascii="仿宋_GB2312" w:hAnsi="仿宋_GB2312" w:eastAsia="仿宋_GB2312" w:cs="仿宋_GB2312"/>
          <w:sz w:val="28"/>
          <w:szCs w:val="28"/>
        </w:rPr>
      </w:pPr>
    </w:p>
    <w:p>
      <w:pPr>
        <w:spacing w:line="560" w:lineRule="exact"/>
        <w:rPr>
          <w:sz w:val="28"/>
          <w:szCs w:val="28"/>
        </w:rPr>
      </w:pPr>
    </w:p>
    <w:p>
      <w:pPr>
        <w:spacing w:line="560" w:lineRule="exact"/>
        <w:ind w:firstLine="3920" w:firstLineChars="14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3920" w:firstLineChars="14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7"/>
      </w:pPr>
    </w:p>
    <w:p/>
    <w:p/>
    <w:p/>
    <w:p>
      <w:pPr>
        <w:numPr>
          <w:ilvl w:val="0"/>
          <w:numId w:val="4"/>
        </w:numPr>
        <w:spacing w:line="500" w:lineRule="exact"/>
        <w:jc w:val="center"/>
        <w:rPr>
          <w:b/>
          <w:sz w:val="36"/>
          <w:szCs w:val="36"/>
        </w:rPr>
      </w:pPr>
      <w:r>
        <w:rPr>
          <w:rFonts w:hint="eastAsia"/>
          <w:b/>
          <w:sz w:val="36"/>
          <w:szCs w:val="36"/>
        </w:rPr>
        <w:t>监狱企业声明函</w:t>
      </w:r>
    </w:p>
    <w:p>
      <w:pPr>
        <w:pStyle w:val="9"/>
        <w:rPr>
          <w:rFonts w:hint="eastAsia"/>
        </w:rPr>
      </w:pP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本单位郑重声明，根据《财政部司法部关于政府采购支持监狱企业发展有关问题的通知》（财库〔2014〕68号）的规定，本单位为符合条件的监狱企业，且本单位参加（采购单位名称） 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附：省级以上监狱管理局、戒毒管理局（含新疆生产建设兵团）出具的监狱企业证明文件。</w:t>
      </w:r>
    </w:p>
    <w:p>
      <w:pPr>
        <w:spacing w:line="560" w:lineRule="exact"/>
        <w:ind w:firstLine="560" w:firstLineChars="200"/>
        <w:jc w:val="left"/>
        <w:rPr>
          <w:rFonts w:hint="eastAsia" w:ascii="仿宋_GB2312" w:hAnsi="仿宋_GB2312" w:eastAsia="仿宋_GB2312" w:cs="仿宋_GB2312"/>
          <w:sz w:val="28"/>
          <w:szCs w:val="28"/>
        </w:rPr>
      </w:pPr>
    </w:p>
    <w:p>
      <w:pPr>
        <w:pStyle w:val="9"/>
        <w:rPr>
          <w:rFonts w:hint="eastAsia"/>
          <w:sz w:val="28"/>
          <w:szCs w:val="28"/>
        </w:rPr>
      </w:pPr>
    </w:p>
    <w:p>
      <w:pPr>
        <w:spacing w:line="560" w:lineRule="exact"/>
        <w:ind w:firstLine="4480" w:firstLineChars="1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4480" w:firstLineChars="1600"/>
        <w:jc w:val="left"/>
        <w:rPr>
          <w:b/>
          <w:sz w:val="28"/>
          <w:szCs w:val="28"/>
        </w:rPr>
      </w:pPr>
      <w:r>
        <w:rPr>
          <w:rFonts w:hint="eastAsia" w:ascii="仿宋_GB2312" w:hAnsi="仿宋_GB2312" w:eastAsia="仿宋_GB2312" w:cs="仿宋_GB2312"/>
          <w:sz w:val="28"/>
          <w:szCs w:val="28"/>
        </w:rPr>
        <w:t>日  期：</w:t>
      </w:r>
    </w:p>
    <w:p>
      <w:pPr>
        <w:pStyle w:val="3"/>
        <w:spacing w:beforeAutospacing="0" w:afterAutospacing="0" w:line="500" w:lineRule="exact"/>
        <w:ind w:firstLine="643" w:firstLineChars="200"/>
        <w:jc w:val="both"/>
        <w:rPr>
          <w:rFonts w:hint="default" w:ascii="Calibri" w:hAnsi="Calibri" w:cs="黑体"/>
          <w:b/>
          <w:kern w:val="2"/>
          <w:sz w:val="32"/>
          <w:szCs w:val="32"/>
        </w:rPr>
      </w:pPr>
    </w:p>
    <w:p>
      <w:pPr>
        <w:pStyle w:val="3"/>
        <w:spacing w:beforeAutospacing="0" w:afterAutospacing="0" w:line="500" w:lineRule="exact"/>
        <w:ind w:firstLine="643" w:firstLineChars="200"/>
        <w:jc w:val="both"/>
        <w:rPr>
          <w:rFonts w:hint="default" w:ascii="Calibri" w:hAnsi="Calibri" w:cs="黑体"/>
          <w:b/>
          <w:kern w:val="2"/>
          <w:sz w:val="32"/>
          <w:szCs w:val="32"/>
        </w:rPr>
      </w:pPr>
    </w:p>
    <w:p>
      <w:pPr>
        <w:sectPr>
          <w:headerReference r:id="rId4" w:type="default"/>
          <w:footerReference r:id="rId5" w:type="default"/>
          <w:pgSz w:w="11906" w:h="16838"/>
          <w:pgMar w:top="1644" w:right="1587" w:bottom="1531" w:left="1474" w:header="31" w:footer="1587" w:gutter="0"/>
          <w:pgNumType w:fmt="numberInDash"/>
          <w:cols w:space="720" w:num="1"/>
          <w:docGrid w:type="lines" w:linePitch="312" w:charSpace="0"/>
        </w:sectPr>
      </w:pPr>
    </w:p>
    <w:tbl>
      <w:tblPr>
        <w:tblStyle w:val="17"/>
        <w:tblW w:w="13061" w:type="dxa"/>
        <w:tblInd w:w="0" w:type="dxa"/>
        <w:tblLayout w:type="fixed"/>
        <w:tblCellMar>
          <w:top w:w="15" w:type="dxa"/>
          <w:left w:w="15" w:type="dxa"/>
          <w:bottom w:w="15" w:type="dxa"/>
          <w:right w:w="15" w:type="dxa"/>
        </w:tblCellMar>
      </w:tblPr>
      <w:tblGrid>
        <w:gridCol w:w="6578"/>
        <w:gridCol w:w="3250"/>
        <w:gridCol w:w="3233"/>
      </w:tblGrid>
      <w:tr>
        <w:tblPrEx>
          <w:tblCellMar>
            <w:top w:w="15" w:type="dxa"/>
            <w:left w:w="15" w:type="dxa"/>
            <w:bottom w:w="15" w:type="dxa"/>
            <w:right w:w="15" w:type="dxa"/>
          </w:tblCellMar>
        </w:tblPrEx>
        <w:trPr>
          <w:trHeight w:val="705" w:hRule="atLeast"/>
        </w:trPr>
        <w:tc>
          <w:tcPr>
            <w:tcW w:w="13061" w:type="dxa"/>
            <w:gridSpan w:val="3"/>
            <w:noWrap/>
            <w:vAlign w:val="center"/>
          </w:tcPr>
          <w:p>
            <w:pPr>
              <w:widowControl/>
              <w:jc w:val="center"/>
              <w:textAlignment w:val="center"/>
              <w:rPr>
                <w:rFonts w:hint="eastAsia" w:ascii="仿宋" w:hAnsi="仿宋" w:eastAsia="仿宋" w:cs="仿宋"/>
                <w:b/>
                <w:color w:val="000000"/>
                <w:sz w:val="44"/>
                <w:szCs w:val="44"/>
              </w:rPr>
            </w:pPr>
            <w:r>
              <w:rPr>
                <w:rFonts w:hint="eastAsia" w:ascii="仿宋" w:hAnsi="仿宋" w:eastAsia="仿宋" w:cs="仿宋"/>
                <w:b/>
                <w:color w:val="000000"/>
                <w:kern w:val="0"/>
                <w:sz w:val="44"/>
                <w:szCs w:val="44"/>
              </w:rPr>
              <w:t>开标一览表</w:t>
            </w:r>
          </w:p>
        </w:tc>
      </w:tr>
      <w:tr>
        <w:tblPrEx>
          <w:tblCellMar>
            <w:top w:w="15" w:type="dxa"/>
            <w:left w:w="15" w:type="dxa"/>
            <w:bottom w:w="15" w:type="dxa"/>
            <w:right w:w="15" w:type="dxa"/>
          </w:tblCellMar>
        </w:tblPrEx>
        <w:trPr>
          <w:trHeight w:val="524" w:hRule="atLeast"/>
        </w:trPr>
        <w:tc>
          <w:tcPr>
            <w:tcW w:w="1306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xml:space="preserve">　　　　　　　　　　　　　                        </w:t>
            </w:r>
            <w:r>
              <w:rPr>
                <w:rFonts w:hint="eastAsia" w:ascii="仿宋" w:hAnsi="仿宋" w:eastAsia="仿宋" w:cs="仿宋"/>
                <w:color w:val="000000"/>
                <w:kern w:val="0"/>
                <w:sz w:val="28"/>
                <w:szCs w:val="28"/>
              </w:rPr>
              <w:t>采购项目编号：深龙七医采[LGQY2025ZW006]</w:t>
            </w:r>
          </w:p>
        </w:tc>
      </w:tr>
      <w:tr>
        <w:tblPrEx>
          <w:tblCellMar>
            <w:top w:w="15" w:type="dxa"/>
            <w:left w:w="15" w:type="dxa"/>
            <w:bottom w:w="15" w:type="dxa"/>
            <w:right w:w="15" w:type="dxa"/>
          </w:tblCellMar>
        </w:tblPrEx>
        <w:trPr>
          <w:trHeight w:val="509" w:hRule="atLeast"/>
        </w:trPr>
        <w:tc>
          <w:tcPr>
            <w:tcW w:w="65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项目名称</w:t>
            </w:r>
          </w:p>
          <w:p>
            <w:pPr>
              <w:widowControl/>
              <w:jc w:val="center"/>
              <w:textAlignment w:val="center"/>
              <w:rPr>
                <w:rFonts w:hint="eastAsia" w:ascii="仿宋" w:hAnsi="仿宋" w:eastAsia="仿宋" w:cs="仿宋"/>
                <w:color w:val="000000"/>
                <w:sz w:val="24"/>
              </w:rPr>
            </w:pPr>
          </w:p>
        </w:tc>
        <w:tc>
          <w:tcPr>
            <w:tcW w:w="64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投标报价（元）</w:t>
            </w:r>
          </w:p>
        </w:tc>
      </w:tr>
      <w:tr>
        <w:tblPrEx>
          <w:tblCellMar>
            <w:top w:w="15" w:type="dxa"/>
            <w:left w:w="15" w:type="dxa"/>
            <w:bottom w:w="15" w:type="dxa"/>
            <w:right w:w="15" w:type="dxa"/>
          </w:tblCellMar>
        </w:tblPrEx>
        <w:trPr>
          <w:trHeight w:val="655" w:hRule="atLeast"/>
        </w:trPr>
        <w:tc>
          <w:tcPr>
            <w:tcW w:w="6578" w:type="dxa"/>
            <w:tcBorders>
              <w:top w:val="single" w:color="000000" w:sz="4" w:space="0"/>
              <w:left w:val="single" w:color="000000" w:sz="4" w:space="0"/>
              <w:bottom w:val="single" w:color="000000" w:sz="4" w:space="0"/>
              <w:right w:val="single" w:color="000000" w:sz="4" w:space="0"/>
            </w:tcBorders>
            <w:noWrap/>
            <w:vAlign w:val="center"/>
          </w:tcPr>
          <w:p/>
        </w:tc>
        <w:tc>
          <w:tcPr>
            <w:tcW w:w="3250" w:type="dxa"/>
            <w:tcBorders>
              <w:top w:val="single" w:color="000000" w:sz="4" w:space="0"/>
              <w:left w:val="single" w:color="000000" w:sz="4" w:space="0"/>
              <w:bottom w:val="single" w:color="000000" w:sz="4" w:space="0"/>
              <w:right w:val="single" w:color="000000" w:sz="4" w:space="0"/>
            </w:tcBorders>
            <w:noWrap/>
            <w:vAlign w:val="center"/>
          </w:tcPr>
          <w:p>
            <w:pPr>
              <w:pStyle w:val="9"/>
              <w:rPr>
                <w:rFonts w:hint="eastAsia"/>
              </w:rPr>
            </w:pPr>
            <w:r>
              <w:rPr>
                <w:rFonts w:hint="eastAsia" w:ascii="Calibri" w:hAnsi="Calibri"/>
                <w:kern w:val="2"/>
                <w:sz w:val="21"/>
                <w:szCs w:val="24"/>
              </w:rPr>
              <w:t>大写：</w:t>
            </w:r>
          </w:p>
        </w:tc>
        <w:tc>
          <w:tcPr>
            <w:tcW w:w="323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000000"/>
                <w:sz w:val="22"/>
                <w:szCs w:val="22"/>
              </w:rPr>
            </w:pPr>
            <w:r>
              <w:rPr>
                <w:rFonts w:hint="eastAsia"/>
              </w:rPr>
              <w:t>小写：</w:t>
            </w:r>
          </w:p>
        </w:tc>
      </w:tr>
    </w:tbl>
    <w:p>
      <w:pPr>
        <w:spacing w:line="500" w:lineRule="exact"/>
        <w:ind w:left="425" w:hanging="425"/>
        <w:jc w:val="left"/>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开标一览表格式不得自行改动。</w:t>
      </w:r>
    </w:p>
    <w:p>
      <w:pPr>
        <w:spacing w:line="500" w:lineRule="exact"/>
        <w:ind w:left="425" w:hanging="425"/>
        <w:jc w:val="left"/>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价格条件为能否满足标书要求的投标报价。</w:t>
      </w:r>
    </w:p>
    <w:p>
      <w:pPr>
        <w:spacing w:line="500" w:lineRule="exact"/>
        <w:ind w:left="425" w:hanging="425"/>
        <w:jc w:val="left"/>
        <w:rPr>
          <w:rFonts w:hint="eastAsia" w:ascii="仿宋" w:hAnsi="仿宋" w:eastAsia="仿宋" w:cs="仿宋"/>
          <w:sz w:val="24"/>
          <w:szCs w:val="32"/>
        </w:rPr>
      </w:pPr>
      <w:r>
        <w:rPr>
          <w:rFonts w:ascii="仿宋" w:hAnsi="仿宋" w:eastAsia="仿宋" w:cs="仿宋"/>
          <w:sz w:val="24"/>
          <w:szCs w:val="32"/>
        </w:rPr>
        <w:t>3.</w:t>
      </w:r>
      <w:r>
        <w:rPr>
          <w:rFonts w:hint="eastAsia" w:ascii="仿宋" w:hAnsi="仿宋" w:eastAsia="仿宋" w:cs="仿宋"/>
          <w:sz w:val="24"/>
        </w:rPr>
        <w:t>无内容空格填“－”。</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法定代表人或其授权代表人（签字）：</w:t>
      </w:r>
    </w:p>
    <w:p>
      <w:pPr>
        <w:rPr>
          <w:rFonts w:hint="eastAsia" w:ascii="仿宋" w:hAnsi="仿宋" w:eastAsia="仿宋" w:cs="仿宋"/>
          <w:sz w:val="24"/>
        </w:rPr>
      </w:pPr>
      <w:r>
        <w:rPr>
          <w:rFonts w:hint="eastAsia" w:ascii="仿宋" w:hAnsi="仿宋" w:eastAsia="仿宋" w:cs="仿宋"/>
          <w:sz w:val="24"/>
        </w:rPr>
        <w:t>投标单位全称（加盖公章）：</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备注：本项目最高投标限价为19万元，其中加固前房屋结构安全检测鉴定服务不超过9.5万元、加固后房屋结构安全检测鉴定服务不超过9.5万元。投标总价和分项超出编制费预算控制金额或最高投标限价作无效投标处理。</w:t>
      </w:r>
    </w:p>
    <w:p>
      <w:pPr>
        <w:outlineLvl w:val="1"/>
        <w:rPr>
          <w:rFonts w:hint="eastAsia" w:asciiTheme="minorEastAsia" w:hAnsiTheme="minorEastAsia" w:eastAsiaTheme="minorEastAsia" w:cstheme="minorEastAsia"/>
          <w:b/>
          <w:szCs w:val="21"/>
        </w:rPr>
      </w:pPr>
      <w:bookmarkStart w:id="19" w:name="_Toc22449"/>
      <w:bookmarkStart w:id="20" w:name="_Toc27871"/>
      <w:bookmarkStart w:id="21" w:name="_Toc8113"/>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tbl>
      <w:tblPr>
        <w:tblStyle w:val="17"/>
        <w:tblW w:w="12552" w:type="dxa"/>
        <w:tblInd w:w="0" w:type="dxa"/>
        <w:tblLayout w:type="fixed"/>
        <w:tblCellMar>
          <w:top w:w="15" w:type="dxa"/>
          <w:left w:w="15" w:type="dxa"/>
          <w:bottom w:w="15" w:type="dxa"/>
          <w:right w:w="15" w:type="dxa"/>
        </w:tblCellMar>
      </w:tblPr>
      <w:tblGrid>
        <w:gridCol w:w="3762"/>
        <w:gridCol w:w="4245"/>
        <w:gridCol w:w="4545"/>
      </w:tblGrid>
      <w:tr>
        <w:tblPrEx>
          <w:tblCellMar>
            <w:top w:w="15" w:type="dxa"/>
            <w:left w:w="15" w:type="dxa"/>
            <w:bottom w:w="15" w:type="dxa"/>
            <w:right w:w="15" w:type="dxa"/>
          </w:tblCellMar>
        </w:tblPrEx>
        <w:trPr>
          <w:trHeight w:val="705" w:hRule="atLeast"/>
        </w:trPr>
        <w:tc>
          <w:tcPr>
            <w:tcW w:w="12552" w:type="dxa"/>
            <w:gridSpan w:val="3"/>
            <w:noWrap/>
            <w:vAlign w:val="center"/>
          </w:tcPr>
          <w:p>
            <w:pPr>
              <w:widowControl/>
              <w:jc w:val="center"/>
              <w:textAlignment w:val="center"/>
              <w:rPr>
                <w:rFonts w:hint="eastAsia" w:ascii="仿宋" w:hAnsi="仿宋" w:eastAsia="仿宋" w:cs="仿宋"/>
                <w:b/>
                <w:color w:val="000000"/>
                <w:kern w:val="0"/>
                <w:sz w:val="44"/>
                <w:szCs w:val="44"/>
                <w:lang w:val="en-US" w:eastAsia="zh-CN"/>
              </w:rPr>
            </w:pPr>
          </w:p>
          <w:p>
            <w:pPr>
              <w:widowControl/>
              <w:jc w:val="center"/>
              <w:textAlignment w:val="center"/>
              <w:rPr>
                <w:rFonts w:hint="eastAsia" w:ascii="仿宋" w:hAnsi="仿宋" w:eastAsia="仿宋" w:cs="仿宋"/>
                <w:b/>
                <w:color w:val="000000"/>
                <w:sz w:val="44"/>
                <w:szCs w:val="44"/>
              </w:rPr>
            </w:pPr>
            <w:r>
              <w:rPr>
                <w:rFonts w:hint="eastAsia" w:ascii="仿宋" w:hAnsi="仿宋" w:eastAsia="仿宋" w:cs="仿宋"/>
                <w:b/>
                <w:color w:val="000000"/>
                <w:kern w:val="0"/>
                <w:sz w:val="44"/>
                <w:szCs w:val="44"/>
                <w:lang w:val="en-US" w:eastAsia="zh-CN"/>
              </w:rPr>
              <w:t>分项报价</w:t>
            </w:r>
            <w:r>
              <w:rPr>
                <w:rFonts w:hint="eastAsia" w:ascii="仿宋" w:hAnsi="仿宋" w:eastAsia="仿宋" w:cs="仿宋"/>
                <w:b/>
                <w:color w:val="000000"/>
                <w:kern w:val="0"/>
                <w:sz w:val="44"/>
                <w:szCs w:val="44"/>
              </w:rPr>
              <w:t>表</w:t>
            </w:r>
          </w:p>
        </w:tc>
      </w:tr>
      <w:tr>
        <w:tblPrEx>
          <w:tblCellMar>
            <w:top w:w="15" w:type="dxa"/>
            <w:left w:w="15" w:type="dxa"/>
            <w:bottom w:w="15" w:type="dxa"/>
            <w:right w:w="15" w:type="dxa"/>
          </w:tblCellMar>
        </w:tblPrEx>
        <w:trPr>
          <w:trHeight w:val="524" w:hRule="atLeast"/>
        </w:trPr>
        <w:tc>
          <w:tcPr>
            <w:tcW w:w="12552"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xml:space="preserve">　　　　　　　　　　　　　                  </w:t>
            </w:r>
            <w:r>
              <w:rPr>
                <w:rFonts w:hint="eastAsia" w:ascii="仿宋" w:hAnsi="仿宋" w:eastAsia="仿宋" w:cs="仿宋"/>
                <w:color w:val="000000"/>
                <w:kern w:val="0"/>
                <w:sz w:val="28"/>
                <w:szCs w:val="28"/>
              </w:rPr>
              <w:t>采购项目编号：深龙七医采[LGQY2025ZW006]</w:t>
            </w:r>
          </w:p>
        </w:tc>
      </w:tr>
      <w:tr>
        <w:tblPrEx>
          <w:tblCellMar>
            <w:top w:w="15" w:type="dxa"/>
            <w:left w:w="15" w:type="dxa"/>
            <w:bottom w:w="15" w:type="dxa"/>
            <w:right w:w="15" w:type="dxa"/>
          </w:tblCellMar>
        </w:tblPrEx>
        <w:trPr>
          <w:trHeight w:val="1370" w:hRule="atLeast"/>
        </w:trPr>
        <w:tc>
          <w:tcPr>
            <w:tcW w:w="3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项目名称</w:t>
            </w:r>
          </w:p>
          <w:p>
            <w:pPr>
              <w:rPr>
                <w:sz w:val="28"/>
                <w:szCs w:val="28"/>
              </w:rPr>
            </w:pPr>
          </w:p>
        </w:tc>
        <w:tc>
          <w:tcPr>
            <w:tcW w:w="4245" w:type="dxa"/>
            <w:tcBorders>
              <w:top w:val="single" w:color="000000" w:sz="4" w:space="0"/>
              <w:left w:val="single" w:color="000000" w:sz="4" w:space="0"/>
              <w:bottom w:val="single" w:color="000000" w:sz="4" w:space="0"/>
              <w:right w:val="single" w:color="000000" w:sz="4" w:space="0"/>
            </w:tcBorders>
            <w:noWrap/>
            <w:vAlign w:val="center"/>
          </w:tcPr>
          <w:p>
            <w:pPr>
              <w:pStyle w:val="9"/>
              <w:jc w:val="center"/>
              <w:rPr>
                <w:rFonts w:hint="eastAsia" w:ascii="Calibri" w:hAnsi="Calibri"/>
                <w:kern w:val="2"/>
                <w:sz w:val="28"/>
                <w:szCs w:val="28"/>
              </w:rPr>
            </w:pPr>
            <w:r>
              <w:rPr>
                <w:rFonts w:hint="eastAsia" w:ascii="Calibri" w:hAnsi="Calibri"/>
                <w:kern w:val="2"/>
                <w:sz w:val="28"/>
                <w:szCs w:val="28"/>
              </w:rPr>
              <w:t>加固前房屋结构安全检测鉴定</w:t>
            </w:r>
          </w:p>
          <w:p>
            <w:pPr>
              <w:pStyle w:val="9"/>
              <w:jc w:val="center"/>
              <w:rPr>
                <w:rFonts w:hint="default" w:eastAsia="宋体"/>
                <w:sz w:val="28"/>
                <w:szCs w:val="28"/>
                <w:lang w:val="en-US" w:eastAsia="zh-CN"/>
              </w:rPr>
            </w:pPr>
            <w:r>
              <w:rPr>
                <w:rFonts w:hint="eastAsia" w:ascii="Calibri" w:hAnsi="Calibri"/>
                <w:kern w:val="2"/>
                <w:sz w:val="28"/>
                <w:szCs w:val="28"/>
              </w:rPr>
              <w:t>服务</w:t>
            </w:r>
            <w:r>
              <w:rPr>
                <w:rFonts w:hint="eastAsia" w:ascii="Calibri" w:hAnsi="Calibri"/>
                <w:kern w:val="2"/>
                <w:sz w:val="28"/>
                <w:szCs w:val="28"/>
                <w:lang w:val="en-US" w:eastAsia="zh-CN"/>
              </w:rPr>
              <w:t>费用（元）</w:t>
            </w:r>
          </w:p>
        </w:tc>
        <w:tc>
          <w:tcPr>
            <w:tcW w:w="45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sz w:val="28"/>
                <w:szCs w:val="28"/>
              </w:rPr>
            </w:pPr>
            <w:r>
              <w:rPr>
                <w:rFonts w:hint="eastAsia"/>
                <w:sz w:val="28"/>
                <w:szCs w:val="28"/>
              </w:rPr>
              <w:t>加固后房屋结构安全检测鉴定</w:t>
            </w:r>
          </w:p>
          <w:p>
            <w:pPr>
              <w:jc w:val="center"/>
              <w:rPr>
                <w:rFonts w:hint="default" w:ascii="仿宋" w:hAnsi="仿宋" w:eastAsia="宋体" w:cs="仿宋"/>
                <w:color w:val="000000"/>
                <w:sz w:val="28"/>
                <w:szCs w:val="28"/>
                <w:lang w:val="en-US" w:eastAsia="zh-CN"/>
              </w:rPr>
            </w:pPr>
            <w:r>
              <w:rPr>
                <w:rFonts w:hint="eastAsia"/>
                <w:sz w:val="28"/>
                <w:szCs w:val="28"/>
              </w:rPr>
              <w:t>服务</w:t>
            </w:r>
            <w:r>
              <w:rPr>
                <w:rFonts w:hint="eastAsia"/>
                <w:sz w:val="28"/>
                <w:szCs w:val="28"/>
                <w:lang w:val="en-US" w:eastAsia="zh-CN"/>
              </w:rPr>
              <w:t>费用（元）</w:t>
            </w:r>
          </w:p>
        </w:tc>
      </w:tr>
      <w:tr>
        <w:tblPrEx>
          <w:tblCellMar>
            <w:top w:w="15" w:type="dxa"/>
            <w:left w:w="15" w:type="dxa"/>
            <w:bottom w:w="15" w:type="dxa"/>
            <w:right w:w="15" w:type="dxa"/>
          </w:tblCellMar>
        </w:tblPrEx>
        <w:trPr>
          <w:trHeight w:val="1270" w:hRule="atLeast"/>
        </w:trPr>
        <w:tc>
          <w:tcPr>
            <w:tcW w:w="3762" w:type="dxa"/>
            <w:tcBorders>
              <w:top w:val="single" w:color="000000" w:sz="4" w:space="0"/>
              <w:left w:val="single" w:color="000000" w:sz="4" w:space="0"/>
              <w:bottom w:val="single" w:color="000000" w:sz="4" w:space="0"/>
              <w:right w:val="single" w:color="000000" w:sz="4" w:space="0"/>
            </w:tcBorders>
            <w:noWrap/>
            <w:vAlign w:val="center"/>
          </w:tcPr>
          <w:p/>
        </w:tc>
        <w:tc>
          <w:tcPr>
            <w:tcW w:w="4245" w:type="dxa"/>
            <w:tcBorders>
              <w:top w:val="single" w:color="000000" w:sz="4" w:space="0"/>
              <w:left w:val="single" w:color="000000" w:sz="4" w:space="0"/>
              <w:bottom w:val="single" w:color="000000" w:sz="4" w:space="0"/>
              <w:right w:val="single" w:color="000000" w:sz="4" w:space="0"/>
            </w:tcBorders>
            <w:noWrap/>
            <w:vAlign w:val="center"/>
          </w:tcPr>
          <w:p>
            <w:pPr>
              <w:pStyle w:val="9"/>
              <w:rPr>
                <w:rFonts w:hint="eastAsia" w:ascii="Calibri" w:hAnsi="Calibri"/>
                <w:kern w:val="2"/>
                <w:sz w:val="21"/>
                <w:szCs w:val="24"/>
              </w:rPr>
            </w:pPr>
          </w:p>
        </w:tc>
        <w:tc>
          <w:tcPr>
            <w:tcW w:w="4545" w:type="dxa"/>
            <w:tcBorders>
              <w:top w:val="single" w:color="000000" w:sz="4" w:space="0"/>
              <w:left w:val="single" w:color="000000" w:sz="4" w:space="0"/>
              <w:bottom w:val="single" w:color="000000" w:sz="4" w:space="0"/>
              <w:right w:val="single" w:color="000000" w:sz="4" w:space="0"/>
            </w:tcBorders>
            <w:noWrap/>
            <w:vAlign w:val="center"/>
          </w:tcPr>
          <w:p>
            <w:pPr>
              <w:rPr>
                <w:rFonts w:hint="eastAsia"/>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法定代表人或其授权代表人（签字）：</w:t>
      </w:r>
    </w:p>
    <w:p>
      <w:pPr>
        <w:rPr>
          <w:rFonts w:hint="eastAsia" w:ascii="仿宋" w:hAnsi="仿宋" w:eastAsia="仿宋" w:cs="仿宋"/>
          <w:sz w:val="24"/>
        </w:rPr>
      </w:pPr>
      <w:r>
        <w:rPr>
          <w:rFonts w:hint="eastAsia" w:ascii="仿宋" w:hAnsi="仿宋" w:eastAsia="仿宋" w:cs="仿宋"/>
          <w:sz w:val="24"/>
        </w:rPr>
        <w:t>投标单位全称（加盖公章）：</w:t>
      </w:r>
    </w:p>
    <w:p>
      <w:pPr>
        <w:spacing w:line="500" w:lineRule="exact"/>
        <w:ind w:left="425" w:hanging="425"/>
        <w:jc w:val="left"/>
        <w:outlineLvl w:val="9"/>
        <w:rPr>
          <w:rFonts w:hint="eastAsia" w:ascii="仿宋" w:hAnsi="仿宋" w:eastAsia="仿宋" w:cs="仿宋"/>
          <w:sz w:val="24"/>
          <w:lang w:val="en-US" w:eastAsia="zh-CN"/>
        </w:rPr>
      </w:pPr>
    </w:p>
    <w:p>
      <w:pPr>
        <w:spacing w:line="500" w:lineRule="exact"/>
        <w:ind w:left="425" w:hanging="425"/>
        <w:jc w:val="left"/>
        <w:outlineLvl w:val="9"/>
        <w:rPr>
          <w:rFonts w:hint="eastAsia" w:ascii="仿宋" w:hAnsi="仿宋" w:eastAsia="仿宋" w:cs="仿宋"/>
          <w:b w:val="0"/>
          <w:sz w:val="24"/>
          <w:szCs w:val="24"/>
        </w:rPr>
      </w:pPr>
      <w:r>
        <w:rPr>
          <w:rFonts w:hint="eastAsia" w:ascii="仿宋" w:hAnsi="仿宋" w:eastAsia="仿宋" w:cs="仿宋"/>
          <w:sz w:val="24"/>
          <w:lang w:val="en-US" w:eastAsia="zh-CN"/>
        </w:rPr>
        <w:t>备注：</w:t>
      </w:r>
      <w:r>
        <w:rPr>
          <w:rFonts w:hint="eastAsia" w:ascii="仿宋" w:hAnsi="仿宋" w:eastAsia="仿宋" w:cs="仿宋"/>
          <w:sz w:val="24"/>
        </w:rPr>
        <w:t>本项目最高投标限价为19万元，其中加固前房屋结构安全检测鉴定服务不超过9.5万元、加固后房屋结构安全检测鉴定服务不超过9.5万元。投标总价和分项超出编制费预算控制金额或最高投标限价作无效投标处理。</w:t>
      </w:r>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widowControl/>
        <w:jc w:val="center"/>
        <w:textAlignment w:val="center"/>
        <w:rPr>
          <w:rFonts w:hint="eastAsia" w:ascii="仿宋" w:hAnsi="仿宋" w:eastAsia="仿宋" w:cs="仿宋"/>
          <w:b/>
          <w:color w:val="000000"/>
          <w:kern w:val="0"/>
          <w:sz w:val="44"/>
          <w:szCs w:val="44"/>
        </w:rPr>
      </w:pPr>
      <w:r>
        <w:rPr>
          <w:rFonts w:hint="eastAsia" w:ascii="仿宋" w:hAnsi="仿宋" w:eastAsia="仿宋" w:cs="仿宋"/>
          <w:b/>
          <w:color w:val="000000"/>
          <w:kern w:val="0"/>
          <w:sz w:val="44"/>
          <w:szCs w:val="44"/>
        </w:rPr>
        <w:t>实质性条款响应情况表</w:t>
      </w:r>
      <w:bookmarkEnd w:id="19"/>
      <w:bookmarkEnd w:id="20"/>
      <w:bookmarkEnd w:id="21"/>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4206"/>
        <w:gridCol w:w="2507"/>
        <w:gridCol w:w="290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28" w:type="pct"/>
            <w:vAlign w:val="center"/>
          </w:tcPr>
          <w:p>
            <w:pPr>
              <w:jc w:val="center"/>
              <w:rPr>
                <w:rFonts w:hint="eastAsia" w:ascii="仿宋" w:hAnsi="仿宋" w:eastAsia="仿宋" w:cs="仿宋"/>
                <w:b/>
                <w:sz w:val="24"/>
              </w:rPr>
            </w:pPr>
            <w:r>
              <w:rPr>
                <w:rFonts w:hint="eastAsia" w:ascii="仿宋" w:hAnsi="仿宋" w:eastAsia="仿宋" w:cs="仿宋"/>
                <w:b/>
                <w:sz w:val="24"/>
              </w:rPr>
              <w:t>序号</w:t>
            </w:r>
          </w:p>
        </w:tc>
        <w:tc>
          <w:tcPr>
            <w:tcW w:w="1621" w:type="pct"/>
            <w:vAlign w:val="center"/>
          </w:tcPr>
          <w:p>
            <w:pPr>
              <w:jc w:val="center"/>
              <w:rPr>
                <w:rFonts w:hint="eastAsia" w:ascii="仿宋" w:hAnsi="仿宋" w:eastAsia="仿宋" w:cs="仿宋"/>
                <w:b/>
                <w:sz w:val="24"/>
              </w:rPr>
            </w:pPr>
            <w:r>
              <w:rPr>
                <w:rFonts w:hint="eastAsia" w:ascii="仿宋" w:hAnsi="仿宋" w:eastAsia="仿宋" w:cs="仿宋"/>
                <w:b/>
                <w:sz w:val="24"/>
              </w:rPr>
              <w:t>实质性条款具体内容</w:t>
            </w:r>
          </w:p>
        </w:tc>
        <w:tc>
          <w:tcPr>
            <w:tcW w:w="966" w:type="pct"/>
            <w:vAlign w:val="center"/>
          </w:tcPr>
          <w:p>
            <w:pPr>
              <w:jc w:val="center"/>
              <w:rPr>
                <w:rFonts w:hint="eastAsia" w:ascii="仿宋" w:hAnsi="仿宋" w:eastAsia="仿宋" w:cs="仿宋"/>
                <w:b/>
                <w:sz w:val="24"/>
              </w:rPr>
            </w:pPr>
            <w:r>
              <w:rPr>
                <w:rFonts w:hint="eastAsia" w:ascii="仿宋" w:hAnsi="仿宋" w:eastAsia="仿宋" w:cs="仿宋"/>
                <w:b/>
                <w:sz w:val="24"/>
              </w:rPr>
              <w:t>投标响应</w:t>
            </w:r>
          </w:p>
        </w:tc>
        <w:tc>
          <w:tcPr>
            <w:tcW w:w="1120" w:type="pct"/>
            <w:vAlign w:val="center"/>
          </w:tcPr>
          <w:p>
            <w:pPr>
              <w:jc w:val="center"/>
              <w:rPr>
                <w:rFonts w:hint="eastAsia" w:ascii="仿宋" w:hAnsi="仿宋" w:eastAsia="仿宋" w:cs="仿宋"/>
                <w:b/>
                <w:sz w:val="24"/>
              </w:rPr>
            </w:pPr>
            <w:r>
              <w:rPr>
                <w:rFonts w:hint="eastAsia" w:ascii="仿宋" w:hAnsi="仿宋" w:eastAsia="仿宋" w:cs="仿宋"/>
                <w:b/>
                <w:sz w:val="24"/>
              </w:rPr>
              <w:t>偏离情况</w:t>
            </w:r>
          </w:p>
        </w:tc>
        <w:tc>
          <w:tcPr>
            <w:tcW w:w="862" w:type="pct"/>
            <w:vAlign w:val="center"/>
          </w:tcPr>
          <w:p>
            <w:pPr>
              <w:jc w:val="center"/>
              <w:rPr>
                <w:rFonts w:hint="eastAsia" w:ascii="仿宋" w:hAnsi="仿宋" w:eastAsia="仿宋" w:cs="仿宋"/>
                <w:b/>
                <w:sz w:val="24"/>
              </w:rPr>
            </w:pPr>
            <w:r>
              <w:rPr>
                <w:rFonts w:hint="eastAsia" w:ascii="仿宋" w:hAnsi="仿宋" w:eastAsia="仿宋" w:cs="仿宋"/>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vAlign w:val="center"/>
          </w:tcPr>
          <w:p>
            <w:pPr>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621" w:type="pct"/>
            <w:vAlign w:val="center"/>
          </w:tcPr>
          <w:p>
            <w:pPr>
              <w:pStyle w:val="24"/>
              <w:numPr>
                <w:ilvl w:val="0"/>
                <w:numId w:val="0"/>
              </w:numPr>
              <w:ind w:firstLine="0" w:firstLineChars="0"/>
              <w:rPr>
                <w:rFonts w:hint="eastAsia" w:hAnsi="宋体"/>
                <w:kern w:val="0"/>
                <w:sz w:val="24"/>
              </w:rPr>
            </w:pPr>
            <w:r>
              <w:rPr>
                <w:rFonts w:hint="eastAsia" w:ascii="仿宋_GB2312" w:hAnsi="仿宋_GB2312" w:eastAsia="仿宋_GB2312" w:cs="仿宋_GB2312"/>
                <w:color w:val="auto"/>
                <w:kern w:val="0"/>
                <w:sz w:val="24"/>
                <w:szCs w:val="24"/>
              </w:rPr>
              <w:t>人员</w:t>
            </w:r>
            <w:r>
              <w:rPr>
                <w:rFonts w:hint="eastAsia" w:ascii="仿宋_GB2312" w:hAnsi="仿宋_GB2312" w:eastAsia="仿宋_GB2312" w:cs="仿宋_GB2312"/>
                <w:color w:val="auto"/>
                <w:kern w:val="0"/>
                <w:sz w:val="24"/>
                <w:szCs w:val="24"/>
                <w:lang w:val="en-US" w:eastAsia="zh-CN"/>
              </w:rPr>
              <w:t>要求</w:t>
            </w:r>
            <w:r>
              <w:rPr>
                <w:rFonts w:hint="eastAsia" w:ascii="仿宋_GB2312" w:hAnsi="仿宋_GB2312" w:eastAsia="仿宋_GB2312" w:cs="仿宋_GB2312"/>
                <w:color w:val="auto"/>
                <w:kern w:val="0"/>
                <w:sz w:val="24"/>
                <w:szCs w:val="24"/>
              </w:rPr>
              <w:t>中★人员类别★</w:t>
            </w:r>
            <w:r>
              <w:rPr>
                <w:rFonts w:hint="eastAsia" w:ascii="仿宋_GB2312" w:hAnsi="仿宋_GB2312" w:eastAsia="仿宋_GB2312" w:cs="仿宋_GB2312"/>
                <w:color w:val="auto"/>
                <w:kern w:val="0"/>
                <w:sz w:val="24"/>
                <w:szCs w:val="24"/>
                <w:lang w:val="en-US" w:eastAsia="zh-CN"/>
              </w:rPr>
              <w:t>人员</w:t>
            </w:r>
            <w:r>
              <w:rPr>
                <w:rFonts w:hint="eastAsia" w:ascii="仿宋_GB2312" w:hAnsi="仿宋_GB2312" w:eastAsia="仿宋_GB2312" w:cs="仿宋_GB2312"/>
                <w:color w:val="auto"/>
                <w:kern w:val="0"/>
                <w:sz w:val="24"/>
                <w:szCs w:val="24"/>
              </w:rPr>
              <w:t>数量★人员必须具备条件</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要求</w:t>
            </w:r>
            <w:r>
              <w:rPr>
                <w:rFonts w:hint="eastAsia" w:cs="仿宋_GB2312"/>
                <w:i w:val="0"/>
                <w:iCs w:val="0"/>
                <w:caps w:val="0"/>
                <w:strike w:val="0"/>
                <w:color w:val="auto"/>
                <w:spacing w:val="0"/>
                <w:kern w:val="0"/>
                <w:sz w:val="24"/>
                <w:szCs w:val="24"/>
                <w:shd w:val="clear"/>
                <w:lang w:val="en-US" w:eastAsia="zh-CN" w:bidi="ar-SA"/>
              </w:rPr>
              <w:t>提供拟派本项目人员清单以及相关人员</w:t>
            </w:r>
            <w:r>
              <w:rPr>
                <w:rFonts w:hint="eastAsia" w:ascii="仿宋_GB2312" w:hAnsi="仿宋_GB2312" w:eastAsia="仿宋_GB2312" w:cs="仿宋_GB2312"/>
                <w:b w:val="0"/>
                <w:bCs w:val="0"/>
                <w:color w:val="auto"/>
                <w:kern w:val="0"/>
                <w:sz w:val="24"/>
                <w:szCs w:val="24"/>
                <w:lang w:val="en-US" w:eastAsia="zh-CN"/>
              </w:rPr>
              <w:t>近一个月投标人为其购买的社保证明</w:t>
            </w:r>
            <w:r>
              <w:rPr>
                <w:rFonts w:hint="eastAsia" w:cs="仿宋_GB2312"/>
                <w:b w:val="0"/>
                <w:bCs w:val="0"/>
                <w:color w:val="auto"/>
                <w:kern w:val="0"/>
                <w:sz w:val="24"/>
                <w:szCs w:val="24"/>
                <w:lang w:val="en-US" w:eastAsia="zh-CN"/>
              </w:rPr>
              <w:t>或其他证明材料以及</w:t>
            </w:r>
            <w:r>
              <w:rPr>
                <w:rFonts w:hint="eastAsia" w:ascii="仿宋_GB2312" w:hAnsi="仿宋_GB2312" w:eastAsia="仿宋_GB2312" w:cs="仿宋_GB2312"/>
                <w:b w:val="0"/>
                <w:bCs w:val="0"/>
                <w:color w:val="auto"/>
                <w:kern w:val="0"/>
                <w:sz w:val="24"/>
                <w:szCs w:val="24"/>
                <w:lang w:val="en-US" w:eastAsia="zh-CN"/>
              </w:rPr>
              <w:t>项目负责人</w:t>
            </w:r>
            <w:r>
              <w:rPr>
                <w:rFonts w:hint="eastAsia" w:ascii="仿宋_GB2312" w:hAnsi="仿宋_GB2312" w:eastAsia="仿宋_GB2312" w:cs="仿宋_GB2312"/>
                <w:b w:val="0"/>
                <w:bCs w:val="0"/>
                <w:color w:val="auto"/>
                <w:kern w:val="0"/>
                <w:sz w:val="24"/>
                <w:szCs w:val="24"/>
                <w:lang w:val="en-US" w:eastAsia="zh-CN" w:bidi="ar-SA"/>
              </w:rPr>
              <w:t>有效的一级注册结构工程师执业资格证明</w:t>
            </w:r>
            <w:r>
              <w:rPr>
                <w:rFonts w:hint="eastAsia" w:cs="仿宋_GB2312"/>
                <w:b w:val="0"/>
                <w:bCs w:val="0"/>
                <w:color w:val="auto"/>
                <w:kern w:val="0"/>
                <w:sz w:val="24"/>
                <w:szCs w:val="24"/>
                <w:lang w:val="en-US" w:eastAsia="zh-CN" w:bidi="ar-SA"/>
              </w:rPr>
              <w:t>）</w:t>
            </w:r>
          </w:p>
        </w:tc>
        <w:tc>
          <w:tcPr>
            <w:tcW w:w="966" w:type="pct"/>
          </w:tcPr>
          <w:p>
            <w:pPr>
              <w:adjustRightInd w:val="0"/>
              <w:snapToGrid w:val="0"/>
              <w:spacing w:line="360" w:lineRule="auto"/>
              <w:rPr>
                <w:rFonts w:hint="eastAsia" w:ascii="宋体" w:hAnsi="宋体"/>
                <w:kern w:val="0"/>
                <w:sz w:val="24"/>
              </w:rPr>
            </w:pPr>
          </w:p>
        </w:tc>
        <w:tc>
          <w:tcPr>
            <w:tcW w:w="1120" w:type="pct"/>
          </w:tcPr>
          <w:p>
            <w:pPr>
              <w:adjustRightInd w:val="0"/>
              <w:snapToGrid w:val="0"/>
              <w:spacing w:line="360" w:lineRule="auto"/>
              <w:rPr>
                <w:rFonts w:hint="eastAsia" w:ascii="宋体" w:hAnsi="宋体"/>
                <w:kern w:val="0"/>
                <w:sz w:val="24"/>
              </w:rPr>
            </w:pPr>
          </w:p>
        </w:tc>
        <w:tc>
          <w:tcPr>
            <w:tcW w:w="862" w:type="pct"/>
          </w:tcPr>
          <w:p>
            <w:pPr>
              <w:adjustRightInd w:val="0"/>
              <w:snapToGrid w:val="0"/>
              <w:spacing w:line="360" w:lineRule="auto"/>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vAlign w:val="center"/>
          </w:tcPr>
          <w:p>
            <w:pPr>
              <w:adjustRightInd w:val="0"/>
              <w:snapToGrid w:val="0"/>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1621" w:type="pct"/>
            <w:vAlign w:val="center"/>
          </w:tcPr>
          <w:p>
            <w:pPr>
              <w:pStyle w:val="24"/>
              <w:numPr>
                <w:ilvl w:val="0"/>
                <w:numId w:val="0"/>
              </w:numPr>
              <w:ind w:firstLine="0" w:firstLineChars="0"/>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bidi="ar-SA"/>
              </w:rPr>
              <w:t>★</w:t>
            </w:r>
            <w:r>
              <w:rPr>
                <w:rFonts w:hint="eastAsia"/>
                <w:b w:val="0"/>
                <w:color w:val="auto"/>
                <w:kern w:val="0"/>
                <w:sz w:val="24"/>
                <w:szCs w:val="24"/>
              </w:rPr>
              <w:t>（三）成果要求</w:t>
            </w:r>
            <w:r>
              <w:rPr>
                <w:rFonts w:hint="eastAsia"/>
                <w:b w:val="0"/>
                <w:color w:val="auto"/>
                <w:kern w:val="0"/>
                <w:sz w:val="24"/>
                <w:szCs w:val="24"/>
                <w:lang w:eastAsia="zh-CN"/>
              </w:rPr>
              <w:t>（</w:t>
            </w:r>
            <w:r>
              <w:rPr>
                <w:rFonts w:hint="eastAsia"/>
                <w:b w:val="0"/>
                <w:color w:val="auto"/>
                <w:kern w:val="0"/>
                <w:sz w:val="24"/>
                <w:szCs w:val="24"/>
                <w:lang w:val="en-US" w:eastAsia="zh-CN"/>
              </w:rPr>
              <w:t>提供承诺函，格式自拟）</w:t>
            </w:r>
          </w:p>
        </w:tc>
        <w:tc>
          <w:tcPr>
            <w:tcW w:w="966" w:type="pct"/>
          </w:tcPr>
          <w:p>
            <w:pPr>
              <w:adjustRightInd w:val="0"/>
              <w:snapToGrid w:val="0"/>
              <w:spacing w:line="360" w:lineRule="auto"/>
              <w:rPr>
                <w:rFonts w:hint="eastAsia" w:ascii="宋体" w:hAnsi="宋体"/>
                <w:kern w:val="0"/>
                <w:sz w:val="24"/>
              </w:rPr>
            </w:pPr>
          </w:p>
        </w:tc>
        <w:tc>
          <w:tcPr>
            <w:tcW w:w="1120" w:type="pct"/>
          </w:tcPr>
          <w:p>
            <w:pPr>
              <w:adjustRightInd w:val="0"/>
              <w:snapToGrid w:val="0"/>
              <w:spacing w:line="360" w:lineRule="auto"/>
              <w:rPr>
                <w:rFonts w:hint="eastAsia" w:ascii="宋体" w:hAnsi="宋体"/>
                <w:kern w:val="0"/>
                <w:sz w:val="24"/>
              </w:rPr>
            </w:pPr>
          </w:p>
        </w:tc>
        <w:tc>
          <w:tcPr>
            <w:tcW w:w="862" w:type="pct"/>
          </w:tcPr>
          <w:p>
            <w:pPr>
              <w:adjustRightInd w:val="0"/>
              <w:snapToGrid w:val="0"/>
              <w:spacing w:line="360" w:lineRule="auto"/>
              <w:rPr>
                <w:rFonts w:hint="eastAsia" w:ascii="宋体" w:hAnsi="宋体"/>
                <w:kern w:val="0"/>
                <w:sz w:val="24"/>
              </w:rPr>
            </w:pPr>
          </w:p>
        </w:tc>
      </w:tr>
    </w:tbl>
    <w:p>
      <w:pPr>
        <w:spacing w:line="500" w:lineRule="exact"/>
        <w:jc w:val="left"/>
        <w:rPr>
          <w:rFonts w:hint="eastAsia" w:ascii="仿宋" w:hAnsi="仿宋" w:eastAsia="仿宋" w:cs="仿宋"/>
          <w:sz w:val="24"/>
        </w:rPr>
      </w:pPr>
    </w:p>
    <w:p>
      <w:pPr>
        <w:spacing w:line="500" w:lineRule="exact"/>
        <w:jc w:val="left"/>
        <w:rPr>
          <w:rFonts w:hint="eastAsia" w:ascii="仿宋" w:hAnsi="仿宋" w:eastAsia="仿宋" w:cs="仿宋"/>
          <w:sz w:val="24"/>
        </w:rPr>
      </w:pPr>
      <w:r>
        <w:rPr>
          <w:rFonts w:hint="eastAsia" w:ascii="仿宋" w:hAnsi="仿宋" w:eastAsia="仿宋" w:cs="仿宋"/>
          <w:sz w:val="24"/>
        </w:rPr>
        <w:t>注：1.上表所列各项均为不可负偏离条款。</w:t>
      </w:r>
    </w:p>
    <w:p>
      <w:pPr>
        <w:spacing w:line="500" w:lineRule="exact"/>
        <w:jc w:val="left"/>
        <w:rPr>
          <w:rFonts w:hint="eastAsia" w:ascii="仿宋" w:hAnsi="仿宋" w:eastAsia="仿宋" w:cs="仿宋"/>
          <w:sz w:val="24"/>
        </w:rPr>
      </w:pPr>
      <w:r>
        <w:rPr>
          <w:rFonts w:hint="eastAsia" w:ascii="仿宋" w:hAnsi="仿宋" w:eastAsia="仿宋" w:cs="仿宋"/>
          <w:sz w:val="24"/>
        </w:rPr>
        <w:t>2.“投标响应”一栏应当详细填写投标人自身响应情况。</w:t>
      </w:r>
    </w:p>
    <w:p>
      <w:pPr>
        <w:spacing w:line="500" w:lineRule="exact"/>
        <w:jc w:val="left"/>
        <w:rPr>
          <w:rFonts w:hint="eastAsia" w:ascii="仿宋" w:hAnsi="仿宋" w:eastAsia="仿宋" w:cs="仿宋"/>
          <w:sz w:val="24"/>
        </w:rPr>
      </w:pPr>
      <w:r>
        <w:rPr>
          <w:rFonts w:hint="eastAsia" w:ascii="仿宋" w:hAnsi="仿宋" w:eastAsia="仿宋" w:cs="仿宋"/>
          <w:sz w:val="24"/>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500" w:lineRule="exact"/>
        <w:jc w:val="left"/>
        <w:rPr>
          <w:rFonts w:hint="eastAsia" w:ascii="仿宋" w:hAnsi="仿宋" w:eastAsia="仿宋" w:cs="仿宋"/>
          <w:sz w:val="24"/>
        </w:rPr>
      </w:pPr>
      <w:r>
        <w:rPr>
          <w:rFonts w:hint="eastAsia" w:ascii="仿宋" w:hAnsi="仿宋" w:eastAsia="仿宋" w:cs="仿宋"/>
          <w:sz w:val="24"/>
        </w:rPr>
        <w:t>4.评审委员会有权对投标响应情况作出判断（作出评审结论）。</w:t>
      </w:r>
    </w:p>
    <w:p>
      <w:pPr>
        <w:spacing w:line="500" w:lineRule="exact"/>
        <w:jc w:val="left"/>
        <w:rPr>
          <w:rFonts w:hint="eastAsia" w:ascii="仿宋" w:hAnsi="仿宋" w:eastAsia="仿宋" w:cs="仿宋"/>
          <w:sz w:val="24"/>
        </w:rPr>
      </w:pPr>
      <w:r>
        <w:rPr>
          <w:rFonts w:hint="eastAsia" w:ascii="仿宋" w:hAnsi="仿宋" w:eastAsia="仿宋" w:cs="仿宋"/>
          <w:sz w:val="24"/>
        </w:rPr>
        <w:t>5.实质性响应条款“投标响应情况”与遴选响应文件其他内容冲突的，以实质性响应条款“投标响应情况”为准。</w:t>
      </w:r>
    </w:p>
    <w:p>
      <w:pPr>
        <w:spacing w:line="500" w:lineRule="exact"/>
        <w:jc w:val="left"/>
        <w:rPr>
          <w:rFonts w:hint="eastAsia" w:ascii="仿宋" w:hAnsi="仿宋" w:eastAsia="仿宋" w:cs="仿宋"/>
          <w:sz w:val="24"/>
        </w:rPr>
      </w:pPr>
      <w:r>
        <w:rPr>
          <w:rFonts w:hint="eastAsia" w:ascii="仿宋" w:hAnsi="仿宋" w:eastAsia="仿宋" w:cs="仿宋"/>
          <w:sz w:val="24"/>
        </w:rPr>
        <w:t>6.要求提供证明资料，在“说明”一栏中列明证明资料的位置，以便评审；未要求提供证明材料的，投标人可以不提供。</w:t>
      </w:r>
    </w:p>
    <w:p>
      <w:pPr>
        <w:widowControl/>
        <w:jc w:val="center"/>
        <w:textAlignment w:val="center"/>
        <w:rPr>
          <w:rFonts w:hint="eastAsia" w:ascii="仿宋" w:hAnsi="仿宋" w:eastAsia="仿宋" w:cs="仿宋"/>
          <w:b/>
          <w:color w:val="000000"/>
          <w:kern w:val="0"/>
          <w:sz w:val="44"/>
          <w:szCs w:val="44"/>
        </w:rPr>
      </w:pPr>
      <w:r>
        <w:rPr>
          <w:rFonts w:hint="eastAsia" w:ascii="仿宋" w:hAnsi="仿宋" w:eastAsia="仿宋" w:cs="仿宋"/>
          <w:b/>
          <w:color w:val="000000"/>
          <w:kern w:val="0"/>
          <w:sz w:val="44"/>
          <w:szCs w:val="44"/>
        </w:rPr>
        <w:t>服务条款偏离表</w:t>
      </w:r>
    </w:p>
    <w:tbl>
      <w:tblPr>
        <w:tblStyle w:val="17"/>
        <w:tblW w:w="5102" w:type="pct"/>
        <w:jc w:val="center"/>
        <w:tblLayout w:type="autofit"/>
        <w:tblCellMar>
          <w:top w:w="0" w:type="dxa"/>
          <w:left w:w="108" w:type="dxa"/>
          <w:bottom w:w="0" w:type="dxa"/>
          <w:right w:w="108" w:type="dxa"/>
        </w:tblCellMar>
      </w:tblPr>
      <w:tblGrid>
        <w:gridCol w:w="914"/>
        <w:gridCol w:w="4805"/>
        <w:gridCol w:w="3324"/>
        <w:gridCol w:w="2705"/>
        <w:gridCol w:w="1489"/>
      </w:tblGrid>
      <w:tr>
        <w:tblPrEx>
          <w:tblCellMar>
            <w:top w:w="0" w:type="dxa"/>
            <w:left w:w="108" w:type="dxa"/>
            <w:bottom w:w="0" w:type="dxa"/>
            <w:right w:w="108" w:type="dxa"/>
          </w:tblCellMar>
        </w:tblPrEx>
        <w:trPr>
          <w:trHeight w:val="510"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jc w:val="center"/>
              <w:rPr>
                <w:rFonts w:hint="eastAsia" w:asciiTheme="minorEastAsia" w:hAnsiTheme="minorEastAsia" w:eastAsiaTheme="minorEastAsia" w:cstheme="minorEastAsia"/>
                <w:b/>
                <w:bCs/>
                <w:kern w:val="0"/>
                <w:sz w:val="22"/>
              </w:rPr>
            </w:pPr>
            <w:r>
              <w:rPr>
                <w:rFonts w:hint="eastAsia" w:asciiTheme="minorEastAsia" w:hAnsiTheme="minorEastAsia" w:eastAsiaTheme="minorEastAsia" w:cstheme="minorEastAsia"/>
                <w:b/>
                <w:bCs/>
                <w:kern w:val="0"/>
                <w:sz w:val="22"/>
              </w:rPr>
              <w:t>序号</w:t>
            </w:r>
          </w:p>
        </w:tc>
        <w:tc>
          <w:tcPr>
            <w:tcW w:w="1814"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ind w:firstLine="442" w:firstLineChars="200"/>
              <w:jc w:val="center"/>
              <w:rPr>
                <w:rFonts w:hint="eastAsia" w:asciiTheme="minorEastAsia" w:hAnsiTheme="minorEastAsia" w:eastAsiaTheme="minorEastAsia" w:cstheme="minorEastAsia"/>
                <w:b/>
                <w:bCs/>
                <w:kern w:val="0"/>
                <w:sz w:val="22"/>
              </w:rPr>
            </w:pPr>
            <w:r>
              <w:rPr>
                <w:rFonts w:hint="eastAsia" w:asciiTheme="minorEastAsia" w:hAnsiTheme="minorEastAsia" w:eastAsiaTheme="minorEastAsia" w:cstheme="minorEastAsia"/>
                <w:b/>
                <w:bCs/>
                <w:kern w:val="0"/>
                <w:sz w:val="22"/>
              </w:rPr>
              <w:t>招标技术服务条款</w:t>
            </w:r>
          </w:p>
        </w:tc>
        <w:tc>
          <w:tcPr>
            <w:tcW w:w="1255" w:type="pct"/>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ind w:firstLine="422" w:firstLineChars="20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投标响应</w:t>
            </w:r>
          </w:p>
        </w:tc>
        <w:tc>
          <w:tcPr>
            <w:tcW w:w="1021" w:type="pct"/>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ind w:firstLine="422" w:firstLineChars="20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62" w:type="pct"/>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ind w:firstLine="422" w:firstLineChars="20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说明或佐证材料页码</w:t>
            </w: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1</w:t>
            </w:r>
          </w:p>
        </w:tc>
        <w:tc>
          <w:tcPr>
            <w:tcW w:w="1814" w:type="pct"/>
            <w:tcBorders>
              <w:top w:val="single" w:color="auto" w:sz="8" w:space="0"/>
              <w:left w:val="nil"/>
              <w:bottom w:val="single" w:color="auto" w:sz="8" w:space="0"/>
              <w:right w:val="single" w:color="auto" w:sz="8" w:space="0"/>
            </w:tcBorders>
            <w:vAlign w:val="center"/>
          </w:tcPr>
          <w:p>
            <w:pPr>
              <w:pStyle w:val="24"/>
              <w:ind w:left="0" w:leftChars="0" w:firstLine="0" w:firstLineChars="0"/>
              <w:rPr>
                <w:rFonts w:hint="eastAsia"/>
              </w:rPr>
            </w:pPr>
            <w:r>
              <w:rPr>
                <w:rFonts w:hint="eastAsia" w:ascii="仿宋" w:hAnsi="仿宋" w:eastAsia="仿宋" w:cs="仿宋"/>
                <w:color w:val="auto"/>
                <w:kern w:val="2"/>
                <w:sz w:val="24"/>
                <w:szCs w:val="24"/>
                <w:lang w:val="en-US" w:eastAsia="zh-CN" w:bidi="ar-SA"/>
              </w:rPr>
              <w:t>招标文件第二章院内公开采购项目需求中“五、服务内容及要求”</w:t>
            </w:r>
          </w:p>
        </w:tc>
        <w:tc>
          <w:tcPr>
            <w:tcW w:w="1255"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r>
              <w:rPr>
                <w:rFonts w:hint="eastAsia" w:ascii="仿宋" w:hAnsi="仿宋" w:eastAsia="仿宋" w:cs="仿宋"/>
                <w:sz w:val="24"/>
              </w:rPr>
              <w:t>填写“完全满足”或“存在负偏离的内容：”或“完全满足招标项目需求全部内容”</w:t>
            </w:r>
          </w:p>
        </w:tc>
        <w:tc>
          <w:tcPr>
            <w:tcW w:w="1021"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r>
              <w:rPr>
                <w:rFonts w:hint="eastAsia" w:ascii="仿宋" w:hAnsi="仿宋" w:eastAsia="仿宋" w:cs="仿宋"/>
                <w:sz w:val="24"/>
              </w:rPr>
              <w:t>填“无偏离”</w:t>
            </w:r>
          </w:p>
          <w:p>
            <w:pPr>
              <w:spacing w:line="500" w:lineRule="exact"/>
              <w:jc w:val="left"/>
              <w:rPr>
                <w:rFonts w:hint="eastAsia" w:ascii="仿宋" w:hAnsi="仿宋" w:eastAsia="仿宋" w:cs="仿宋"/>
                <w:sz w:val="24"/>
              </w:rPr>
            </w:pPr>
            <w:r>
              <w:rPr>
                <w:rFonts w:hint="eastAsia" w:ascii="仿宋" w:hAnsi="仿宋" w:eastAsia="仿宋" w:cs="仿宋"/>
                <w:sz w:val="24"/>
              </w:rPr>
              <w:t>或“正偏离”</w:t>
            </w:r>
          </w:p>
          <w:p>
            <w:pPr>
              <w:spacing w:line="500" w:lineRule="exact"/>
              <w:jc w:val="left"/>
              <w:rPr>
                <w:rFonts w:hint="eastAsia" w:ascii="仿宋" w:hAnsi="仿宋" w:eastAsia="仿宋" w:cs="仿宋"/>
                <w:sz w:val="24"/>
              </w:rPr>
            </w:pPr>
            <w:r>
              <w:rPr>
                <w:rFonts w:hint="eastAsia" w:ascii="仿宋" w:hAnsi="仿宋" w:eastAsia="仿宋" w:cs="仿宋"/>
                <w:sz w:val="24"/>
              </w:rPr>
              <w:t>或“负偏离”</w:t>
            </w:r>
          </w:p>
        </w:tc>
        <w:tc>
          <w:tcPr>
            <w:tcW w:w="562"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2</w:t>
            </w:r>
          </w:p>
        </w:tc>
        <w:tc>
          <w:tcPr>
            <w:tcW w:w="1814"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255"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021"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562"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3</w:t>
            </w:r>
          </w:p>
        </w:tc>
        <w:tc>
          <w:tcPr>
            <w:tcW w:w="1814"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255"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021"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562"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w:t>
            </w:r>
          </w:p>
        </w:tc>
        <w:tc>
          <w:tcPr>
            <w:tcW w:w="1814"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255"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021"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562"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r>
    </w:tbl>
    <w:p>
      <w:pPr>
        <w:adjustRightInd w:val="0"/>
        <w:snapToGrid w:val="0"/>
        <w:spacing w:line="360" w:lineRule="auto"/>
        <w:ind w:firstLine="422" w:firstLineChars="200"/>
        <w:jc w:val="left"/>
        <w:rPr>
          <w:rFonts w:hint="eastAsia" w:asciiTheme="minorEastAsia" w:hAnsiTheme="minorEastAsia" w:eastAsiaTheme="minorEastAsia" w:cstheme="minorEastAsia"/>
          <w:b/>
          <w:szCs w:val="21"/>
        </w:rPr>
      </w:pPr>
    </w:p>
    <w:p>
      <w:pPr>
        <w:adjustRightInd w:val="0"/>
        <w:snapToGrid w:val="0"/>
        <w:spacing w:line="360" w:lineRule="auto"/>
        <w:ind w:firstLine="422"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注：</w:t>
      </w:r>
      <w:r>
        <w:rPr>
          <w:rFonts w:hint="eastAsia" w:asciiTheme="minorEastAsia" w:hAnsiTheme="minorEastAsia" w:eastAsiaTheme="minorEastAsia" w:cstheme="minorEastAsia"/>
          <w:bCs/>
          <w:szCs w:val="21"/>
        </w:rPr>
        <w:t>1、投标人须根据招标文件</w:t>
      </w:r>
      <w:r>
        <w:rPr>
          <w:rFonts w:hint="eastAsia" w:asciiTheme="minorEastAsia" w:hAnsiTheme="minorEastAsia" w:eastAsiaTheme="minorEastAsia" w:cstheme="minorEastAsia"/>
          <w:bCs/>
          <w:szCs w:val="21"/>
          <w:lang w:val="en-US" w:eastAsia="zh-CN"/>
        </w:rPr>
        <w:t>第二章院内公开采购项目需求中“五、服务内容及要求”</w:t>
      </w:r>
      <w:r>
        <w:rPr>
          <w:rFonts w:hint="eastAsia" w:asciiTheme="minorEastAsia" w:hAnsiTheme="minorEastAsia" w:eastAsiaTheme="minorEastAsia" w:cstheme="minorEastAsia"/>
          <w:bCs/>
          <w:szCs w:val="21"/>
        </w:rPr>
        <w:t>要求填写此表，作为投标文件重要的组成部分。</w:t>
      </w:r>
    </w:p>
    <w:p>
      <w:pPr>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2.投标人递交的投标文件中对招标文件</w:t>
      </w:r>
      <w:r>
        <w:rPr>
          <w:rFonts w:hint="eastAsia" w:asciiTheme="minorEastAsia" w:hAnsiTheme="minorEastAsia" w:eastAsiaTheme="minorEastAsia" w:cstheme="minorEastAsia"/>
          <w:bCs/>
          <w:szCs w:val="21"/>
          <w:lang w:val="en-US" w:eastAsia="zh-CN"/>
        </w:rPr>
        <w:t>第二章院内公开采购项目需求中“五、服务内容及要求”</w:t>
      </w:r>
      <w:r>
        <w:rPr>
          <w:rFonts w:hint="eastAsia" w:asciiTheme="minorEastAsia" w:hAnsiTheme="minorEastAsia" w:eastAsiaTheme="minorEastAsia" w:cstheme="minorEastAsia"/>
          <w:bCs/>
          <w:szCs w:val="21"/>
        </w:rPr>
        <w:t>的要求存在负偏离时，</w:t>
      </w:r>
      <w:r>
        <w:rPr>
          <w:rFonts w:hint="eastAsia" w:asciiTheme="minorEastAsia" w:hAnsiTheme="minorEastAsia" w:eastAsiaTheme="minorEastAsia" w:cstheme="minorEastAsia"/>
          <w:b/>
          <w:szCs w:val="21"/>
        </w:rPr>
        <w:t>应将负偏离内容逐条列在“投标响应”</w:t>
      </w:r>
      <w:r>
        <w:rPr>
          <w:rFonts w:hint="eastAsia" w:asciiTheme="minorEastAsia" w:hAnsiTheme="minorEastAsia" w:eastAsiaTheme="minorEastAsia" w:cstheme="minorEastAsia"/>
          <w:bCs/>
          <w:szCs w:val="21"/>
        </w:rPr>
        <w:t>栏中；如投标文件响应情况完全相符或高于此部分要求，在“</w:t>
      </w:r>
      <w:r>
        <w:rPr>
          <w:rFonts w:hint="eastAsia" w:asciiTheme="minorEastAsia" w:hAnsiTheme="minorEastAsia" w:eastAsiaTheme="minorEastAsia" w:cstheme="minorEastAsia"/>
          <w:b/>
          <w:szCs w:val="21"/>
        </w:rPr>
        <w:t>投标响应栏”</w:t>
      </w:r>
      <w:r>
        <w:rPr>
          <w:rFonts w:hint="eastAsia" w:asciiTheme="minorEastAsia" w:hAnsiTheme="minorEastAsia" w:eastAsiaTheme="minorEastAsia" w:cstheme="minorEastAsia"/>
          <w:bCs/>
          <w:szCs w:val="21"/>
        </w:rPr>
        <w:t>中</w:t>
      </w:r>
      <w:r>
        <w:rPr>
          <w:rFonts w:hint="eastAsia" w:asciiTheme="minorEastAsia" w:hAnsiTheme="minorEastAsia" w:eastAsiaTheme="minorEastAsia" w:cstheme="minorEastAsia"/>
          <w:b/>
          <w:szCs w:val="21"/>
        </w:rPr>
        <w:t>响应“完全满足”，“偏离情况”栏中</w:t>
      </w:r>
      <w:r>
        <w:rPr>
          <w:rFonts w:hint="eastAsia" w:asciiTheme="minorEastAsia" w:hAnsiTheme="minorEastAsia" w:eastAsiaTheme="minorEastAsia" w:cstheme="minorEastAsia"/>
          <w:bCs/>
          <w:szCs w:val="21"/>
        </w:rPr>
        <w:t>根据响应情况填写，完全与技术服务要求相符的填“无偏离”，高于技术服务要求的填“正偏离”，没有达到技术服务要求的填“负偏离”，有其他事项请在“说明”栏中补充。</w:t>
      </w:r>
    </w:p>
    <w:p>
      <w:pPr>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若完全响应招标文件“招标项目需求”全部技术服务内容，可在</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
          <w:szCs w:val="21"/>
        </w:rPr>
        <w:t>投标响应栏”</w:t>
      </w:r>
      <w:r>
        <w:rPr>
          <w:rFonts w:hint="eastAsia" w:asciiTheme="minorEastAsia" w:hAnsiTheme="minorEastAsia" w:eastAsiaTheme="minorEastAsia" w:cstheme="minorEastAsia"/>
          <w:bCs/>
          <w:szCs w:val="21"/>
        </w:rPr>
        <w:t>中</w:t>
      </w:r>
      <w:r>
        <w:rPr>
          <w:rFonts w:hint="eastAsia" w:asciiTheme="minorEastAsia" w:hAnsiTheme="minorEastAsia" w:eastAsiaTheme="minorEastAsia" w:cstheme="minorEastAsia"/>
          <w:b/>
          <w:szCs w:val="21"/>
        </w:rPr>
        <w:t>响应“完全满足</w:t>
      </w:r>
      <w:r>
        <w:rPr>
          <w:rFonts w:hint="eastAsia" w:asciiTheme="minorEastAsia" w:hAnsiTheme="minorEastAsia" w:eastAsiaTheme="minorEastAsia" w:cstheme="minorEastAsia"/>
          <w:szCs w:val="21"/>
        </w:rPr>
        <w:t>招标项目需求</w:t>
      </w:r>
      <w:r>
        <w:rPr>
          <w:rFonts w:hint="eastAsia" w:asciiTheme="minorEastAsia" w:hAnsiTheme="minorEastAsia" w:eastAsiaTheme="minorEastAsia" w:cstheme="minorEastAsia"/>
          <w:b/>
          <w:bCs/>
          <w:kern w:val="0"/>
          <w:szCs w:val="21"/>
        </w:rPr>
        <w:t>全部内容</w:t>
      </w:r>
      <w:r>
        <w:rPr>
          <w:rFonts w:hint="eastAsia" w:asciiTheme="minorEastAsia" w:hAnsiTheme="minorEastAsia" w:eastAsiaTheme="minorEastAsia" w:cstheme="minorEastAsia"/>
          <w:b/>
          <w:szCs w:val="21"/>
        </w:rPr>
        <w:t>”。</w:t>
      </w:r>
    </w:p>
    <w:p>
      <w:pPr>
        <w:adjustRightInd w:val="0"/>
        <w:snapToGrid w:val="0"/>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投标人（公章）：</w:t>
      </w:r>
    </w:p>
    <w:p>
      <w:pPr>
        <w:adjustRightInd w:val="0"/>
        <w:snapToGrid w:val="0"/>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法定代表人或其授权代表签名：</w:t>
      </w:r>
    </w:p>
    <w:p>
      <w:pPr>
        <w:adjustRightInd w:val="0"/>
        <w:snapToGrid w:val="0"/>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      年    月    日</w:t>
      </w:r>
    </w:p>
    <w:p>
      <w:pPr>
        <w:sectPr>
          <w:pgSz w:w="16838" w:h="11906" w:orient="landscape"/>
          <w:pgMar w:top="1304" w:right="2098" w:bottom="1474" w:left="1984" w:header="851" w:footer="1417" w:gutter="0"/>
          <w:pgNumType w:fmt="numberInDash"/>
          <w:cols w:space="0" w:num="1"/>
          <w:docGrid w:type="lines" w:linePitch="327" w:charSpace="0"/>
        </w:sectPr>
      </w:pPr>
    </w:p>
    <w:p>
      <w:pPr>
        <w:tabs>
          <w:tab w:val="left" w:pos="0"/>
        </w:tabs>
        <w:snapToGrid w:val="0"/>
        <w:spacing w:line="480" w:lineRule="exact"/>
        <w:rPr>
          <w:rFonts w:hint="eastAsia" w:ascii="仿宋" w:hAnsi="仿宋" w:eastAsia="仿宋" w:cs="仿宋"/>
          <w:b/>
          <w:color w:val="000000"/>
          <w:kern w:val="0"/>
          <w:sz w:val="28"/>
          <w:szCs w:val="28"/>
          <w:highlight w:val="yellow"/>
        </w:rPr>
      </w:pPr>
      <w:r>
        <w:rPr>
          <w:rFonts w:hint="eastAsia" w:ascii="仿宋" w:hAnsi="仿宋" w:eastAsia="仿宋" w:cs="仿宋"/>
          <w:b/>
          <w:bCs/>
          <w:sz w:val="32"/>
          <w:szCs w:val="32"/>
        </w:rPr>
        <w:t>服务类合同模板（</w:t>
      </w:r>
      <w:r>
        <w:rPr>
          <w:rFonts w:hint="eastAsia" w:ascii="仿宋" w:hAnsi="仿宋" w:eastAsia="仿宋" w:cs="仿宋"/>
          <w:b/>
          <w:color w:val="000000"/>
          <w:kern w:val="0"/>
          <w:sz w:val="28"/>
          <w:szCs w:val="28"/>
        </w:rPr>
        <w:t>合同模板仅供参考，中标人根据招投标文件拟定）</w:t>
      </w:r>
    </w:p>
    <w:p>
      <w:pPr>
        <w:jc w:val="center"/>
        <w:rPr>
          <w:rFonts w:hint="eastAsia" w:ascii="仿宋" w:hAnsi="仿宋" w:eastAsia="仿宋"/>
          <w:b/>
          <w:sz w:val="44"/>
          <w:szCs w:val="44"/>
        </w:rPr>
      </w:pPr>
    </w:p>
    <w:p>
      <w:pPr>
        <w:jc w:val="center"/>
        <w:rPr>
          <w:rFonts w:hint="eastAsia" w:ascii="仿宋" w:hAnsi="仿宋" w:eastAsia="仿宋"/>
          <w:b/>
          <w:sz w:val="44"/>
          <w:szCs w:val="44"/>
        </w:rPr>
      </w:pPr>
      <w:r>
        <w:rPr>
          <w:rFonts w:hint="eastAsia" w:ascii="仿宋" w:hAnsi="仿宋" w:eastAsia="仿宋"/>
          <w:b/>
          <w:sz w:val="44"/>
          <w:szCs w:val="44"/>
        </w:rPr>
        <w:t>《龙岗区第七人民医院采购合同》</w:t>
      </w:r>
    </w:p>
    <w:p>
      <w:pPr>
        <w:spacing w:line="440" w:lineRule="exact"/>
        <w:ind w:firstLine="560" w:firstLineChars="200"/>
        <w:rPr>
          <w:rFonts w:hint="eastAsia" w:ascii="仿宋" w:hAnsi="仿宋" w:eastAsia="仿宋"/>
          <w:sz w:val="28"/>
          <w:szCs w:val="28"/>
        </w:rPr>
      </w:pP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宋体"/>
          <w:sz w:val="28"/>
          <w:szCs w:val="28"/>
          <w:u w:val="single"/>
        </w:rPr>
        <w:t xml:space="preserve">                     </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_GB2312"/>
          <w:sz w:val="28"/>
          <w:szCs w:val="28"/>
          <w:u w:val="single"/>
        </w:rPr>
        <w:t xml:space="preserve">                     </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sz w:val="28"/>
          <w:szCs w:val="28"/>
          <w:u w:val="single"/>
        </w:rPr>
        <w:t>服务类</w:t>
      </w:r>
      <w:r>
        <w:rPr>
          <w:rFonts w:hint="eastAsia" w:ascii="仿宋" w:hAnsi="仿宋" w:eastAsia="仿宋" w:cs="仿宋"/>
          <w:sz w:val="28"/>
          <w:szCs w:val="28"/>
          <w:u w:val="single"/>
        </w:rPr>
        <w:t>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采购单位（甲方）：</w:t>
      </w:r>
      <w:r>
        <w:rPr>
          <w:rFonts w:hint="eastAsia" w:ascii="仿宋" w:hAnsi="仿宋" w:eastAsia="仿宋"/>
          <w:sz w:val="28"/>
          <w:szCs w:val="28"/>
          <w:u w:val="single"/>
        </w:rPr>
        <w:t>深圳市龙岗区第七人民医院</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 应 商（乙方）：</w:t>
      </w:r>
      <w:r>
        <w:rPr>
          <w:rFonts w:hint="eastAsia" w:ascii="仿宋" w:hAnsi="仿宋" w:eastAsia="仿宋" w:cs="宋体"/>
          <w:kern w:val="0"/>
          <w:sz w:val="28"/>
          <w:szCs w:val="28"/>
          <w:u w:val="single"/>
        </w:rPr>
        <w:t xml:space="preserve">                        </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
          <w:sz w:val="28"/>
          <w:szCs w:val="28"/>
        </w:rPr>
        <w:t>根据《中华人民共和国政府采购法》《中华人民共和国民法典》《深圳经济特区政府采购条例实施细则》《深圳经济特区政府采购条例》等法律法规的规定，甲乙双方按照</w:t>
      </w:r>
      <w:r>
        <w:rPr>
          <w:rFonts w:hint="eastAsia" w:ascii="仿宋" w:hAnsi="仿宋" w:eastAsia="仿宋" w:cs="仿宋"/>
          <w:sz w:val="28"/>
          <w:szCs w:val="28"/>
          <w:u w:val="single"/>
        </w:rPr>
        <w:t xml:space="preserve">                  </w:t>
      </w:r>
      <w:r>
        <w:rPr>
          <w:rFonts w:hint="eastAsia" w:ascii="仿宋" w:hAnsi="仿宋" w:eastAsia="仿宋" w:cs="仿宋"/>
          <w:sz w:val="28"/>
          <w:szCs w:val="28"/>
        </w:rPr>
        <w:t>的招标结果并经双方协商签订本合同。</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第一条  合同标的</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项目内容：</w:t>
      </w:r>
      <w:r>
        <w:rPr>
          <w:rFonts w:hint="eastAsia" w:ascii="仿宋" w:hAnsi="仿宋" w:eastAsia="仿宋" w:cs="仿宋_GB2312"/>
          <w:sz w:val="28"/>
          <w:szCs w:val="28"/>
          <w:u w:val="single"/>
        </w:rPr>
        <w:t xml:space="preserve">                        </w:t>
      </w:r>
    </w:p>
    <w:p>
      <w:pPr>
        <w:spacing w:line="480" w:lineRule="exact"/>
        <w:ind w:firstLine="560" w:firstLineChars="200"/>
        <w:rPr>
          <w:rFonts w:hint="eastAsia" w:ascii="仿宋" w:hAnsi="仿宋" w:eastAsia="仿宋" w:cs="仿宋_GB2312"/>
          <w:sz w:val="28"/>
          <w:szCs w:val="28"/>
          <w:u w:val="single"/>
        </w:rPr>
      </w:pPr>
      <w:r>
        <w:rPr>
          <w:rFonts w:hint="eastAsia" w:ascii="仿宋" w:hAnsi="仿宋" w:eastAsia="仿宋" w:cs="仿宋_GB2312"/>
          <w:sz w:val="28"/>
          <w:szCs w:val="28"/>
        </w:rPr>
        <w:t>合同期限为1年，合同有效期自</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日至</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一年合同期满后，经履约考核为优或良好的可按原合同条款续签下一年度合同，每次续签期限为1年，最多可续签2次。（是否续约应以公开招标文件或中标通知书中有明确约定的可在合同内约定续签事项）。</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第二条  服务费用</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本合同价款：合同总价为人民币</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r>
        <w:rPr>
          <w:rFonts w:hint="eastAsia" w:ascii="仿宋" w:hAnsi="仿宋" w:eastAsia="仿宋" w:cs="仿宋"/>
          <w:sz w:val="28"/>
          <w:szCs w:val="28"/>
        </w:rPr>
        <w:t>（￥</w:t>
      </w:r>
      <w:r>
        <w:rPr>
          <w:rFonts w:hint="eastAsia" w:ascii="仿宋" w:hAnsi="仿宋" w:eastAsia="仿宋" w:cs="宋体"/>
          <w:b/>
          <w:sz w:val="28"/>
          <w:szCs w:val="28"/>
          <w:u w:val="single"/>
        </w:rPr>
        <w:t xml:space="preserve">     </w:t>
      </w:r>
      <w:r>
        <w:rPr>
          <w:rFonts w:hint="eastAsia" w:ascii="仿宋" w:hAnsi="仿宋" w:eastAsia="仿宋" w:cs="仿宋"/>
          <w:sz w:val="28"/>
          <w:szCs w:val="28"/>
        </w:rPr>
        <w:t>）</w:t>
      </w:r>
      <w:r>
        <w:rPr>
          <w:rFonts w:hint="eastAsia" w:ascii="仿宋" w:hAnsi="仿宋" w:eastAsia="仿宋" w:cs="仿宋_GB2312"/>
          <w:sz w:val="28"/>
          <w:szCs w:val="28"/>
        </w:rPr>
        <w:t>。</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人民币报价，</w:t>
      </w:r>
      <w:r>
        <w:rPr>
          <w:rFonts w:hint="eastAsia" w:ascii="仿宋" w:hAnsi="仿宋" w:eastAsia="仿宋" w:cs="仿宋"/>
          <w:sz w:val="28"/>
          <w:szCs w:val="28"/>
        </w:rPr>
        <w:t>总承包报价。报价</w:t>
      </w:r>
      <w:r>
        <w:rPr>
          <w:rFonts w:hint="eastAsia" w:ascii="仿宋" w:hAnsi="仿宋" w:eastAsia="仿宋" w:cs="仿宋_GB2312"/>
          <w:sz w:val="28"/>
          <w:szCs w:val="28"/>
        </w:rPr>
        <w:t>包含税费、人工费、材料费、培训费、维保费等所有费用。</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第三条  付款方式</w:t>
      </w:r>
    </w:p>
    <w:p>
      <w:pPr>
        <w:pStyle w:val="6"/>
        <w:spacing w:line="480" w:lineRule="exact"/>
        <w:rPr>
          <w:rFonts w:hint="eastAsia" w:ascii="仿宋" w:hAnsi="仿宋" w:eastAsia="仿宋" w:cs="仿宋_GB2312"/>
          <w:sz w:val="28"/>
          <w:szCs w:val="28"/>
        </w:rPr>
      </w:pPr>
      <w:r>
        <w:rPr>
          <w:rFonts w:hint="eastAsia" w:ascii="仿宋" w:hAnsi="仿宋" w:eastAsia="仿宋" w:cs="仿宋_GB2312"/>
          <w:sz w:val="28"/>
          <w:szCs w:val="28"/>
        </w:rPr>
        <w:t>1.详细约定参照招标文件中的约定。</w:t>
      </w:r>
    </w:p>
    <w:p>
      <w:pPr>
        <w:pStyle w:val="6"/>
        <w:spacing w:line="480" w:lineRule="exact"/>
        <w:rPr>
          <w:rFonts w:hint="eastAsia" w:ascii="仿宋" w:hAnsi="仿宋" w:eastAsia="仿宋" w:cs="仿宋_GB2312"/>
          <w:sz w:val="28"/>
          <w:szCs w:val="28"/>
        </w:rPr>
      </w:pPr>
      <w:r>
        <w:rPr>
          <w:rFonts w:hint="eastAsia" w:ascii="仿宋" w:hAnsi="仿宋" w:eastAsia="仿宋" w:cs="仿宋_GB2312"/>
          <w:sz w:val="28"/>
          <w:szCs w:val="28"/>
        </w:rPr>
        <w:t>2.甲乙双方所有款项往来均通过银行转账方式进行，双方指定的收款银行账户信息详见本合同落款处。</w:t>
      </w:r>
    </w:p>
    <w:p>
      <w:pPr>
        <w:pStyle w:val="6"/>
        <w:spacing w:line="480" w:lineRule="exact"/>
        <w:rPr>
          <w:rFonts w:hint="eastAsia" w:ascii="仿宋" w:hAnsi="仿宋" w:eastAsia="仿宋" w:cs="仿宋_GB2312"/>
          <w:sz w:val="28"/>
          <w:szCs w:val="28"/>
        </w:rPr>
      </w:pPr>
      <w:r>
        <w:rPr>
          <w:rFonts w:hint="eastAsia" w:ascii="仿宋" w:hAnsi="仿宋" w:eastAsia="仿宋" w:cs="仿宋_GB2312"/>
          <w:sz w:val="28"/>
          <w:szCs w:val="28"/>
        </w:rPr>
        <w:t>3.乙方应在甲方付款前开具合法有效的发票，甲方收到乙方合法的增值税发票后，根据双方约定时间支付款项。若由于乙方逾期未提供合法有效的增值税发票或者提供发票不齐全，甲方有权拒绝付款，直至票据齐全、合法，且不视为甲方违约。</w:t>
      </w:r>
    </w:p>
    <w:p>
      <w:pPr>
        <w:pStyle w:val="6"/>
        <w:spacing w:line="480" w:lineRule="exact"/>
        <w:rPr>
          <w:rFonts w:hint="eastAsia" w:ascii="仿宋" w:hAnsi="仿宋" w:eastAsia="仿宋" w:cs="仿宋_GB2312"/>
          <w:sz w:val="28"/>
          <w:szCs w:val="28"/>
        </w:rPr>
      </w:pPr>
      <w:r>
        <w:rPr>
          <w:rFonts w:hint="eastAsia" w:ascii="仿宋" w:hAnsi="仿宋" w:eastAsia="仿宋" w:cs="仿宋_GB2312"/>
          <w:sz w:val="28"/>
          <w:szCs w:val="28"/>
        </w:rPr>
        <w:t>4.乙方应向甲方提供真实有效的银行账户，银行账户如有变更，应立即书面通知甲方，如乙方银行账户变更未书面通知甲方，甲方向本合同约定的收款账户付款造成乙方实际未收到款的，该责任由乙方自行承担。未经甲方书面认可，乙方不得将应收款项转让给任何第三方或让任何第三方代收，否则甲方有权拒绝付款。</w:t>
      </w:r>
    </w:p>
    <w:p>
      <w:pPr>
        <w:spacing w:line="480" w:lineRule="exact"/>
        <w:ind w:firstLine="560" w:firstLineChars="200"/>
        <w:rPr>
          <w:rFonts w:hint="eastAsia" w:ascii="仿宋" w:hAnsi="仿宋" w:eastAsia="仿宋" w:cs="仿宋_GB2312"/>
          <w:b/>
          <w:bCs/>
          <w:sz w:val="28"/>
          <w:szCs w:val="28"/>
        </w:rPr>
      </w:pPr>
      <w:r>
        <w:rPr>
          <w:rFonts w:hint="eastAsia" w:ascii="仿宋" w:hAnsi="仿宋" w:eastAsia="仿宋" w:cs="仿宋_GB2312"/>
          <w:sz w:val="28"/>
          <w:szCs w:val="28"/>
        </w:rPr>
        <w:t>5.若本合同付款涉及甲方内部或财政审批迟延的特殊情况，甲方未能按约付款的，乙方对此表示理解，甲方应向乙方进行说明并明确新的付款期限。</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第四条  项目概况</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第五条  服务内容及要求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1.合同签订日起</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天内完成项目实施的准备工作，包括服务内容的大纲及服务团队的组建；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 xml:space="preserve">2. </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第六条  服务团队</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1.乙方指派</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为负责人（联系方式：</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）的工作团队为甲方提供服务。未经甲方书面同意，乙方不得随意更换团队成员。</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2.必须使用公司直属人员参与本项目服务，不得使用挂靠队伍。</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乙方指派的团队成员资质和能力必须与投标文件中的服务承诺书和服务组织实施方案一致。如甲方对团队成员有异议或要求，乙方保证无条件配合甲方更换团队成员，且更换后人员的资质和能力符合甲方的要求。</w:t>
      </w:r>
    </w:p>
    <w:p>
      <w:pPr>
        <w:spacing w:line="480" w:lineRule="exact"/>
        <w:ind w:firstLine="560" w:firstLineChars="200"/>
        <w:rPr>
          <w:rFonts w:hint="eastAsia" w:ascii="仿宋" w:hAnsi="仿宋" w:eastAsia="仿宋" w:cs="仿宋_GB2312"/>
          <w:b/>
          <w:bCs/>
          <w:sz w:val="28"/>
          <w:szCs w:val="28"/>
        </w:rPr>
      </w:pPr>
      <w:r>
        <w:rPr>
          <w:rFonts w:hint="eastAsia" w:ascii="仿宋" w:hAnsi="仿宋" w:eastAsia="仿宋" w:cs="仿宋_GB2312"/>
          <w:sz w:val="28"/>
          <w:szCs w:val="28"/>
        </w:rPr>
        <w:t>4.自乙方向甲方提供服务之日起，甲乙双方</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举行一次工作例会，由乙方团队主要成员向甲方汇报工作进展和需求，并就服务工作进行沟通和交流。</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第七条  服务资料归属</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1.所有提交给甲方的服务文件及相关的资料的最后文本，包括为履行服务范围所编制的图纸、计划和证明资料等，都属于甲方的财产，乙方在提交给甲方之前应将上述资料进行整理归类和编制索引。</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2.乙方未经甲方的书面同意，不得将上述资料用于本咨询服务项目之外的任何项目。</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3.合同履行完毕，未经甲方的书面同意，乙方不得保存在履行合同过程中所获得或接触的任何内部数据资料。</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第八条  甲方的权利与义务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1.甲方有权对乙方的工作进行监督和检查、有权对乙方提出修改意见和建议。</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2.甲方有权对乙方提交的服务成果进行验收，验收不合格的有权要求乙方修改，直至甲方验收合格。</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3.对于验收合格后的服务成果，甲方应向乙方支付服务费用。</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第九条  乙方的权利与义务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1.乙方有权要求甲方支付服务费用。</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2.对于服务需求不明确的，乙方有权要求甲方明确具体服务需求。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3.乙方应勤勉尽职地为甲方提供服务，并尽最大努力满足甲方对乙方的专业服务需求。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4.乙方应在约定时间内按照甲方要求的形式、数量提交服务成果。</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5.未经甲方书面同意，乙方不得将本合同项下的服务内容全部或部分委托给第三方完成。</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6.如乙方为提供本合同项下的服务而保管甲方交付的设备、物品等，保管期间，乙方应谨慎尽职，不论何种原因包括不可抗力因素，乙方均需确保设备、物品的安全，不遭受损害。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7.乙方应做到合法用工，与工作人员建立合法的劳动/劳务关系，负责工作人员的工资、社会保险及其他保险的购买。乙方与其工作人员发生的一切纠纷均与甲方无关。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8.乙方应按照国家规定为工作人员提供合理的工作条件与保护设施，乙方工作人员在甲方场地内发生的一切意外、事故等均由乙方承担，与甲方无关。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9.乙方在甲方院内提供服务的，应保证其工作人员严格遵守甲方各项管理规定，服务过程中如造成甲方场所及设施损坏、工作人员人身伤害或第三方人身伤害、财产损失，乙方应承担全部赔偿责任。</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第十条  保证与承诺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1.乙方保证所提供的产品/服务/成果不侵犯任何第三方的知识产权或其他合法权益。</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2.甲乙双方保证对在本次合作中知悉对方的商业秘密履行保密义务，在与本协议无关的工作中，不泄露、不以任何原因任意使用相关的合同、数据、资料与信息等。</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在向甲方提供服务的过程中，如乙方可能从设备上存取、查看和/或下载包括个人数据、用来直接或间接地识别出个人相关信息等计算机文档。个人数据可能包括个人健康信息和非健康信息（如姓名、出生日期、性别等）。乙方对个人数据等相关文档的使用仅限于履行本合同规定的义务所必需的限度内，不得擅自翻阅、复制、传播所接触的用户资料或数据，乙方和相关人员保证不泄密、以任何原因使用或允许他人使用用户设备数据、资料与信息等。乙方对其指派的工作人员的保密义务承担责任。</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保密义务应同样适用于甲乙双方的员工、辅助人员和三方合作者。本条款的效力长期有效，不因合同履行完毕、终止而失效。如因司法机关或政府部门要求，甲方上级检查及同级单位学习而对外披露商业秘密的，不视为违反保密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5.合同履行期间，乙方应主动维护甲方的名誉与利益，不作出任何损害甲方名誉与利益的行为。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6.未经甲方事先书面同意，乙方不得使用甲方名义等对外进行宣传。</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7.乙方及乙方参加项目的有关人员均需同甲方签订保密协议。</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第十一条  免责条款</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若甲、乙双方的任何一方由于不可抗力原因造成不能及时履行或不能履行合同时，应及时向对方通报不能履行或不能及时履行的理由，在取得有关证明后，允许延期履行、部分履行或不履行合同，并根据情况，免除相应责任。</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第十二条  违约责任</w:t>
      </w:r>
    </w:p>
    <w:p>
      <w:pPr>
        <w:spacing w:line="480" w:lineRule="exact"/>
        <w:ind w:firstLine="560" w:firstLineChars="200"/>
        <w:rPr>
          <w:rFonts w:hint="eastAsia" w:ascii="仿宋" w:hAnsi="仿宋" w:eastAsia="仿宋" w:cs="仿宋_GB2312"/>
          <w:sz w:val="28"/>
          <w:szCs w:val="28"/>
        </w:rPr>
      </w:pPr>
      <w:bookmarkStart w:id="22" w:name="_Hlk42353112"/>
      <w:r>
        <w:rPr>
          <w:rFonts w:hint="eastAsia" w:ascii="仿宋" w:hAnsi="仿宋" w:eastAsia="仿宋" w:cs="仿宋_GB2312"/>
          <w:sz w:val="28"/>
          <w:szCs w:val="28"/>
        </w:rPr>
        <w:t>1.双方均应忠实履行合同约定的各项内容，任何一方违反本合同，均应承担违约责任。双方约定如一方违反合同约定，则违约方应向守约方支付违约金，违约金的金额为合同总价款的（）%，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p>
    <w:bookmarkEnd w:id="22"/>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2.乙方未按照双方约定的时间提交服务成果的，每延迟一天，应该按照服务费用金额的（）%向甲方支付违约金。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3.发生以下情形之一，甲方有权单方解除本合同，乙方应向甲方退回已支付的全部款项，且甲方有权要求乙方按照服务费总金额的（）%支付违约金：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（1）乙方延迟提交服务成果超过</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天；</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（2）未经甲方书面同意，乙方将本合同项下部分或全部工作委托给第三方承担的。</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4.如乙方原因导致提供的服务成果存在侵犯第三方知识产权或其他合法权益的情形，乙方除了承担全部赔偿责任之外，还应按照合同总金额（）%向甲方支付违约金。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5.甲方有权自应支付给乙方的服务费用中直接扣除各种索赔款项，包括但不限于赔偿款、违约金、律师费、诉讼费、鉴定费等。</w:t>
      </w:r>
    </w:p>
    <w:p>
      <w:pPr>
        <w:pStyle w:val="33"/>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6.服务期间，若乙方被甲方用户投诉，经确认为有效投诉的每次扣除人民币</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pStyle w:val="33"/>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7.甲方每  个月组织一次履约评价，总分低于</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分的根据差额分进行经济处罚。处罚约定根据招标文件中的约定执行。</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第十一条  争议解决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因履行本合同引起的或与本合同有关的争议，甲乙双方应首先通过友好协商解决，如果协商不能解决，则通过向甲方所在地有管辖权的人民法院提起诉讼解决。</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第十二条  本合同附件</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以下附件及乙方投标时提供的投标文件和其他相关资料作为本合同的补充内容，具有同等法律效力。</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附件1：服务项目清单（加盖公章）；</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附件2：深圳市龙岗区第七人民医院廉洁购销合同；</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附件3：龙岗区进一步规范政商交往行为告知书；</w:t>
      </w:r>
    </w:p>
    <w:p>
      <w:pPr>
        <w:pStyle w:val="9"/>
        <w:ind w:firstLine="560" w:firstLineChars="200"/>
        <w:rPr>
          <w:rFonts w:hint="eastAsia" w:ascii="仿宋" w:hAnsi="仿宋" w:eastAsia="仿宋" w:cs="仿宋_GB2312"/>
          <w:kern w:val="2"/>
          <w:sz w:val="28"/>
          <w:szCs w:val="28"/>
        </w:rPr>
      </w:pPr>
      <w:r>
        <w:rPr>
          <w:rFonts w:hint="eastAsia" w:ascii="仿宋" w:hAnsi="仿宋" w:eastAsia="仿宋" w:cs="仿宋_GB2312"/>
          <w:kern w:val="2"/>
          <w:sz w:val="28"/>
          <w:szCs w:val="28"/>
        </w:rPr>
        <w:t>附件4：……。</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第十三条  合同生效及其它</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1.合同经双方法定代表人或授权委托代表人签字并加盖单位公章或合同专用章后生效。</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2.其他约定条款：</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3.本合同未尽事宜，遵照《中华人民共和国民法典》有关条文执行。</w:t>
      </w:r>
    </w:p>
    <w:p>
      <w:pPr>
        <w:spacing w:line="440" w:lineRule="exact"/>
        <w:ind w:firstLine="560" w:firstLineChars="200"/>
        <w:rPr>
          <w:rFonts w:hint="eastAsia" w:ascii="仿宋" w:hAnsi="仿宋" w:eastAsia="仿宋"/>
          <w:sz w:val="28"/>
          <w:szCs w:val="28"/>
        </w:rPr>
      </w:pPr>
      <w:r>
        <w:rPr>
          <w:rFonts w:hint="eastAsia" w:ascii="仿宋" w:hAnsi="仿宋" w:eastAsia="仿宋" w:cs="仿宋"/>
          <w:sz w:val="28"/>
          <w:szCs w:val="28"/>
        </w:rPr>
        <w:t>4.本合同正本一式</w:t>
      </w:r>
      <w:r>
        <w:rPr>
          <w:rFonts w:hint="eastAsia" w:ascii="仿宋" w:hAnsi="仿宋" w:eastAsia="仿宋" w:cs="仿宋"/>
          <w:sz w:val="28"/>
          <w:szCs w:val="28"/>
          <w:u w:val="single"/>
        </w:rPr>
        <w:t>肆</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rPr>
        <w:t>叁</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p>
      <w:pPr>
        <w:pStyle w:val="6"/>
        <w:spacing w:line="440" w:lineRule="exact"/>
      </w:pPr>
    </w:p>
    <w:tbl>
      <w:tblPr>
        <w:tblStyle w:val="17"/>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甲方：深圳市龙岗区第七人民医院</w:t>
            </w:r>
          </w:p>
        </w:tc>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地址：</w:t>
            </w:r>
          </w:p>
        </w:tc>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hint="eastAsia" w:ascii="仿宋" w:hAnsi="仿宋" w:eastAsia="仿宋" w:cs="仿宋"/>
                <w:kern w:val="0"/>
                <w:sz w:val="24"/>
              </w:rPr>
            </w:pPr>
            <w:r>
              <w:rPr>
                <w:rFonts w:hint="eastAsia" w:ascii="仿宋" w:hAnsi="仿宋" w:eastAsia="仿宋" w:cs="仿宋"/>
                <w:b/>
                <w:bCs/>
                <w:color w:val="000000"/>
                <w:sz w:val="24"/>
              </w:rPr>
              <w:t>纳税人识别号：12440307G34813567P</w:t>
            </w:r>
          </w:p>
        </w:tc>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11" w:type="dxa"/>
            <w:noWrap/>
          </w:tcPr>
          <w:p>
            <w:pPr>
              <w:spacing w:line="360" w:lineRule="auto"/>
            </w:pPr>
            <w:r>
              <w:rPr>
                <w:rFonts w:hint="eastAsia" w:ascii="仿宋" w:hAnsi="仿宋" w:eastAsia="仿宋" w:cs="仿宋"/>
                <w:b/>
                <w:bCs/>
                <w:kern w:val="0"/>
                <w:sz w:val="24"/>
              </w:rPr>
              <w:t>开户银行：</w:t>
            </w:r>
          </w:p>
        </w:tc>
        <w:tc>
          <w:tcPr>
            <w:tcW w:w="4111" w:type="dxa"/>
            <w:noWrap/>
          </w:tcPr>
          <w:p>
            <w:pPr>
              <w:spacing w:line="360" w:lineRule="auto"/>
              <w:rPr>
                <w:rFonts w:hint="eastAsia"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hint="eastAsia" w:ascii="仿宋" w:hAnsi="仿宋" w:eastAsia="仿宋" w:cs="仿宋"/>
                <w:kern w:val="0"/>
                <w:sz w:val="24"/>
              </w:rPr>
            </w:pPr>
            <w:r>
              <w:rPr>
                <w:rFonts w:hint="eastAsia" w:ascii="仿宋" w:hAnsi="仿宋" w:eastAsia="仿宋" w:cs="仿宋"/>
                <w:b/>
                <w:bCs/>
                <w:color w:val="000000"/>
                <w:sz w:val="24"/>
                <w:lang w:eastAsia="zh-CN"/>
              </w:rPr>
              <w:t>账</w:t>
            </w:r>
            <w:r>
              <w:rPr>
                <w:rFonts w:hint="eastAsia" w:ascii="仿宋" w:hAnsi="仿宋" w:eastAsia="仿宋" w:cs="仿宋"/>
                <w:b/>
                <w:bCs/>
                <w:color w:val="000000"/>
                <w:sz w:val="24"/>
              </w:rPr>
              <w:t xml:space="preserve">    号：</w:t>
            </w:r>
          </w:p>
        </w:tc>
        <w:tc>
          <w:tcPr>
            <w:tcW w:w="4111" w:type="dxa"/>
            <w:noWrap/>
          </w:tcPr>
          <w:p>
            <w:pPr>
              <w:spacing w:line="360" w:lineRule="auto"/>
              <w:rPr>
                <w:rFonts w:hint="eastAsia" w:ascii="仿宋" w:hAnsi="仿宋" w:eastAsia="仿宋" w:cs="仿宋"/>
                <w:b/>
                <w:bCs/>
                <w:color w:val="000000"/>
                <w:sz w:val="24"/>
              </w:rPr>
            </w:pPr>
            <w:r>
              <w:rPr>
                <w:rFonts w:hint="eastAsia" w:ascii="仿宋" w:hAnsi="仿宋" w:eastAsia="仿宋" w:cs="仿宋"/>
                <w:b/>
                <w:bCs/>
                <w:color w:val="000000"/>
                <w:sz w:val="24"/>
                <w:lang w:eastAsia="zh-CN"/>
              </w:rPr>
              <w:t>账</w:t>
            </w:r>
            <w:r>
              <w:rPr>
                <w:rFonts w:hint="eastAsia" w:ascii="仿宋" w:hAnsi="仿宋" w:eastAsia="仿宋" w:cs="仿宋"/>
                <w:b/>
                <w:bCs/>
                <w:color w:val="000000"/>
                <w:sz w:val="24"/>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color w:val="000000"/>
                <w:sz w:val="24"/>
              </w:rPr>
              <w:t>电话：</w:t>
            </w:r>
          </w:p>
        </w:tc>
        <w:tc>
          <w:tcPr>
            <w:tcW w:w="4111" w:type="dxa"/>
            <w:noWrap/>
          </w:tcPr>
          <w:p>
            <w:pPr>
              <w:spacing w:line="360" w:lineRule="auto"/>
              <w:rPr>
                <w:rFonts w:hint="eastAsia"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甲方法定代表人或授权人（签字）：</w:t>
            </w:r>
          </w:p>
          <w:p>
            <w:pPr>
              <w:pStyle w:val="6"/>
              <w:ind w:firstLine="0"/>
            </w:pPr>
          </w:p>
          <w:p>
            <w:pPr>
              <w:pStyle w:val="6"/>
              <w:ind w:firstLine="0"/>
            </w:pPr>
          </w:p>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分管领导、经办科室负责人（签字）：</w:t>
            </w:r>
          </w:p>
          <w:p>
            <w:pPr>
              <w:pStyle w:val="6"/>
              <w:ind w:firstLine="0"/>
            </w:pPr>
          </w:p>
          <w:p>
            <w:pPr>
              <w:pStyle w:val="6"/>
              <w:ind w:firstLine="0"/>
            </w:pPr>
          </w:p>
        </w:tc>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乙方法定代表人（签字）：</w:t>
            </w:r>
          </w:p>
          <w:p>
            <w:pPr>
              <w:pStyle w:val="6"/>
              <w:ind w:firstLine="0"/>
            </w:pPr>
          </w:p>
          <w:p>
            <w:pPr>
              <w:pStyle w:val="6"/>
              <w:ind w:firstLine="0"/>
            </w:pPr>
          </w:p>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或授权人（签字）：</w:t>
            </w:r>
          </w:p>
          <w:p>
            <w:pPr>
              <w:pStyle w:val="6"/>
              <w:ind w:firstLine="0"/>
            </w:pPr>
          </w:p>
          <w:p>
            <w:pPr>
              <w:pStyle w:val="6"/>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222" w:type="dxa"/>
            <w:gridSpan w:val="2"/>
            <w:noWrap/>
            <w:vAlign w:val="center"/>
          </w:tcPr>
          <w:p>
            <w:pPr>
              <w:spacing w:line="48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签约时间：    年  月  日</w:t>
            </w:r>
          </w:p>
          <w:p>
            <w:pPr>
              <w:spacing w:line="480" w:lineRule="exact"/>
              <w:jc w:val="center"/>
              <w:rPr>
                <w:rFonts w:hint="eastAsia" w:ascii="宋体" w:hAnsi="宋体" w:eastAsia="仿宋"/>
                <w:kern w:val="0"/>
                <w:sz w:val="24"/>
              </w:rPr>
            </w:pPr>
            <w:r>
              <w:rPr>
                <w:rFonts w:hint="eastAsia" w:ascii="仿宋" w:hAnsi="仿宋" w:eastAsia="仿宋" w:cs="仿宋"/>
                <w:b/>
                <w:bCs/>
                <w:color w:val="000000"/>
                <w:sz w:val="28"/>
                <w:szCs w:val="28"/>
              </w:rPr>
              <w:t>签约地址：深圳市龙岗区第七人民医院</w:t>
            </w:r>
          </w:p>
        </w:tc>
      </w:tr>
    </w:tbl>
    <w:p>
      <w:pPr>
        <w:spacing w:line="500" w:lineRule="exact"/>
        <w:rPr>
          <w:rFonts w:hint="eastAsia" w:ascii="仿宋" w:hAnsi="仿宋" w:eastAsia="仿宋" w:cs="仿宋"/>
          <w:sz w:val="28"/>
          <w:szCs w:val="28"/>
        </w:rPr>
      </w:pPr>
    </w:p>
    <w:p>
      <w:pPr>
        <w:pStyle w:val="9"/>
        <w:rPr>
          <w:rFonts w:hint="eastAsia" w:ascii="仿宋" w:hAnsi="仿宋" w:eastAsia="仿宋" w:cs="仿宋"/>
          <w:sz w:val="28"/>
          <w:szCs w:val="28"/>
        </w:rPr>
      </w:pPr>
    </w:p>
    <w:p>
      <w:pPr>
        <w:rPr>
          <w:rFonts w:hint="eastAsia" w:ascii="仿宋" w:hAnsi="仿宋" w:eastAsia="仿宋" w:cs="仿宋"/>
          <w:sz w:val="28"/>
          <w:szCs w:val="28"/>
        </w:rPr>
      </w:pPr>
    </w:p>
    <w:p>
      <w:pPr>
        <w:tabs>
          <w:tab w:val="left" w:pos="0"/>
        </w:tabs>
        <w:snapToGrid w:val="0"/>
        <w:spacing w:line="480" w:lineRule="exact"/>
        <w:rPr>
          <w:rFonts w:hint="eastAsia" w:ascii="仿宋" w:hAnsi="仿宋" w:eastAsia="仿宋" w:cs="仿宋"/>
          <w:b/>
          <w:bCs/>
          <w:sz w:val="32"/>
          <w:szCs w:val="32"/>
        </w:rPr>
        <w:sectPr>
          <w:pgSz w:w="11906" w:h="16838"/>
          <w:pgMar w:top="2098" w:right="1474" w:bottom="1984" w:left="1304" w:header="851" w:footer="1417" w:gutter="0"/>
          <w:pgNumType w:fmt="numberInDash"/>
          <w:cols w:space="0" w:num="1"/>
          <w:docGrid w:type="lines" w:linePitch="338" w:charSpace="0"/>
        </w:sectPr>
      </w:pPr>
    </w:p>
    <w:p>
      <w:pPr>
        <w:widowControl/>
        <w:spacing w:line="560" w:lineRule="exact"/>
        <w:jc w:val="center"/>
        <w:textAlignment w:val="center"/>
        <w:rPr>
          <w:rFonts w:hint="eastAsia" w:ascii="宋体" w:hAnsi="宋体" w:cs="宋体"/>
          <w:color w:val="000000"/>
          <w:kern w:val="0"/>
          <w:sz w:val="44"/>
          <w:szCs w:val="44"/>
          <w:lang w:bidi="ar"/>
        </w:rPr>
      </w:pPr>
      <w:r>
        <w:rPr>
          <w:rFonts w:hint="eastAsia" w:ascii="宋体" w:hAnsi="宋体" w:cs="宋体"/>
          <w:color w:val="000000"/>
          <w:kern w:val="0"/>
          <w:sz w:val="44"/>
          <w:szCs w:val="44"/>
          <w:lang w:bidi="ar"/>
        </w:rPr>
        <w:t>深圳市龙岗区第七人民医院廉洁购销合同</w:t>
      </w:r>
    </w:p>
    <w:p>
      <w:pPr>
        <w:spacing w:line="560" w:lineRule="exact"/>
        <w:rPr>
          <w:rFonts w:hint="eastAsia" w:ascii="楷体_GB2312" w:hAnsi="ˎ̥" w:eastAsia="楷体_GB2312"/>
          <w:b/>
          <w:sz w:val="32"/>
          <w:szCs w:val="32"/>
        </w:rPr>
      </w:pPr>
    </w:p>
    <w:p>
      <w:pPr>
        <w:spacing w:line="560" w:lineRule="exact"/>
        <w:rPr>
          <w:rFonts w:hint="eastAsia" w:ascii="仿宋_GB2312" w:hAnsi="ˎ̥" w:eastAsia="仿宋_GB2312"/>
          <w:sz w:val="28"/>
          <w:szCs w:val="28"/>
        </w:rPr>
      </w:pPr>
      <w:r>
        <w:rPr>
          <w:rFonts w:hint="eastAsia" w:ascii="楷体_GB2312" w:hAnsi="ˎ̥" w:eastAsia="楷体_GB2312"/>
          <w:b/>
          <w:sz w:val="28"/>
          <w:szCs w:val="28"/>
        </w:rPr>
        <w:t>甲方</w:t>
      </w:r>
      <w:r>
        <w:rPr>
          <w:rFonts w:hint="eastAsia" w:ascii="仿宋_GB2312" w:hAnsi="ˎ̥" w:eastAsia="仿宋_GB2312"/>
          <w:sz w:val="28"/>
          <w:szCs w:val="28"/>
        </w:rPr>
        <w:t>：深圳市龙岗区第七人民医院</w:t>
      </w:r>
    </w:p>
    <w:p>
      <w:pPr>
        <w:spacing w:line="560" w:lineRule="exact"/>
        <w:rPr>
          <w:rFonts w:hint="eastAsia" w:ascii="楷体_GB2312" w:hAnsi="ˎ̥" w:eastAsia="楷体_GB2312"/>
          <w:b/>
          <w:sz w:val="28"/>
          <w:szCs w:val="28"/>
        </w:rPr>
      </w:pPr>
      <w:r>
        <w:rPr>
          <w:rFonts w:hint="eastAsia" w:ascii="楷体_GB2312" w:hAnsi="ˎ̥" w:eastAsia="楷体_GB2312"/>
          <w:b/>
          <w:sz w:val="28"/>
          <w:szCs w:val="28"/>
        </w:rPr>
        <w:t>乙方</w:t>
      </w:r>
      <w:r>
        <w:rPr>
          <w:rFonts w:hint="eastAsia" w:ascii="仿宋_GB2312" w:hAnsi="ˎ̥" w:eastAsia="仿宋_GB2312"/>
          <w:sz w:val="28"/>
          <w:szCs w:val="28"/>
        </w:rPr>
        <w:t>：</w:t>
      </w:r>
    </w:p>
    <w:p>
      <w:pPr>
        <w:spacing w:line="560" w:lineRule="exact"/>
        <w:rPr>
          <w:rFonts w:hint="eastAsia" w:ascii="楷体_GB2312" w:hAnsi="ˎ̥" w:eastAsia="楷体_GB2312"/>
          <w:b/>
          <w:sz w:val="28"/>
          <w:szCs w:val="28"/>
        </w:rPr>
      </w:pPr>
      <w:r>
        <w:rPr>
          <w:rFonts w:hint="eastAsia" w:ascii="楷体_GB2312" w:hAnsi="ˎ̥" w:eastAsia="楷体_GB2312"/>
          <w:b/>
          <w:sz w:val="28"/>
          <w:szCs w:val="28"/>
        </w:rPr>
        <w:t xml:space="preserve">项目名称：            </w:t>
      </w:r>
    </w:p>
    <w:p>
      <w:pPr>
        <w:spacing w:line="560" w:lineRule="exact"/>
        <w:rPr>
          <w:rFonts w:hint="eastAsia" w:ascii="楷体_GB2312" w:hAnsi="ˎ̥" w:eastAsia="楷体_GB2312"/>
          <w:sz w:val="28"/>
          <w:szCs w:val="28"/>
        </w:rPr>
      </w:pPr>
      <w:r>
        <w:rPr>
          <w:rFonts w:hint="eastAsia" w:ascii="楷体_GB2312" w:hAnsi="ˎ̥" w:eastAsia="楷体_GB2312"/>
          <w:b/>
          <w:sz w:val="28"/>
          <w:szCs w:val="28"/>
        </w:rPr>
        <w:t>合同总价</w:t>
      </w:r>
      <w:r>
        <w:rPr>
          <w:rFonts w:hint="eastAsia" w:ascii="楷体_GB2312" w:hAnsi="ˎ̥" w:eastAsia="楷体_GB2312"/>
          <w:sz w:val="28"/>
          <w:szCs w:val="28"/>
        </w:rPr>
        <w:t>：</w:t>
      </w:r>
    </w:p>
    <w:p>
      <w:pPr>
        <w:spacing w:line="560" w:lineRule="exact"/>
        <w:rPr>
          <w:rFonts w:hint="eastAsia" w:ascii="楷体_GB2312" w:hAnsi="ˎ̥" w:eastAsia="楷体_GB2312"/>
          <w:b/>
          <w:sz w:val="28"/>
          <w:szCs w:val="28"/>
        </w:rPr>
      </w:pPr>
      <w:r>
        <w:rPr>
          <w:rFonts w:hint="eastAsia" w:ascii="楷体_GB2312" w:hAnsi="ˎ̥" w:eastAsia="楷体_GB2312"/>
          <w:b/>
          <w:sz w:val="28"/>
          <w:szCs w:val="28"/>
        </w:rPr>
        <w:t>主办科室：</w:t>
      </w:r>
    </w:p>
    <w:p>
      <w:pPr>
        <w:spacing w:line="560" w:lineRule="exact"/>
        <w:ind w:firstLine="560" w:firstLineChars="200"/>
        <w:rPr>
          <w:rFonts w:hint="eastAsia" w:ascii="仿宋_GB2312" w:hAnsi="ˎ̥" w:eastAsia="仿宋_GB2312"/>
          <w:sz w:val="28"/>
          <w:szCs w:val="28"/>
        </w:rPr>
      </w:pPr>
      <w:r>
        <w:rPr>
          <w:rFonts w:hint="eastAsia" w:ascii="仿宋_GB2312" w:hAnsi="ˎ̥" w:eastAsia="仿宋_GB2312"/>
          <w:sz w:val="28"/>
          <w:szCs w:val="28"/>
        </w:rPr>
        <w:t>为进一步加强医疗卫生行风建设，规范购销行为，有效防范商业贿赂，营造公平交易、诚实守信的购销环境，经甲、乙双方协商，同意签订本合同，并共同遵守：</w:t>
      </w:r>
    </w:p>
    <w:p>
      <w:pPr>
        <w:spacing w:line="560" w:lineRule="exact"/>
        <w:ind w:firstLine="560" w:firstLineChars="200"/>
        <w:rPr>
          <w:rFonts w:hint="eastAsia" w:ascii="仿宋_GB2312" w:hAnsi="ˎ̥" w:eastAsia="仿宋_GB2312"/>
          <w:sz w:val="28"/>
          <w:szCs w:val="28"/>
        </w:rPr>
      </w:pPr>
      <w:r>
        <w:rPr>
          <w:rFonts w:hint="eastAsia" w:ascii="仿宋_GB2312" w:hAnsi="ˎ̥" w:eastAsia="仿宋_GB2312"/>
          <w:sz w:val="28"/>
          <w:szCs w:val="28"/>
        </w:rPr>
        <w:t>一、甲乙双方按照《中华人民共和国民法典》及产品</w:t>
      </w:r>
      <w:r>
        <w:rPr>
          <w:rFonts w:hint="eastAsia" w:ascii="仿宋_GB2312" w:eastAsia="仿宋_GB2312"/>
          <w:sz w:val="28"/>
          <w:szCs w:val="28"/>
        </w:rPr>
        <w:t>购销合同</w:t>
      </w:r>
      <w:r>
        <w:rPr>
          <w:rFonts w:hint="eastAsia" w:ascii="仿宋_GB2312" w:hAnsi="ˎ̥" w:eastAsia="仿宋_GB2312"/>
          <w:sz w:val="28"/>
          <w:szCs w:val="28"/>
        </w:rPr>
        <w:t>约定实施购销行为。</w:t>
      </w:r>
    </w:p>
    <w:p>
      <w:pPr>
        <w:spacing w:line="560" w:lineRule="exact"/>
        <w:ind w:firstLine="560" w:firstLineChars="200"/>
        <w:rPr>
          <w:rFonts w:hint="eastAsia" w:ascii="仿宋_GB2312" w:hAnsi="ˎ̥" w:eastAsia="仿宋_GB2312"/>
          <w:sz w:val="28"/>
          <w:szCs w:val="28"/>
        </w:rPr>
      </w:pPr>
      <w:r>
        <w:rPr>
          <w:rFonts w:hint="eastAsia" w:ascii="仿宋_GB2312" w:hAnsi="ˎ̥" w:eastAsia="仿宋_GB2312"/>
          <w:sz w:val="28"/>
          <w:szCs w:val="28"/>
        </w:rPr>
        <w:t>二、甲方应当严格执行验收、入库制度，对采购产品及发票进行查验，不得违反有关规定进行合同外采购、</w:t>
      </w:r>
      <w:r>
        <w:rPr>
          <w:rFonts w:hint="eastAsia" w:ascii="仿宋_GB2312" w:hAnsi="ˎ̥" w:eastAsia="仿宋_GB2312"/>
          <w:sz w:val="28"/>
          <w:szCs w:val="28"/>
          <w:lang w:eastAsia="zh-CN"/>
        </w:rPr>
        <w:t>违规</w:t>
      </w:r>
      <w:r>
        <w:rPr>
          <w:rFonts w:hint="eastAsia" w:ascii="仿宋_GB2312" w:hAnsi="ˎ̥" w:eastAsia="仿宋_GB2312"/>
          <w:sz w:val="28"/>
          <w:szCs w:val="28"/>
        </w:rPr>
        <w:t>采购或从非规定渠道采购。</w:t>
      </w:r>
    </w:p>
    <w:p>
      <w:pPr>
        <w:spacing w:line="560" w:lineRule="exact"/>
        <w:ind w:firstLine="560" w:firstLineChars="200"/>
        <w:rPr>
          <w:rFonts w:hint="eastAsia" w:ascii="仿宋_GB2312" w:hAnsi="ˎ̥" w:eastAsia="仿宋_GB2312"/>
          <w:sz w:val="28"/>
          <w:szCs w:val="28"/>
        </w:rPr>
      </w:pPr>
      <w:r>
        <w:rPr>
          <w:rFonts w:hint="eastAsia" w:ascii="仿宋_GB2312" w:hAnsi="ˎ̥" w:eastAsia="仿宋_GB2312"/>
          <w:sz w:val="28"/>
          <w:szCs w:val="28"/>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28"/>
          <w:szCs w:val="28"/>
        </w:rPr>
        <w:t>不得以任何形式向乙方索要现金、有价证券、支付凭证和贵重礼品等</w:t>
      </w:r>
      <w:r>
        <w:rPr>
          <w:rFonts w:hint="eastAsia" w:ascii="仿宋_GB2312" w:hAnsi="ˎ̥" w:eastAsia="仿宋_GB2312"/>
          <w:sz w:val="28"/>
          <w:szCs w:val="28"/>
        </w:rPr>
        <w:t>。被迫接受乙方给予的钱物，应予退还，无法退还的，有责任如实向纪检监察部门反映情况。</w:t>
      </w:r>
    </w:p>
    <w:p>
      <w:pPr>
        <w:spacing w:line="560" w:lineRule="exact"/>
        <w:ind w:firstLine="560" w:firstLineChars="200"/>
        <w:rPr>
          <w:rFonts w:hint="eastAsia" w:ascii="仿宋_GB2312" w:hAnsi="ˎ̥" w:eastAsia="仿宋_GB2312"/>
          <w:sz w:val="28"/>
          <w:szCs w:val="28"/>
        </w:rPr>
      </w:pPr>
      <w:r>
        <w:rPr>
          <w:rFonts w:hint="eastAsia" w:ascii="仿宋_GB2312" w:hAnsi="ˎ̥" w:eastAsia="仿宋_GB2312"/>
          <w:sz w:val="28"/>
          <w:szCs w:val="28"/>
        </w:rPr>
        <w:t>四、严禁甲方工作人员利用任何途径和方式，非法为乙方统计医师个人及临床科室有关医药产品用量信息，或为乙方统方提供便利。</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w:t>
      </w:r>
      <w:r>
        <w:rPr>
          <w:rFonts w:hint="eastAsia" w:ascii="仿宋_GB2312" w:hAnsi="ˎ̥" w:eastAsia="仿宋_GB2312"/>
          <w:sz w:val="28"/>
          <w:szCs w:val="28"/>
        </w:rPr>
        <w:t>乙方不得以回扣、</w:t>
      </w:r>
      <w:r>
        <w:rPr>
          <w:rFonts w:hint="eastAsia" w:ascii="仿宋_GB2312" w:eastAsia="仿宋_GB2312"/>
          <w:sz w:val="28"/>
          <w:szCs w:val="28"/>
        </w:rPr>
        <w:t>宴请等方式影响甲方工作人员采购或使用医药产品的选择权，不得在学术活动中提供旅游、超标准支付食宿费用，以及其他任何形式的利益输送。</w:t>
      </w:r>
    </w:p>
    <w:p>
      <w:pPr>
        <w:spacing w:line="560" w:lineRule="exact"/>
        <w:ind w:firstLine="560" w:firstLineChars="200"/>
        <w:rPr>
          <w:rFonts w:hint="eastAsia" w:ascii="仿宋_GB2312" w:hAnsi="ˎ̥" w:eastAsia="仿宋_GB2312"/>
          <w:sz w:val="28"/>
          <w:szCs w:val="28"/>
        </w:rPr>
      </w:pPr>
      <w:r>
        <w:rPr>
          <w:rFonts w:hint="eastAsia" w:ascii="仿宋_GB2312" w:eastAsia="仿宋_GB2312"/>
          <w:sz w:val="28"/>
          <w:szCs w:val="28"/>
        </w:rPr>
        <w:t>六、乙方指定</w:t>
      </w:r>
      <w:r>
        <w:rPr>
          <w:rFonts w:hint="eastAsia" w:ascii="仿宋_GB2312" w:eastAsia="仿宋_GB2312"/>
          <w:sz w:val="28"/>
          <w:szCs w:val="28"/>
          <w:u w:val="single"/>
        </w:rPr>
        <w:t xml:space="preserve">        </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28"/>
          <w:szCs w:val="28"/>
        </w:rPr>
        <w:t>负责人及相关工作人员家中访谈并提供任何好处费。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七、</w:t>
      </w:r>
      <w:r>
        <w:rPr>
          <w:rFonts w:hint="eastAsia" w:ascii="仿宋_GB2312" w:hAnsi="ˎ̥" w:eastAsia="仿宋_GB2312"/>
          <w:sz w:val="28"/>
          <w:szCs w:val="28"/>
        </w:rPr>
        <w:t>乙方如违反本合同，一经发现，</w:t>
      </w:r>
      <w:r>
        <w:rPr>
          <w:rFonts w:hint="eastAsia" w:ascii="仿宋_GB2312" w:eastAsia="仿宋_GB2312"/>
          <w:sz w:val="28"/>
          <w:szCs w:val="28"/>
        </w:rPr>
        <w:t>甲方有权终止产品购销合同，并向有关部门报告。如乙方被列入商业贿赂不良记录，则严格按照《国家</w:t>
      </w:r>
      <w:r>
        <w:rPr>
          <w:rFonts w:ascii="仿宋_GB2312" w:eastAsia="仿宋_GB2312"/>
          <w:sz w:val="28"/>
          <w:szCs w:val="28"/>
        </w:rPr>
        <w:t>卫生计生委关于建立医药购销领域商业贿赂不良记录的规定</w:t>
      </w:r>
      <w:r>
        <w:rPr>
          <w:rFonts w:hint="eastAsia" w:ascii="仿宋_GB2312" w:eastAsia="仿宋_GB2312"/>
          <w:sz w:val="28"/>
          <w:szCs w:val="28"/>
        </w:rPr>
        <w:t>》</w:t>
      </w:r>
      <w:r>
        <w:rPr>
          <w:rFonts w:eastAsia="仿宋_GB2312"/>
          <w:color w:val="000000"/>
          <w:sz w:val="28"/>
          <w:szCs w:val="28"/>
          <w:shd w:val="clear" w:color="auto" w:fill="FFFFFF"/>
        </w:rPr>
        <w:t>（国卫法制发〔2013〕50号）</w:t>
      </w:r>
      <w:r>
        <w:rPr>
          <w:rFonts w:hint="eastAsia" w:ascii="仿宋_GB2312" w:eastAsia="仿宋_GB2312"/>
          <w:sz w:val="28"/>
          <w:szCs w:val="28"/>
        </w:rPr>
        <w:t>相关规定处理。</w:t>
      </w:r>
    </w:p>
    <w:p>
      <w:pPr>
        <w:spacing w:line="560" w:lineRule="exact"/>
        <w:ind w:firstLine="560" w:firstLineChars="200"/>
        <w:rPr>
          <w:rFonts w:ascii="仿宋_GB2312" w:eastAsia="仿宋_GB2312"/>
          <w:sz w:val="28"/>
          <w:szCs w:val="28"/>
        </w:rPr>
      </w:pPr>
      <w:r>
        <w:rPr>
          <w:rFonts w:hint="eastAsia" w:ascii="仿宋_GB2312" w:hAnsi="ˎ̥" w:eastAsia="仿宋_GB2312"/>
          <w:sz w:val="28"/>
          <w:szCs w:val="28"/>
        </w:rPr>
        <w:t>八、</w:t>
      </w:r>
      <w:r>
        <w:rPr>
          <w:rFonts w:hint="eastAsia" w:ascii="仿宋_GB2312" w:eastAsia="仿宋_GB2312"/>
          <w:sz w:val="28"/>
          <w:szCs w:val="28"/>
        </w:rPr>
        <w:t>本合同作为产品购销合同的组成部分，与购销合同一并执行，具有同等的法律效力。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九、本合同一式叁份，甲方贰份（一份随购销主合同存档，一份交医院纪检监察部门），乙方壹份，从签订之日起生效。</w:t>
      </w:r>
    </w:p>
    <w:p>
      <w:pPr>
        <w:spacing w:line="560" w:lineRule="exact"/>
        <w:rPr>
          <w:rFonts w:ascii="仿宋_GB2312" w:eastAsia="仿宋_GB2312"/>
          <w:sz w:val="28"/>
          <w:szCs w:val="28"/>
        </w:rPr>
      </w:pPr>
    </w:p>
    <w:p>
      <w:pPr>
        <w:spacing w:line="560" w:lineRule="exact"/>
        <w:rPr>
          <w:rFonts w:ascii="楷体_GB2312" w:eastAsia="楷体_GB2312"/>
          <w:b/>
          <w:sz w:val="28"/>
          <w:szCs w:val="28"/>
        </w:rPr>
      </w:pPr>
      <w:r>
        <w:rPr>
          <w:rFonts w:hint="eastAsia" w:ascii="楷体_GB2312" w:eastAsia="楷体_GB2312"/>
          <w:b/>
          <w:sz w:val="28"/>
          <w:szCs w:val="28"/>
        </w:rPr>
        <w:t>甲方（盖章）：                  乙方（盖章）：</w:t>
      </w:r>
    </w:p>
    <w:p>
      <w:pPr>
        <w:spacing w:line="560" w:lineRule="exact"/>
        <w:rPr>
          <w:rFonts w:ascii="楷体_GB2312" w:eastAsia="楷体_GB2312"/>
          <w:b/>
          <w:sz w:val="28"/>
          <w:szCs w:val="28"/>
        </w:rPr>
      </w:pPr>
      <w:r>
        <w:rPr>
          <w:rFonts w:hint="eastAsia" w:ascii="楷体_GB2312" w:eastAsia="楷体_GB2312"/>
          <w:b/>
          <w:sz w:val="28"/>
          <w:szCs w:val="28"/>
        </w:rPr>
        <w:t>法定代表人（</w:t>
      </w:r>
      <w:r>
        <w:rPr>
          <w:rFonts w:ascii="楷体_GB2312" w:eastAsia="楷体_GB2312"/>
          <w:b/>
          <w:sz w:val="28"/>
          <w:szCs w:val="28"/>
        </w:rPr>
        <w:t>负责人</w:t>
      </w:r>
      <w:r>
        <w:rPr>
          <w:rFonts w:hint="eastAsia" w:ascii="楷体_GB2312" w:eastAsia="楷体_GB2312"/>
          <w:b/>
          <w:sz w:val="28"/>
          <w:szCs w:val="28"/>
        </w:rPr>
        <w:t>）：          法定代表人（</w:t>
      </w:r>
      <w:r>
        <w:rPr>
          <w:rFonts w:ascii="楷体_GB2312" w:eastAsia="楷体_GB2312"/>
          <w:b/>
          <w:sz w:val="28"/>
          <w:szCs w:val="28"/>
        </w:rPr>
        <w:t>负责人</w:t>
      </w:r>
      <w:r>
        <w:rPr>
          <w:rFonts w:hint="eastAsia" w:ascii="楷体_GB2312" w:eastAsia="楷体_GB2312"/>
          <w:b/>
          <w:sz w:val="28"/>
          <w:szCs w:val="28"/>
        </w:rPr>
        <w:t>）：</w:t>
      </w:r>
    </w:p>
    <w:p>
      <w:pPr>
        <w:spacing w:line="560" w:lineRule="exact"/>
        <w:rPr>
          <w:sz w:val="28"/>
          <w:szCs w:val="28"/>
        </w:rPr>
      </w:pPr>
      <w:r>
        <w:rPr>
          <w:rFonts w:hint="eastAsia" w:ascii="楷体_GB2312" w:eastAsia="楷体_GB2312"/>
          <w:b/>
          <w:sz w:val="28"/>
          <w:szCs w:val="28"/>
        </w:rPr>
        <w:t>授权代表人签名：               经办人签名：</w:t>
      </w:r>
    </w:p>
    <w:p>
      <w:pPr>
        <w:spacing w:line="560" w:lineRule="exact"/>
        <w:ind w:firstLine="560" w:firstLineChars="200"/>
        <w:rPr>
          <w:rFonts w:hint="eastAsia" w:ascii="宋体" w:hAnsi="宋体" w:cs="宋体"/>
          <w:color w:val="000000"/>
          <w:kern w:val="0"/>
          <w:sz w:val="44"/>
          <w:szCs w:val="44"/>
          <w:lang w:bidi="ar"/>
        </w:rPr>
      </w:pPr>
      <w:r>
        <w:rPr>
          <w:rFonts w:hint="eastAsia" w:ascii="仿宋_GB2312" w:eastAsia="仿宋_GB2312"/>
          <w:sz w:val="28"/>
          <w:szCs w:val="28"/>
        </w:rPr>
        <w:t>年    月   日                 年    月   日</w:t>
      </w:r>
    </w:p>
    <w:p>
      <w:pPr>
        <w:widowControl/>
        <w:spacing w:line="440" w:lineRule="exact"/>
        <w:jc w:val="center"/>
        <w:textAlignment w:val="center"/>
        <w:rPr>
          <w:rFonts w:hint="eastAsia" w:ascii="宋体" w:hAnsi="宋体" w:cs="宋体"/>
          <w:color w:val="000000"/>
          <w:kern w:val="0"/>
          <w:sz w:val="44"/>
          <w:szCs w:val="44"/>
          <w:lang w:bidi="ar"/>
        </w:rPr>
        <w:sectPr>
          <w:headerReference r:id="rId6" w:type="default"/>
          <w:footerReference r:id="rId7" w:type="default"/>
          <w:pgSz w:w="11906" w:h="16838"/>
          <w:pgMar w:top="2098" w:right="1474" w:bottom="1984" w:left="1304" w:header="851" w:footer="1417" w:gutter="0"/>
          <w:cols w:space="0" w:num="1"/>
          <w:docGrid w:type="lines" w:linePitch="338" w:charSpace="0"/>
        </w:sect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r>
        <w:rPr>
          <w:rFonts w:hint="eastAsia" w:ascii="宋体" w:hAnsi="宋体" w:cs="宋体"/>
          <w:color w:val="000000"/>
          <w:kern w:val="0"/>
          <w:sz w:val="44"/>
          <w:szCs w:val="44"/>
          <w:lang w:bidi="ar"/>
        </w:rPr>
        <w:t>龙岗区进一步规范政商交往行为告知书</w:t>
      </w:r>
    </w:p>
    <w:p>
      <w:pPr>
        <w:spacing w:line="440" w:lineRule="exact"/>
        <w:rPr>
          <w:rFonts w:hint="eastAsia" w:ascii="宋体" w:hAnsi="宋体" w:cs="宋体"/>
          <w:sz w:val="28"/>
          <w:szCs w:val="28"/>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为深入构建</w:t>
      </w:r>
      <w:r>
        <w:rPr>
          <w:rFonts w:hint="eastAsia" w:ascii="仿宋_GB2312" w:hAnsi="仿宋_GB2312" w:eastAsia="仿宋_GB2312" w:cs="仿宋_GB2312"/>
          <w:sz w:val="28"/>
          <w:szCs w:val="28"/>
          <w:lang w:eastAsia="zh-CN"/>
        </w:rPr>
        <w:t>亲清政商关系</w:t>
      </w:r>
      <w:r>
        <w:rPr>
          <w:rFonts w:hint="eastAsia" w:ascii="仿宋_GB2312" w:hAnsi="仿宋_GB2312" w:eastAsia="仿宋_GB2312" w:cs="仿宋_GB2312"/>
          <w:sz w:val="28"/>
          <w:szCs w:val="28"/>
        </w:rPr>
        <w:t>，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一、不得向公职人员赠送礼品、礼金、消费卡等财物。</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二、不得违规向公职人员提供宴请、旅游、娱乐等安排。</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三、不得通过打麻将等形式向公职人员输送利益。</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四、不得为公职人员报销应由其个人支付的费用。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五、不得违规向公职人员及其亲友借贷款。</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六、不得违规将车辆、住房等借给公职人员使用。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七、不得在招投标中与公职人员搞暗箱操作、围标串标。</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八、不得为利益相关人和公职人员牵线搭桥或者代为传递信息、传递财物。</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九、不得让公职人员在企业违规兼职取酬。</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十、不得为公职人员亲友违规承揽业务提供便利。</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本人已知晓上述告知内容，并愿意遵照执行（签名）：</w:t>
      </w:r>
    </w:p>
    <w:p>
      <w:pPr>
        <w:spacing w:line="440" w:lineRule="exact"/>
        <w:ind w:firstLine="5040" w:firstLineChars="18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p>
    <w:p>
      <w:pPr>
        <w:spacing w:line="440" w:lineRule="exact"/>
        <w:ind w:firstLine="3920" w:firstLineChars="1400"/>
        <w:rPr>
          <w:rFonts w:hint="eastAsia" w:ascii="仿宋_GB2312" w:hAnsi="仿宋_GB2312" w:eastAsia="仿宋_GB2312" w:cs="仿宋_GB2312"/>
          <w:sz w:val="28"/>
          <w:szCs w:val="28"/>
        </w:rPr>
      </w:pPr>
    </w:p>
    <w:p>
      <w:pPr>
        <w:pStyle w:val="10"/>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 xml:space="preserve">                      单位名称（盖章）：</w:t>
      </w:r>
    </w:p>
    <w:p>
      <w:pPr>
        <w:pStyle w:val="10"/>
        <w:spacing w:line="440" w:lineRule="exact"/>
        <w:jc w:val="center"/>
        <w:rPr>
          <w:rFonts w:ascii="仿宋" w:hAnsi="仿宋" w:eastAsia="仿宋" w:cs="仿宋"/>
          <w:sz w:val="28"/>
          <w:szCs w:val="28"/>
        </w:rPr>
      </w:pPr>
      <w:r>
        <w:rPr>
          <w:rFonts w:ascii="仿宋_GB2312" w:hAnsi="仿宋_GB2312" w:eastAsia="仿宋_GB2312" w:cs="仿宋_GB2312"/>
          <w:sz w:val="28"/>
          <w:szCs w:val="28"/>
        </w:rPr>
        <w:t xml:space="preserve">                   年  月  日</w:t>
      </w:r>
    </w:p>
    <w:p>
      <w:pPr>
        <w:pStyle w:val="9"/>
        <w:rPr>
          <w:rFonts w:hint="eastAsia" w:ascii="仿宋_GB2312" w:hAnsi="仿宋_GB2312" w:eastAsia="仿宋_GB2312" w:cs="仿宋_GB2312"/>
          <w:b/>
          <w:bCs/>
          <w:kern w:val="2"/>
          <w:sz w:val="36"/>
          <w:szCs w:val="36"/>
        </w:rPr>
      </w:pPr>
    </w:p>
    <w:p/>
    <w:p>
      <w:pPr>
        <w:pStyle w:val="9"/>
        <w:rPr>
          <w:rFonts w:hint="eastAsia"/>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- 48 -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11"/>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- 48 -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DF928"/>
    <w:multiLevelType w:val="singleLevel"/>
    <w:tmpl w:val="A97DF928"/>
    <w:lvl w:ilvl="0" w:tentative="0">
      <w:start w:val="1"/>
      <w:numFmt w:val="decimal"/>
      <w:lvlText w:val="%1."/>
      <w:lvlJc w:val="left"/>
      <w:pPr>
        <w:tabs>
          <w:tab w:val="left" w:pos="312"/>
        </w:tabs>
      </w:pPr>
    </w:lvl>
  </w:abstractNum>
  <w:abstractNum w:abstractNumId="1">
    <w:nsid w:val="22B7BE7E"/>
    <w:multiLevelType w:val="singleLevel"/>
    <w:tmpl w:val="22B7BE7E"/>
    <w:lvl w:ilvl="0" w:tentative="0">
      <w:start w:val="3"/>
      <w:numFmt w:val="chineseCounting"/>
      <w:suff w:val="nothing"/>
      <w:lvlText w:val="（%1）"/>
      <w:lvlJc w:val="left"/>
      <w:rPr>
        <w:rFonts w:hint="eastAsia"/>
      </w:rPr>
    </w:lvl>
  </w:abstractNum>
  <w:abstractNum w:abstractNumId="2">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34F7D83"/>
    <w:multiLevelType w:val="multilevel"/>
    <w:tmpl w:val="734F7D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MmRkYjg1MWYxOTgzYmE0YjcwNjU0NzA5NzU1Y2UifQ=="/>
  </w:docVars>
  <w:rsids>
    <w:rsidRoot w:val="4E07504C"/>
    <w:rsid w:val="00057409"/>
    <w:rsid w:val="000B7F22"/>
    <w:rsid w:val="001079D4"/>
    <w:rsid w:val="001706A7"/>
    <w:rsid w:val="001F73B6"/>
    <w:rsid w:val="00230EDD"/>
    <w:rsid w:val="002727EE"/>
    <w:rsid w:val="002A7DA1"/>
    <w:rsid w:val="002B0E6E"/>
    <w:rsid w:val="002F161A"/>
    <w:rsid w:val="004565E2"/>
    <w:rsid w:val="0047068C"/>
    <w:rsid w:val="00480EF7"/>
    <w:rsid w:val="00486497"/>
    <w:rsid w:val="005463C9"/>
    <w:rsid w:val="005554C2"/>
    <w:rsid w:val="0056483E"/>
    <w:rsid w:val="00577875"/>
    <w:rsid w:val="005B31E0"/>
    <w:rsid w:val="006527BC"/>
    <w:rsid w:val="00706D64"/>
    <w:rsid w:val="0072289B"/>
    <w:rsid w:val="007A6BAD"/>
    <w:rsid w:val="007D5FEA"/>
    <w:rsid w:val="007F0A14"/>
    <w:rsid w:val="00847789"/>
    <w:rsid w:val="008558EA"/>
    <w:rsid w:val="008A48E0"/>
    <w:rsid w:val="008D092B"/>
    <w:rsid w:val="00934D5E"/>
    <w:rsid w:val="00991B5C"/>
    <w:rsid w:val="009F0C9D"/>
    <w:rsid w:val="00A4238C"/>
    <w:rsid w:val="00A50458"/>
    <w:rsid w:val="00A7745E"/>
    <w:rsid w:val="00A84F70"/>
    <w:rsid w:val="00B22708"/>
    <w:rsid w:val="00B72A51"/>
    <w:rsid w:val="00BB68F9"/>
    <w:rsid w:val="00BD6A62"/>
    <w:rsid w:val="00C00118"/>
    <w:rsid w:val="00C02C71"/>
    <w:rsid w:val="00C2476D"/>
    <w:rsid w:val="00C5357D"/>
    <w:rsid w:val="00C97617"/>
    <w:rsid w:val="00D56094"/>
    <w:rsid w:val="00D86C4E"/>
    <w:rsid w:val="00E03E82"/>
    <w:rsid w:val="00E144E7"/>
    <w:rsid w:val="00EA3F10"/>
    <w:rsid w:val="00ED0E8F"/>
    <w:rsid w:val="00F32A84"/>
    <w:rsid w:val="00FA7A90"/>
    <w:rsid w:val="00FC0E2F"/>
    <w:rsid w:val="011550B5"/>
    <w:rsid w:val="013067A8"/>
    <w:rsid w:val="02047256"/>
    <w:rsid w:val="02772CD9"/>
    <w:rsid w:val="0342775C"/>
    <w:rsid w:val="03474B3A"/>
    <w:rsid w:val="03FE4502"/>
    <w:rsid w:val="04DA0BD0"/>
    <w:rsid w:val="04F13915"/>
    <w:rsid w:val="067A4160"/>
    <w:rsid w:val="069D1FD3"/>
    <w:rsid w:val="06E94E42"/>
    <w:rsid w:val="07177C01"/>
    <w:rsid w:val="07534DF2"/>
    <w:rsid w:val="07702E6D"/>
    <w:rsid w:val="07ED44BE"/>
    <w:rsid w:val="087655AA"/>
    <w:rsid w:val="08D8516E"/>
    <w:rsid w:val="0A0E39AB"/>
    <w:rsid w:val="0B582596"/>
    <w:rsid w:val="0B860EB1"/>
    <w:rsid w:val="0BAD4BBE"/>
    <w:rsid w:val="0CC73E81"/>
    <w:rsid w:val="0D187EB7"/>
    <w:rsid w:val="0D1F7866"/>
    <w:rsid w:val="0DDC300B"/>
    <w:rsid w:val="0E9E6313"/>
    <w:rsid w:val="0F360E40"/>
    <w:rsid w:val="0FD12F12"/>
    <w:rsid w:val="10335CC9"/>
    <w:rsid w:val="10A342B4"/>
    <w:rsid w:val="11114953"/>
    <w:rsid w:val="121C2439"/>
    <w:rsid w:val="12951B0A"/>
    <w:rsid w:val="12FD248B"/>
    <w:rsid w:val="13977902"/>
    <w:rsid w:val="13F82AB8"/>
    <w:rsid w:val="149A1EBD"/>
    <w:rsid w:val="14A95C11"/>
    <w:rsid w:val="15BA205C"/>
    <w:rsid w:val="15E92863"/>
    <w:rsid w:val="16797E6D"/>
    <w:rsid w:val="171F1CBB"/>
    <w:rsid w:val="17277DA1"/>
    <w:rsid w:val="177D20A1"/>
    <w:rsid w:val="17F61B9F"/>
    <w:rsid w:val="18061158"/>
    <w:rsid w:val="1890336F"/>
    <w:rsid w:val="19287A4C"/>
    <w:rsid w:val="193A2F6D"/>
    <w:rsid w:val="196046FF"/>
    <w:rsid w:val="196C5B8A"/>
    <w:rsid w:val="19BE3F0C"/>
    <w:rsid w:val="19E22AE5"/>
    <w:rsid w:val="19F95BB8"/>
    <w:rsid w:val="1A1D50D7"/>
    <w:rsid w:val="1A8B6784"/>
    <w:rsid w:val="1BEE7F8C"/>
    <w:rsid w:val="1BF652AB"/>
    <w:rsid w:val="1C240251"/>
    <w:rsid w:val="1C5460CC"/>
    <w:rsid w:val="1D16223D"/>
    <w:rsid w:val="1D281CF6"/>
    <w:rsid w:val="1DCA1E79"/>
    <w:rsid w:val="1DD41F50"/>
    <w:rsid w:val="1DDB32DF"/>
    <w:rsid w:val="1F4D3D68"/>
    <w:rsid w:val="20001123"/>
    <w:rsid w:val="205E4CFF"/>
    <w:rsid w:val="20714B5F"/>
    <w:rsid w:val="20914128"/>
    <w:rsid w:val="20CC0484"/>
    <w:rsid w:val="21407BEA"/>
    <w:rsid w:val="221A0A3E"/>
    <w:rsid w:val="22C95DFC"/>
    <w:rsid w:val="23425BAE"/>
    <w:rsid w:val="24153DC0"/>
    <w:rsid w:val="25331C52"/>
    <w:rsid w:val="262B18A9"/>
    <w:rsid w:val="26357304"/>
    <w:rsid w:val="26431A21"/>
    <w:rsid w:val="26DC6DF8"/>
    <w:rsid w:val="27BE796C"/>
    <w:rsid w:val="27EB4D2D"/>
    <w:rsid w:val="28606759"/>
    <w:rsid w:val="288E033D"/>
    <w:rsid w:val="291A7161"/>
    <w:rsid w:val="293027EB"/>
    <w:rsid w:val="29F311DA"/>
    <w:rsid w:val="2BB7272F"/>
    <w:rsid w:val="2C2B3683"/>
    <w:rsid w:val="2C4D31C5"/>
    <w:rsid w:val="2CBD4E6E"/>
    <w:rsid w:val="2CD47877"/>
    <w:rsid w:val="2E3D769E"/>
    <w:rsid w:val="2E6141F6"/>
    <w:rsid w:val="2F7964B4"/>
    <w:rsid w:val="2FA23645"/>
    <w:rsid w:val="2FEA115F"/>
    <w:rsid w:val="301F34FF"/>
    <w:rsid w:val="302F165E"/>
    <w:rsid w:val="30DC1C6C"/>
    <w:rsid w:val="30F2476F"/>
    <w:rsid w:val="31E35EE3"/>
    <w:rsid w:val="32556FD6"/>
    <w:rsid w:val="336B390E"/>
    <w:rsid w:val="349F18E8"/>
    <w:rsid w:val="34E24AFB"/>
    <w:rsid w:val="34FD7B87"/>
    <w:rsid w:val="35012F9B"/>
    <w:rsid w:val="350F1DC4"/>
    <w:rsid w:val="35854D07"/>
    <w:rsid w:val="35ED5AD4"/>
    <w:rsid w:val="36393417"/>
    <w:rsid w:val="36C546D4"/>
    <w:rsid w:val="38464FE5"/>
    <w:rsid w:val="38AC78FA"/>
    <w:rsid w:val="394E6C03"/>
    <w:rsid w:val="399F3254"/>
    <w:rsid w:val="3A085004"/>
    <w:rsid w:val="3A1A0893"/>
    <w:rsid w:val="3A8B4052"/>
    <w:rsid w:val="3A985E85"/>
    <w:rsid w:val="3AB75A76"/>
    <w:rsid w:val="3CE1563C"/>
    <w:rsid w:val="3D725592"/>
    <w:rsid w:val="3E1F291C"/>
    <w:rsid w:val="3EF20030"/>
    <w:rsid w:val="41AE3829"/>
    <w:rsid w:val="42D9753D"/>
    <w:rsid w:val="431C2B5A"/>
    <w:rsid w:val="432A2E21"/>
    <w:rsid w:val="435A7F52"/>
    <w:rsid w:val="437D3CCA"/>
    <w:rsid w:val="43B25C38"/>
    <w:rsid w:val="44FB039A"/>
    <w:rsid w:val="45B6604E"/>
    <w:rsid w:val="46BD5FB5"/>
    <w:rsid w:val="475F3BAD"/>
    <w:rsid w:val="476C4620"/>
    <w:rsid w:val="47A97E3B"/>
    <w:rsid w:val="480E290B"/>
    <w:rsid w:val="48237A66"/>
    <w:rsid w:val="484E277B"/>
    <w:rsid w:val="486A50DB"/>
    <w:rsid w:val="4947770B"/>
    <w:rsid w:val="49831FB1"/>
    <w:rsid w:val="4C78096B"/>
    <w:rsid w:val="4C9B5863"/>
    <w:rsid w:val="4D41354B"/>
    <w:rsid w:val="4E07504C"/>
    <w:rsid w:val="4E28581D"/>
    <w:rsid w:val="4E9A4EC1"/>
    <w:rsid w:val="4F467BCD"/>
    <w:rsid w:val="4FCB46B2"/>
    <w:rsid w:val="5002112D"/>
    <w:rsid w:val="505D2E3A"/>
    <w:rsid w:val="50A76ECD"/>
    <w:rsid w:val="50B066FA"/>
    <w:rsid w:val="50FB36C9"/>
    <w:rsid w:val="51684B94"/>
    <w:rsid w:val="51C466AB"/>
    <w:rsid w:val="53F22CA5"/>
    <w:rsid w:val="54C85664"/>
    <w:rsid w:val="55321431"/>
    <w:rsid w:val="57754922"/>
    <w:rsid w:val="57F97435"/>
    <w:rsid w:val="597160E4"/>
    <w:rsid w:val="59917528"/>
    <w:rsid w:val="5A51252E"/>
    <w:rsid w:val="5A6E1702"/>
    <w:rsid w:val="5AF453C0"/>
    <w:rsid w:val="5BFE7BBD"/>
    <w:rsid w:val="5C9704E8"/>
    <w:rsid w:val="5CAF3C3D"/>
    <w:rsid w:val="5CB67973"/>
    <w:rsid w:val="5E627C34"/>
    <w:rsid w:val="5EC450EE"/>
    <w:rsid w:val="5ECE7D1A"/>
    <w:rsid w:val="5EE375B1"/>
    <w:rsid w:val="5F7F2DC3"/>
    <w:rsid w:val="5FA10F8B"/>
    <w:rsid w:val="5FB84304"/>
    <w:rsid w:val="608D150F"/>
    <w:rsid w:val="609921D9"/>
    <w:rsid w:val="61C97E28"/>
    <w:rsid w:val="623567B2"/>
    <w:rsid w:val="62406DE0"/>
    <w:rsid w:val="62792BC7"/>
    <w:rsid w:val="62B4363E"/>
    <w:rsid w:val="63984453"/>
    <w:rsid w:val="63D04666"/>
    <w:rsid w:val="64EF2799"/>
    <w:rsid w:val="64EF4547"/>
    <w:rsid w:val="65031979"/>
    <w:rsid w:val="657371A0"/>
    <w:rsid w:val="65950109"/>
    <w:rsid w:val="65E860BF"/>
    <w:rsid w:val="65FA7647"/>
    <w:rsid w:val="6650370B"/>
    <w:rsid w:val="66FE6CC3"/>
    <w:rsid w:val="67303132"/>
    <w:rsid w:val="68EE292C"/>
    <w:rsid w:val="695C4BEE"/>
    <w:rsid w:val="6AB75B07"/>
    <w:rsid w:val="6B397C51"/>
    <w:rsid w:val="6C644797"/>
    <w:rsid w:val="6DB67CFA"/>
    <w:rsid w:val="6E386BAD"/>
    <w:rsid w:val="6E3C2B6A"/>
    <w:rsid w:val="6E7855AD"/>
    <w:rsid w:val="6EB20ABF"/>
    <w:rsid w:val="73C117A4"/>
    <w:rsid w:val="750E0A19"/>
    <w:rsid w:val="75193991"/>
    <w:rsid w:val="75A66EA3"/>
    <w:rsid w:val="76382C84"/>
    <w:rsid w:val="76404B57"/>
    <w:rsid w:val="775A1CF3"/>
    <w:rsid w:val="782F6DD1"/>
    <w:rsid w:val="787D3E4A"/>
    <w:rsid w:val="78B13B95"/>
    <w:rsid w:val="78B83C1C"/>
    <w:rsid w:val="79AC02FF"/>
    <w:rsid w:val="7A805F15"/>
    <w:rsid w:val="7B015D81"/>
    <w:rsid w:val="7BEA50DF"/>
    <w:rsid w:val="7C0135D5"/>
    <w:rsid w:val="7CD7581A"/>
    <w:rsid w:val="7D201046"/>
    <w:rsid w:val="7D4B40CC"/>
    <w:rsid w:val="7D607801"/>
    <w:rsid w:val="7E4B4460"/>
    <w:rsid w:val="7E8E6E42"/>
    <w:rsid w:val="7EF3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autoRedefine/>
    <w:semiHidden/>
    <w:unhideWhenUsed/>
    <w:qFormat/>
    <w:uiPriority w:val="0"/>
    <w:pPr>
      <w:outlineLvl w:val="1"/>
    </w:pPr>
    <w:rPr>
      <w:sz w:val="36"/>
      <w:szCs w:val="36"/>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index 8"/>
    <w:basedOn w:val="1"/>
    <w:next w:val="1"/>
    <w:autoRedefine/>
    <w:qFormat/>
    <w:uiPriority w:val="0"/>
    <w:pPr>
      <w:ind w:left="2940"/>
    </w:pPr>
  </w:style>
  <w:style w:type="paragraph" w:styleId="6">
    <w:name w:val="Normal Indent"/>
    <w:basedOn w:val="1"/>
    <w:autoRedefine/>
    <w:qFormat/>
    <w:uiPriority w:val="0"/>
    <w:pPr>
      <w:ind w:firstLine="420"/>
    </w:pPr>
  </w:style>
  <w:style w:type="paragraph" w:styleId="7">
    <w:name w:val="annotation text"/>
    <w:basedOn w:val="1"/>
    <w:next w:val="8"/>
    <w:link w:val="35"/>
    <w:autoRedefine/>
    <w:qFormat/>
    <w:uiPriority w:val="0"/>
    <w:pPr>
      <w:jc w:val="left"/>
    </w:pPr>
  </w:style>
  <w:style w:type="paragraph" w:styleId="8">
    <w:name w:val="toc 5"/>
    <w:basedOn w:val="1"/>
    <w:next w:val="1"/>
    <w:autoRedefine/>
    <w:semiHidden/>
    <w:qFormat/>
    <w:uiPriority w:val="0"/>
    <w:pPr>
      <w:ind w:left="840"/>
      <w:jc w:val="left"/>
    </w:pPr>
    <w:rPr>
      <w:szCs w:val="21"/>
    </w:rPr>
  </w:style>
  <w:style w:type="paragraph" w:styleId="9">
    <w:name w:val="Body Text"/>
    <w:basedOn w:val="1"/>
    <w:next w:val="1"/>
    <w:autoRedefine/>
    <w:qFormat/>
    <w:uiPriority w:val="0"/>
    <w:pPr>
      <w:autoSpaceDE w:val="0"/>
      <w:autoSpaceDN w:val="0"/>
      <w:jc w:val="left"/>
    </w:pPr>
    <w:rPr>
      <w:rFonts w:ascii="宋体" w:hAnsi="宋体"/>
      <w:kern w:val="0"/>
      <w:sz w:val="32"/>
      <w:szCs w:val="32"/>
    </w:rPr>
  </w:style>
  <w:style w:type="paragraph" w:styleId="10">
    <w:name w:val="Plain Text"/>
    <w:basedOn w:val="1"/>
    <w:autoRedefine/>
    <w:qFormat/>
    <w:uiPriority w:val="0"/>
    <w:rPr>
      <w:rFonts w:hint="eastAsia" w:ascii="宋体" w:hAnsi="Courier New"/>
      <w:kern w:val="0"/>
      <w:sz w:val="20"/>
      <w:szCs w:val="21"/>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style>
  <w:style w:type="paragraph" w:styleId="14">
    <w:name w:val="Body Text 2"/>
    <w:basedOn w:val="1"/>
    <w:autoRedefine/>
    <w:qFormat/>
    <w:uiPriority w:val="0"/>
    <w:pPr>
      <w:spacing w:line="360" w:lineRule="auto"/>
    </w:pPr>
    <w:rPr>
      <w:rFonts w:ascii="Times New Roman" w:hAnsi="Times New Roman"/>
      <w:kern w:val="0"/>
      <w:sz w:val="24"/>
    </w:rPr>
  </w:style>
  <w:style w:type="paragraph" w:styleId="15">
    <w:name w:val="Normal (Web)"/>
    <w:basedOn w:val="1"/>
    <w:autoRedefine/>
    <w:qFormat/>
    <w:uiPriority w:val="0"/>
    <w:pPr>
      <w:spacing w:beforeAutospacing="1" w:afterAutospacing="1"/>
      <w:jc w:val="left"/>
    </w:pPr>
    <w:rPr>
      <w:rFonts w:cs="Times New Roman"/>
      <w:kern w:val="0"/>
      <w:sz w:val="24"/>
    </w:rPr>
  </w:style>
  <w:style w:type="paragraph" w:styleId="16">
    <w:name w:val="annotation subject"/>
    <w:basedOn w:val="7"/>
    <w:next w:val="7"/>
    <w:link w:val="36"/>
    <w:autoRedefine/>
    <w:qFormat/>
    <w:uiPriority w:val="0"/>
    <w:rPr>
      <w:b/>
      <w:bC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Hyperlink"/>
    <w:basedOn w:val="19"/>
    <w:autoRedefine/>
    <w:qFormat/>
    <w:uiPriority w:val="0"/>
    <w:rPr>
      <w:color w:val="0026E5" w:themeColor="hyperlink"/>
      <w:u w:val="single"/>
      <w14:textFill>
        <w14:solidFill>
          <w14:schemeClr w14:val="hlink"/>
        </w14:solidFill>
      </w14:textFill>
    </w:rPr>
  </w:style>
  <w:style w:type="character" w:styleId="22">
    <w:name w:val="annotation reference"/>
    <w:basedOn w:val="19"/>
    <w:autoRedefine/>
    <w:qFormat/>
    <w:uiPriority w:val="0"/>
    <w:rPr>
      <w:sz w:val="21"/>
      <w:szCs w:val="21"/>
    </w:rPr>
  </w:style>
  <w:style w:type="paragraph" w:customStyle="1" w:styleId="23">
    <w:name w:val="表格文字"/>
    <w:basedOn w:val="1"/>
    <w:autoRedefine/>
    <w:qFormat/>
    <w:uiPriority w:val="99"/>
    <w:pPr>
      <w:spacing w:before="25" w:after="25"/>
    </w:pPr>
    <w:rPr>
      <w:spacing w:val="10"/>
      <w:sz w:val="24"/>
    </w:rPr>
  </w:style>
  <w:style w:type="paragraph" w:customStyle="1" w:styleId="24">
    <w:name w:val="p0"/>
    <w:basedOn w:val="1"/>
    <w:autoRedefine/>
    <w:qFormat/>
    <w:uiPriority w:val="0"/>
    <w:pPr>
      <w:widowControl/>
      <w:spacing w:line="400" w:lineRule="exact"/>
      <w:ind w:firstLine="560" w:firstLineChars="200"/>
    </w:pPr>
    <w:rPr>
      <w:rFonts w:ascii="仿宋_GB2312" w:hAnsi="仿宋_GB2312" w:eastAsia="仿宋_GB2312" w:cs="仿宋_GB2312"/>
      <w:color w:val="000000" w:themeColor="text1"/>
      <w:sz w:val="28"/>
      <w:szCs w:val="28"/>
      <w14:textFill>
        <w14:solidFill>
          <w14:schemeClr w14:val="tx1"/>
        </w14:solidFill>
      </w14:textFill>
    </w:rPr>
  </w:style>
  <w:style w:type="paragraph" w:customStyle="1" w:styleId="25">
    <w:name w:val="列出段落111"/>
    <w:basedOn w:val="1"/>
    <w:autoRedefine/>
    <w:qFormat/>
    <w:uiPriority w:val="0"/>
    <w:pPr>
      <w:ind w:firstLine="420" w:firstLineChars="200"/>
    </w:pPr>
  </w:style>
  <w:style w:type="paragraph" w:customStyle="1" w:styleId="26">
    <w:name w:val="Table Text"/>
    <w:basedOn w:val="1"/>
    <w:autoRedefine/>
    <w:semiHidden/>
    <w:qFormat/>
    <w:uiPriority w:val="0"/>
    <w:rPr>
      <w:rFonts w:ascii="仿宋" w:hAnsi="仿宋" w:eastAsia="仿宋" w:cs="仿宋"/>
      <w:szCs w:val="21"/>
      <w:lang w:eastAsia="en-US"/>
    </w:rPr>
  </w:style>
  <w:style w:type="paragraph" w:customStyle="1" w:styleId="27">
    <w:name w:val="_Style 1"/>
    <w:basedOn w:val="1"/>
    <w:next w:val="1"/>
    <w:autoRedefine/>
    <w:qFormat/>
    <w:uiPriority w:val="99"/>
    <w:pPr>
      <w:ind w:firstLine="420" w:firstLineChars="200"/>
    </w:pPr>
  </w:style>
  <w:style w:type="character" w:customStyle="1" w:styleId="28">
    <w:name w:val="正文_2 Char"/>
    <w:autoRedefine/>
    <w:qFormat/>
    <w:uiPriority w:val="0"/>
    <w:rPr>
      <w:rFonts w:hint="eastAsia" w:ascii="宋体" w:hAnsi="宋体" w:eastAsia="宋体"/>
      <w:kern w:val="2"/>
      <w:sz w:val="21"/>
      <w:szCs w:val="22"/>
      <w:lang w:val="en-US" w:eastAsia="zh-CN"/>
    </w:rPr>
  </w:style>
  <w:style w:type="paragraph" w:customStyle="1" w:styleId="29">
    <w:name w:val="正文+首行缩进2 字符"/>
    <w:basedOn w:val="1"/>
    <w:autoRedefine/>
    <w:qFormat/>
    <w:uiPriority w:val="0"/>
    <w:pPr>
      <w:spacing w:afterLines="25" w:line="300" w:lineRule="auto"/>
      <w:ind w:firstLine="480" w:firstLineChars="200"/>
    </w:pPr>
    <w:rPr>
      <w:rFonts w:ascii="Times New Roman" w:hAnsi="Times New Roman" w:cs="宋体"/>
      <w:szCs w:val="20"/>
    </w:rPr>
  </w:style>
  <w:style w:type="paragraph" w:customStyle="1" w:styleId="30">
    <w:name w:val="列出段落3"/>
    <w:basedOn w:val="1"/>
    <w:autoRedefine/>
    <w:qFormat/>
    <w:uiPriority w:val="34"/>
    <w:pPr>
      <w:ind w:firstLine="420" w:firstLineChars="200"/>
    </w:pPr>
  </w:style>
  <w:style w:type="paragraph" w:customStyle="1" w:styleId="31">
    <w:name w:val="列出段落1"/>
    <w:basedOn w:val="1"/>
    <w:autoRedefine/>
    <w:qFormat/>
    <w:uiPriority w:val="34"/>
    <w:pPr>
      <w:ind w:firstLine="420" w:firstLineChars="200"/>
    </w:pPr>
  </w:style>
  <w:style w:type="paragraph" w:styleId="3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纯文本1"/>
    <w:basedOn w:val="1"/>
    <w:autoRedefine/>
    <w:qFormat/>
    <w:uiPriority w:val="0"/>
    <w:rPr>
      <w:rFonts w:ascii="宋体" w:hAnsi="Courier New"/>
      <w:szCs w:val="20"/>
    </w:rPr>
  </w:style>
  <w:style w:type="paragraph" w:customStyle="1" w:styleId="34">
    <w:name w:val="列出段落2"/>
    <w:basedOn w:val="1"/>
    <w:autoRedefine/>
    <w:qFormat/>
    <w:uiPriority w:val="34"/>
    <w:pPr>
      <w:ind w:firstLine="420" w:firstLineChars="200"/>
    </w:pPr>
  </w:style>
  <w:style w:type="character" w:customStyle="1" w:styleId="35">
    <w:name w:val="批注文字 字符"/>
    <w:basedOn w:val="19"/>
    <w:link w:val="7"/>
    <w:autoRedefine/>
    <w:qFormat/>
    <w:uiPriority w:val="0"/>
    <w:rPr>
      <w:rFonts w:ascii="Calibri" w:hAnsi="Calibri" w:cs="黑体"/>
      <w:kern w:val="2"/>
      <w:sz w:val="21"/>
      <w:szCs w:val="24"/>
    </w:rPr>
  </w:style>
  <w:style w:type="character" w:customStyle="1" w:styleId="36">
    <w:name w:val="批注主题 字符"/>
    <w:basedOn w:val="35"/>
    <w:link w:val="16"/>
    <w:autoRedefine/>
    <w:qFormat/>
    <w:uiPriority w:val="0"/>
    <w:rPr>
      <w:rFonts w:ascii="Calibri" w:hAnsi="Calibri" w:cs="黑体"/>
      <w:b/>
      <w:bCs/>
      <w:kern w:val="2"/>
      <w:sz w:val="21"/>
      <w:szCs w:val="24"/>
    </w:rPr>
  </w:style>
  <w:style w:type="paragraph" w:customStyle="1" w:styleId="37">
    <w:name w:val="修订1"/>
    <w:autoRedefine/>
    <w:hidden/>
    <w:unhideWhenUsed/>
    <w:qFormat/>
    <w:uiPriority w:val="99"/>
    <w:rPr>
      <w:rFonts w:ascii="Calibri" w:hAnsi="Calibri" w:eastAsia="宋体" w:cs="黑体"/>
      <w:kern w:val="2"/>
      <w:sz w:val="21"/>
      <w:szCs w:val="24"/>
      <w:lang w:val="en-US" w:eastAsia="zh-CN" w:bidi="ar-SA"/>
    </w:rPr>
  </w:style>
  <w:style w:type="character" w:customStyle="1" w:styleId="38">
    <w:name w:val="未处理的提及1"/>
    <w:basedOn w:val="19"/>
    <w:autoRedefine/>
    <w:semiHidden/>
    <w:unhideWhenUsed/>
    <w:qFormat/>
    <w:uiPriority w:val="99"/>
    <w:rPr>
      <w:color w:val="605E5C"/>
      <w:shd w:val="clear" w:color="auto" w:fill="E1DFDD"/>
    </w:rPr>
  </w:style>
  <w:style w:type="paragraph" w:customStyle="1" w:styleId="39">
    <w:name w:val="Revision"/>
    <w:autoRedefine/>
    <w:hidden/>
    <w:unhideWhenUsed/>
    <w:qFormat/>
    <w:uiPriority w:val="99"/>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8784</Words>
  <Characters>9041</Characters>
  <Lines>945</Lines>
  <Paragraphs>851</Paragraphs>
  <TotalTime>3</TotalTime>
  <ScaleCrop>false</ScaleCrop>
  <LinksUpToDate>false</LinksUpToDate>
  <CharactersWithSpaces>9130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2025-09-05T16:40:00Z</dcterms:created>
  <dc:creator>张生</dc:creator>
  <cp:lastModifiedBy>HyoQi</cp:lastModifiedBy>
  <cp:lastPrinted>2025-08-13T06:53:00Z</cp:lastPrinted>
  <dcterms:modified xsi:type="dcterms:W3CDTF">2025-09-08T03:34:51Z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2306909188524BC58BD40D731CE468E1_13</vt:lpwstr>
  </property>
  <property fmtid="{D5CDD505-2E9C-101B-9397-08002B2CF9AE}" pid="4" name="KSOTemplateDocerSaveRecord">
    <vt:lpwstr>eyJoZGlkIjoiN2RiNWQ5NGYzY2IxYzY2OGVkMjg0YWI2OWFlOGVkZmIiLCJ1c2VySWQiOiI0MDk2MDE5NTQifQ==</vt:lpwstr>
  </property>
</Properties>
</file>