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00B2">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南联社康中心后补式冷库采购</w:t>
      </w:r>
      <w:r>
        <w:rPr>
          <w:rFonts w:hint="eastAsia" w:ascii="仿宋" w:hAnsi="仿宋" w:eastAsia="仿宋" w:cs="仿宋"/>
          <w:b/>
          <w:bCs/>
          <w:sz w:val="44"/>
          <w:szCs w:val="44"/>
          <w:highlight w:val="none"/>
        </w:rPr>
        <w:t>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DED687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43804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7B8933A1">
            <w:pPr>
              <w:rPr>
                <w:rFonts w:hint="default" w:ascii="仿宋" w:hAnsi="仿宋" w:eastAsia="仿宋" w:cs="仿宋"/>
                <w:sz w:val="28"/>
                <w:szCs w:val="28"/>
                <w:highlight w:val="none"/>
                <w:lang w:val="en-US" w:eastAsia="zh-CN"/>
              </w:rPr>
            </w:pPr>
            <w:bookmarkStart w:id="26" w:name="_GoBack"/>
            <w:r>
              <w:rPr>
                <w:rFonts w:hint="default" w:ascii="仿宋" w:hAnsi="仿宋" w:eastAsia="仿宋" w:cs="仿宋"/>
                <w:sz w:val="28"/>
                <w:szCs w:val="28"/>
                <w:highlight w:val="none"/>
                <w:lang w:val="en-US" w:eastAsia="zh-CN"/>
              </w:rPr>
              <w:t>LGZXYYZBB20250723-1</w:t>
            </w:r>
            <w:bookmarkEnd w:id="26"/>
            <w:r>
              <w:rPr>
                <w:rFonts w:hint="eastAsia" w:ascii="仿宋" w:hAnsi="仿宋" w:eastAsia="仿宋" w:cs="仿宋"/>
                <w:sz w:val="28"/>
                <w:szCs w:val="28"/>
                <w:highlight w:val="none"/>
                <w:lang w:val="en-US" w:eastAsia="zh-CN"/>
              </w:rPr>
              <w:t>A</w:t>
            </w:r>
          </w:p>
        </w:tc>
      </w:tr>
      <w:tr w14:paraId="5677BE1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36EBE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40B98690">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南联社康中心后补式冷库采购</w:t>
            </w:r>
          </w:p>
        </w:tc>
      </w:tr>
      <w:tr w14:paraId="6CFF67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B967FE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3A4CAD8">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13C1866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7681E7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BAE75C3">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C127BC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AC7DBE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02CB7EA">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71C57B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6A2B45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658EC8B">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B01334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A44E5C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3B711AA">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73145F67">
      <w:pPr>
        <w:pStyle w:val="16"/>
        <w:jc w:val="center"/>
        <w:outlineLvl w:val="1"/>
        <w:rPr>
          <w:rFonts w:hint="eastAsia" w:ascii="仿宋" w:hAnsi="仿宋" w:eastAsia="仿宋" w:cs="仿宋"/>
          <w:sz w:val="24"/>
          <w:szCs w:val="24"/>
          <w:highlight w:val="none"/>
        </w:rPr>
      </w:pPr>
    </w:p>
    <w:p w14:paraId="51E858C1">
      <w:pPr>
        <w:pStyle w:val="16"/>
        <w:jc w:val="center"/>
        <w:outlineLvl w:val="1"/>
        <w:rPr>
          <w:rFonts w:hint="eastAsia" w:ascii="仿宋" w:hAnsi="仿宋" w:eastAsia="仿宋" w:cs="仿宋"/>
          <w:sz w:val="24"/>
          <w:szCs w:val="24"/>
          <w:highlight w:val="none"/>
        </w:rPr>
      </w:pPr>
    </w:p>
    <w:p w14:paraId="3E527CCB">
      <w:pPr>
        <w:pStyle w:val="16"/>
        <w:jc w:val="center"/>
        <w:outlineLvl w:val="1"/>
        <w:rPr>
          <w:rFonts w:hint="eastAsia" w:ascii="仿宋" w:hAnsi="仿宋" w:eastAsia="仿宋" w:cs="仿宋"/>
          <w:sz w:val="24"/>
          <w:szCs w:val="24"/>
          <w:highlight w:val="none"/>
        </w:rPr>
      </w:pPr>
    </w:p>
    <w:p w14:paraId="46A2C74F">
      <w:pPr>
        <w:pStyle w:val="16"/>
        <w:widowControl/>
        <w:jc w:val="center"/>
        <w:outlineLvl w:val="1"/>
        <w:rPr>
          <w:rFonts w:hint="eastAsia" w:ascii="仿宋" w:hAnsi="仿宋" w:eastAsia="仿宋" w:cs="仿宋"/>
          <w:sz w:val="40"/>
          <w:szCs w:val="40"/>
          <w:highlight w:val="none"/>
        </w:rPr>
      </w:pPr>
    </w:p>
    <w:p w14:paraId="39838813">
      <w:pPr>
        <w:pStyle w:val="16"/>
        <w:widowControl/>
        <w:jc w:val="center"/>
        <w:outlineLvl w:val="1"/>
        <w:rPr>
          <w:rFonts w:hint="eastAsia" w:ascii="仿宋" w:hAnsi="仿宋" w:eastAsia="仿宋" w:cs="仿宋"/>
          <w:sz w:val="40"/>
          <w:szCs w:val="40"/>
          <w:highlight w:val="none"/>
        </w:rPr>
      </w:pPr>
    </w:p>
    <w:p w14:paraId="55781F49">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4EE72799">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1"/>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631E693">
      <w:pPr>
        <w:jc w:val="center"/>
        <w:rPr>
          <w:rFonts w:hint="eastAsia" w:ascii="仿宋" w:hAnsi="仿宋" w:eastAsia="仿宋" w:cs="仿宋"/>
          <w:b/>
          <w:bCs/>
          <w:color w:val="auto"/>
          <w:kern w:val="44"/>
          <w:sz w:val="32"/>
          <w:szCs w:val="32"/>
          <w:lang w:val="en-US" w:eastAsia="zh-CN"/>
        </w:rPr>
      </w:pPr>
    </w:p>
    <w:p w14:paraId="4F0ED524">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1F67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5C6C3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749523A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1679BA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0F07FBF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7418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4F19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4DDCEB7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18880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0683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64B3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B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AC06F2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31A085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6C9AFF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A4514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7963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D50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500595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B518D5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7AC8F0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8D9B55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72BE8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92B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7C75B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24DD2A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D558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577BE5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280E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61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F975E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A9B3A7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7D217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BFA9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87EF8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57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5F4A0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59EAFFA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43CF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B16154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C7F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CA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B41D26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3932458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3A2DFFF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8931F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FA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3C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9D6A57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7ADA468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270E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0EE03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D7F8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07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D662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2B479E8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EC9E8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2F588F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FA1A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772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6EE0D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2586F0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41714F0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EF2DB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61DA7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4AE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767C0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513CAE7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2DF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104EC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0DD81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58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C02FA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0D42C15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DC80EA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906A8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18A65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CA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048E9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1A551F7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002286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FB2A0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13531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10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FD940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DF17E1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A9654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68FA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E240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2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B58242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0E457B3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1A4F0A4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CDD3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49C4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DD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5953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7388850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73DB47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6802A4B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76E5C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5E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1AD73A74">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7F8A3A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52E26B5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FC0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4D029B56">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5A14167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0DB307BC">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6591156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4DE0DA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28AE61">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3E5CB8A7">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1C4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6E50C79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7DF87B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CE529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0A449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721A1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64CE2C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4C863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870F0B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21D0BF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421490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3F1398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E34E99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339C9F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EFA967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288D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520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564B36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2CCC36A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5C16A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EC45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0D93CE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78F481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4111AC7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5328B7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23CE10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41CE7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109AA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3B131E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A1EF2E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8DF16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E9E5D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C6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8729E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50F2EF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31C6A4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4050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08762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F0932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6D630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5ACECE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31985C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08B52C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2B4742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333D4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04F353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2DBFE3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547FFA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F41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3726FC1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5D7A49F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7390CA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0951B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FFC53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05CCBD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A39D13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70D913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378E437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678F6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338833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F1D08A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F85CF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689291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C9EAFE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882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E35741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0AAD8C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2618D4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D32F3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B4D40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7709468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0413F9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906E34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888485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2D749B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BC5B6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2DD106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B4DAF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9FA93D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7DE53B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50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2E2D0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791F0E4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B7F9AC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9DE0F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3D2204B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DB4A5C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43AD19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71D660E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254BC0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52017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A538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8474E5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39A364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F5CC5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6B0DB9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3DF9660F">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48B07CB7">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4767AC3B">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17AE966F">
      <w:pPr>
        <w:pStyle w:val="52"/>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3EA6528A">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45150083">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631B231D">
      <w:pPr>
        <w:pStyle w:val="52"/>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FA7573C">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14:paraId="3258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089BFB">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52AD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180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C73115">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E6CDE75">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2601ED7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14:paraId="231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47881BD">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B607B0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05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727832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0811051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704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6F5A14C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38AAB37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B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A631E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725A2B4A">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4D9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E482BA">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399134E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9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23FC36B">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1CF8C15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59F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7C3A09">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03F2B8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1F1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7B02F2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40750F5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0E1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DC4E9A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340215D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2B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1334E12">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152979A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18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402CE4">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D141BB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2D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32D4859">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C1EB79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E53D37C">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38E674D">
      <w:pPr>
        <w:pStyle w:val="16"/>
        <w:jc w:val="center"/>
        <w:outlineLvl w:val="1"/>
        <w:rPr>
          <w:rFonts w:hint="eastAsia" w:ascii="仿宋" w:hAnsi="仿宋" w:eastAsia="仿宋" w:cs="仿宋"/>
          <w:sz w:val="40"/>
          <w:szCs w:val="40"/>
          <w:highlight w:val="none"/>
        </w:rPr>
      </w:pPr>
    </w:p>
    <w:p w14:paraId="020BFEA9">
      <w:pPr>
        <w:pStyle w:val="16"/>
        <w:jc w:val="center"/>
        <w:outlineLvl w:val="1"/>
        <w:rPr>
          <w:rFonts w:hint="eastAsia" w:ascii="仿宋" w:hAnsi="仿宋" w:eastAsia="仿宋" w:cs="仿宋"/>
          <w:sz w:val="24"/>
          <w:szCs w:val="24"/>
          <w:highlight w:val="none"/>
        </w:rPr>
      </w:pPr>
    </w:p>
    <w:p w14:paraId="01E1964F">
      <w:pPr>
        <w:pStyle w:val="16"/>
        <w:jc w:val="center"/>
        <w:outlineLvl w:val="1"/>
        <w:rPr>
          <w:rFonts w:hint="eastAsia" w:ascii="仿宋" w:hAnsi="仿宋" w:eastAsia="仿宋" w:cs="仿宋"/>
          <w:sz w:val="24"/>
          <w:szCs w:val="24"/>
          <w:highlight w:val="none"/>
        </w:rPr>
      </w:pPr>
    </w:p>
    <w:p w14:paraId="5375FE73">
      <w:pPr>
        <w:pStyle w:val="16"/>
        <w:spacing w:after="1134"/>
        <w:jc w:val="center"/>
        <w:outlineLvl w:val="1"/>
        <w:rPr>
          <w:rFonts w:hint="eastAsia" w:ascii="仿宋" w:hAnsi="仿宋" w:eastAsia="仿宋" w:cs="仿宋"/>
          <w:b/>
          <w:bCs/>
          <w:sz w:val="32"/>
          <w:szCs w:val="32"/>
          <w:highlight w:val="none"/>
        </w:rPr>
      </w:pPr>
    </w:p>
    <w:p w14:paraId="5412661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p>
    <w:p w14:paraId="5828D59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3" w:type="pct"/>
        <w:jc w:val="center"/>
        <w:tblCellSpacing w:w="0" w:type="dxa"/>
        <w:tblLayout w:type="autofit"/>
        <w:tblCellMar>
          <w:top w:w="45" w:type="dxa"/>
          <w:left w:w="45" w:type="dxa"/>
          <w:bottom w:w="45" w:type="dxa"/>
          <w:right w:w="45" w:type="dxa"/>
        </w:tblCellMar>
      </w:tblPr>
      <w:tblGrid>
        <w:gridCol w:w="386"/>
        <w:gridCol w:w="38"/>
        <w:gridCol w:w="53"/>
        <w:gridCol w:w="476"/>
        <w:gridCol w:w="1349"/>
        <w:gridCol w:w="836"/>
        <w:gridCol w:w="4727"/>
        <w:gridCol w:w="140"/>
        <w:gridCol w:w="752"/>
        <w:gridCol w:w="500"/>
      </w:tblGrid>
      <w:tr w14:paraId="51C7DE3C">
        <w:tblPrEx>
          <w:tblCellMar>
            <w:top w:w="45" w:type="dxa"/>
            <w:left w:w="45" w:type="dxa"/>
            <w:bottom w:w="45" w:type="dxa"/>
            <w:right w:w="45" w:type="dxa"/>
          </w:tblCellMar>
        </w:tblPrEx>
        <w:trPr>
          <w:gridBefore w:val="1"/>
          <w:gridAfter w:val="2"/>
          <w:wBefore w:w="243" w:type="pct"/>
          <w:wAfter w:w="618" w:type="pct"/>
          <w:tblCellSpacing w:w="0" w:type="dxa"/>
          <w:jc w:val="center"/>
        </w:trPr>
        <w:tc>
          <w:tcPr>
            <w:tcW w:w="4068" w:type="pct"/>
            <w:gridSpan w:val="6"/>
            <w:tcBorders>
              <w:top w:val="nil"/>
              <w:left w:val="nil"/>
              <w:bottom w:val="nil"/>
              <w:right w:val="nil"/>
            </w:tcBorders>
            <w:vAlign w:val="center"/>
          </w:tcPr>
          <w:p w14:paraId="7BDF10B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69" w:type="pct"/>
            <w:tcBorders>
              <w:top w:val="nil"/>
              <w:left w:val="nil"/>
              <w:bottom w:val="nil"/>
              <w:right w:val="nil"/>
            </w:tcBorders>
            <w:vAlign w:val="center"/>
          </w:tcPr>
          <w:p w14:paraId="39EF3E46">
            <w:pPr>
              <w:rPr>
                <w:rFonts w:hint="eastAsia" w:ascii="仿宋" w:hAnsi="仿宋" w:eastAsia="仿宋" w:cs="仿宋"/>
                <w:b/>
                <w:bCs/>
                <w:sz w:val="24"/>
                <w:szCs w:val="24"/>
                <w:highlight w:val="none"/>
              </w:rPr>
            </w:pPr>
          </w:p>
        </w:tc>
      </w:tr>
      <w:tr w14:paraId="6787A2E0">
        <w:tblPrEx>
          <w:tblCellMar>
            <w:top w:w="45" w:type="dxa"/>
            <w:left w:w="45" w:type="dxa"/>
            <w:bottom w:w="45" w:type="dxa"/>
            <w:right w:w="45" w:type="dxa"/>
          </w:tblCellMar>
        </w:tblPrEx>
        <w:trPr>
          <w:gridBefore w:val="2"/>
          <w:gridAfter w:val="1"/>
          <w:wBefore w:w="267" w:type="pct"/>
          <w:wAfter w:w="247" w:type="pct"/>
          <w:trHeight w:val="90" w:hRule="atLeast"/>
          <w:tblCellSpacing w:w="0" w:type="dxa"/>
          <w:jc w:val="center"/>
        </w:trPr>
        <w:tc>
          <w:tcPr>
            <w:tcW w:w="4485"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243"/>
            </w:tblGrid>
            <w:tr w14:paraId="1AFB526F">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14:paraId="116E5F4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5E795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1DD916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17F89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3E4972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23529E9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C776941">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20D2FCA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02964B0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2A61876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1B3BC5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4715EE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B57831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769874B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23F3830E">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4EF724DF">
            <w:pPr>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tcBorders>
              <w:top w:val="single" w:color="auto" w:sz="4" w:space="0"/>
              <w:left w:val="single" w:color="auto" w:sz="4" w:space="0"/>
              <w:bottom w:val="single" w:color="auto" w:sz="4" w:space="0"/>
              <w:right w:val="single" w:color="auto" w:sz="4" w:space="0"/>
            </w:tcBorders>
            <w:vAlign w:val="center"/>
          </w:tcPr>
          <w:p w14:paraId="58014F2E">
            <w:pPr>
              <w:pStyle w:val="15"/>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44D7068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3A5D672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tcBorders>
              <w:top w:val="single" w:color="auto" w:sz="4" w:space="0"/>
              <w:left w:val="single" w:color="auto" w:sz="4" w:space="0"/>
              <w:bottom w:val="single" w:color="auto" w:sz="4" w:space="0"/>
              <w:right w:val="single" w:color="auto" w:sz="4" w:space="0"/>
            </w:tcBorders>
            <w:vAlign w:val="center"/>
          </w:tcPr>
          <w:p w14:paraId="4CAF3673">
            <w:pPr>
              <w:pStyle w:val="15"/>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60065A1F">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0F50FDC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15"/>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202D36A5">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6E7B6922">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52</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6FF53D0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7541348E">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14:paraId="3DDE606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4E3F2CC5">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A4DF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1B26E54B">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2737DCBF">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16ED2D6D">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所投产品</w:t>
            </w:r>
            <w:r>
              <w:rPr>
                <w:rFonts w:hint="eastAsia" w:ascii="仿宋" w:hAnsi="仿宋" w:eastAsia="仿宋" w:cs="仿宋"/>
                <w:sz w:val="24"/>
                <w:szCs w:val="24"/>
                <w:highlight w:val="none"/>
                <w:lang w:val="en-US" w:eastAsia="zh-CN"/>
              </w:rPr>
              <w:t>重点参数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参数）响应情况评价</w:t>
            </w:r>
          </w:p>
        </w:tc>
        <w:tc>
          <w:tcPr>
            <w:tcW w:w="461" w:type="pct"/>
            <w:tcBorders>
              <w:top w:val="single" w:color="auto" w:sz="4" w:space="0"/>
              <w:left w:val="single" w:color="auto" w:sz="4" w:space="0"/>
              <w:bottom w:val="single" w:color="auto" w:sz="4" w:space="0"/>
              <w:right w:val="single" w:color="auto" w:sz="4" w:space="0"/>
            </w:tcBorders>
            <w:vAlign w:val="center"/>
          </w:tcPr>
          <w:p w14:paraId="10925334">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1FFBF973">
            <w:pPr>
              <w:keepNext w:val="0"/>
              <w:keepLines w:val="0"/>
              <w:pageBreakBefore w:val="0"/>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（一）评分内容：</w:t>
            </w:r>
          </w:p>
          <w:p w14:paraId="70736AE7">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w:t>
            </w:r>
            <w:r>
              <w:rPr>
                <w:rFonts w:hint="eastAsia" w:ascii="仿宋" w:hAnsi="仿宋" w:eastAsia="仿宋" w:cs="仿宋"/>
                <w:color w:val="auto"/>
                <w:sz w:val="24"/>
                <w:szCs w:val="24"/>
                <w:highlight w:val="none"/>
                <w:lang w:val="en-US" w:eastAsia="zh-CN"/>
              </w:rPr>
              <w:t>重点参数</w:t>
            </w:r>
            <w:r>
              <w:rPr>
                <w:rFonts w:hint="eastAsia" w:ascii="仿宋" w:hAnsi="仿宋" w:eastAsia="仿宋" w:cs="仿宋"/>
                <w:color w:val="auto"/>
                <w:sz w:val="24"/>
                <w:szCs w:val="24"/>
                <w:highlight w:val="none"/>
              </w:rPr>
              <w:t>全部满足得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分；有负偏离的，每负偏离一项扣</w:t>
            </w:r>
            <w:r>
              <w:rPr>
                <w:rFonts w:hint="eastAsia" w:ascii="仿宋" w:hAnsi="仿宋" w:eastAsia="仿宋" w:cs="仿宋"/>
                <w:color w:val="auto"/>
                <w:sz w:val="24"/>
                <w:szCs w:val="24"/>
                <w:highlight w:val="none"/>
                <w:lang w:val="en-US" w:eastAsia="zh-CN"/>
              </w:rPr>
              <w:t>2.67</w:t>
            </w:r>
            <w:r>
              <w:rPr>
                <w:rFonts w:hint="eastAsia" w:ascii="仿宋" w:hAnsi="仿宋" w:eastAsia="仿宋" w:cs="仿宋"/>
                <w:color w:val="auto"/>
                <w:sz w:val="24"/>
                <w:szCs w:val="24"/>
                <w:highlight w:val="none"/>
              </w:rPr>
              <w:t>分，负偏离达</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项本项不得分。</w:t>
            </w:r>
          </w:p>
          <w:p w14:paraId="2E267402">
            <w:pPr>
              <w:keepNext w:val="0"/>
              <w:keepLines w:val="0"/>
              <w:pageBreakBefore w:val="0"/>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（二）评审依据：</w:t>
            </w:r>
          </w:p>
          <w:p w14:paraId="2B873321">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条款</w:t>
            </w:r>
            <w:r>
              <w:rPr>
                <w:rFonts w:hint="eastAsia" w:ascii="仿宋" w:hAnsi="仿宋" w:eastAsia="仿宋" w:cs="仿宋"/>
                <w:color w:val="auto"/>
                <w:sz w:val="24"/>
                <w:szCs w:val="24"/>
                <w:highlight w:val="none"/>
              </w:rPr>
              <w:t>偏离表》</w:t>
            </w:r>
          </w:p>
        </w:tc>
      </w:tr>
      <w:tr w14:paraId="0991C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205EC871">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27581CDE">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0CAF9FF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50EC4999">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1091E1">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p w14:paraId="28B3D7BD">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所投产品一般技术参数全部满足得</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rPr>
              <w:t>；有负偏离的，每负偏离一项扣</w:t>
            </w:r>
            <w:r>
              <w:rPr>
                <w:rFonts w:hint="eastAsia" w:ascii="仿宋" w:hAnsi="仿宋" w:eastAsia="仿宋" w:cs="仿宋"/>
                <w:color w:val="auto"/>
                <w:sz w:val="24"/>
                <w:szCs w:val="24"/>
                <w:highlight w:val="none"/>
                <w:lang w:val="en-US" w:eastAsia="zh-CN"/>
              </w:rPr>
              <w:t>0.77分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负偏离达13项本项不得分。</w:t>
            </w:r>
          </w:p>
          <w:p w14:paraId="6317C454">
            <w:pPr>
              <w:keepNext w:val="0"/>
              <w:keepLines w:val="0"/>
              <w:pageBreakBefore w:val="0"/>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（二）评分依据：</w:t>
            </w:r>
          </w:p>
          <w:p w14:paraId="1ADD45D0">
            <w:pPr>
              <w:keepNext w:val="0"/>
              <w:keepLines w:val="0"/>
              <w:pageBreakBefore w:val="0"/>
              <w:wordWrap w:val="0"/>
              <w:overflowPunct/>
              <w:topLinePunct w:val="0"/>
              <w:bidi w:val="0"/>
              <w:spacing w:line="240" w:lineRule="auto"/>
              <w:ind w:firstLine="0" w:firstLineChars="0"/>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4"/>
                <w:highlight w:val="none"/>
              </w:rPr>
              <w:t>投标人应如实填写《技术</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偏离表》，评审委员会根据投标人对招标文件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章用户需求书 四、技术要求</w:t>
            </w:r>
            <w:r>
              <w:rPr>
                <w:rFonts w:hint="eastAsia" w:ascii="仿宋" w:hAnsi="仿宋" w:eastAsia="仿宋" w:cs="仿宋"/>
                <w:color w:val="auto"/>
                <w:sz w:val="24"/>
                <w:szCs w:val="24"/>
                <w:highlight w:val="none"/>
                <w:lang w:val="en-US" w:eastAsia="zh-CN"/>
              </w:rPr>
              <w:t xml:space="preserve"> （二）技术参数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的响应情况进行评审</w:t>
            </w:r>
            <w:r>
              <w:rPr>
                <w:rFonts w:hint="eastAsia" w:ascii="仿宋" w:hAnsi="仿宋" w:eastAsia="仿宋" w:cs="仿宋"/>
                <w:color w:val="auto"/>
                <w:sz w:val="24"/>
                <w:szCs w:val="24"/>
                <w:highlight w:val="none"/>
                <w:lang w:eastAsia="zh-CN"/>
              </w:rPr>
              <w:t>。</w:t>
            </w:r>
          </w:p>
        </w:tc>
      </w:tr>
      <w:tr w14:paraId="348BC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2653836B">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6C73040E">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73B68A1E">
            <w:pPr>
              <w:pStyle w:val="27"/>
              <w:snapToGrid w:val="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工作方案和售后服务内容</w:t>
            </w:r>
          </w:p>
        </w:tc>
        <w:tc>
          <w:tcPr>
            <w:tcW w:w="461" w:type="pct"/>
            <w:tcBorders>
              <w:top w:val="single" w:color="auto" w:sz="4" w:space="0"/>
              <w:left w:val="single" w:color="auto" w:sz="4" w:space="0"/>
              <w:bottom w:val="single" w:color="auto" w:sz="4" w:space="0"/>
              <w:right w:val="single" w:color="auto" w:sz="4" w:space="0"/>
            </w:tcBorders>
            <w:vAlign w:val="center"/>
          </w:tcPr>
          <w:p w14:paraId="783BF5B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lang w:val="en-US" w:eastAsia="zh-CN"/>
              </w:rPr>
              <w:t>15</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5467CA76">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（一）评审内容：</w:t>
            </w:r>
          </w:p>
          <w:p w14:paraId="25D5CFB8">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根据投标人提供的</w:t>
            </w:r>
            <w:r>
              <w:rPr>
                <w:rFonts w:hint="eastAsia" w:ascii="仿宋" w:hAnsi="仿宋" w:eastAsia="仿宋" w:cs="仿宋"/>
                <w:sz w:val="24"/>
                <w:szCs w:val="24"/>
                <w:highlight w:val="none"/>
              </w:rPr>
              <w:t>工作方案和售后服务内容</w:t>
            </w:r>
            <w:r>
              <w:rPr>
                <w:rFonts w:hint="eastAsia" w:ascii="仿宋" w:hAnsi="仿宋" w:eastAsia="仿宋" w:cs="仿宋"/>
                <w:color w:val="000000"/>
                <w:sz w:val="24"/>
                <w:szCs w:val="24"/>
              </w:rPr>
              <w:t>进行评审，包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p>
          <w:p w14:paraId="7FC1AF15">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1.服务承诺书；</w:t>
            </w:r>
          </w:p>
          <w:p w14:paraId="771D1233">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进度安排及安装方案；</w:t>
            </w:r>
          </w:p>
          <w:p w14:paraId="51ACC8BB">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售后人员配备情况；</w:t>
            </w:r>
          </w:p>
          <w:p w14:paraId="3A038788">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产品培训计划、维护服务；</w:t>
            </w:r>
          </w:p>
          <w:p w14:paraId="2EDD10AF">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备品备件、产品配件价格优惠。</w:t>
            </w:r>
          </w:p>
          <w:p w14:paraId="5F6D4D60">
            <w:pPr>
              <w:widowControl/>
              <w:wordWrap w:val="0"/>
              <w:spacing w:line="320" w:lineRule="exact"/>
              <w:rPr>
                <w:rFonts w:hint="default" w:eastAsia="仿宋"/>
                <w:lang w:val="en-US" w:eastAsia="zh-CN"/>
              </w:rPr>
            </w:pPr>
            <w:r>
              <w:rPr>
                <w:rFonts w:hint="eastAsia" w:ascii="仿宋" w:hAnsi="仿宋" w:eastAsia="仿宋" w:cs="仿宋"/>
                <w:color w:val="000000"/>
                <w:sz w:val="24"/>
                <w:szCs w:val="24"/>
                <w:lang w:val="en-US" w:eastAsia="zh-CN"/>
              </w:rPr>
              <w:t>6.设计方案及说明。</w:t>
            </w:r>
          </w:p>
          <w:p w14:paraId="308E2838">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（二）评分依据：</w:t>
            </w:r>
          </w:p>
          <w:p w14:paraId="58EF751A">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1.每提供上述任意一项内容的得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分，本项最高得</w:t>
            </w:r>
            <w:r>
              <w:rPr>
                <w:rFonts w:hint="eastAsia" w:ascii="仿宋" w:hAnsi="仿宋" w:eastAsia="仿宋" w:cs="仿宋"/>
                <w:color w:val="auto"/>
                <w:sz w:val="24"/>
                <w:szCs w:val="24"/>
                <w:lang w:val="en-US" w:eastAsia="zh-CN"/>
              </w:rPr>
              <w:t>9</w:t>
            </w:r>
            <w:r>
              <w:rPr>
                <w:rFonts w:hint="eastAsia" w:ascii="仿宋" w:hAnsi="仿宋" w:eastAsia="仿宋" w:cs="仿宋"/>
                <w:color w:val="000000"/>
                <w:sz w:val="24"/>
                <w:szCs w:val="24"/>
              </w:rPr>
              <w:t>分。</w:t>
            </w:r>
          </w:p>
          <w:p w14:paraId="5B6D826E">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r>
              <w:rPr>
                <w:rFonts w:hint="eastAsia" w:ascii="仿宋" w:hAnsi="仿宋" w:eastAsia="仿宋" w:cs="仿宋"/>
                <w:color w:val="000000"/>
                <w:sz w:val="24"/>
                <w:szCs w:val="24"/>
              </w:rPr>
              <w:t>：</w:t>
            </w:r>
          </w:p>
          <w:p w14:paraId="1275672B">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p w14:paraId="18FA210F">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，加</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14:paraId="209F94C3">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加2</w:t>
            </w:r>
            <w:r>
              <w:rPr>
                <w:rFonts w:hint="eastAsia" w:ascii="仿宋" w:hAnsi="仿宋" w:eastAsia="仿宋" w:cs="仿宋"/>
                <w:color w:val="000000"/>
                <w:sz w:val="24"/>
                <w:szCs w:val="24"/>
              </w:rPr>
              <w:t>分；</w:t>
            </w:r>
          </w:p>
          <w:p w14:paraId="59C7D4C2">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不加分。</w:t>
            </w:r>
          </w:p>
          <w:p w14:paraId="5504BAAE">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14:paraId="6289B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207B4732">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7E46FF71">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25" w:type="pct"/>
            <w:tcBorders>
              <w:top w:val="single" w:color="auto" w:sz="4" w:space="0"/>
              <w:left w:val="single" w:color="auto" w:sz="4" w:space="0"/>
              <w:bottom w:val="single" w:color="auto" w:sz="4" w:space="0"/>
              <w:right w:val="single" w:color="auto" w:sz="4" w:space="0"/>
            </w:tcBorders>
            <w:vAlign w:val="center"/>
          </w:tcPr>
          <w:p w14:paraId="0AD7300D">
            <w:pPr>
              <w:widowControl/>
              <w:wordWrap w:val="0"/>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rPr>
              <w:t>质量保障措施方案</w:t>
            </w:r>
          </w:p>
        </w:tc>
        <w:tc>
          <w:tcPr>
            <w:tcW w:w="461" w:type="pct"/>
            <w:tcBorders>
              <w:top w:val="single" w:color="auto" w:sz="4" w:space="0"/>
              <w:left w:val="single" w:color="auto" w:sz="4" w:space="0"/>
              <w:bottom w:val="single" w:color="auto" w:sz="4" w:space="0"/>
              <w:right w:val="single" w:color="auto" w:sz="4" w:space="0"/>
            </w:tcBorders>
            <w:vAlign w:val="center"/>
          </w:tcPr>
          <w:p w14:paraId="59778074">
            <w:pPr>
              <w:widowControl/>
              <w:wordWrap w:val="0"/>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lang w:val="en-US" w:eastAsia="zh-CN"/>
              </w:rPr>
              <w:t>10</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577125CE">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一）评分内容：</w:t>
            </w:r>
          </w:p>
          <w:p w14:paraId="2DD3A966">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根据投标人提供的质量保障措施方案</w:t>
            </w:r>
            <w:r>
              <w:rPr>
                <w:rFonts w:hint="eastAsia" w:ascii="仿宋" w:hAnsi="仿宋" w:eastAsia="仿宋" w:cs="仿宋"/>
                <w:color w:val="000000"/>
                <w:sz w:val="24"/>
                <w:szCs w:val="24"/>
                <w:lang w:val="en-US" w:eastAsia="zh-CN"/>
              </w:rPr>
              <w:t>进行评审，</w:t>
            </w:r>
            <w:r>
              <w:rPr>
                <w:rFonts w:hint="eastAsia" w:ascii="仿宋" w:hAnsi="仿宋" w:eastAsia="仿宋" w:cs="仿宋"/>
                <w:color w:val="000000"/>
                <w:sz w:val="24"/>
                <w:szCs w:val="24"/>
              </w:rPr>
              <w:t>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p>
          <w:p w14:paraId="04F16A57">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1.完成时间保障措施及方案；</w:t>
            </w:r>
          </w:p>
          <w:p w14:paraId="649AB3DF">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安全保障措施及方案；</w:t>
            </w:r>
          </w:p>
          <w:p w14:paraId="63685DB9">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应急措施及方案。</w:t>
            </w:r>
          </w:p>
          <w:p w14:paraId="54A3ED43">
            <w:pPr>
              <w:widowControl/>
              <w:wordWrap w:val="0"/>
              <w:spacing w:line="320" w:lineRule="exact"/>
              <w:rPr>
                <w:rFonts w:hint="default" w:eastAsia="仿宋"/>
                <w:lang w:val="en-US" w:eastAsia="zh-CN"/>
              </w:rPr>
            </w:pPr>
            <w:r>
              <w:rPr>
                <w:rFonts w:hint="eastAsia" w:ascii="仿宋" w:hAnsi="仿宋" w:eastAsia="仿宋" w:cs="仿宋"/>
                <w:color w:val="000000"/>
                <w:sz w:val="24"/>
                <w:szCs w:val="24"/>
                <w:lang w:val="en-US" w:eastAsia="zh-CN"/>
              </w:rPr>
              <w:t>4.质量保证措施。</w:t>
            </w:r>
          </w:p>
          <w:p w14:paraId="096BFF69">
            <w:pPr>
              <w:widowControl/>
              <w:wordWrap w:val="0"/>
              <w:spacing w:line="320" w:lineRule="exact"/>
              <w:rPr>
                <w:rFonts w:hint="default" w:eastAsia="仿宋"/>
                <w:lang w:val="en-US" w:eastAsia="zh-CN"/>
              </w:rPr>
            </w:pPr>
            <w:r>
              <w:rPr>
                <w:rFonts w:hint="eastAsia" w:ascii="仿宋" w:hAnsi="仿宋" w:eastAsia="仿宋" w:cs="仿宋"/>
                <w:color w:val="000000"/>
                <w:sz w:val="24"/>
                <w:szCs w:val="24"/>
                <w:lang w:val="en-US" w:eastAsia="zh-CN"/>
              </w:rPr>
              <w:t>5.售后维修应急响应时间保证。</w:t>
            </w:r>
          </w:p>
          <w:p w14:paraId="12F7B99D">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二）评分依据：</w:t>
            </w:r>
          </w:p>
          <w:p w14:paraId="6B78279A">
            <w:pPr>
              <w:widowControl/>
              <w:wordWrap w:val="0"/>
              <w:spacing w:line="320" w:lineRule="exact"/>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1.每提供上述任意一项内容的得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rPr>
              <w:t>分。</w:t>
            </w:r>
          </w:p>
          <w:p w14:paraId="731CA50A">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14:paraId="0A4A9C88">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14:paraId="164F98FB">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，加</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p w14:paraId="18F319E6">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加1</w:t>
            </w:r>
            <w:r>
              <w:rPr>
                <w:rFonts w:hint="eastAsia" w:ascii="仿宋" w:hAnsi="仿宋" w:eastAsia="仿宋" w:cs="仿宋"/>
                <w:color w:val="000000"/>
                <w:sz w:val="24"/>
                <w:szCs w:val="24"/>
              </w:rPr>
              <w:t>分；</w:t>
            </w:r>
          </w:p>
          <w:p w14:paraId="1D624816">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不加分。</w:t>
            </w:r>
          </w:p>
          <w:p w14:paraId="0DD11BCF">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14:paraId="69CFB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1698A673">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6CB3B703">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25" w:type="pct"/>
            <w:tcBorders>
              <w:top w:val="single" w:color="auto" w:sz="4" w:space="0"/>
              <w:left w:val="single" w:color="auto" w:sz="4" w:space="0"/>
              <w:bottom w:val="single" w:color="auto" w:sz="4" w:space="0"/>
              <w:right w:val="single" w:color="auto" w:sz="4" w:space="0"/>
            </w:tcBorders>
            <w:vAlign w:val="center"/>
          </w:tcPr>
          <w:p w14:paraId="04883B35">
            <w:pPr>
              <w:widowControl/>
              <w:wordWrap w:val="0"/>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项目重点、难点分析；应对措施及相关的合理化建议</w:t>
            </w:r>
          </w:p>
        </w:tc>
        <w:tc>
          <w:tcPr>
            <w:tcW w:w="461" w:type="pct"/>
            <w:tcBorders>
              <w:top w:val="single" w:color="auto" w:sz="4" w:space="0"/>
              <w:left w:val="single" w:color="auto" w:sz="4" w:space="0"/>
              <w:bottom w:val="single" w:color="auto" w:sz="4" w:space="0"/>
              <w:right w:val="single" w:color="auto" w:sz="4" w:space="0"/>
            </w:tcBorders>
            <w:vAlign w:val="center"/>
          </w:tcPr>
          <w:p w14:paraId="5F8A619D">
            <w:pPr>
              <w:widowControl/>
              <w:wordWrap w:val="0"/>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373B947A">
            <w:pPr>
              <w:widowControl/>
              <w:wordWrap w:val="0"/>
              <w:spacing w:line="320" w:lineRule="exac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一）评分内容：</w:t>
            </w:r>
          </w:p>
          <w:p w14:paraId="7F1A0EE7">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根据投标人提供的项目重点难点分析、应对措施及相关的合理化建议进行评审</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rPr>
              <w:t>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r>
              <w:rPr>
                <w:rFonts w:hint="eastAsia" w:ascii="仿宋" w:hAnsi="仿宋" w:eastAsia="仿宋" w:cs="仿宋"/>
                <w:color w:val="000000"/>
                <w:sz w:val="24"/>
                <w:szCs w:val="24"/>
                <w:highlight w:val="none"/>
              </w:rPr>
              <w:t>：</w:t>
            </w:r>
          </w:p>
          <w:p w14:paraId="57529EFF">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项目重点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难点分析；</w:t>
            </w:r>
          </w:p>
          <w:p w14:paraId="04FEB213">
            <w:pPr>
              <w:widowControl/>
              <w:wordWrap w:val="0"/>
              <w:spacing w:line="320" w:lineRule="exact"/>
              <w:rPr>
                <w:rFonts w:hint="default" w:eastAsia="仿宋"/>
                <w:lang w:val="en-US"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针对项目重点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难点</w:t>
            </w:r>
            <w:r>
              <w:rPr>
                <w:rFonts w:hint="eastAsia" w:ascii="仿宋" w:hAnsi="仿宋" w:eastAsia="仿宋" w:cs="仿宋"/>
                <w:color w:val="000000"/>
                <w:sz w:val="24"/>
                <w:szCs w:val="24"/>
                <w:highlight w:val="none"/>
              </w:rPr>
              <w:t>逐项提出应对措施</w:t>
            </w:r>
            <w:r>
              <w:rPr>
                <w:rFonts w:hint="eastAsia" w:ascii="仿宋" w:hAnsi="仿宋" w:eastAsia="仿宋" w:cs="仿宋"/>
                <w:color w:val="000000"/>
                <w:sz w:val="24"/>
                <w:szCs w:val="24"/>
                <w:highlight w:val="none"/>
                <w:lang w:val="en-US" w:eastAsia="zh-CN"/>
              </w:rPr>
              <w:t>及</w:t>
            </w:r>
            <w:r>
              <w:rPr>
                <w:rFonts w:hint="eastAsia" w:ascii="仿宋" w:hAnsi="仿宋" w:eastAsia="仿宋" w:cs="仿宋"/>
                <w:color w:val="000000"/>
                <w:sz w:val="24"/>
                <w:szCs w:val="24"/>
                <w:highlight w:val="none"/>
              </w:rPr>
              <w:t>合理化建议。</w:t>
            </w:r>
          </w:p>
          <w:p w14:paraId="031AA350">
            <w:pPr>
              <w:widowControl/>
              <w:wordWrap w:val="0"/>
              <w:spacing w:line="320" w:lineRule="exac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二）评分依据：</w:t>
            </w:r>
          </w:p>
          <w:p w14:paraId="657A29A6">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每提供上述任意一项内容的得</w:t>
            </w: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lang w:val="zh-CN"/>
              </w:rPr>
              <w:t>分，本项最高得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zh-CN"/>
              </w:rPr>
              <w:t>分</w:t>
            </w:r>
            <w:r>
              <w:rPr>
                <w:rFonts w:hint="eastAsia" w:ascii="仿宋" w:hAnsi="仿宋" w:eastAsia="仿宋" w:cs="仿宋"/>
                <w:color w:val="000000"/>
                <w:sz w:val="24"/>
                <w:szCs w:val="24"/>
                <w:highlight w:val="none"/>
              </w:rPr>
              <w:t>。</w:t>
            </w:r>
          </w:p>
          <w:p w14:paraId="5E78D7A6">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在此基础上，由评审委员根据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14:paraId="26ABEB30">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（1）重点难点分析全面，应对措施可行性高，相关建议科学合理，评审为优的，加</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w:t>
            </w:r>
          </w:p>
          <w:p w14:paraId="426D5BFD">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（2）重点难点分析</w:t>
            </w:r>
            <w:r>
              <w:rPr>
                <w:rFonts w:hint="eastAsia" w:ascii="仿宋" w:hAnsi="仿宋" w:eastAsia="仿宋" w:cs="仿宋"/>
                <w:color w:val="000000"/>
                <w:sz w:val="24"/>
                <w:szCs w:val="24"/>
                <w:highlight w:val="none"/>
                <w:lang w:val="en-US" w:eastAsia="zh-CN"/>
              </w:rPr>
              <w:t>较全面</w:t>
            </w:r>
            <w:r>
              <w:rPr>
                <w:rFonts w:hint="eastAsia" w:ascii="仿宋" w:hAnsi="仿宋" w:eastAsia="仿宋" w:cs="仿宋"/>
                <w:color w:val="000000"/>
                <w:sz w:val="24"/>
                <w:szCs w:val="24"/>
                <w:highlight w:val="none"/>
              </w:rPr>
              <w:t>，应对措施可行性</w:t>
            </w:r>
            <w:r>
              <w:rPr>
                <w:rFonts w:hint="eastAsia" w:ascii="仿宋" w:hAnsi="仿宋" w:eastAsia="仿宋" w:cs="仿宋"/>
                <w:color w:val="000000"/>
                <w:sz w:val="24"/>
                <w:szCs w:val="24"/>
                <w:highlight w:val="none"/>
                <w:lang w:val="en-US" w:eastAsia="zh-CN"/>
              </w:rPr>
              <w:t>较高</w:t>
            </w:r>
            <w:r>
              <w:rPr>
                <w:rFonts w:hint="eastAsia" w:ascii="仿宋" w:hAnsi="仿宋" w:eastAsia="仿宋" w:cs="仿宋"/>
                <w:color w:val="000000"/>
                <w:sz w:val="24"/>
                <w:szCs w:val="24"/>
                <w:highlight w:val="none"/>
              </w:rPr>
              <w:t>，相关建议</w:t>
            </w:r>
            <w:r>
              <w:rPr>
                <w:rFonts w:hint="eastAsia" w:ascii="仿宋" w:hAnsi="仿宋" w:eastAsia="仿宋" w:cs="仿宋"/>
                <w:color w:val="000000"/>
                <w:sz w:val="24"/>
                <w:szCs w:val="24"/>
                <w:highlight w:val="none"/>
                <w:lang w:val="en-US" w:eastAsia="zh-CN"/>
              </w:rPr>
              <w:t>较</w:t>
            </w:r>
            <w:r>
              <w:rPr>
                <w:rFonts w:hint="eastAsia" w:ascii="仿宋" w:hAnsi="仿宋" w:eastAsia="仿宋" w:cs="仿宋"/>
                <w:color w:val="000000"/>
                <w:sz w:val="24"/>
                <w:szCs w:val="24"/>
                <w:highlight w:val="none"/>
              </w:rPr>
              <w:t>科学合理，评审为良</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，加</w:t>
            </w: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rPr>
              <w:t xml:space="preserve"> 分；​</w:t>
            </w:r>
          </w:p>
          <w:p w14:paraId="70755760">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（3）重点难点分析一般，应对措施可行性一般，相关建议一般，评审为中的，加</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w:t>
            </w:r>
          </w:p>
          <w:p w14:paraId="4F279E07">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（4）重点难点分析不够全面，应对措施可行性</w:t>
            </w:r>
            <w:r>
              <w:rPr>
                <w:rFonts w:hint="eastAsia" w:ascii="仿宋" w:hAnsi="仿宋" w:eastAsia="仿宋" w:cs="仿宋"/>
                <w:color w:val="000000"/>
                <w:sz w:val="24"/>
                <w:szCs w:val="24"/>
                <w:highlight w:val="none"/>
                <w:lang w:val="en-US" w:eastAsia="zh-CN"/>
              </w:rPr>
              <w:t>低</w:t>
            </w:r>
            <w:r>
              <w:rPr>
                <w:rFonts w:hint="eastAsia" w:ascii="仿宋" w:hAnsi="仿宋" w:eastAsia="仿宋" w:cs="仿宋"/>
                <w:color w:val="000000"/>
                <w:sz w:val="24"/>
                <w:szCs w:val="24"/>
                <w:highlight w:val="none"/>
              </w:rPr>
              <w:t>，相关建议不够合理，评审为差</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不加分。</w:t>
            </w:r>
          </w:p>
          <w:p w14:paraId="387D1B6B">
            <w:pPr>
              <w:widowControl/>
              <w:wordWrap w:val="0"/>
              <w:spacing w:line="320" w:lineRule="exact"/>
              <w:rPr>
                <w:rFonts w:hint="eastAsia" w:ascii="仿宋" w:hAnsi="仿宋" w:eastAsia="仿宋" w:cs="仿宋"/>
                <w:sz w:val="24"/>
                <w:highlight w:val="none"/>
              </w:rPr>
            </w:pPr>
            <w:r>
              <w:rPr>
                <w:rFonts w:hint="eastAsia" w:ascii="仿宋" w:hAnsi="仿宋" w:eastAsia="仿宋" w:cs="仿宋"/>
                <w:color w:val="000000"/>
                <w:sz w:val="24"/>
                <w:szCs w:val="24"/>
                <w:highlight w:val="none"/>
              </w:rPr>
              <w:t>未提供方案或提供的不符合或专家无法凭所提供材料判断是否得分的情况，一律作不得分处理。</w:t>
            </w:r>
          </w:p>
        </w:tc>
      </w:tr>
      <w:tr w14:paraId="3C2BD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restart"/>
            <w:tcBorders>
              <w:top w:val="single" w:color="auto" w:sz="4" w:space="0"/>
              <w:left w:val="single" w:color="auto" w:sz="4" w:space="0"/>
              <w:right w:val="single" w:color="auto" w:sz="4" w:space="0"/>
            </w:tcBorders>
            <w:vAlign w:val="center"/>
          </w:tcPr>
          <w:p w14:paraId="773D4A9E">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0C8C39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商务</w:t>
            </w:r>
            <w:r>
              <w:rPr>
                <w:rFonts w:hint="eastAsia" w:ascii="仿宋" w:hAnsi="仿宋" w:eastAsia="仿宋" w:cs="仿宋"/>
                <w:b/>
                <w:sz w:val="24"/>
                <w:szCs w:val="24"/>
                <w:highlight w:val="none"/>
              </w:rPr>
              <w:t>部分</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3C44402D">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18</w:t>
            </w:r>
          </w:p>
        </w:tc>
      </w:tr>
      <w:tr w14:paraId="2E286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right w:val="single" w:color="auto" w:sz="4" w:space="0"/>
            </w:tcBorders>
            <w:vAlign w:val="center"/>
          </w:tcPr>
          <w:p w14:paraId="511EB35F">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0EBDBE5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1C136C3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14:paraId="4C4F969D">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285EF8A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E865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right w:val="single" w:color="auto" w:sz="4" w:space="0"/>
            </w:tcBorders>
            <w:vAlign w:val="center"/>
          </w:tcPr>
          <w:p w14:paraId="7BD7EB18">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28F77B7E">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FBC29E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61" w:type="pct"/>
            <w:tcBorders>
              <w:top w:val="single" w:color="auto" w:sz="4" w:space="0"/>
              <w:left w:val="single" w:color="auto" w:sz="4" w:space="0"/>
              <w:bottom w:val="single" w:color="auto" w:sz="4" w:space="0"/>
              <w:right w:val="single" w:color="auto" w:sz="4" w:space="0"/>
            </w:tcBorders>
            <w:vAlign w:val="center"/>
          </w:tcPr>
          <w:p w14:paraId="582D311F">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auto"/>
                <w:sz w:val="24"/>
                <w:highlight w:val="none"/>
                <w:lang w:val="en-US" w:eastAsia="zh-CN"/>
              </w:rPr>
              <w:t>2</w:t>
            </w:r>
          </w:p>
        </w:tc>
        <w:tc>
          <w:tcPr>
            <w:tcW w:w="3028" w:type="pct"/>
            <w:gridSpan w:val="4"/>
            <w:tcBorders>
              <w:top w:val="single" w:color="auto" w:sz="4" w:space="0"/>
              <w:left w:val="single" w:color="auto" w:sz="4" w:space="0"/>
              <w:bottom w:val="single" w:color="auto" w:sz="4" w:space="0"/>
              <w:right w:val="single" w:color="auto" w:sz="4" w:space="0"/>
            </w:tcBorders>
            <w:vAlign w:val="top"/>
          </w:tcPr>
          <w:p w14:paraId="3A17647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7A1D2641">
            <w:pPr>
              <w:widowControl/>
              <w:wordWrap w:val="0"/>
              <w:spacing w:line="320" w:lineRule="exact"/>
              <w:rPr>
                <w:rFonts w:hint="eastAsia" w:ascii="仿宋" w:hAnsi="仿宋" w:eastAsia="仿宋" w:cs="仿宋"/>
                <w:sz w:val="24"/>
                <w:szCs w:val="24"/>
              </w:rPr>
            </w:pPr>
            <w:r>
              <w:rPr>
                <w:rFonts w:hint="eastAsia" w:ascii="仿宋" w:hAnsi="仿宋" w:eastAsia="仿宋" w:cs="仿宋"/>
                <w:sz w:val="24"/>
                <w:szCs w:val="24"/>
              </w:rPr>
              <w:t>投标人提供从2022年</w:t>
            </w:r>
            <w:r>
              <w:rPr>
                <w:rFonts w:hint="eastAsia" w:ascii="仿宋" w:hAnsi="仿宋" w:eastAsia="仿宋" w:cs="仿宋"/>
                <w:sz w:val="24"/>
                <w:szCs w:val="24"/>
                <w:lang w:val="en-US" w:eastAsia="zh-CN"/>
              </w:rPr>
              <w:t>6</w:t>
            </w:r>
            <w:r>
              <w:rPr>
                <w:rFonts w:hint="eastAsia" w:ascii="仿宋" w:hAnsi="仿宋" w:eastAsia="仿宋" w:cs="仿宋"/>
                <w:sz w:val="24"/>
                <w:szCs w:val="24"/>
              </w:rPr>
              <w:t>月1日至本项目投标截止日（以合同签订日期为准）</w:t>
            </w:r>
            <w:r>
              <w:rPr>
                <w:rFonts w:hint="eastAsia" w:ascii="仿宋" w:hAnsi="仿宋" w:eastAsia="仿宋" w:cs="仿宋"/>
                <w:sz w:val="24"/>
                <w:szCs w:val="24"/>
                <w:lang w:val="en-US" w:eastAsia="zh-CN"/>
              </w:rPr>
              <w:t>所投冷库</w:t>
            </w:r>
            <w:r>
              <w:rPr>
                <w:rFonts w:hint="eastAsia" w:ascii="仿宋" w:hAnsi="仿宋" w:eastAsia="仿宋" w:cs="仿宋"/>
                <w:sz w:val="24"/>
                <w:szCs w:val="24"/>
              </w:rPr>
              <w:t>项目业绩，每提供1项得</w:t>
            </w: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分。</w:t>
            </w:r>
          </w:p>
          <w:p w14:paraId="56A64FA5">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F585B83">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提供销售合同关键页（应包含但不限于合同签约主体名称、项目（合同）名称、服务内容、签订合同时间、签约主体公章等关键信息）。</w:t>
            </w:r>
          </w:p>
          <w:p w14:paraId="49417731">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5B834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right w:val="single" w:color="auto" w:sz="4" w:space="0"/>
            </w:tcBorders>
            <w:vAlign w:val="center"/>
          </w:tcPr>
          <w:p w14:paraId="7EA37D37">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6297A3C7">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4FAD7D17">
            <w:pPr>
              <w:pStyle w:val="16"/>
              <w:spacing w:line="32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rPr>
              <w:t>认证情况</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9048281">
            <w:pPr>
              <w:pStyle w:val="16"/>
              <w:spacing w:line="320" w:lineRule="exact"/>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color w:val="auto"/>
                <w:kern w:val="2"/>
                <w:sz w:val="24"/>
                <w:lang w:val="en-US" w:eastAsia="zh-CN"/>
              </w:rPr>
              <w:t>3</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669430">
            <w:pPr>
              <w:pStyle w:val="16"/>
              <w:spacing w:line="320" w:lineRule="exact"/>
              <w:jc w:val="both"/>
              <w:rPr>
                <w:rFonts w:ascii="仿宋" w:hAnsi="仿宋" w:eastAsia="仿宋" w:cs="仿宋"/>
              </w:rPr>
            </w:pPr>
            <w:r>
              <w:rPr>
                <w:rFonts w:hint="eastAsia" w:ascii="仿宋" w:hAnsi="仿宋" w:eastAsia="仿宋" w:cs="仿宋"/>
                <w:b/>
                <w:bCs/>
                <w:color w:val="000000"/>
              </w:rPr>
              <w:t>（一）评分内容：</w:t>
            </w:r>
          </w:p>
          <w:p w14:paraId="2A8143AA">
            <w:pPr>
              <w:pStyle w:val="16"/>
              <w:spacing w:line="320" w:lineRule="exact"/>
              <w:jc w:val="both"/>
              <w:rPr>
                <w:rFonts w:ascii="仿宋" w:hAnsi="仿宋" w:eastAsia="仿宋" w:cs="仿宋"/>
                <w:color w:val="000000"/>
              </w:rPr>
            </w:pPr>
            <w:r>
              <w:rPr>
                <w:rFonts w:hint="eastAsia" w:ascii="仿宋" w:hAnsi="仿宋" w:eastAsia="仿宋" w:cs="仿宋"/>
                <w:color w:val="000000"/>
              </w:rPr>
              <w:t>投标人或</w:t>
            </w:r>
            <w:r>
              <w:rPr>
                <w:rFonts w:hint="eastAsia" w:ascii="仿宋" w:hAnsi="仿宋" w:eastAsia="仿宋" w:cs="仿宋"/>
                <w:color w:val="auto"/>
                <w:lang w:val="en-US" w:eastAsia="zh-CN"/>
              </w:rPr>
              <w:t>核心产品</w:t>
            </w:r>
            <w:r>
              <w:rPr>
                <w:rFonts w:hint="eastAsia" w:ascii="仿宋" w:hAnsi="仿宋" w:eastAsia="仿宋" w:cs="仿宋"/>
                <w:color w:val="000000"/>
              </w:rPr>
              <w:t>制造商具有以下认证证书：</w:t>
            </w:r>
          </w:p>
          <w:p w14:paraId="356CC904">
            <w:pPr>
              <w:pStyle w:val="16"/>
              <w:spacing w:line="320" w:lineRule="exact"/>
              <w:jc w:val="both"/>
              <w:rPr>
                <w:rFonts w:ascii="仿宋" w:hAnsi="仿宋" w:eastAsia="仿宋" w:cs="仿宋"/>
                <w:color w:val="000000"/>
              </w:rPr>
            </w:pPr>
            <w:r>
              <w:rPr>
                <w:rFonts w:hint="eastAsia" w:ascii="仿宋" w:hAnsi="仿宋" w:eastAsia="仿宋" w:cs="仿宋"/>
                <w:color w:val="000000"/>
                <w:lang w:val="en-US" w:eastAsia="zh-CN"/>
              </w:rPr>
              <w:t>1.</w:t>
            </w:r>
            <w:r>
              <w:rPr>
                <w:rFonts w:hint="eastAsia" w:ascii="仿宋" w:hAnsi="仿宋" w:eastAsia="仿宋" w:cs="仿宋"/>
                <w:color w:val="000000"/>
              </w:rPr>
              <w:t>质量管理体系认证证书；</w:t>
            </w:r>
          </w:p>
          <w:p w14:paraId="2289A984">
            <w:pPr>
              <w:pStyle w:val="16"/>
              <w:spacing w:line="320" w:lineRule="exact"/>
              <w:jc w:val="both"/>
              <w:rPr>
                <w:rFonts w:ascii="仿宋" w:hAnsi="仿宋" w:eastAsia="仿宋" w:cs="仿宋"/>
                <w:color w:val="000000"/>
              </w:rPr>
            </w:pPr>
            <w:r>
              <w:rPr>
                <w:rFonts w:hint="eastAsia" w:ascii="仿宋" w:hAnsi="仿宋" w:eastAsia="仿宋" w:cs="仿宋"/>
                <w:color w:val="000000"/>
                <w:lang w:val="en-US" w:eastAsia="zh-CN"/>
              </w:rPr>
              <w:t>2.</w:t>
            </w:r>
            <w:r>
              <w:rPr>
                <w:rFonts w:hint="eastAsia" w:ascii="仿宋" w:hAnsi="仿宋" w:eastAsia="仿宋" w:cs="仿宋"/>
                <w:color w:val="000000"/>
              </w:rPr>
              <w:t>环境管理体系认证证书；</w:t>
            </w:r>
          </w:p>
          <w:p w14:paraId="793F0E78">
            <w:pPr>
              <w:pStyle w:val="16"/>
              <w:spacing w:line="320" w:lineRule="exact"/>
              <w:jc w:val="both"/>
              <w:rPr>
                <w:rFonts w:hint="eastAsia" w:ascii="仿宋" w:hAnsi="仿宋" w:eastAsia="仿宋" w:cs="仿宋"/>
                <w:color w:val="000000"/>
              </w:rPr>
            </w:pPr>
            <w:r>
              <w:rPr>
                <w:rFonts w:hint="eastAsia" w:ascii="仿宋" w:hAnsi="仿宋" w:eastAsia="仿宋" w:cs="仿宋"/>
                <w:color w:val="000000"/>
                <w:lang w:val="en-US" w:eastAsia="zh-CN"/>
              </w:rPr>
              <w:t>3.</w:t>
            </w:r>
            <w:r>
              <w:rPr>
                <w:rFonts w:hint="eastAsia" w:ascii="仿宋" w:hAnsi="仿宋" w:eastAsia="仿宋" w:cs="仿宋"/>
                <w:color w:val="000000"/>
              </w:rPr>
              <w:t>职业健康安全管理体系认证证书；</w:t>
            </w:r>
          </w:p>
          <w:p w14:paraId="7E59B8F3">
            <w:pPr>
              <w:pStyle w:val="16"/>
              <w:keepNext w:val="0"/>
              <w:keepLines w:val="0"/>
              <w:suppressLineNumbers w:val="0"/>
              <w:spacing w:before="0" w:beforeAutospacing="0" w:after="0" w:afterAutospacing="0" w:line="320" w:lineRule="exact"/>
              <w:ind w:left="0" w:right="0"/>
              <w:jc w:val="both"/>
              <w:rPr>
                <w:rFonts w:hint="eastAsia" w:ascii="仿宋" w:hAnsi="仿宋" w:eastAsia="仿宋" w:cs="仿宋"/>
                <w:color w:val="000000"/>
              </w:rPr>
            </w:pPr>
            <w:r>
              <w:rPr>
                <w:rFonts w:hint="eastAsia" w:ascii="仿宋" w:hAnsi="仿宋" w:eastAsia="仿宋" w:cs="仿宋"/>
                <w:color w:val="000000"/>
              </w:rPr>
              <w:t>提供以上认证证书且认证范围涵盖低温储</w:t>
            </w:r>
            <w:r>
              <w:rPr>
                <w:rFonts w:hint="eastAsia" w:ascii="仿宋" w:hAnsi="仿宋" w:eastAsia="仿宋" w:cs="仿宋"/>
                <w:color w:val="000000"/>
                <w:lang w:val="en-US" w:eastAsia="zh-CN"/>
              </w:rPr>
              <w:t>存</w:t>
            </w:r>
            <w:r>
              <w:rPr>
                <w:rFonts w:hint="eastAsia" w:ascii="仿宋" w:hAnsi="仿宋" w:eastAsia="仿宋" w:cs="仿宋"/>
                <w:color w:val="000000"/>
              </w:rPr>
              <w:t>设备</w:t>
            </w:r>
            <w:r>
              <w:rPr>
                <w:rFonts w:hint="eastAsia" w:ascii="仿宋" w:hAnsi="仿宋" w:eastAsia="仿宋" w:cs="仿宋"/>
                <w:color w:val="000000"/>
                <w:lang w:val="en-US" w:eastAsia="zh-CN"/>
              </w:rPr>
              <w:t>及自动化系统</w:t>
            </w:r>
            <w:r>
              <w:rPr>
                <w:rFonts w:hint="eastAsia" w:ascii="仿宋" w:hAnsi="仿宋" w:eastAsia="仿宋" w:cs="仿宋"/>
                <w:color w:val="000000"/>
              </w:rPr>
              <w:t>，每提供1项得</w:t>
            </w:r>
            <w:r>
              <w:rPr>
                <w:rFonts w:hint="eastAsia" w:ascii="仿宋" w:hAnsi="仿宋" w:eastAsia="仿宋" w:cs="仿宋"/>
                <w:color w:val="000000"/>
                <w:lang w:val="en-US" w:eastAsia="zh-CN"/>
              </w:rPr>
              <w:t>1</w:t>
            </w:r>
            <w:r>
              <w:rPr>
                <w:rFonts w:hint="eastAsia" w:ascii="仿宋" w:hAnsi="仿宋" w:eastAsia="仿宋" w:cs="仿宋"/>
                <w:color w:val="000000"/>
              </w:rPr>
              <w:t>分，最高得</w:t>
            </w:r>
            <w:r>
              <w:rPr>
                <w:rFonts w:hint="eastAsia" w:ascii="仿宋" w:hAnsi="仿宋" w:eastAsia="仿宋" w:cs="仿宋"/>
                <w:color w:val="000000"/>
                <w:lang w:val="en-US" w:eastAsia="zh-CN"/>
              </w:rPr>
              <w:t>3</w:t>
            </w:r>
            <w:r>
              <w:rPr>
                <w:rFonts w:hint="eastAsia" w:ascii="仿宋" w:hAnsi="仿宋" w:eastAsia="仿宋" w:cs="仿宋"/>
                <w:color w:val="000000"/>
              </w:rPr>
              <w:t>分。投标人或</w:t>
            </w:r>
            <w:r>
              <w:rPr>
                <w:rFonts w:hint="eastAsia" w:ascii="仿宋" w:hAnsi="仿宋" w:eastAsia="仿宋" w:cs="仿宋"/>
                <w:color w:val="auto"/>
                <w:lang w:val="en-US" w:eastAsia="zh-CN"/>
              </w:rPr>
              <w:t>核心产品</w:t>
            </w:r>
            <w:r>
              <w:rPr>
                <w:rFonts w:hint="eastAsia" w:ascii="仿宋" w:hAnsi="仿宋" w:eastAsia="仿宋" w:cs="仿宋"/>
                <w:color w:val="000000"/>
                <w:highlight w:val="none"/>
              </w:rPr>
              <w:t>制造商</w:t>
            </w:r>
            <w:r>
              <w:rPr>
                <w:rFonts w:hint="eastAsia" w:ascii="仿宋" w:hAnsi="仿宋" w:eastAsia="仿宋" w:cs="仿宋"/>
                <w:color w:val="000000"/>
              </w:rPr>
              <w:t>因成立不足三个月，而未取得以上认证证书的，</w:t>
            </w:r>
            <w:r>
              <w:rPr>
                <w:rFonts w:hint="eastAsia" w:ascii="仿宋" w:hAnsi="仿宋" w:eastAsia="仿宋" w:cs="仿宋"/>
                <w:color w:val="000000"/>
                <w:lang w:val="en-US" w:eastAsia="zh-CN"/>
              </w:rPr>
              <w:t>可</w:t>
            </w:r>
            <w:r>
              <w:rPr>
                <w:rFonts w:hint="eastAsia" w:ascii="仿宋" w:hAnsi="仿宋" w:eastAsia="仿宋" w:cs="仿宋"/>
                <w:color w:val="000000"/>
              </w:rPr>
              <w:t>提供</w:t>
            </w:r>
            <w:r>
              <w:rPr>
                <w:rFonts w:hint="eastAsia" w:ascii="仿宋" w:hAnsi="仿宋" w:eastAsia="仿宋" w:cs="仿宋"/>
                <w:color w:val="000000"/>
                <w:lang w:val="en-US" w:eastAsia="zh-CN"/>
              </w:rPr>
              <w:t>承诺函</w:t>
            </w:r>
            <w:r>
              <w:rPr>
                <w:rFonts w:hint="eastAsia" w:ascii="仿宋" w:hAnsi="仿宋" w:eastAsia="仿宋" w:cs="仿宋"/>
                <w:color w:val="000000"/>
              </w:rPr>
              <w:t>【格式自拟，至少包含中标（成交）后4个月内取得评审因素相关认证证书等内容】，亦视为符合。如未按承诺要求在4个月内取得相关认证证书的，将视为合同违约，需支付合同金额10%的违约金。</w:t>
            </w:r>
          </w:p>
          <w:p w14:paraId="13CFC3BF">
            <w:pPr>
              <w:pStyle w:val="16"/>
              <w:spacing w:line="320" w:lineRule="exact"/>
              <w:jc w:val="both"/>
              <w:rPr>
                <w:rFonts w:ascii="仿宋" w:hAnsi="仿宋" w:eastAsia="仿宋" w:cs="仿宋"/>
                <w:b/>
                <w:bCs/>
                <w:color w:val="000000"/>
              </w:rPr>
            </w:pPr>
            <w:r>
              <w:rPr>
                <w:rFonts w:hint="eastAsia" w:ascii="仿宋" w:hAnsi="仿宋" w:eastAsia="仿宋" w:cs="仿宋"/>
                <w:b/>
                <w:bCs/>
                <w:color w:val="000000"/>
              </w:rPr>
              <w:t>（二）评分依据： </w:t>
            </w:r>
          </w:p>
          <w:p w14:paraId="58A21345">
            <w:pPr>
              <w:pStyle w:val="16"/>
              <w:wordWrap w:val="0"/>
              <w:topLinePunct/>
              <w:autoSpaceDE w:val="0"/>
              <w:spacing w:line="320" w:lineRule="exact"/>
              <w:rPr>
                <w:rFonts w:ascii="仿宋" w:hAnsi="仿宋" w:eastAsia="仿宋" w:cs="仿宋"/>
                <w:color w:val="000000"/>
              </w:rPr>
            </w:pPr>
            <w:r>
              <w:rPr>
                <w:rFonts w:hint="eastAsia" w:ascii="仿宋" w:hAnsi="仿宋" w:eastAsia="仿宋" w:cs="仿宋"/>
                <w:color w:val="000000"/>
              </w:rPr>
              <w:t>1、投标人或</w:t>
            </w:r>
            <w:r>
              <w:rPr>
                <w:rFonts w:hint="eastAsia" w:ascii="仿宋" w:hAnsi="仿宋" w:eastAsia="仿宋" w:cs="仿宋"/>
                <w:color w:val="auto"/>
                <w:lang w:val="en-US" w:eastAsia="zh-CN"/>
              </w:rPr>
              <w:t>核心产品</w:t>
            </w:r>
            <w:r>
              <w:rPr>
                <w:rFonts w:hint="eastAsia" w:ascii="仿宋" w:hAnsi="仿宋" w:eastAsia="仿宋" w:cs="仿宋"/>
                <w:color w:val="000000"/>
                <w:highlight w:val="none"/>
              </w:rPr>
              <w:t>制造商</w:t>
            </w:r>
            <w:r>
              <w:rPr>
                <w:rFonts w:hint="eastAsia" w:ascii="仿宋" w:hAnsi="仿宋" w:eastAsia="仿宋" w:cs="仿宋"/>
                <w:color w:val="000000"/>
              </w:rPr>
              <w:t>同时提供有效期内的体系认证证书</w:t>
            </w:r>
            <w:r>
              <w:rPr>
                <w:rFonts w:hint="eastAsia" w:ascii="仿宋" w:hAnsi="仿宋" w:eastAsia="仿宋" w:cs="仿宋"/>
                <w:color w:val="000000"/>
                <w:lang w:val="en-US" w:eastAsia="zh-CN"/>
              </w:rPr>
              <w:t>扫描件</w:t>
            </w:r>
            <w:r>
              <w:rPr>
                <w:rFonts w:hint="eastAsia" w:ascii="仿宋" w:hAnsi="仿宋" w:eastAsia="仿宋" w:cs="仿宋"/>
                <w:color w:val="000000"/>
              </w:rPr>
              <w:t>及在全国认证认可信息公共服务平台（认 e 云）（http://cx.cnca.cn/CertECloud/index/index/page）查询有效的截图且编号一致。</w:t>
            </w:r>
          </w:p>
          <w:p w14:paraId="2593CC9E">
            <w:pPr>
              <w:pStyle w:val="16"/>
              <w:spacing w:line="320" w:lineRule="exact"/>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rPr>
              <w:t>2、原件备查，未提供或未按要求提供或提供的不清晰导致专家无法判断的，不得分。</w:t>
            </w:r>
          </w:p>
        </w:tc>
      </w:tr>
      <w:tr w14:paraId="64CC2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1" w:hRule="atLeast"/>
          <w:tblCellSpacing w:w="0" w:type="dxa"/>
          <w:jc w:val="center"/>
        </w:trPr>
        <w:tc>
          <w:tcPr>
            <w:tcW w:w="300" w:type="pct"/>
            <w:gridSpan w:val="3"/>
            <w:vMerge w:val="continue"/>
            <w:tcBorders>
              <w:left w:val="single" w:color="auto" w:sz="4" w:space="0"/>
              <w:right w:val="single" w:color="auto" w:sz="4" w:space="0"/>
            </w:tcBorders>
            <w:vAlign w:val="center"/>
          </w:tcPr>
          <w:p w14:paraId="7EAD104F">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4924D479">
            <w:pPr>
              <w:widowControl/>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宋体" w:hAnsi="宋体" w:eastAsia="宋体" w:cs="宋体"/>
                <w:b w:val="0"/>
                <w:bCs w:val="0"/>
                <w:kern w:val="0"/>
                <w:sz w:val="21"/>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45980FC3">
            <w:pPr>
              <w:pStyle w:val="16"/>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rPr>
              <w:t>软件著作</w:t>
            </w:r>
            <w:r>
              <w:rPr>
                <w:rFonts w:hint="eastAsia" w:ascii="仿宋" w:hAnsi="仿宋" w:eastAsia="仿宋" w:cs="仿宋"/>
                <w:color w:val="auto"/>
              </w:rPr>
              <w:t>权</w:t>
            </w:r>
            <w:r>
              <w:rPr>
                <w:rFonts w:hint="eastAsia" w:ascii="仿宋" w:hAnsi="仿宋" w:eastAsia="仿宋" w:cs="仿宋"/>
                <w:color w:val="auto"/>
                <w:lang w:val="en-US" w:eastAsia="zh-CN"/>
              </w:rPr>
              <w:t>及专利证书</w:t>
            </w:r>
          </w:p>
        </w:tc>
        <w:tc>
          <w:tcPr>
            <w:tcW w:w="886" w:type="dxa"/>
            <w:tcBorders>
              <w:top w:val="single" w:color="auto" w:sz="4" w:space="0"/>
              <w:left w:val="single" w:color="auto" w:sz="4" w:space="0"/>
              <w:bottom w:val="single" w:color="auto" w:sz="4" w:space="0"/>
              <w:right w:val="single" w:color="auto" w:sz="4" w:space="0"/>
            </w:tcBorders>
            <w:vAlign w:val="center"/>
          </w:tcPr>
          <w:p w14:paraId="5A73BE6F">
            <w:pPr>
              <w:wordWrap w:val="0"/>
              <w:spacing w:line="360" w:lineRule="auto"/>
              <w:jc w:val="center"/>
              <w:rPr>
                <w:rFonts w:hint="default" w:ascii="仿宋" w:hAnsi="仿宋" w:eastAsia="仿宋" w:cs="仿宋"/>
                <w:sz w:val="24"/>
                <w:highlight w:val="none"/>
                <w:lang w:val="en-US" w:eastAsia="zh-CN"/>
              </w:rPr>
            </w:pPr>
            <w:r>
              <w:rPr>
                <w:rFonts w:hint="eastAsia" w:ascii="宋体" w:hAnsi="宋体" w:cs="宋体"/>
                <w:b w:val="0"/>
                <w:bCs w:val="0"/>
                <w:color w:val="000000"/>
                <w:sz w:val="21"/>
                <w:szCs w:val="21"/>
                <w:highlight w:val="none"/>
                <w:lang w:val="en-US" w:eastAsia="zh-CN"/>
              </w:rPr>
              <w:t>6</w:t>
            </w:r>
          </w:p>
        </w:tc>
        <w:tc>
          <w:tcPr>
            <w:tcW w:w="5817" w:type="dxa"/>
            <w:gridSpan w:val="4"/>
            <w:tcBorders>
              <w:top w:val="single" w:color="auto" w:sz="4" w:space="0"/>
              <w:left w:val="single" w:color="auto" w:sz="4" w:space="0"/>
              <w:bottom w:val="single" w:color="auto" w:sz="4" w:space="0"/>
              <w:right w:val="single" w:color="auto" w:sz="4" w:space="0"/>
            </w:tcBorders>
            <w:vAlign w:val="center"/>
          </w:tcPr>
          <w:p w14:paraId="287D6827">
            <w:pPr>
              <w:widowControl/>
              <w:spacing w:after="0" w:line="300" w:lineRule="exact"/>
              <w:jc w:val="lef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（一）评分内容：</w:t>
            </w:r>
          </w:p>
          <w:p w14:paraId="6729DA85">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rPr>
              <w:t>投标人</w:t>
            </w:r>
            <w:r>
              <w:rPr>
                <w:rFonts w:hint="eastAsia" w:ascii="仿宋" w:hAnsi="仿宋" w:eastAsia="仿宋" w:cs="仿宋"/>
                <w:color w:val="000000"/>
                <w:lang w:val="en-US" w:eastAsia="zh-CN"/>
              </w:rPr>
              <w:t>或核心产品制造商具有以下证书（自有或购买或租赁）</w:t>
            </w:r>
            <w:r>
              <w:rPr>
                <w:rFonts w:hint="eastAsia" w:ascii="仿宋" w:hAnsi="仿宋" w:eastAsia="仿宋" w:cs="仿宋"/>
                <w:color w:val="000000"/>
                <w:lang w:eastAsia="zh-CN"/>
              </w:rPr>
              <w:t>：</w:t>
            </w:r>
          </w:p>
          <w:p w14:paraId="21D51E41">
            <w:pPr>
              <w:pStyle w:val="16"/>
              <w:spacing w:line="320" w:lineRule="exact"/>
              <w:jc w:val="both"/>
              <w:rPr>
                <w:rFonts w:hint="eastAsia" w:ascii="仿宋" w:hAnsi="仿宋" w:eastAsia="仿宋" w:cs="仿宋"/>
                <w:color w:val="auto"/>
                <w:lang w:eastAsia="zh-CN"/>
              </w:rPr>
            </w:pP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具有</w:t>
            </w:r>
            <w:r>
              <w:rPr>
                <w:rFonts w:hint="eastAsia" w:ascii="仿宋" w:hAnsi="仿宋" w:eastAsia="仿宋" w:cs="仿宋"/>
                <w:color w:val="auto"/>
                <w:lang w:val="en-US" w:eastAsia="zh-CN"/>
              </w:rPr>
              <w:t>疫苗安全存储有关的计算机软件</w:t>
            </w:r>
            <w:r>
              <w:rPr>
                <w:rFonts w:hint="eastAsia" w:ascii="仿宋" w:hAnsi="仿宋" w:eastAsia="仿宋" w:cs="仿宋"/>
                <w:color w:val="auto"/>
              </w:rPr>
              <w:t>著作权登记证书</w:t>
            </w:r>
            <w:r>
              <w:rPr>
                <w:rFonts w:hint="eastAsia" w:ascii="仿宋" w:hAnsi="仿宋" w:eastAsia="仿宋" w:cs="仿宋"/>
                <w:color w:val="auto"/>
                <w:lang w:eastAsia="zh-CN"/>
              </w:rPr>
              <w:t>；</w:t>
            </w:r>
          </w:p>
          <w:p w14:paraId="761C4FAF">
            <w:pPr>
              <w:pStyle w:val="16"/>
              <w:spacing w:line="320" w:lineRule="exact"/>
              <w:jc w:val="both"/>
              <w:rPr>
                <w:rFonts w:hint="eastAsia" w:ascii="仿宋" w:hAnsi="仿宋" w:eastAsia="仿宋" w:cs="仿宋"/>
                <w:color w:val="auto"/>
                <w:lang w:eastAsia="zh-CN"/>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具有制冷智能控制</w:t>
            </w:r>
            <w:r>
              <w:rPr>
                <w:rFonts w:hint="eastAsia" w:ascii="仿宋" w:hAnsi="仿宋" w:eastAsia="仿宋" w:cs="仿宋"/>
                <w:color w:val="auto"/>
                <w:lang w:eastAsia="zh-CN"/>
              </w:rPr>
              <w:t>有关的</w:t>
            </w:r>
            <w:r>
              <w:rPr>
                <w:rFonts w:hint="eastAsia" w:ascii="仿宋" w:hAnsi="仿宋" w:eastAsia="仿宋" w:cs="仿宋"/>
                <w:color w:val="auto"/>
              </w:rPr>
              <w:t>计算机软件著作权登记证书</w:t>
            </w:r>
            <w:r>
              <w:rPr>
                <w:rFonts w:hint="eastAsia" w:ascii="仿宋" w:hAnsi="仿宋" w:eastAsia="仿宋" w:cs="仿宋"/>
                <w:color w:val="auto"/>
                <w:lang w:eastAsia="zh-CN"/>
              </w:rPr>
              <w:t>；</w:t>
            </w:r>
          </w:p>
          <w:p w14:paraId="21D419E1">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rPr>
              <w:t>3</w:t>
            </w:r>
            <w:r>
              <w:rPr>
                <w:rFonts w:hint="eastAsia" w:ascii="仿宋" w:hAnsi="仿宋" w:eastAsia="仿宋" w:cs="仿宋"/>
                <w:color w:val="000000"/>
                <w:lang w:eastAsia="zh-CN"/>
              </w:rPr>
              <w:t>、</w:t>
            </w:r>
            <w:r>
              <w:rPr>
                <w:rFonts w:hint="eastAsia" w:ascii="仿宋" w:hAnsi="仿宋" w:eastAsia="仿宋" w:cs="仿宋"/>
                <w:color w:val="000000"/>
                <w:lang w:val="en-US" w:eastAsia="zh-CN"/>
              </w:rPr>
              <w:t>具有用于冷库的制冷装置、冷库</w:t>
            </w:r>
            <w:r>
              <w:rPr>
                <w:rFonts w:hint="eastAsia" w:ascii="仿宋" w:hAnsi="仿宋" w:eastAsia="仿宋" w:cs="仿宋"/>
                <w:color w:val="000000"/>
              </w:rPr>
              <w:t>实用新型专利证书</w:t>
            </w:r>
            <w:r>
              <w:rPr>
                <w:rFonts w:hint="eastAsia" w:ascii="仿宋" w:hAnsi="仿宋" w:eastAsia="仿宋" w:cs="仿宋"/>
                <w:color w:val="000000"/>
                <w:lang w:eastAsia="zh-CN"/>
              </w:rPr>
              <w:t>。</w:t>
            </w:r>
          </w:p>
          <w:p w14:paraId="3AE9F3FC">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lang w:eastAsia="zh-CN"/>
              </w:rPr>
              <w:t>每提供</w:t>
            </w:r>
            <w:r>
              <w:rPr>
                <w:rFonts w:hint="eastAsia" w:ascii="仿宋" w:hAnsi="仿宋" w:eastAsia="仿宋" w:cs="仿宋"/>
                <w:color w:val="000000"/>
                <w:lang w:val="en-US" w:eastAsia="zh-CN"/>
              </w:rPr>
              <w:t>1</w:t>
            </w:r>
            <w:r>
              <w:rPr>
                <w:rFonts w:hint="eastAsia" w:ascii="仿宋" w:hAnsi="仿宋" w:eastAsia="仿宋" w:cs="仿宋"/>
                <w:color w:val="000000"/>
                <w:lang w:eastAsia="zh-CN"/>
              </w:rPr>
              <w:t>个</w:t>
            </w:r>
            <w:r>
              <w:rPr>
                <w:rFonts w:hint="eastAsia" w:ascii="仿宋" w:hAnsi="仿宋" w:eastAsia="仿宋" w:cs="仿宋"/>
                <w:color w:val="000000"/>
                <w:lang w:val="en-US" w:eastAsia="zh-CN"/>
              </w:rPr>
              <w:t>以上证书</w:t>
            </w:r>
            <w:r>
              <w:rPr>
                <w:rFonts w:hint="eastAsia" w:ascii="仿宋" w:hAnsi="仿宋" w:eastAsia="仿宋" w:cs="仿宋"/>
                <w:color w:val="000000"/>
                <w:lang w:eastAsia="zh-CN"/>
              </w:rPr>
              <w:t>得</w:t>
            </w:r>
            <w:r>
              <w:rPr>
                <w:rFonts w:hint="eastAsia" w:ascii="仿宋" w:hAnsi="仿宋" w:eastAsia="仿宋" w:cs="仿宋"/>
                <w:color w:val="000000"/>
                <w:lang w:val="en-US" w:eastAsia="zh-CN"/>
              </w:rPr>
              <w:t>2</w:t>
            </w:r>
            <w:r>
              <w:rPr>
                <w:rFonts w:hint="eastAsia" w:ascii="仿宋" w:hAnsi="仿宋" w:eastAsia="仿宋" w:cs="仿宋"/>
                <w:color w:val="000000"/>
                <w:lang w:eastAsia="zh-CN"/>
              </w:rPr>
              <w:t>分，最高</w:t>
            </w:r>
            <w:r>
              <w:rPr>
                <w:rFonts w:hint="eastAsia" w:ascii="仿宋" w:hAnsi="仿宋" w:eastAsia="仿宋" w:cs="仿宋"/>
                <w:color w:val="000000"/>
                <w:lang w:val="en-US" w:eastAsia="zh-CN"/>
              </w:rPr>
              <w:t>得6</w:t>
            </w:r>
            <w:r>
              <w:rPr>
                <w:rFonts w:hint="eastAsia" w:ascii="仿宋" w:hAnsi="仿宋" w:eastAsia="仿宋" w:cs="仿宋"/>
                <w:color w:val="000000"/>
                <w:lang w:eastAsia="zh-CN"/>
              </w:rPr>
              <w:t>分。</w:t>
            </w:r>
          </w:p>
          <w:p w14:paraId="2CB67ABA">
            <w:pPr>
              <w:widowControl/>
              <w:spacing w:after="0" w:line="300" w:lineRule="exact"/>
              <w:jc w:val="lef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（二）评分依据：</w:t>
            </w:r>
          </w:p>
          <w:p w14:paraId="6F2A4AF4">
            <w:pPr>
              <w:pStyle w:val="16"/>
              <w:spacing w:line="320" w:lineRule="exact"/>
              <w:jc w:val="both"/>
              <w:rPr>
                <w:rFonts w:hint="eastAsia" w:ascii="仿宋" w:hAnsi="仿宋" w:eastAsia="仿宋" w:cs="仿宋"/>
                <w:color w:val="000000"/>
                <w:lang w:val="en-US" w:eastAsia="zh-CN"/>
              </w:rPr>
            </w:pPr>
            <w:r>
              <w:rPr>
                <w:rFonts w:hint="eastAsia" w:ascii="宋体" w:hAnsi="宋体" w:eastAsia="宋体" w:cs="宋体"/>
                <w:color w:val="auto"/>
                <w:sz w:val="21"/>
                <w:szCs w:val="21"/>
                <w:highlight w:val="none"/>
              </w:rPr>
              <w:t>1、</w:t>
            </w:r>
            <w:r>
              <w:rPr>
                <w:rFonts w:hint="eastAsia" w:ascii="仿宋" w:hAnsi="仿宋" w:eastAsia="仿宋" w:cs="仿宋"/>
                <w:color w:val="000000"/>
                <w:lang w:val="en-US" w:eastAsia="zh-CN"/>
              </w:rPr>
              <w:t>第1-2项投标人或核心产品制造商自有的，提供计算机软件著作权登记证书</w:t>
            </w:r>
            <w:r>
              <w:rPr>
                <w:rFonts w:hint="eastAsia" w:ascii="仿宋" w:hAnsi="仿宋" w:eastAsia="仿宋" w:cs="仿宋"/>
                <w:color w:val="000000"/>
                <w:highlight w:val="none"/>
                <w:lang w:val="en-US" w:eastAsia="zh-CN"/>
              </w:rPr>
              <w:t>扫描件</w:t>
            </w:r>
            <w:r>
              <w:rPr>
                <w:rFonts w:hint="eastAsia" w:ascii="仿宋" w:hAnsi="仿宋" w:eastAsia="仿宋" w:cs="仿宋"/>
                <w:color w:val="000000"/>
                <w:lang w:val="en-US" w:eastAsia="zh-CN"/>
              </w:rPr>
              <w:t>（著作权人须为投标人或核心产品制造商）及其在中国版权登记查询服务平台（https://register.ccopyright.com.cn/query.html）的查询截图；投标人租赁（或购买）的，提供计算机软件著作权登记证书</w:t>
            </w:r>
            <w:r>
              <w:rPr>
                <w:rFonts w:hint="eastAsia" w:ascii="仿宋" w:hAnsi="仿宋" w:eastAsia="仿宋" w:cs="仿宋"/>
                <w:color w:val="000000"/>
                <w:highlight w:val="none"/>
                <w:lang w:val="en-US" w:eastAsia="zh-CN"/>
              </w:rPr>
              <w:t>扫描件</w:t>
            </w:r>
            <w:r>
              <w:rPr>
                <w:rFonts w:hint="eastAsia" w:ascii="仿宋" w:hAnsi="仿宋" w:eastAsia="仿宋" w:cs="仿宋"/>
                <w:color w:val="000000"/>
                <w:lang w:val="en-US" w:eastAsia="zh-CN"/>
              </w:rPr>
              <w:t>（著作权人须为出售/出租方）及其在中国版权登记查询服务平台（https://register.ccopyright.com.cn/query.html）的查询截图，还需提供租赁（或购买）合同关键页（合同内容包含但不限于：签订合同双方的单位名称、签订合同双方的落款盖章、签订日期及计算机软件著作权登记证书名称等）和租赁（或购买）转账凭证；</w:t>
            </w:r>
          </w:p>
          <w:p w14:paraId="19EB607F">
            <w:pPr>
              <w:pStyle w:val="16"/>
              <w:spacing w:line="320" w:lineRule="exact"/>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2、第3项投标人或核心产品制造商自有的，提供专利证书</w:t>
            </w:r>
            <w:r>
              <w:rPr>
                <w:rFonts w:hint="eastAsia" w:ascii="仿宋" w:hAnsi="仿宋" w:eastAsia="仿宋" w:cs="仿宋"/>
                <w:color w:val="000000"/>
                <w:highlight w:val="none"/>
                <w:lang w:val="en-US" w:eastAsia="zh-CN"/>
              </w:rPr>
              <w:t>扫描件</w:t>
            </w:r>
            <w:r>
              <w:rPr>
                <w:rFonts w:hint="eastAsia" w:ascii="仿宋" w:hAnsi="仿宋" w:eastAsia="仿宋" w:cs="仿宋"/>
                <w:color w:val="000000"/>
                <w:lang w:val="en-US" w:eastAsia="zh-CN"/>
              </w:rPr>
              <w:t>（专利人须为投标人或核心产品制造商）；投标人租赁（或购买）的，提供专利证书</w:t>
            </w:r>
            <w:r>
              <w:rPr>
                <w:rFonts w:hint="eastAsia" w:ascii="仿宋" w:hAnsi="仿宋" w:eastAsia="仿宋" w:cs="仿宋"/>
                <w:color w:val="000000"/>
                <w:highlight w:val="none"/>
                <w:lang w:val="en-US" w:eastAsia="zh-CN"/>
              </w:rPr>
              <w:t>扫描件</w:t>
            </w:r>
            <w:r>
              <w:rPr>
                <w:rFonts w:hint="eastAsia" w:ascii="仿宋" w:hAnsi="仿宋" w:eastAsia="仿宋" w:cs="仿宋"/>
                <w:color w:val="000000"/>
                <w:lang w:val="en-US" w:eastAsia="zh-CN"/>
              </w:rPr>
              <w:t>（专利人须为出售/出租方），还需提供租赁（或购买）合同关键页（合同内容包含但不限于：签订合同双方的单位名称、签订合同双方的落款盖章、签订日期及专利证书名称等）和租赁（或购买）转账凭证；</w:t>
            </w:r>
          </w:p>
          <w:p w14:paraId="621D2398">
            <w:pPr>
              <w:pStyle w:val="16"/>
              <w:spacing w:line="320" w:lineRule="exact"/>
              <w:jc w:val="both"/>
              <w:rPr>
                <w:rFonts w:hint="eastAsia" w:ascii="仿宋" w:hAnsi="仿宋" w:eastAsia="仿宋" w:cs="仿宋"/>
                <w:color w:val="000000"/>
              </w:rPr>
            </w:pPr>
            <w:r>
              <w:rPr>
                <w:rFonts w:hint="eastAsia" w:ascii="仿宋" w:hAnsi="仿宋" w:eastAsia="仿宋" w:cs="仿宋"/>
                <w:color w:val="000000"/>
                <w:lang w:val="en-US" w:eastAsia="zh-CN"/>
              </w:rPr>
              <w:t>3、以上证明文件原件备查。未按要求提供或提供不清晰导致专家无法判断的不得分。</w:t>
            </w:r>
          </w:p>
        </w:tc>
      </w:tr>
      <w:tr w14:paraId="5D97C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1" w:hRule="atLeast"/>
          <w:tblCellSpacing w:w="0" w:type="dxa"/>
          <w:jc w:val="center"/>
        </w:trPr>
        <w:tc>
          <w:tcPr>
            <w:tcW w:w="300" w:type="pct"/>
            <w:gridSpan w:val="3"/>
            <w:vMerge w:val="continue"/>
            <w:tcBorders>
              <w:left w:val="single" w:color="auto" w:sz="4" w:space="0"/>
              <w:right w:val="single" w:color="auto" w:sz="4" w:space="0"/>
            </w:tcBorders>
            <w:vAlign w:val="center"/>
          </w:tcPr>
          <w:p w14:paraId="26D2C65A">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18667FDB">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01B73151">
            <w:pPr>
              <w:widowControl/>
              <w:wordWrap w:val="0"/>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免费保修期年限</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E041E86">
            <w:pPr>
              <w:widowControl/>
              <w:wordWrap w:val="0"/>
              <w:spacing w:line="320" w:lineRule="exact"/>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lang w:val="en-US" w:eastAsia="zh-CN"/>
              </w:rPr>
              <w:t>2</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3FF5FFB5">
            <w:pPr>
              <w:widowControl/>
              <w:wordWrap w:val="0"/>
              <w:spacing w:line="320" w:lineRule="exact"/>
              <w:rPr>
                <w:rFonts w:hint="eastAsia" w:ascii="仿宋" w:hAnsi="仿宋" w:eastAsia="仿宋" w:cs="仿宋"/>
                <w:b/>
                <w:bCs/>
                <w:sz w:val="24"/>
                <w:szCs w:val="24"/>
              </w:rPr>
            </w:pPr>
            <w:r>
              <w:rPr>
                <w:rFonts w:hint="eastAsia" w:ascii="仿宋" w:hAnsi="仿宋" w:eastAsia="仿宋" w:cs="仿宋"/>
                <w:b/>
                <w:bCs/>
                <w:sz w:val="24"/>
                <w:szCs w:val="24"/>
              </w:rPr>
              <w:t>（一）评分内容：</w:t>
            </w:r>
          </w:p>
          <w:p w14:paraId="382C02FF">
            <w:pPr>
              <w:pStyle w:val="16"/>
              <w:wordWrap w:val="0"/>
              <w:topLinePunct/>
              <w:autoSpaceDE w:val="0"/>
              <w:spacing w:line="320" w:lineRule="exact"/>
              <w:rPr>
                <w:rFonts w:hint="eastAsia" w:ascii="仿宋" w:hAnsi="仿宋" w:eastAsia="仿宋" w:cs="仿宋"/>
                <w:color w:val="000000"/>
                <w:lang w:eastAsia="zh-CN"/>
              </w:rPr>
            </w:pPr>
            <w:r>
              <w:rPr>
                <w:rFonts w:hint="eastAsia" w:ascii="仿宋" w:hAnsi="仿宋" w:eastAsia="仿宋" w:cs="仿宋"/>
                <w:color w:val="000000"/>
              </w:rPr>
              <w:t>按投标人提供的</w:t>
            </w:r>
            <w:r>
              <w:rPr>
                <w:rFonts w:hint="eastAsia" w:ascii="仿宋" w:hAnsi="仿宋" w:eastAsia="仿宋" w:cs="仿宋"/>
                <w:color w:val="000000"/>
                <w:lang w:val="en-US" w:eastAsia="zh-CN"/>
              </w:rPr>
              <w:t>免费保修期年限进行</w:t>
            </w:r>
            <w:r>
              <w:rPr>
                <w:rFonts w:hint="eastAsia" w:ascii="仿宋" w:hAnsi="仿宋" w:eastAsia="仿宋" w:cs="仿宋"/>
                <w:color w:val="000000"/>
              </w:rPr>
              <w:t>评</w:t>
            </w:r>
            <w:r>
              <w:rPr>
                <w:rFonts w:hint="eastAsia" w:ascii="仿宋" w:hAnsi="仿宋" w:eastAsia="仿宋" w:cs="仿宋"/>
                <w:color w:val="000000"/>
                <w:lang w:val="en-US" w:eastAsia="zh-CN"/>
              </w:rPr>
              <w:t>审</w:t>
            </w:r>
            <w:r>
              <w:rPr>
                <w:rFonts w:hint="eastAsia" w:ascii="仿宋" w:hAnsi="仿宋" w:eastAsia="仿宋" w:cs="仿宋"/>
                <w:color w:val="000000"/>
                <w:lang w:eastAsia="zh-CN"/>
              </w:rPr>
              <w:t>：</w:t>
            </w:r>
          </w:p>
          <w:p w14:paraId="48453574">
            <w:pPr>
              <w:pStyle w:val="16"/>
              <w:wordWrap w:val="0"/>
              <w:topLinePunct/>
              <w:autoSpaceDE w:val="0"/>
              <w:spacing w:line="320" w:lineRule="exact"/>
              <w:rPr>
                <w:rFonts w:hint="eastAsia" w:ascii="仿宋" w:hAnsi="仿宋" w:eastAsia="仿宋" w:cs="仿宋"/>
                <w:color w:val="000000"/>
              </w:rPr>
            </w:pPr>
            <w:r>
              <w:rPr>
                <w:rFonts w:hint="eastAsia" w:ascii="仿宋" w:hAnsi="仿宋" w:eastAsia="仿宋" w:cs="仿宋"/>
                <w:color w:val="000000"/>
                <w:lang w:eastAsia="zh-CN"/>
              </w:rPr>
              <w:t>在至少2年的免费保修期的基础上，</w:t>
            </w:r>
            <w:r>
              <w:rPr>
                <w:rFonts w:hint="eastAsia" w:ascii="仿宋" w:hAnsi="仿宋" w:eastAsia="仿宋" w:cs="仿宋"/>
                <w:color w:val="000000"/>
                <w:lang w:val="en-US" w:eastAsia="zh-CN"/>
              </w:rPr>
              <w:t>免费保修期年限</w:t>
            </w:r>
            <w:r>
              <w:rPr>
                <w:rFonts w:hint="eastAsia" w:ascii="仿宋" w:hAnsi="仿宋" w:eastAsia="仿宋" w:cs="仿宋"/>
                <w:color w:val="000000"/>
              </w:rPr>
              <w:t>每增加</w:t>
            </w:r>
            <w:r>
              <w:rPr>
                <w:rFonts w:hint="eastAsia" w:ascii="仿宋" w:hAnsi="仿宋" w:eastAsia="仿宋" w:cs="仿宋"/>
                <w:color w:val="000000"/>
                <w:lang w:val="en-US" w:eastAsia="zh-CN"/>
              </w:rPr>
              <w:t>1</w:t>
            </w:r>
            <w:r>
              <w:rPr>
                <w:rFonts w:hint="eastAsia" w:ascii="仿宋" w:hAnsi="仿宋" w:eastAsia="仿宋" w:cs="仿宋"/>
                <w:color w:val="000000"/>
              </w:rPr>
              <w:t>年得</w:t>
            </w:r>
            <w:r>
              <w:rPr>
                <w:rFonts w:hint="eastAsia" w:ascii="仿宋" w:hAnsi="仿宋" w:eastAsia="仿宋" w:cs="仿宋"/>
                <w:color w:val="000000"/>
                <w:lang w:val="en-US" w:eastAsia="zh-CN"/>
              </w:rPr>
              <w:t>1</w:t>
            </w:r>
            <w:r>
              <w:rPr>
                <w:rFonts w:hint="eastAsia" w:ascii="仿宋" w:hAnsi="仿宋" w:eastAsia="仿宋" w:cs="仿宋"/>
                <w:color w:val="000000"/>
              </w:rPr>
              <w:t>分，最高得</w:t>
            </w:r>
            <w:r>
              <w:rPr>
                <w:rFonts w:hint="eastAsia" w:ascii="仿宋" w:hAnsi="仿宋" w:eastAsia="仿宋" w:cs="仿宋"/>
                <w:color w:val="000000"/>
                <w:lang w:val="en-US" w:eastAsia="zh-CN"/>
              </w:rPr>
              <w:t>2</w:t>
            </w:r>
            <w:r>
              <w:rPr>
                <w:rFonts w:hint="eastAsia" w:ascii="仿宋" w:hAnsi="仿宋" w:eastAsia="仿宋" w:cs="仿宋"/>
                <w:color w:val="000000"/>
              </w:rPr>
              <w:t>分。</w:t>
            </w:r>
          </w:p>
          <w:p w14:paraId="7B068169">
            <w:pPr>
              <w:widowControl/>
              <w:wordWrap w:val="0"/>
              <w:spacing w:line="320" w:lineRule="exact"/>
              <w:rPr>
                <w:rFonts w:hint="eastAsia" w:ascii="仿宋" w:hAnsi="仿宋" w:eastAsia="仿宋" w:cs="仿宋"/>
                <w:b/>
                <w:bCs/>
                <w:sz w:val="24"/>
                <w:szCs w:val="24"/>
              </w:rPr>
            </w:pPr>
            <w:r>
              <w:rPr>
                <w:rFonts w:hint="eastAsia" w:ascii="仿宋" w:hAnsi="仿宋" w:eastAsia="仿宋" w:cs="仿宋"/>
                <w:b/>
                <w:bCs/>
                <w:sz w:val="24"/>
                <w:szCs w:val="24"/>
              </w:rPr>
              <w:t>（二）评分依据：</w:t>
            </w:r>
          </w:p>
          <w:p w14:paraId="1732DA1C">
            <w:pPr>
              <w:widowControl/>
              <w:wordWrap w:val="0"/>
              <w:spacing w:line="32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提供承诺函（格式自拟，加盖投标人公章）。</w:t>
            </w:r>
          </w:p>
        </w:tc>
      </w:tr>
      <w:tr w14:paraId="412E3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bottom w:val="single" w:color="auto" w:sz="4" w:space="0"/>
              <w:right w:val="single" w:color="auto" w:sz="4" w:space="0"/>
            </w:tcBorders>
            <w:vAlign w:val="center"/>
          </w:tcPr>
          <w:p w14:paraId="0981DD7D">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5186D857">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79FD46B4">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EFC61F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5</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08735D0">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6E7AC892">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280C65DA">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0841F62">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D13D2E1">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61327EA9">
      <w:pPr>
        <w:rPr>
          <w:rFonts w:hint="eastAsia" w:ascii="仿宋" w:hAnsi="仿宋" w:eastAsia="仿宋" w:cs="仿宋"/>
          <w:color w:val="auto"/>
          <w:sz w:val="28"/>
          <w:szCs w:val="28"/>
          <w:highlight w:val="none"/>
        </w:rPr>
      </w:pPr>
    </w:p>
    <w:p w14:paraId="78348A3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2CE76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2E49C979">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D2C107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B2077B7">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1097A068">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64A54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243F276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386174B2">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17E31E9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47BE4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187E4E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（二）本项目不接受联合体投标，不接受投标人选用进口产品参与投标（由供应商作出声明，格式自拟）；</w:t>
      </w:r>
    </w:p>
    <w:p w14:paraId="0DA47CE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254CFD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5D457A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65EF0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1ED7AA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43EEE76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324EA2A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B2FFD5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307334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8D1183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2F6A11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320E305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0520EFE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3E902D7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4FF33F5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D790E2E">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959AF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FEAB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BC1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5A42D8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68424E7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6F0E407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46338B6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169AED3F">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114B8B">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977CED2">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2137454E">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E89EC85">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337A66E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206AF0D5">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8F38AC6">
      <w:pPr>
        <w:spacing w:line="300" w:lineRule="auto"/>
        <w:jc w:val="center"/>
        <w:rPr>
          <w:rFonts w:hint="eastAsia" w:ascii="仿宋" w:hAnsi="仿宋" w:eastAsia="仿宋" w:cs="仿宋"/>
          <w:b/>
          <w:sz w:val="24"/>
          <w:szCs w:val="24"/>
          <w:highlight w:val="none"/>
        </w:rPr>
      </w:pPr>
    </w:p>
    <w:p w14:paraId="6E219E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8923887">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2764F8F6">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6"/>
        <w:gridCol w:w="3124"/>
        <w:gridCol w:w="2323"/>
      </w:tblGrid>
      <w:tr w14:paraId="1FB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D104B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0D24D0B8">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5AA1C5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643179D">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C6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0B5DC5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731657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LGZXYYZBB20250723-1A</w:t>
            </w:r>
          </w:p>
        </w:tc>
        <w:tc>
          <w:tcPr>
            <w:tcW w:w="1848" w:type="pct"/>
            <w:vAlign w:val="center"/>
          </w:tcPr>
          <w:p w14:paraId="4A00AAD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深圳市龙岗中心医院南联社康中心后补式冷库采购</w:t>
            </w:r>
          </w:p>
        </w:tc>
        <w:tc>
          <w:tcPr>
            <w:tcW w:w="1378" w:type="pct"/>
            <w:vAlign w:val="center"/>
          </w:tcPr>
          <w:p w14:paraId="521DA50F">
            <w:pPr>
              <w:jc w:val="center"/>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173361.44</w:t>
            </w:r>
          </w:p>
        </w:tc>
      </w:tr>
    </w:tbl>
    <w:p w14:paraId="4F606EC3">
      <w:pPr>
        <w:rPr>
          <w:rFonts w:hint="eastAsia" w:ascii="仿宋" w:hAnsi="仿宋" w:eastAsia="仿宋" w:cs="仿宋"/>
          <w:sz w:val="24"/>
          <w:highlight w:val="none"/>
        </w:rPr>
      </w:pPr>
    </w:p>
    <w:p w14:paraId="786819F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14"/>
        <w:gridCol w:w="1662"/>
        <w:gridCol w:w="763"/>
        <w:gridCol w:w="750"/>
        <w:gridCol w:w="1250"/>
        <w:gridCol w:w="2012"/>
      </w:tblGrid>
      <w:tr w14:paraId="1E1E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57" w:type="pct"/>
            <w:tcBorders>
              <w:bottom w:val="single" w:color="auto" w:sz="4" w:space="0"/>
            </w:tcBorders>
            <w:vAlign w:val="center"/>
          </w:tcPr>
          <w:p w14:paraId="116DA67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770" w:type="pct"/>
            <w:tcBorders>
              <w:bottom w:val="single" w:color="auto" w:sz="4" w:space="0"/>
            </w:tcBorders>
            <w:vAlign w:val="center"/>
          </w:tcPr>
          <w:p w14:paraId="53C78C3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974" w:type="pct"/>
            <w:tcBorders>
              <w:bottom w:val="single" w:color="auto" w:sz="4" w:space="0"/>
            </w:tcBorders>
            <w:vAlign w:val="center"/>
          </w:tcPr>
          <w:p w14:paraId="1195CB91">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447" w:type="pct"/>
            <w:tcBorders>
              <w:bottom w:val="single" w:color="auto" w:sz="4" w:space="0"/>
            </w:tcBorders>
            <w:vAlign w:val="center"/>
          </w:tcPr>
          <w:p w14:paraId="2867C2B7">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439" w:type="pct"/>
            <w:tcBorders>
              <w:bottom w:val="single" w:color="auto" w:sz="4" w:space="0"/>
            </w:tcBorders>
            <w:vAlign w:val="center"/>
          </w:tcPr>
          <w:p w14:paraId="5221B0E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732" w:type="pct"/>
            <w:tcBorders>
              <w:bottom w:val="single" w:color="auto" w:sz="4" w:space="0"/>
            </w:tcBorders>
            <w:vAlign w:val="center"/>
          </w:tcPr>
          <w:p w14:paraId="15064120">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拒绝/接受进口</w:t>
            </w:r>
          </w:p>
        </w:tc>
        <w:tc>
          <w:tcPr>
            <w:tcW w:w="1179" w:type="pct"/>
            <w:tcBorders>
              <w:bottom w:val="single" w:color="auto" w:sz="4" w:space="0"/>
            </w:tcBorders>
            <w:vAlign w:val="center"/>
          </w:tcPr>
          <w:p w14:paraId="3CBDB5C6">
            <w:pPr>
              <w:widowControl w:val="0"/>
              <w:jc w:val="center"/>
              <w:rPr>
                <w:rFonts w:hint="eastAsia" w:ascii="仿宋" w:hAnsi="仿宋" w:eastAsia="仿宋" w:cs="仿宋"/>
                <w:b w:val="0"/>
                <w:bCs w:val="0"/>
                <w:color w:val="auto"/>
                <w:kern w:val="2"/>
                <w:sz w:val="24"/>
                <w:szCs w:val="24"/>
                <w:highlight w:val="none"/>
              </w:rPr>
            </w:pPr>
            <w:r>
              <w:rPr>
                <w:rFonts w:hint="eastAsia" w:ascii="宋体" w:hAnsi="宋体" w:cs="宋体"/>
                <w:b/>
                <w:kern w:val="0"/>
                <w:szCs w:val="21"/>
              </w:rPr>
              <w:t>备注</w:t>
            </w:r>
          </w:p>
        </w:tc>
      </w:tr>
      <w:tr w14:paraId="17C0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7" w:type="pct"/>
            <w:vMerge w:val="restart"/>
            <w:tcBorders>
              <w:top w:val="single" w:color="auto" w:sz="4" w:space="0"/>
              <w:left w:val="single" w:color="auto" w:sz="4" w:space="0"/>
              <w:right w:val="single" w:color="auto" w:sz="4" w:space="0"/>
            </w:tcBorders>
            <w:vAlign w:val="center"/>
          </w:tcPr>
          <w:p w14:paraId="3B40C323">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1</w:t>
            </w:r>
          </w:p>
        </w:tc>
        <w:tc>
          <w:tcPr>
            <w:tcW w:w="770" w:type="pct"/>
            <w:vMerge w:val="restart"/>
            <w:tcBorders>
              <w:left w:val="single" w:color="auto" w:sz="4" w:space="0"/>
              <w:right w:val="single" w:color="auto" w:sz="4" w:space="0"/>
            </w:tcBorders>
            <w:vAlign w:val="center"/>
          </w:tcPr>
          <w:p w14:paraId="66DB4871">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LGZXYYZBB20250723-1A</w:t>
            </w:r>
          </w:p>
        </w:tc>
        <w:tc>
          <w:tcPr>
            <w:tcW w:w="974" w:type="pct"/>
            <w:tcBorders>
              <w:top w:val="single" w:color="auto" w:sz="4" w:space="0"/>
              <w:left w:val="single" w:color="auto" w:sz="4" w:space="0"/>
              <w:bottom w:val="single" w:color="auto" w:sz="4" w:space="0"/>
              <w:right w:val="single" w:color="auto" w:sz="4" w:space="0"/>
            </w:tcBorders>
            <w:vAlign w:val="center"/>
          </w:tcPr>
          <w:p w14:paraId="4755A63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后补式冷库</w:t>
            </w:r>
          </w:p>
        </w:tc>
        <w:tc>
          <w:tcPr>
            <w:tcW w:w="447" w:type="pct"/>
            <w:tcBorders>
              <w:top w:val="single" w:color="auto" w:sz="4" w:space="0"/>
              <w:left w:val="single" w:color="auto" w:sz="4" w:space="0"/>
              <w:bottom w:val="single" w:color="auto" w:sz="4" w:space="0"/>
              <w:right w:val="single" w:color="auto" w:sz="4" w:space="0"/>
            </w:tcBorders>
            <w:vAlign w:val="center"/>
          </w:tcPr>
          <w:p w14:paraId="4EF28425">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439" w:type="pct"/>
            <w:tcBorders>
              <w:top w:val="single" w:color="auto" w:sz="4" w:space="0"/>
              <w:left w:val="single" w:color="auto" w:sz="4" w:space="0"/>
              <w:bottom w:val="single" w:color="auto" w:sz="4" w:space="0"/>
              <w:right w:val="single" w:color="auto" w:sz="4" w:space="0"/>
            </w:tcBorders>
            <w:vAlign w:val="center"/>
          </w:tcPr>
          <w:p w14:paraId="10FD2BD1">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套</w:t>
            </w:r>
          </w:p>
        </w:tc>
        <w:tc>
          <w:tcPr>
            <w:tcW w:w="732" w:type="pct"/>
            <w:tcBorders>
              <w:top w:val="single" w:color="auto" w:sz="4" w:space="0"/>
              <w:left w:val="single" w:color="auto" w:sz="4" w:space="0"/>
              <w:bottom w:val="single" w:color="auto" w:sz="4" w:space="0"/>
              <w:right w:val="single" w:color="auto" w:sz="4" w:space="0"/>
            </w:tcBorders>
            <w:vAlign w:val="center"/>
          </w:tcPr>
          <w:p w14:paraId="6F9DA164">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拒绝进口</w:t>
            </w:r>
          </w:p>
        </w:tc>
        <w:tc>
          <w:tcPr>
            <w:tcW w:w="1179" w:type="pct"/>
            <w:tcBorders>
              <w:top w:val="single" w:color="auto" w:sz="4" w:space="0"/>
              <w:left w:val="single" w:color="auto" w:sz="4" w:space="0"/>
              <w:bottom w:val="single" w:color="auto" w:sz="4" w:space="0"/>
              <w:right w:val="single" w:color="auto" w:sz="4" w:space="0"/>
            </w:tcBorders>
            <w:vAlign w:val="center"/>
          </w:tcPr>
          <w:p w14:paraId="1A10161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含库体、制冷主机系统、电气系统</w:t>
            </w:r>
          </w:p>
        </w:tc>
      </w:tr>
      <w:tr w14:paraId="36C2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57" w:type="pct"/>
            <w:vMerge w:val="continue"/>
            <w:tcBorders>
              <w:left w:val="single" w:color="auto" w:sz="4" w:space="0"/>
              <w:bottom w:val="single" w:color="auto" w:sz="4" w:space="0"/>
              <w:right w:val="single" w:color="auto" w:sz="4" w:space="0"/>
            </w:tcBorders>
            <w:vAlign w:val="center"/>
          </w:tcPr>
          <w:p w14:paraId="0EE6EE7F">
            <w:pPr>
              <w:widowControl w:val="0"/>
              <w:jc w:val="center"/>
              <w:rPr>
                <w:rFonts w:hint="eastAsia" w:ascii="仿宋" w:hAnsi="仿宋" w:eastAsia="仿宋" w:cs="仿宋"/>
                <w:bCs/>
                <w:color w:val="auto"/>
                <w:kern w:val="2"/>
                <w:sz w:val="24"/>
                <w:szCs w:val="24"/>
                <w:highlight w:val="none"/>
                <w:lang w:val="en-US" w:eastAsia="zh-CN"/>
              </w:rPr>
            </w:pPr>
          </w:p>
        </w:tc>
        <w:tc>
          <w:tcPr>
            <w:tcW w:w="770" w:type="pct"/>
            <w:vMerge w:val="continue"/>
            <w:tcBorders>
              <w:left w:val="single" w:color="auto" w:sz="4" w:space="0"/>
              <w:right w:val="single" w:color="auto" w:sz="4" w:space="0"/>
            </w:tcBorders>
            <w:vAlign w:val="center"/>
          </w:tcPr>
          <w:p w14:paraId="45319AD7">
            <w:pPr>
              <w:jc w:val="center"/>
              <w:rPr>
                <w:rFonts w:hint="eastAsia" w:ascii="仿宋" w:hAnsi="仿宋" w:eastAsia="仿宋" w:cs="仿宋"/>
                <w:b w:val="0"/>
                <w:bCs w:val="0"/>
                <w:color w:val="auto"/>
                <w:sz w:val="24"/>
                <w:szCs w:val="24"/>
                <w:highlight w:val="none"/>
                <w:lang w:val="en-US" w:eastAsia="zh-CN"/>
              </w:rPr>
            </w:pPr>
          </w:p>
        </w:tc>
        <w:tc>
          <w:tcPr>
            <w:tcW w:w="974" w:type="pct"/>
            <w:tcBorders>
              <w:top w:val="single" w:color="auto" w:sz="4" w:space="0"/>
              <w:left w:val="single" w:color="auto" w:sz="4" w:space="0"/>
              <w:bottom w:val="single" w:color="auto" w:sz="4" w:space="0"/>
              <w:right w:val="single" w:color="auto" w:sz="4" w:space="0"/>
            </w:tcBorders>
            <w:vAlign w:val="center"/>
          </w:tcPr>
          <w:p w14:paraId="08E3597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发电机</w:t>
            </w:r>
          </w:p>
        </w:tc>
        <w:tc>
          <w:tcPr>
            <w:tcW w:w="447" w:type="pct"/>
            <w:tcBorders>
              <w:top w:val="single" w:color="auto" w:sz="4" w:space="0"/>
              <w:left w:val="single" w:color="auto" w:sz="4" w:space="0"/>
              <w:bottom w:val="single" w:color="auto" w:sz="4" w:space="0"/>
              <w:right w:val="single" w:color="auto" w:sz="4" w:space="0"/>
            </w:tcBorders>
            <w:vAlign w:val="center"/>
          </w:tcPr>
          <w:p w14:paraId="357A4610">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439" w:type="pct"/>
            <w:tcBorders>
              <w:top w:val="single" w:color="auto" w:sz="4" w:space="0"/>
              <w:left w:val="single" w:color="auto" w:sz="4" w:space="0"/>
              <w:bottom w:val="single" w:color="auto" w:sz="4" w:space="0"/>
              <w:right w:val="single" w:color="auto" w:sz="4" w:space="0"/>
            </w:tcBorders>
            <w:vAlign w:val="center"/>
          </w:tcPr>
          <w:p w14:paraId="56F45328">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台</w:t>
            </w:r>
          </w:p>
        </w:tc>
        <w:tc>
          <w:tcPr>
            <w:tcW w:w="732" w:type="pct"/>
            <w:tcBorders>
              <w:top w:val="single" w:color="auto" w:sz="4" w:space="0"/>
              <w:left w:val="single" w:color="auto" w:sz="4" w:space="0"/>
              <w:bottom w:val="single" w:color="auto" w:sz="4" w:space="0"/>
              <w:right w:val="single" w:color="auto" w:sz="4" w:space="0"/>
            </w:tcBorders>
            <w:vAlign w:val="center"/>
          </w:tcPr>
          <w:p w14:paraId="632D101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拒绝进口</w:t>
            </w:r>
          </w:p>
        </w:tc>
        <w:tc>
          <w:tcPr>
            <w:tcW w:w="1179" w:type="pct"/>
            <w:tcBorders>
              <w:top w:val="single" w:color="auto" w:sz="4" w:space="0"/>
              <w:left w:val="single" w:color="auto" w:sz="4" w:space="0"/>
              <w:bottom w:val="single" w:color="auto" w:sz="4" w:space="0"/>
              <w:right w:val="single" w:color="auto" w:sz="4" w:space="0"/>
            </w:tcBorders>
            <w:vAlign w:val="center"/>
          </w:tcPr>
          <w:p w14:paraId="11119613">
            <w:pPr>
              <w:jc w:val="center"/>
              <w:rPr>
                <w:rFonts w:hint="eastAsia" w:ascii="仿宋" w:hAnsi="仿宋" w:eastAsia="仿宋" w:cs="仿宋"/>
                <w:b w:val="0"/>
                <w:bCs w:val="0"/>
                <w:color w:val="auto"/>
                <w:sz w:val="24"/>
                <w:szCs w:val="24"/>
                <w:highlight w:val="none"/>
              </w:rPr>
            </w:pPr>
          </w:p>
        </w:tc>
      </w:tr>
    </w:tbl>
    <w:p w14:paraId="05EED7C6">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备注：1.注明“拒绝进口”的产品不接受投标人选用进口产品参与投标；注明“接受进口”的产品允许投标人选用进口产品参与投标，但不排斥国内产品。 </w:t>
      </w:r>
    </w:p>
    <w:p w14:paraId="26D724A4">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54E40C">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后补式冷库 。</w:t>
      </w:r>
    </w:p>
    <w:p w14:paraId="6337CC6E">
      <w:pPr>
        <w:pStyle w:val="2"/>
        <w:spacing w:before="120" w:beforeLines="50" w:after="120" w:afterLines="50"/>
        <w:jc w:val="both"/>
        <w:rPr>
          <w:rFonts w:hint="eastAsia" w:ascii="仿宋" w:hAnsi="仿宋" w:eastAsia="仿宋" w:cs="仿宋"/>
          <w:szCs w:val="24"/>
          <w:highlight w:val="none"/>
        </w:rPr>
      </w:pPr>
    </w:p>
    <w:p w14:paraId="1428EF60">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786"/>
      </w:tblGrid>
      <w:tr w14:paraId="664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11AA2D9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70" w:type="pct"/>
            <w:vAlign w:val="top"/>
          </w:tcPr>
          <w:p w14:paraId="57D991D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07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305E747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70" w:type="pct"/>
            <w:vAlign w:val="top"/>
          </w:tcPr>
          <w:p w14:paraId="1E6B9A6C">
            <w:pPr>
              <w:numPr>
                <w:ilvl w:val="0"/>
                <w:numId w:val="0"/>
              </w:numPr>
              <w:spacing w:line="276" w:lineRule="auto"/>
              <w:ind w:left="425" w:leftChars="0" w:hanging="425" w:firstLineChars="0"/>
              <w:jc w:val="left"/>
              <w:rPr>
                <w:rFonts w:hint="eastAsia" w:ascii="宋体" w:hAnsi="宋体" w:eastAsia="宋体" w:cs="宋体"/>
                <w:color w:val="auto"/>
                <w:kern w:val="0"/>
                <w:sz w:val="24"/>
                <w:szCs w:val="24"/>
                <w:highlight w:val="none"/>
              </w:rPr>
            </w:pPr>
            <w:r>
              <w:rPr>
                <w:rFonts w:hint="eastAsia" w:eastAsia="宋体" w:cs="Times New Roman"/>
                <w:b/>
                <w:bCs/>
                <w:sz w:val="21"/>
                <w:szCs w:val="21"/>
                <w:lang w:val="en-US" w:eastAsia="zh-CN"/>
              </w:rPr>
              <w:t>★（三）配齐满足以上性能且正常使用所需要的所有配置及配件。</w:t>
            </w:r>
          </w:p>
        </w:tc>
      </w:tr>
      <w:tr w14:paraId="266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4F9764F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70" w:type="pct"/>
            <w:vAlign w:val="top"/>
          </w:tcPr>
          <w:p w14:paraId="0A659109">
            <w:pPr>
              <w:rPr>
                <w:rFonts w:hint="eastAsia" w:ascii="宋体" w:hAnsi="宋体" w:eastAsia="宋体" w:cs="宋体"/>
                <w:color w:val="auto"/>
                <w:sz w:val="24"/>
                <w:szCs w:val="24"/>
                <w:highlight w:val="none"/>
              </w:rPr>
            </w:pPr>
            <w:r>
              <w:rPr>
                <w:rFonts w:hint="eastAsia" w:ascii="宋体" w:hAnsi="宋体" w:cs="宋体"/>
                <w:b/>
                <w:bCs/>
                <w:szCs w:val="21"/>
                <w:highlight w:val="none"/>
              </w:rPr>
              <w:t>★</w:t>
            </w:r>
            <w:r>
              <w:rPr>
                <w:rFonts w:hint="eastAsia" w:ascii="宋体" w:hAnsi="宋体" w:eastAsia="宋体" w:cs="宋体"/>
                <w:b/>
                <w:bCs/>
                <w:color w:val="000000"/>
                <w:sz w:val="21"/>
                <w:szCs w:val="21"/>
              </w:rPr>
              <w:t>货物免费保修期至少</w:t>
            </w:r>
            <w:r>
              <w:rPr>
                <w:rFonts w:hint="eastAsia" w:ascii="宋体" w:hAnsi="宋体" w:eastAsia="宋体" w:cs="宋体"/>
                <w:b/>
                <w:bCs/>
                <w:color w:val="000000"/>
                <w:sz w:val="21"/>
                <w:szCs w:val="21"/>
                <w:u w:val="single"/>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eastAsia="zh-CN"/>
              </w:rPr>
              <w:t>保修期</w:t>
            </w:r>
            <w:r>
              <w:rPr>
                <w:rFonts w:hint="eastAsia" w:ascii="宋体" w:hAnsi="宋体" w:eastAsia="宋体" w:cs="宋体"/>
                <w:b/>
                <w:bCs/>
                <w:color w:val="000000"/>
                <w:sz w:val="21"/>
                <w:szCs w:val="21"/>
              </w:rPr>
              <w:t>从设备最终验收合格并交付使用之日起计算，由中标人提供产品保修文件。</w:t>
            </w:r>
          </w:p>
        </w:tc>
      </w:tr>
      <w:tr w14:paraId="1F7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0879666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70" w:type="pct"/>
            <w:vAlign w:val="top"/>
          </w:tcPr>
          <w:p w14:paraId="231A2EA2">
            <w:pPr>
              <w:rPr>
                <w:rFonts w:hint="eastAsia" w:ascii="宋体" w:hAnsi="宋体" w:eastAsia="宋体" w:cs="宋体"/>
                <w:color w:val="auto"/>
                <w:sz w:val="24"/>
                <w:szCs w:val="24"/>
              </w:rPr>
            </w:pPr>
            <w:r>
              <w:rPr>
                <w:rFonts w:hint="eastAsia" w:ascii="宋体" w:hAnsi="宋体" w:eastAsia="宋体" w:cs="宋体"/>
                <w:b/>
                <w:bCs/>
                <w:color w:val="auto"/>
                <w:sz w:val="21"/>
                <w:szCs w:val="21"/>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.交货期：签订合同后，30（天）日历日内内交付使用。（日历日为自然天，包括双休日及法定节假日，不等同于工作日；逾期交货采购人有权按照相关规定处罚。</w:t>
            </w:r>
          </w:p>
        </w:tc>
      </w:tr>
      <w:tr w14:paraId="01F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17B7106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70" w:type="pct"/>
            <w:vAlign w:val="top"/>
          </w:tcPr>
          <w:p w14:paraId="3FB20102">
            <w:pPr>
              <w:rPr>
                <w:rFonts w:hint="eastAsia" w:ascii="宋体" w:hAnsi="宋体" w:eastAsia="宋体" w:cs="Calibri"/>
                <w:kern w:val="2"/>
                <w:sz w:val="21"/>
                <w:szCs w:val="21"/>
                <w:lang w:val="en-US" w:eastAsia="zh-CN" w:bidi="ar-SA"/>
              </w:rPr>
            </w:pPr>
            <w:r>
              <w:rPr>
                <w:rFonts w:hint="eastAsia" w:ascii="宋体" w:hAnsi="宋体" w:eastAsia="宋体" w:cs="宋体"/>
                <w:b/>
                <w:bCs/>
                <w:color w:val="auto"/>
                <w:sz w:val="21"/>
                <w:szCs w:val="21"/>
              </w:rPr>
              <w:t>★</w:t>
            </w:r>
            <w:r>
              <w:rPr>
                <w:rFonts w:hint="eastAsia" w:ascii="宋体" w:hAnsi="宋体" w:cs="宋体"/>
                <w:b/>
                <w:bCs/>
                <w:color w:val="auto"/>
                <w:szCs w:val="21"/>
                <w:lang w:val="en-US" w:eastAsia="zh-CN"/>
              </w:rPr>
              <w:t>项目团队</w:t>
            </w:r>
            <w:r>
              <w:rPr>
                <w:rFonts w:hint="eastAsia" w:ascii="宋体" w:hAnsi="宋体" w:eastAsia="宋体" w:cs="宋体"/>
                <w:b/>
                <w:bCs/>
                <w:color w:val="auto"/>
                <w:sz w:val="21"/>
                <w:szCs w:val="21"/>
                <w:highlight w:val="none"/>
              </w:rPr>
              <w:t>技术人员具</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中华人民共和国特种作业操作证书（操作项目：低压电工作业）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中华人民共和国特种作业操作证书（操作项目：制冷与空调设备安装修理作业）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w:t>
            </w:r>
            <w:r>
              <w:rPr>
                <w:rFonts w:hint="eastAsia" w:ascii="宋体" w:hAnsi="宋体" w:eastAsia="宋体" w:cs="宋体"/>
                <w:b/>
                <w:bCs/>
                <w:color w:val="auto"/>
                <w:sz w:val="21"/>
                <w:szCs w:val="21"/>
                <w:highlight w:val="none"/>
                <w:lang w:val="en-US" w:eastAsia="zh-CN"/>
              </w:rPr>
              <w:t>焊</w:t>
            </w:r>
            <w:r>
              <w:rPr>
                <w:rFonts w:hint="eastAsia" w:ascii="宋体" w:hAnsi="宋体" w:cs="宋体"/>
                <w:b/>
                <w:bCs/>
                <w:color w:val="auto"/>
                <w:sz w:val="21"/>
                <w:szCs w:val="21"/>
                <w:highlight w:val="none"/>
                <w:lang w:val="en-US" w:eastAsia="zh-CN"/>
              </w:rPr>
              <w:t>接与热切割</w:t>
            </w:r>
            <w:r>
              <w:rPr>
                <w:rFonts w:hint="eastAsia" w:ascii="宋体" w:hAnsi="宋体" w:eastAsia="宋体" w:cs="宋体"/>
                <w:b/>
                <w:bCs/>
                <w:color w:val="auto"/>
                <w:sz w:val="21"/>
                <w:szCs w:val="21"/>
                <w:highlight w:val="none"/>
              </w:rPr>
              <w:t>作业</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r>
      <w:tr w14:paraId="0B9B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9" w:type="pct"/>
            <w:vAlign w:val="top"/>
          </w:tcPr>
          <w:p w14:paraId="10A106E8">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4570" w:type="pct"/>
            <w:vAlign w:val="top"/>
          </w:tcPr>
          <w:p w14:paraId="46D89534">
            <w:pPr>
              <w:rPr>
                <w:rFonts w:hint="eastAsia" w:ascii="宋体" w:hAnsi="宋体" w:eastAsia="宋体" w:cs="宋体"/>
                <w:b/>
                <w:bCs/>
                <w:color w:val="auto"/>
                <w:sz w:val="21"/>
                <w:szCs w:val="21"/>
              </w:rPr>
            </w:pPr>
            <w:r>
              <w:rPr>
                <w:rFonts w:hint="eastAsia" w:ascii="仿宋" w:hAnsi="仿宋" w:eastAsia="仿宋" w:cs="仿宋"/>
                <w:b/>
                <w:bCs/>
                <w:color w:val="000000"/>
                <w:kern w:val="0"/>
                <w:sz w:val="24"/>
                <w:szCs w:val="24"/>
                <w:highlight w:val="none"/>
                <w:lang w:val="en-US" w:eastAsia="zh-CN"/>
              </w:rPr>
              <w:t>★</w:t>
            </w:r>
            <w:r>
              <w:rPr>
                <w:rFonts w:hint="eastAsia" w:ascii="宋体" w:hAnsi="宋体" w:eastAsia="宋体" w:cs="宋体"/>
                <w:b/>
                <w:bCs/>
                <w:color w:val="auto"/>
                <w:kern w:val="0"/>
                <w:sz w:val="21"/>
                <w:szCs w:val="21"/>
                <w:lang w:val="en-US" w:eastAsia="zh-CN" w:bidi="ar-SA"/>
              </w:rPr>
              <w:t>3.组合冷库用隔热夹芯板，阻燃等级≥B1级；厚度≥100mm。参数要求：（1）燃烧增长</w:t>
            </w:r>
            <w:r>
              <w:rPr>
                <w:rFonts w:hint="eastAsia" w:ascii="宋体" w:hAnsi="宋体" w:cs="宋体"/>
                <w:b/>
                <w:bCs/>
                <w:color w:val="auto"/>
                <w:kern w:val="0"/>
                <w:sz w:val="21"/>
                <w:szCs w:val="21"/>
                <w:lang w:val="en-US" w:eastAsia="zh-CN" w:bidi="ar-SA"/>
              </w:rPr>
              <w:t>速</w:t>
            </w:r>
            <w:r>
              <w:rPr>
                <w:rFonts w:hint="eastAsia" w:ascii="宋体" w:hAnsi="宋体" w:eastAsia="宋体" w:cs="宋体"/>
                <w:b/>
                <w:bCs/>
                <w:color w:val="auto"/>
                <w:kern w:val="0"/>
                <w:sz w:val="21"/>
                <w:szCs w:val="21"/>
                <w:lang w:val="en-US" w:eastAsia="zh-CN" w:bidi="ar-SA"/>
              </w:rPr>
              <w:t>率指数FIGRA</w:t>
            </w:r>
            <w:r>
              <w:rPr>
                <w:rFonts w:hint="eastAsia" w:ascii="宋体" w:hAnsi="宋体" w:eastAsia="宋体" w:cs="宋体"/>
                <w:b/>
                <w:bCs/>
                <w:color w:val="auto"/>
                <w:kern w:val="0"/>
                <w:sz w:val="21"/>
                <w:szCs w:val="21"/>
                <w:vertAlign w:val="subscript"/>
                <w:lang w:val="en-US" w:eastAsia="zh-CN" w:bidi="ar-SA"/>
              </w:rPr>
              <w:t>0.2MJ</w:t>
            </w:r>
            <w:r>
              <w:rPr>
                <w:rFonts w:hint="eastAsia" w:ascii="宋体" w:hAnsi="宋体" w:eastAsia="宋体" w:cs="宋体"/>
                <w:b/>
                <w:bCs/>
                <w:color w:val="auto"/>
                <w:kern w:val="0"/>
                <w:sz w:val="21"/>
                <w:szCs w:val="21"/>
                <w:lang w:val="en-US" w:eastAsia="zh-CN" w:bidi="ar-SA"/>
              </w:rPr>
              <w:t>≤120</w:t>
            </w:r>
            <w:r>
              <w:rPr>
                <w:rFonts w:hint="eastAsia" w:ascii="宋体" w:hAnsi="宋体" w:cs="宋体"/>
                <w:b/>
                <w:bCs/>
                <w:color w:val="auto"/>
                <w:kern w:val="0"/>
                <w:sz w:val="21"/>
                <w:szCs w:val="21"/>
                <w:lang w:val="en-US" w:eastAsia="zh-CN" w:bidi="ar-SA"/>
              </w:rPr>
              <w:t>W</w:t>
            </w:r>
            <w:r>
              <w:rPr>
                <w:rFonts w:hint="eastAsia" w:ascii="宋体" w:hAnsi="宋体" w:eastAsia="宋体" w:cs="宋体"/>
                <w:b/>
                <w:bCs/>
                <w:color w:val="auto"/>
                <w:kern w:val="0"/>
                <w:sz w:val="21"/>
                <w:szCs w:val="21"/>
                <w:lang w:val="en-US" w:eastAsia="zh-CN" w:bidi="ar-SA"/>
              </w:rPr>
              <w:t>/s；（2）600</w:t>
            </w:r>
            <w:r>
              <w:rPr>
                <w:rFonts w:hint="default" w:ascii="宋体" w:hAnsi="宋体" w:eastAsia="宋体" w:cs="宋体"/>
                <w:b/>
                <w:bCs/>
                <w:color w:val="auto"/>
                <w:kern w:val="0"/>
                <w:sz w:val="21"/>
                <w:szCs w:val="21"/>
                <w:lang w:val="en-US" w:eastAsia="zh-CN" w:bidi="ar-SA"/>
              </w:rPr>
              <w:t>s</w:t>
            </w:r>
            <w:r>
              <w:rPr>
                <w:rFonts w:hint="eastAsia" w:ascii="宋体" w:hAnsi="宋体" w:eastAsia="宋体" w:cs="宋体"/>
                <w:b/>
                <w:bCs/>
                <w:color w:val="auto"/>
                <w:kern w:val="0"/>
                <w:sz w:val="21"/>
                <w:szCs w:val="21"/>
                <w:lang w:val="en-US" w:eastAsia="zh-CN" w:bidi="ar-SA"/>
              </w:rPr>
              <w:t>总放热量THR</w:t>
            </w:r>
            <w:r>
              <w:rPr>
                <w:rFonts w:hint="eastAsia" w:ascii="宋体" w:hAnsi="宋体" w:eastAsia="宋体" w:cs="宋体"/>
                <w:b/>
                <w:bCs/>
                <w:color w:val="auto"/>
                <w:kern w:val="0"/>
                <w:sz w:val="21"/>
                <w:szCs w:val="21"/>
                <w:vertAlign w:val="subscript"/>
                <w:lang w:val="en-US" w:eastAsia="zh-CN" w:bidi="ar-SA"/>
              </w:rPr>
              <w:t>600S</w:t>
            </w:r>
            <w:r>
              <w:rPr>
                <w:rFonts w:hint="eastAsia" w:ascii="宋体" w:hAnsi="宋体" w:eastAsia="宋体" w:cs="宋体"/>
                <w:b/>
                <w:bCs/>
                <w:color w:val="auto"/>
                <w:kern w:val="0"/>
                <w:sz w:val="21"/>
                <w:szCs w:val="21"/>
                <w:lang w:val="en-US" w:eastAsia="zh-CN" w:bidi="ar-SA"/>
              </w:rPr>
              <w:t>≤7.5MJ；（3）火焰横向蔓延未达到试样长翼边缘；（</w:t>
            </w:r>
            <w:r>
              <w:rPr>
                <w:rFonts w:hint="eastAsia" w:ascii="宋体" w:hAnsi="宋体" w:cs="宋体"/>
                <w:b/>
                <w:bCs/>
                <w:color w:val="auto"/>
                <w:kern w:val="0"/>
                <w:sz w:val="21"/>
                <w:szCs w:val="21"/>
                <w:lang w:val="en-US" w:eastAsia="zh-CN" w:bidi="ar-SA"/>
              </w:rPr>
              <w:t>4</w:t>
            </w:r>
            <w:r>
              <w:rPr>
                <w:rFonts w:hint="eastAsia" w:ascii="宋体" w:hAnsi="宋体" w:eastAsia="宋体" w:cs="宋体"/>
                <w:b/>
                <w:bCs/>
                <w:color w:val="auto"/>
                <w:kern w:val="0"/>
                <w:sz w:val="21"/>
                <w:szCs w:val="21"/>
                <w:lang w:val="en-US" w:eastAsia="zh-CN" w:bidi="ar-SA"/>
              </w:rPr>
              <w:t>）</w:t>
            </w:r>
            <w:r>
              <w:rPr>
                <w:rFonts w:hint="default" w:ascii="宋体" w:hAnsi="宋体" w:eastAsia="宋体" w:cs="宋体"/>
                <w:b/>
                <w:bCs/>
                <w:color w:val="auto"/>
                <w:kern w:val="0"/>
                <w:sz w:val="21"/>
                <w:szCs w:val="21"/>
                <w:lang w:val="en-US" w:eastAsia="zh-CN" w:bidi="ar-SA"/>
              </w:rPr>
              <w:t>60s内焰尖高度Fs</w:t>
            </w:r>
            <w:r>
              <w:rPr>
                <w:rFonts w:hint="eastAsia" w:ascii="宋体" w:hAnsi="宋体" w:eastAsia="宋体" w:cs="宋体"/>
                <w:b/>
                <w:bCs/>
                <w:color w:val="auto"/>
                <w:kern w:val="0"/>
                <w:sz w:val="21"/>
                <w:szCs w:val="21"/>
                <w:lang w:val="en-US" w:eastAsia="zh-CN" w:bidi="ar-SA"/>
              </w:rPr>
              <w:t>≤150mm；（</w:t>
            </w:r>
            <w:r>
              <w:rPr>
                <w:rFonts w:hint="eastAsia" w:ascii="宋体" w:hAnsi="宋体" w:cs="宋体"/>
                <w:b/>
                <w:bCs/>
                <w:color w:val="auto"/>
                <w:kern w:val="0"/>
                <w:sz w:val="21"/>
                <w:szCs w:val="21"/>
                <w:lang w:val="en-US" w:eastAsia="zh-CN" w:bidi="ar-SA"/>
              </w:rPr>
              <w:t>5</w:t>
            </w:r>
            <w:r>
              <w:rPr>
                <w:rFonts w:hint="eastAsia" w:ascii="宋体" w:hAnsi="宋体" w:eastAsia="宋体" w:cs="宋体"/>
                <w:b/>
                <w:bCs/>
                <w:color w:val="auto"/>
                <w:kern w:val="0"/>
                <w:sz w:val="21"/>
                <w:szCs w:val="21"/>
                <w:lang w:val="en-US" w:eastAsia="zh-CN" w:bidi="ar-SA"/>
              </w:rPr>
              <w:t>）</w:t>
            </w:r>
            <w:r>
              <w:rPr>
                <w:rFonts w:hint="default" w:ascii="宋体" w:hAnsi="宋体" w:eastAsia="宋体" w:cs="宋体"/>
                <w:b/>
                <w:bCs/>
                <w:color w:val="auto"/>
                <w:kern w:val="0"/>
                <w:sz w:val="21"/>
                <w:szCs w:val="21"/>
                <w:lang w:val="en-US" w:eastAsia="zh-CN" w:bidi="ar-SA"/>
              </w:rPr>
              <w:t>60s</w:t>
            </w:r>
            <w:r>
              <w:rPr>
                <w:rFonts w:hint="eastAsia" w:ascii="宋体" w:hAnsi="宋体" w:cs="宋体"/>
                <w:b/>
                <w:bCs/>
                <w:color w:val="auto"/>
                <w:kern w:val="0"/>
                <w:sz w:val="21"/>
                <w:szCs w:val="21"/>
                <w:lang w:val="en-US" w:eastAsia="zh-CN" w:bidi="ar-SA"/>
              </w:rPr>
              <w:t>内</w:t>
            </w:r>
            <w:r>
              <w:rPr>
                <w:rFonts w:hint="eastAsia" w:ascii="宋体" w:hAnsi="宋体" w:eastAsia="宋体" w:cs="宋体"/>
                <w:b/>
                <w:bCs/>
                <w:color w:val="auto"/>
                <w:kern w:val="0"/>
                <w:sz w:val="21"/>
                <w:szCs w:val="21"/>
                <w:lang w:val="en-US" w:eastAsia="zh-CN" w:bidi="ar-SA"/>
              </w:rPr>
              <w:t>无燃烧滴落物引燃滤纸现象；（</w:t>
            </w:r>
            <w:r>
              <w:rPr>
                <w:rFonts w:hint="eastAsia" w:ascii="宋体" w:hAnsi="宋体" w:cs="宋体"/>
                <w:b/>
                <w:bCs/>
                <w:color w:val="auto"/>
                <w:kern w:val="0"/>
                <w:sz w:val="21"/>
                <w:szCs w:val="21"/>
                <w:lang w:val="en-US" w:eastAsia="zh-CN" w:bidi="ar-SA"/>
              </w:rPr>
              <w:t>6</w:t>
            </w:r>
            <w:r>
              <w:rPr>
                <w:rFonts w:hint="eastAsia" w:ascii="宋体" w:hAnsi="宋体" w:eastAsia="宋体" w:cs="宋体"/>
                <w:b/>
                <w:bCs/>
                <w:color w:val="auto"/>
                <w:kern w:val="0"/>
                <w:sz w:val="21"/>
                <w:szCs w:val="21"/>
                <w:lang w:val="en-US" w:eastAsia="zh-CN" w:bidi="ar-SA"/>
              </w:rPr>
              <w:t>）氧指数≥30%。</w:t>
            </w:r>
          </w:p>
        </w:tc>
      </w:tr>
    </w:tbl>
    <w:p w14:paraId="12DDED17">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2A2840A1">
      <w:pPr>
        <w:rPr>
          <w:rFonts w:hint="eastAsia" w:ascii="仿宋" w:hAnsi="仿宋" w:eastAsia="仿宋" w:cs="仿宋"/>
          <w:b/>
          <w:bCs/>
          <w:sz w:val="24"/>
          <w:highlight w:val="none"/>
        </w:rPr>
      </w:pPr>
    </w:p>
    <w:p w14:paraId="1098A3EF">
      <w:pPr>
        <w:ind w:left="2800"/>
        <w:jc w:val="left"/>
        <w:outlineLvl w:val="0"/>
        <w:rPr>
          <w:rFonts w:hint="eastAsia" w:ascii="仿宋" w:hAnsi="仿宋" w:eastAsia="仿宋" w:cs="仿宋"/>
          <w:b/>
          <w:bCs w:val="0"/>
          <w:kern w:val="0"/>
          <w:sz w:val="24"/>
          <w:szCs w:val="24"/>
          <w:highlight w:val="none"/>
          <w:lang w:val="en-US" w:eastAsia="zh-CN" w:bidi="ar-SA"/>
        </w:rPr>
      </w:pPr>
    </w:p>
    <w:p w14:paraId="229CC3FC">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DFBA8E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BBD462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8CD1EE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3C08EA9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17745F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15874E9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4CA8ACF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p w14:paraId="4074B921">
      <w:pPr>
        <w:pStyle w:val="26"/>
        <w:rPr>
          <w:rFonts w:hint="eastAsia" w:cs="Times New Roman"/>
          <w:b/>
          <w:bCs/>
          <w:color w:val="auto"/>
          <w:sz w:val="21"/>
          <w:szCs w:val="21"/>
          <w:lang w:val="en-US" w:eastAsia="zh-CN"/>
        </w:rPr>
      </w:pPr>
      <w:r>
        <w:rPr>
          <w:rFonts w:hint="eastAsia" w:cs="Times New Roman"/>
          <w:b/>
          <w:bCs/>
          <w:sz w:val="21"/>
          <w:szCs w:val="21"/>
          <w:lang w:val="en-US" w:eastAsia="zh-CN"/>
        </w:rPr>
        <w:t>（一）</w:t>
      </w:r>
      <w:r>
        <w:rPr>
          <w:rFonts w:hint="eastAsia" w:ascii="宋体" w:hAnsi="宋体" w:eastAsia="宋体" w:cs="宋体"/>
          <w:b/>
          <w:bCs/>
          <w:i w:val="0"/>
          <w:iCs w:val="0"/>
          <w:color w:val="000000"/>
          <w:kern w:val="0"/>
          <w:sz w:val="20"/>
          <w:szCs w:val="20"/>
          <w:u w:val="none"/>
          <w:lang w:val="en-US" w:eastAsia="zh-CN" w:bidi="ar"/>
        </w:rPr>
        <w:t>配</w:t>
      </w:r>
      <w:r>
        <w:rPr>
          <w:rFonts w:hint="eastAsia" w:ascii="宋体" w:hAnsi="宋体" w:eastAsia="宋体" w:cs="宋体"/>
          <w:b/>
          <w:bCs/>
          <w:i w:val="0"/>
          <w:iCs w:val="0"/>
          <w:color w:val="auto"/>
          <w:kern w:val="0"/>
          <w:sz w:val="20"/>
          <w:szCs w:val="20"/>
          <w:u w:val="none"/>
          <w:lang w:val="en-US" w:eastAsia="zh-CN" w:bidi="ar"/>
        </w:rPr>
        <w:t>置</w:t>
      </w:r>
      <w:r>
        <w:rPr>
          <w:rFonts w:hint="eastAsia" w:ascii="宋体" w:hAnsi="宋体" w:cs="宋体"/>
          <w:b/>
          <w:bCs/>
          <w:i w:val="0"/>
          <w:iCs w:val="0"/>
          <w:color w:val="auto"/>
          <w:kern w:val="0"/>
          <w:sz w:val="20"/>
          <w:szCs w:val="20"/>
          <w:u w:val="none"/>
          <w:lang w:val="en-US" w:eastAsia="zh-CN" w:bidi="ar"/>
        </w:rPr>
        <w:t>明细</w:t>
      </w:r>
    </w:p>
    <w:tbl>
      <w:tblPr>
        <w:tblStyle w:val="19"/>
        <w:tblW w:w="88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1712"/>
        <w:gridCol w:w="684"/>
        <w:gridCol w:w="684"/>
        <w:gridCol w:w="5069"/>
      </w:tblGrid>
      <w:tr w14:paraId="7B16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94688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662B67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A0703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18913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069" w:type="dxa"/>
            <w:tcBorders>
              <w:top w:val="single" w:color="000000" w:sz="4" w:space="0"/>
              <w:left w:val="single" w:color="000000" w:sz="4" w:space="0"/>
              <w:bottom w:val="single" w:color="000000" w:sz="4" w:space="0"/>
              <w:right w:val="single" w:color="000000" w:sz="4" w:space="0"/>
            </w:tcBorders>
            <w:noWrap/>
            <w:vAlign w:val="center"/>
          </w:tcPr>
          <w:p w14:paraId="485CBB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auto"/>
                <w:kern w:val="0"/>
                <w:sz w:val="20"/>
                <w:szCs w:val="20"/>
                <w:u w:val="none"/>
                <w:lang w:val="en-US" w:eastAsia="zh-CN" w:bidi="ar"/>
              </w:rPr>
              <w:t>简述</w:t>
            </w:r>
          </w:p>
        </w:tc>
      </w:tr>
      <w:tr w14:paraId="4EE2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14:paraId="54A0FBC9">
            <w:pPr>
              <w:keepNext w:val="0"/>
              <w:keepLines w:val="0"/>
              <w:widowControl/>
              <w:suppressLineNumbers w:val="0"/>
              <w:jc w:val="both"/>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一、后补式冷库</w:t>
            </w:r>
          </w:p>
        </w:tc>
      </w:tr>
      <w:tr w14:paraId="5F39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58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1、库体</w:t>
            </w:r>
          </w:p>
        </w:tc>
      </w:tr>
      <w:tr w14:paraId="68CC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3B6C337">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ACAA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组合冷库用隔热夹芯板</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EC3C9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D77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0607D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18"/>
                <w:szCs w:val="18"/>
                <w:highlight w:val="none"/>
                <w:u w:val="none"/>
                <w:lang w:val="en-US" w:eastAsia="zh-CN" w:bidi="ar"/>
              </w:rPr>
              <w:t>B</w:t>
            </w:r>
            <w:r>
              <w:rPr>
                <w:rFonts w:hint="eastAsia" w:ascii="宋体" w:hAnsi="宋体" w:cs="宋体"/>
                <w:i w:val="0"/>
                <w:iCs w:val="0"/>
                <w:color w:val="auto"/>
                <w:kern w:val="0"/>
                <w:sz w:val="18"/>
                <w:szCs w:val="18"/>
                <w:highlight w:val="none"/>
                <w:u w:val="none"/>
                <w:lang w:val="en-US" w:eastAsia="zh-CN" w:bidi="ar"/>
              </w:rPr>
              <w:t>1级</w:t>
            </w:r>
            <w:r>
              <w:rPr>
                <w:rFonts w:hint="eastAsia" w:ascii="宋体" w:hAnsi="宋体" w:eastAsia="宋体" w:cs="宋体"/>
                <w:i w:val="0"/>
                <w:iCs w:val="0"/>
                <w:color w:val="auto"/>
                <w:sz w:val="20"/>
                <w:szCs w:val="20"/>
                <w:highlight w:val="none"/>
                <w:u w:val="none"/>
                <w:lang w:val="en-US" w:eastAsia="zh-CN"/>
              </w:rPr>
              <w:t>组合冷库用隔热夹芯板</w:t>
            </w:r>
            <w:r>
              <w:rPr>
                <w:rFonts w:hint="eastAsia" w:ascii="宋体" w:hAnsi="宋体" w:cs="宋体"/>
                <w:i w:val="0"/>
                <w:iCs w:val="0"/>
                <w:color w:val="auto"/>
                <w:kern w:val="0"/>
                <w:sz w:val="18"/>
                <w:szCs w:val="18"/>
                <w:highlight w:val="none"/>
                <w:u w:val="none"/>
                <w:lang w:val="en-US" w:eastAsia="zh-CN" w:bidi="ar"/>
              </w:rPr>
              <w:t>；厚度</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18"/>
                <w:szCs w:val="18"/>
                <w:highlight w:val="none"/>
                <w:u w:val="none"/>
                <w:lang w:val="en-US" w:eastAsia="zh-CN" w:bidi="ar"/>
              </w:rPr>
              <w:t>100mm</w:t>
            </w:r>
          </w:p>
        </w:tc>
      </w:tr>
      <w:tr w14:paraId="2ABA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40EFCF3">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450B0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冷库手拉门（单开）</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D5DE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E963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8CD1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700*1800*100mm, 双面彩钢板，带锁</w:t>
            </w:r>
          </w:p>
        </w:tc>
      </w:tr>
      <w:tr w14:paraId="49D2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D9749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36AD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中空玻璃门</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C86B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1B03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0D1A4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600*1610（含装饰边框，真空玻璃带加热丝防凝露，）</w:t>
            </w:r>
          </w:p>
        </w:tc>
      </w:tr>
      <w:tr w14:paraId="3017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2948D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5713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隔板货架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BFDB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29F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67647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固定孔，层高可调（</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7层隔板）</w:t>
            </w:r>
          </w:p>
        </w:tc>
      </w:tr>
      <w:tr w14:paraId="39F8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36CD0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37787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电磁密码锁</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40F0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AB42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208A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密码和刷卡两种方式开门，配卡</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5张；电磁锁</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4套，密码键盘</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1个</w:t>
            </w:r>
          </w:p>
        </w:tc>
      </w:tr>
      <w:tr w14:paraId="2AF8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8FC11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⑥</w:t>
            </w:r>
          </w:p>
        </w:tc>
        <w:tc>
          <w:tcPr>
            <w:tcW w:w="1712" w:type="dxa"/>
            <w:tcBorders>
              <w:top w:val="nil"/>
              <w:left w:val="nil"/>
              <w:bottom w:val="nil"/>
              <w:right w:val="nil"/>
            </w:tcBorders>
            <w:noWrap/>
            <w:vAlign w:val="center"/>
          </w:tcPr>
          <w:p w14:paraId="3721B9F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地面防滑不锈钢板</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86AD6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B2DA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1C1B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2.0mm厚；玻璃胶粘贴，定制铝合金压条收口等</w:t>
            </w:r>
          </w:p>
        </w:tc>
      </w:tr>
      <w:tr w14:paraId="21F3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14:paraId="59E6B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2、制冷主机系统</w:t>
            </w:r>
          </w:p>
        </w:tc>
      </w:tr>
      <w:tr w14:paraId="295E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21C27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72A06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室外机组</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0D71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D08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3C72F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压缩机和冷凝器整装出厂，与库内蒸发器分体式连接,采用风冷箱式压缩机组，整机一体出厂，具备以下功能:广泛的使用工况，蒸发温度范围要求从-20℃-5℃。</w:t>
            </w:r>
          </w:p>
        </w:tc>
      </w:tr>
      <w:tr w14:paraId="12C0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3DBE8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4A7FC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吊顶式高效冷风机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59E2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6504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9424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高效静音风机:吊顶式前出风后回风的冷风机型蒸发器；随机标配加热丝橡胶冷凝水外排装置，可整体取出维修；风机风量</w:t>
            </w:r>
            <w:r>
              <w:rPr>
                <w:rStyle w:val="5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1835m³/H;名义冷量≥5300W；220V；50HZ;化霜功率≥2740W；</w:t>
            </w:r>
          </w:p>
        </w:tc>
      </w:tr>
      <w:tr w14:paraId="6CFB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0E38DC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8E96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磷脱氧铜管及保温</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980A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E76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09569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Φ10mm；B1级保温</w:t>
            </w:r>
          </w:p>
        </w:tc>
      </w:tr>
      <w:tr w14:paraId="7032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F81E5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5358E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磷脱氧铜管及保温</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AF52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B2F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7F433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Φ16mm；B1级保温</w:t>
            </w:r>
          </w:p>
        </w:tc>
      </w:tr>
      <w:tr w14:paraId="73B4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435C2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D112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磷脱氧铜管管件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8B76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801D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33885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Φ10/Φ16mm</w:t>
            </w:r>
          </w:p>
        </w:tc>
      </w:tr>
      <w:tr w14:paraId="4B2D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77784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⑥</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ABF8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PVC冷凝水管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4D91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D08F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6342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r>
      <w:tr w14:paraId="574E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14E031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⑦</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7B4E2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6D3C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6028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D29E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R404A  </w:t>
            </w:r>
          </w:p>
        </w:tc>
      </w:tr>
      <w:tr w14:paraId="3513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5B22F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⑧</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EEF1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外机不锈钢架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680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D589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D8392EA">
            <w:pPr>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不低于304不锈钢材质</w:t>
            </w:r>
          </w:p>
        </w:tc>
      </w:tr>
      <w:tr w14:paraId="6D4F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14:paraId="10ADF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3、电气系统</w:t>
            </w:r>
          </w:p>
        </w:tc>
      </w:tr>
      <w:tr w14:paraId="3487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27597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CCAB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冷库温度电控箱</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162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94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DAE5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温度电控箱：PLC双系统控制，数显温度、手、自动切换，压缩机保护</w:t>
            </w:r>
          </w:p>
        </w:tc>
      </w:tr>
      <w:tr w14:paraId="0C2B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9332E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03746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冷库用防水防潮库灯</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58E9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8CE5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237FA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30W；带开关</w:t>
            </w:r>
          </w:p>
        </w:tc>
      </w:tr>
      <w:tr w14:paraId="5D28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E0394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18448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温度传感器线</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D6DF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A678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7D7D92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带屏蔽；国标电线4*1.0mm²</w:t>
            </w:r>
          </w:p>
        </w:tc>
      </w:tr>
      <w:tr w14:paraId="782A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4C2370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43C39F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照明配电线缆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11BC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C02F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68C1F7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国标电线2*1.5mm²</w:t>
            </w:r>
          </w:p>
        </w:tc>
      </w:tr>
      <w:tr w14:paraId="4ED7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642B54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A4711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风机配电线缆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4E99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A229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E91E5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国标电线3*2.5mm²</w:t>
            </w:r>
          </w:p>
        </w:tc>
      </w:tr>
      <w:tr w14:paraId="0F83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42F2DC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⑥</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4100F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压缩机配电线缆/化霜配电线缆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94D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1FCC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BF5F5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国标电线3*4.0mm²</w:t>
            </w:r>
          </w:p>
        </w:tc>
      </w:tr>
      <w:tr w14:paraId="6F52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28E93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⑦</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57D4E2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主电源电缆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08B4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57AC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D4BE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3*6.0mm²</w:t>
            </w:r>
          </w:p>
        </w:tc>
      </w:tr>
      <w:tr w14:paraId="315F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16CE1D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⑧</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5E30C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货架照明系统带开关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262E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EF41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90A3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LED灯管货架两侧安排；每套</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60W</w:t>
            </w:r>
          </w:p>
        </w:tc>
      </w:tr>
      <w:tr w14:paraId="51D0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6CA983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⑨</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D81C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PVC线槽线管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1E5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AACE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D194083">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r>
      <w:tr w14:paraId="1A29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0BA357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⑩</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E79A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低温冰箱智慧冰箱电源</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7046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C7A9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64A1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每套：3+2插座；3*2.5mm²电源线</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30米</w:t>
            </w:r>
          </w:p>
        </w:tc>
      </w:tr>
      <w:tr w14:paraId="7650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14:paraId="2A834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t>、发电机</w:t>
            </w:r>
          </w:p>
        </w:tc>
      </w:tr>
      <w:tr w14:paraId="13D3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C8D2B2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3B2F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柴油发电机</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B0C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3D3F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4BA8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最大功率：</w:t>
            </w:r>
            <w:r>
              <w:rPr>
                <w:rStyle w:val="5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8KW；额定功率</w:t>
            </w:r>
            <w:r>
              <w:rPr>
                <w:rStyle w:val="5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7.3KW；220/380；50HZ</w:t>
            </w:r>
          </w:p>
        </w:tc>
      </w:tr>
      <w:tr w14:paraId="34F2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9D7DE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7FBE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ATS双电源系统</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7C6E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32AF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D3F7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市电与发电机联锁；断电自动启动，来电自动停机。</w:t>
            </w:r>
          </w:p>
        </w:tc>
      </w:tr>
      <w:tr w14:paraId="1C06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5B7F1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9874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发电机电缆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4F27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F6AF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3C786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3*6.0mm²</w:t>
            </w:r>
          </w:p>
        </w:tc>
      </w:tr>
      <w:tr w14:paraId="4235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61DB84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08AD4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5D66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035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0D6EE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10L</w:t>
            </w:r>
          </w:p>
        </w:tc>
      </w:tr>
      <w:tr w14:paraId="1413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B41EE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FBCA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发电机信号线电缆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F56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27B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361F3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带屏蔽；8*1.0mm²</w:t>
            </w:r>
          </w:p>
        </w:tc>
      </w:tr>
    </w:tbl>
    <w:p w14:paraId="5B553A54">
      <w:pPr>
        <w:pStyle w:val="26"/>
        <w:rPr>
          <w:rFonts w:hint="eastAsia" w:ascii="仿宋" w:hAnsi="仿宋" w:eastAsia="仿宋" w:cs="仿宋"/>
          <w:color w:val="000000"/>
          <w:kern w:val="0"/>
          <w:sz w:val="24"/>
          <w:szCs w:val="24"/>
          <w:highlight w:val="none"/>
          <w:lang w:val="en-US" w:eastAsia="zh-CN"/>
        </w:rPr>
      </w:pPr>
      <w:r>
        <w:rPr>
          <w:rFonts w:hint="eastAsia" w:cs="Times New Roman"/>
          <w:b/>
          <w:bCs/>
          <w:sz w:val="21"/>
          <w:szCs w:val="21"/>
          <w:lang w:eastAsia="zh-CN"/>
        </w:rPr>
        <w:t>（</w:t>
      </w:r>
      <w:r>
        <w:rPr>
          <w:rFonts w:hint="eastAsia" w:cs="Times New Roman"/>
          <w:b/>
          <w:bCs/>
          <w:sz w:val="21"/>
          <w:szCs w:val="21"/>
          <w:lang w:val="en-US" w:eastAsia="zh-CN"/>
        </w:rPr>
        <w:t>二</w:t>
      </w:r>
      <w:r>
        <w:rPr>
          <w:rFonts w:hint="eastAsia" w:cs="Times New Roman"/>
          <w:b/>
          <w:bCs/>
          <w:sz w:val="21"/>
          <w:szCs w:val="21"/>
          <w:lang w:eastAsia="zh-CN"/>
        </w:rPr>
        <w:t>）</w:t>
      </w:r>
      <w:r>
        <w:rPr>
          <w:rFonts w:hint="eastAsia" w:eastAsia="宋体" w:cs="Times New Roman"/>
          <w:b/>
          <w:bCs/>
          <w:sz w:val="21"/>
          <w:szCs w:val="21"/>
          <w:lang w:eastAsia="zh-CN"/>
        </w:rPr>
        <w:t>技术参数</w:t>
      </w:r>
    </w:p>
    <w:tbl>
      <w:tblPr>
        <w:tblStyle w:val="19"/>
        <w:tblW w:w="52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141"/>
        <w:gridCol w:w="7028"/>
      </w:tblGrid>
      <w:tr w14:paraId="6AB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5" w:type="pct"/>
            <w:vAlign w:val="center"/>
          </w:tcPr>
          <w:p w14:paraId="4A553990">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33" w:type="pct"/>
            <w:vAlign w:val="center"/>
          </w:tcPr>
          <w:p w14:paraId="21D156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900" w:type="pct"/>
            <w:vAlign w:val="center"/>
          </w:tcPr>
          <w:p w14:paraId="4093136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14:paraId="2EA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5" w:type="pct"/>
            <w:vMerge w:val="restart"/>
            <w:vAlign w:val="center"/>
          </w:tcPr>
          <w:p w14:paraId="5FD5B6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33" w:type="pct"/>
            <w:vMerge w:val="restart"/>
            <w:vAlign w:val="center"/>
          </w:tcPr>
          <w:p w14:paraId="107EC327">
            <w:pPr>
              <w:rPr>
                <w:rFonts w:hint="eastAsia" w:ascii="宋体" w:hAnsi="宋体" w:eastAsia="宋体" w:cs="宋体"/>
                <w:sz w:val="21"/>
                <w:szCs w:val="21"/>
              </w:rPr>
            </w:pPr>
            <w:r>
              <w:rPr>
                <w:rFonts w:hint="eastAsia" w:ascii="宋体" w:hAnsi="宋体" w:eastAsia="宋体" w:cs="宋体"/>
                <w:b w:val="0"/>
                <w:bCs w:val="0"/>
                <w:sz w:val="21"/>
                <w:szCs w:val="21"/>
              </w:rPr>
              <w:t>后补式冷库</w:t>
            </w:r>
          </w:p>
          <w:p w14:paraId="02CC77D3">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3900" w:type="pct"/>
            <w:shd w:val="clear" w:color="auto" w:fill="auto"/>
            <w:vAlign w:val="center"/>
          </w:tcPr>
          <w:p w14:paraId="150B4B3F">
            <w:pPr>
              <w:widowControl/>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▲1.冷库的设计、建设应符合《疫苗流通和预防接种管理条例》、《疫苗储存和运输管理规范》《冷库设计规范》等规范。要求规划建设后备式疫苗冷藏库，</w:t>
            </w:r>
            <w:r>
              <w:rPr>
                <w:rFonts w:hint="eastAsia" w:ascii="宋体" w:hAnsi="宋体" w:cs="宋体"/>
                <w:color w:val="000000"/>
                <w:sz w:val="21"/>
                <w:szCs w:val="21"/>
                <w:lang w:val="en-US" w:eastAsia="zh-CN"/>
              </w:rPr>
              <w:t>保障</w:t>
            </w:r>
            <w:r>
              <w:rPr>
                <w:rFonts w:hint="eastAsia" w:ascii="宋体" w:hAnsi="宋体" w:eastAsia="宋体" w:cs="宋体"/>
                <w:color w:val="000000"/>
                <w:sz w:val="21"/>
                <w:szCs w:val="21"/>
              </w:rPr>
              <w:t>疫苗安全存储</w:t>
            </w:r>
            <w:r>
              <w:rPr>
                <w:rFonts w:hint="eastAsia" w:ascii="宋体" w:hAnsi="宋体" w:cs="宋体"/>
                <w:color w:val="000000"/>
                <w:sz w:val="21"/>
                <w:szCs w:val="21"/>
                <w:lang w:eastAsia="zh-CN"/>
              </w:rPr>
              <w:t>，</w:t>
            </w:r>
            <w:r>
              <w:rPr>
                <w:rFonts w:hint="eastAsia" w:ascii="宋体" w:hAnsi="宋体" w:eastAsia="宋体" w:cs="宋体"/>
                <w:color w:val="000000"/>
                <w:sz w:val="21"/>
                <w:szCs w:val="21"/>
              </w:rPr>
              <w:t>规格：冷库</w:t>
            </w:r>
            <w:r>
              <w:rPr>
                <w:rFonts w:hint="eastAsia" w:ascii="宋体" w:hAnsi="宋体" w:eastAsia="宋体" w:cs="宋体"/>
                <w:color w:val="000000"/>
                <w:sz w:val="21"/>
                <w:szCs w:val="21"/>
                <w:lang w:val="en-US" w:eastAsia="zh-CN"/>
              </w:rPr>
              <w:t>容</w:t>
            </w:r>
            <w:r>
              <w:rPr>
                <w:rFonts w:hint="eastAsia" w:ascii="宋体" w:hAnsi="宋体" w:eastAsia="宋体" w:cs="宋体"/>
                <w:color w:val="000000"/>
                <w:sz w:val="21"/>
                <w:szCs w:val="21"/>
              </w:rPr>
              <w:t>积约≥15m³（按实际测量结果定制）。根据现场土建结构的实际情况，冷库要做到建筑空间利用最大化，冷库尽量要做到贴土建墙和土建梁安装。</w:t>
            </w:r>
          </w:p>
        </w:tc>
      </w:tr>
      <w:tr w14:paraId="0E5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1D5CDA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5520C7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54ADD66B">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2.本项目所提交的系统应是通电即可使用的系统。其中包括招标文件中明确描述的以及有效完成系统功能所需的所有设备和服务。</w:t>
            </w:r>
          </w:p>
        </w:tc>
      </w:tr>
      <w:tr w14:paraId="4F7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6A4A4F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2F2C1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A0151DF">
            <w:pPr>
              <w:pStyle w:val="7"/>
              <w:rPr>
                <w:rFonts w:hint="default" w:ascii="宋体" w:hAnsi="宋体" w:eastAsia="宋体" w:cs="宋体"/>
                <w:sz w:val="21"/>
                <w:szCs w:val="21"/>
                <w:lang w:val="en-US" w:eastAsia="zh-CN"/>
              </w:rPr>
            </w:pPr>
            <w:r>
              <w:rPr>
                <w:rFonts w:hint="eastAsia" w:ascii="仿宋" w:hAnsi="仿宋" w:eastAsia="仿宋" w:cs="仿宋"/>
                <w:color w:val="000000"/>
                <w:kern w:val="0"/>
                <w:sz w:val="24"/>
                <w:szCs w:val="24"/>
                <w:highlight w:val="none"/>
                <w:lang w:val="en-US" w:eastAsia="zh-CN"/>
              </w:rPr>
              <w:t>★</w:t>
            </w:r>
            <w:r>
              <w:rPr>
                <w:rFonts w:hint="eastAsia" w:ascii="宋体" w:hAnsi="宋体" w:eastAsia="宋体" w:cs="宋体"/>
                <w:color w:val="auto"/>
                <w:kern w:val="0"/>
                <w:sz w:val="21"/>
                <w:szCs w:val="21"/>
                <w:lang w:val="en-US" w:eastAsia="zh-CN" w:bidi="ar-SA"/>
              </w:rPr>
              <w:t>3.</w:t>
            </w:r>
            <w:r>
              <w:rPr>
                <w:rFonts w:hint="eastAsia" w:ascii="宋体" w:hAnsi="宋体" w:eastAsia="宋体" w:cs="宋体"/>
                <w:b w:val="0"/>
                <w:bCs w:val="0"/>
                <w:color w:val="auto"/>
                <w:kern w:val="0"/>
                <w:sz w:val="21"/>
                <w:szCs w:val="21"/>
                <w:lang w:val="en-US" w:eastAsia="zh-CN" w:bidi="ar-SA"/>
              </w:rPr>
              <w:t>组合冷库用隔热夹芯板，阻燃等级≥B1级；厚度≥100mm。参数要求：（1）燃烧增长</w:t>
            </w:r>
            <w:r>
              <w:rPr>
                <w:rFonts w:hint="eastAsia" w:ascii="宋体" w:hAnsi="宋体" w:cs="宋体"/>
                <w:b w:val="0"/>
                <w:bCs w:val="0"/>
                <w:color w:val="auto"/>
                <w:kern w:val="0"/>
                <w:sz w:val="21"/>
                <w:szCs w:val="21"/>
                <w:lang w:val="en-US" w:eastAsia="zh-CN" w:bidi="ar-SA"/>
              </w:rPr>
              <w:t>速</w:t>
            </w:r>
            <w:r>
              <w:rPr>
                <w:rFonts w:hint="eastAsia" w:ascii="宋体" w:hAnsi="宋体" w:eastAsia="宋体" w:cs="宋体"/>
                <w:b w:val="0"/>
                <w:bCs w:val="0"/>
                <w:color w:val="auto"/>
                <w:kern w:val="0"/>
                <w:sz w:val="21"/>
                <w:szCs w:val="21"/>
                <w:lang w:val="en-US" w:eastAsia="zh-CN" w:bidi="ar-SA"/>
              </w:rPr>
              <w:t>率指数FIGRA</w:t>
            </w:r>
            <w:r>
              <w:rPr>
                <w:rFonts w:hint="eastAsia" w:ascii="宋体" w:hAnsi="宋体" w:eastAsia="宋体" w:cs="宋体"/>
                <w:b w:val="0"/>
                <w:bCs w:val="0"/>
                <w:color w:val="auto"/>
                <w:kern w:val="0"/>
                <w:sz w:val="21"/>
                <w:szCs w:val="21"/>
                <w:vertAlign w:val="subscript"/>
                <w:lang w:val="en-US" w:eastAsia="zh-CN" w:bidi="ar-SA"/>
              </w:rPr>
              <w:t>0.2MJ</w:t>
            </w:r>
            <w:r>
              <w:rPr>
                <w:rFonts w:hint="eastAsia" w:ascii="宋体" w:hAnsi="宋体" w:eastAsia="宋体" w:cs="宋体"/>
                <w:b w:val="0"/>
                <w:bCs w:val="0"/>
                <w:color w:val="auto"/>
                <w:kern w:val="0"/>
                <w:sz w:val="21"/>
                <w:szCs w:val="21"/>
                <w:lang w:val="en-US" w:eastAsia="zh-CN" w:bidi="ar-SA"/>
              </w:rPr>
              <w:t>≤120</w:t>
            </w:r>
            <w:r>
              <w:rPr>
                <w:rFonts w:hint="eastAsia" w:ascii="宋体" w:hAnsi="宋体" w:cs="宋体"/>
                <w:b w:val="0"/>
                <w:bCs w:val="0"/>
                <w:color w:val="auto"/>
                <w:kern w:val="0"/>
                <w:sz w:val="21"/>
                <w:szCs w:val="21"/>
                <w:lang w:val="en-US" w:eastAsia="zh-CN" w:bidi="ar-SA"/>
              </w:rPr>
              <w:t>W</w:t>
            </w:r>
            <w:r>
              <w:rPr>
                <w:rFonts w:hint="eastAsia" w:ascii="宋体" w:hAnsi="宋体" w:eastAsia="宋体" w:cs="宋体"/>
                <w:b w:val="0"/>
                <w:bCs w:val="0"/>
                <w:color w:val="auto"/>
                <w:kern w:val="0"/>
                <w:sz w:val="21"/>
                <w:szCs w:val="21"/>
                <w:lang w:val="en-US" w:eastAsia="zh-CN" w:bidi="ar-SA"/>
              </w:rPr>
              <w:t>/s；（2）600</w:t>
            </w:r>
            <w:r>
              <w:rPr>
                <w:rFonts w:hint="default" w:ascii="宋体" w:hAnsi="宋体" w:eastAsia="宋体" w:cs="宋体"/>
                <w:b w:val="0"/>
                <w:bCs w:val="0"/>
                <w:color w:val="auto"/>
                <w:kern w:val="0"/>
                <w:sz w:val="21"/>
                <w:szCs w:val="21"/>
                <w:lang w:val="en-US" w:eastAsia="zh-CN" w:bidi="ar-SA"/>
              </w:rPr>
              <w:t>s</w:t>
            </w:r>
            <w:r>
              <w:rPr>
                <w:rFonts w:hint="eastAsia" w:ascii="宋体" w:hAnsi="宋体" w:eastAsia="宋体" w:cs="宋体"/>
                <w:b w:val="0"/>
                <w:bCs w:val="0"/>
                <w:color w:val="auto"/>
                <w:kern w:val="0"/>
                <w:sz w:val="21"/>
                <w:szCs w:val="21"/>
                <w:lang w:val="en-US" w:eastAsia="zh-CN" w:bidi="ar-SA"/>
              </w:rPr>
              <w:t>总放热量THR</w:t>
            </w:r>
            <w:r>
              <w:rPr>
                <w:rFonts w:hint="eastAsia" w:ascii="宋体" w:hAnsi="宋体" w:eastAsia="宋体" w:cs="宋体"/>
                <w:b w:val="0"/>
                <w:bCs w:val="0"/>
                <w:color w:val="auto"/>
                <w:kern w:val="0"/>
                <w:sz w:val="21"/>
                <w:szCs w:val="21"/>
                <w:vertAlign w:val="subscript"/>
                <w:lang w:val="en-US" w:eastAsia="zh-CN" w:bidi="ar-SA"/>
              </w:rPr>
              <w:t>600S</w:t>
            </w:r>
            <w:r>
              <w:rPr>
                <w:rFonts w:hint="eastAsia" w:ascii="宋体" w:hAnsi="宋体" w:eastAsia="宋体" w:cs="宋体"/>
                <w:b w:val="0"/>
                <w:bCs w:val="0"/>
                <w:color w:val="auto"/>
                <w:kern w:val="0"/>
                <w:sz w:val="21"/>
                <w:szCs w:val="21"/>
                <w:lang w:val="en-US" w:eastAsia="zh-CN" w:bidi="ar-SA"/>
              </w:rPr>
              <w:t>≤7.5MJ；（3）火焰横向蔓延未达到试样长翼边缘；（</w:t>
            </w:r>
            <w:r>
              <w:rPr>
                <w:rFonts w:hint="eastAsia" w:ascii="宋体" w:hAnsi="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en-US" w:eastAsia="zh-CN" w:bidi="ar-SA"/>
              </w:rPr>
              <w:t>）</w:t>
            </w:r>
            <w:r>
              <w:rPr>
                <w:rFonts w:hint="default" w:ascii="宋体" w:hAnsi="宋体" w:eastAsia="宋体" w:cs="宋体"/>
                <w:b w:val="0"/>
                <w:bCs w:val="0"/>
                <w:color w:val="auto"/>
                <w:kern w:val="0"/>
                <w:sz w:val="21"/>
                <w:szCs w:val="21"/>
                <w:lang w:val="en-US" w:eastAsia="zh-CN" w:bidi="ar-SA"/>
              </w:rPr>
              <w:t>60s内焰尖高度Fs</w:t>
            </w:r>
            <w:r>
              <w:rPr>
                <w:rFonts w:hint="eastAsia" w:ascii="宋体" w:hAnsi="宋体" w:eastAsia="宋体" w:cs="宋体"/>
                <w:b w:val="0"/>
                <w:bCs w:val="0"/>
                <w:color w:val="auto"/>
                <w:kern w:val="0"/>
                <w:sz w:val="21"/>
                <w:szCs w:val="21"/>
                <w:lang w:val="en-US" w:eastAsia="zh-CN" w:bidi="ar-SA"/>
              </w:rPr>
              <w:t>≤150mm；（</w:t>
            </w:r>
            <w:r>
              <w:rPr>
                <w:rFonts w:hint="eastAsia" w:ascii="宋体" w:hAnsi="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en-US" w:eastAsia="zh-CN" w:bidi="ar-SA"/>
              </w:rPr>
              <w:t>）</w:t>
            </w:r>
            <w:r>
              <w:rPr>
                <w:rFonts w:hint="default" w:ascii="宋体" w:hAnsi="宋体" w:eastAsia="宋体" w:cs="宋体"/>
                <w:b w:val="0"/>
                <w:bCs w:val="0"/>
                <w:color w:val="auto"/>
                <w:kern w:val="0"/>
                <w:sz w:val="21"/>
                <w:szCs w:val="21"/>
                <w:lang w:val="en-US" w:eastAsia="zh-CN" w:bidi="ar-SA"/>
              </w:rPr>
              <w:t>60s</w:t>
            </w:r>
            <w:r>
              <w:rPr>
                <w:rFonts w:hint="eastAsia" w:ascii="宋体" w:hAnsi="宋体" w:cs="宋体"/>
                <w:b w:val="0"/>
                <w:bCs w:val="0"/>
                <w:color w:val="auto"/>
                <w:kern w:val="0"/>
                <w:sz w:val="21"/>
                <w:szCs w:val="21"/>
                <w:lang w:val="en-US" w:eastAsia="zh-CN" w:bidi="ar-SA"/>
              </w:rPr>
              <w:t>内</w:t>
            </w:r>
            <w:r>
              <w:rPr>
                <w:rFonts w:hint="eastAsia" w:ascii="宋体" w:hAnsi="宋体" w:eastAsia="宋体" w:cs="宋体"/>
                <w:b w:val="0"/>
                <w:bCs w:val="0"/>
                <w:color w:val="auto"/>
                <w:kern w:val="0"/>
                <w:sz w:val="21"/>
                <w:szCs w:val="21"/>
                <w:lang w:val="en-US" w:eastAsia="zh-CN" w:bidi="ar-SA"/>
              </w:rPr>
              <w:t>无燃烧滴落物引燃滤纸现象；（</w:t>
            </w:r>
            <w:r>
              <w:rPr>
                <w:rFonts w:hint="eastAsia" w:ascii="宋体" w:hAnsi="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en-US" w:eastAsia="zh-CN" w:bidi="ar-SA"/>
              </w:rPr>
              <w:t>）氧指数≥30%。</w:t>
            </w:r>
          </w:p>
        </w:tc>
      </w:tr>
      <w:tr w14:paraId="661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14:paraId="0CE8EE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32D6F9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7B8AFFB9">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库体其它：</w:t>
            </w:r>
            <w:r>
              <w:rPr>
                <w:rFonts w:hint="eastAsia" w:ascii="宋体" w:hAnsi="宋体" w:eastAsia="宋体" w:cs="宋体"/>
                <w:i w:val="0"/>
                <w:iCs w:val="0"/>
                <w:color w:val="000000"/>
                <w:kern w:val="0"/>
                <w:sz w:val="21"/>
                <w:szCs w:val="21"/>
                <w:u w:val="none"/>
                <w:lang w:val="en-US" w:eastAsia="zh-CN" w:bidi="ar"/>
              </w:rPr>
              <w:t>①冷库手拉门（单开）：700*1800*100mm, 双面彩钢板，带锁；②中空玻璃门：600*1610mm,含装饰边框，真空玻璃带加热丝防凝露；③隔板货架：固定孔位，层高可调，</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7层隔板；④电磁密码锁：密码和刷卡两种方式开门，配卡</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电磁锁</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密码键盘；⑤地面防滑不锈钢板：</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2.0mm厚；玻璃胶粘贴，定制铝合金压条收口</w:t>
            </w:r>
            <w:r>
              <w:rPr>
                <w:rFonts w:hint="eastAsia" w:ascii="宋体" w:hAnsi="宋体" w:eastAsia="宋体" w:cs="宋体"/>
                <w:color w:val="000000"/>
                <w:kern w:val="0"/>
                <w:sz w:val="21"/>
                <w:szCs w:val="21"/>
              </w:rPr>
              <w:t>。</w:t>
            </w:r>
          </w:p>
        </w:tc>
      </w:tr>
      <w:tr w14:paraId="75D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29DEE94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24AFE1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15D6A29">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w:t>
            </w:r>
            <w:r>
              <w:rPr>
                <w:rFonts w:hint="eastAsia" w:ascii="宋体" w:hAnsi="宋体" w:eastAsia="宋体" w:cs="宋体"/>
                <w:i w:val="0"/>
                <w:iCs w:val="0"/>
                <w:color w:val="000000"/>
                <w:kern w:val="0"/>
                <w:sz w:val="21"/>
                <w:szCs w:val="21"/>
                <w:u w:val="none"/>
                <w:lang w:val="en-US" w:eastAsia="zh-CN" w:bidi="ar"/>
              </w:rPr>
              <w:t>室外机组：压缩机和冷凝器整装出厂，与库内蒸发器分体式连接,采用风冷箱式压缩机组，整机一体出厂，具备以下功能:广泛的使用工况，蒸发温度范围要求从-20℃-5℃。</w:t>
            </w:r>
          </w:p>
        </w:tc>
      </w:tr>
      <w:tr w14:paraId="172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645E45D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7FFD5E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662F4BD0">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6.</w:t>
            </w:r>
            <w:r>
              <w:rPr>
                <w:rFonts w:hint="eastAsia" w:ascii="宋体" w:hAnsi="宋体" w:eastAsia="宋体" w:cs="宋体"/>
                <w:i w:val="0"/>
                <w:iCs w:val="0"/>
                <w:color w:val="000000"/>
                <w:kern w:val="0"/>
                <w:sz w:val="21"/>
                <w:szCs w:val="21"/>
                <w:u w:val="none"/>
                <w:lang w:val="en-US" w:eastAsia="zh-CN" w:bidi="ar"/>
              </w:rPr>
              <w:t>吊顶式高效冷风机：高效静音风机，吊顶式前出风后回风的冷风机型蒸发器；随机标配加热丝橡胶冷凝水外排装置，可整体取出维修；风机风量</w:t>
            </w:r>
            <w:r>
              <w:rPr>
                <w:rStyle w:val="55"/>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1835m³/H;名义冷量≥5300W；220V；50HZ;化霜功率≥2740W</w:t>
            </w:r>
            <w:r>
              <w:rPr>
                <w:rFonts w:hint="eastAsia" w:ascii="宋体" w:hAnsi="宋体" w:eastAsia="宋体" w:cs="宋体"/>
                <w:color w:val="000000"/>
                <w:kern w:val="0"/>
                <w:sz w:val="21"/>
                <w:szCs w:val="21"/>
              </w:rPr>
              <w:t>。</w:t>
            </w:r>
          </w:p>
        </w:tc>
      </w:tr>
      <w:tr w14:paraId="21DD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2E17F3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08BA31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032FF2AF">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w:t>
            </w:r>
            <w:r>
              <w:rPr>
                <w:rFonts w:hint="eastAsia" w:ascii="宋体" w:hAnsi="宋体" w:eastAsia="宋体" w:cs="宋体"/>
                <w:i w:val="0"/>
                <w:iCs w:val="0"/>
                <w:color w:val="000000"/>
                <w:kern w:val="0"/>
                <w:sz w:val="21"/>
                <w:szCs w:val="21"/>
                <w:u w:val="none"/>
                <w:lang w:val="en-US" w:eastAsia="zh-CN" w:bidi="ar"/>
              </w:rPr>
              <w:t>磷脱氧铜管，Φ10/Φ16mm，B1级保温</w:t>
            </w:r>
            <w:r>
              <w:rPr>
                <w:rFonts w:hint="eastAsia" w:ascii="宋体" w:hAnsi="宋体" w:eastAsia="宋体" w:cs="宋体"/>
                <w:color w:val="000000"/>
                <w:kern w:val="0"/>
                <w:sz w:val="21"/>
                <w:szCs w:val="21"/>
              </w:rPr>
              <w:t>。</w:t>
            </w:r>
          </w:p>
        </w:tc>
      </w:tr>
      <w:tr w14:paraId="4177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79885B9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1A08039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749DD585">
            <w:pPr>
              <w:widowControl/>
              <w:spacing w:after="0" w:line="300" w:lineRule="exact"/>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系统在冷库（空库）密封情况下，</w:t>
            </w:r>
            <w:r>
              <w:rPr>
                <w:rFonts w:hint="eastAsia" w:ascii="宋体" w:hAnsi="宋体" w:eastAsia="宋体" w:cs="宋体"/>
                <w:color w:val="000000"/>
                <w:kern w:val="0"/>
                <w:sz w:val="21"/>
                <w:szCs w:val="21"/>
                <w:u w:val="none"/>
                <w:lang w:val="en-US" w:eastAsia="zh-CN" w:bidi="ar"/>
              </w:rPr>
              <w:t>6</w:t>
            </w:r>
            <w:r>
              <w:rPr>
                <w:rFonts w:hint="eastAsia" w:ascii="宋体" w:hAnsi="宋体" w:eastAsia="宋体" w:cs="宋体"/>
                <w:color w:val="000000"/>
                <w:kern w:val="0"/>
                <w:sz w:val="21"/>
                <w:szCs w:val="21"/>
                <w:u w:val="none"/>
                <w:lang w:bidi="ar"/>
              </w:rPr>
              <w:t>0分钟内达到冷库温度要求</w:t>
            </w:r>
            <w:r>
              <w:rPr>
                <w:rFonts w:hint="eastAsia" w:ascii="宋体" w:hAnsi="宋体" w:eastAsia="宋体" w:cs="宋体"/>
                <w:color w:val="000000"/>
                <w:kern w:val="0"/>
                <w:sz w:val="21"/>
                <w:szCs w:val="21"/>
                <w:u w:val="none"/>
                <w:lang w:eastAsia="zh-CN" w:bidi="ar"/>
              </w:rPr>
              <w:t>：</w:t>
            </w:r>
            <w:r>
              <w:rPr>
                <w:rFonts w:hint="eastAsia" w:ascii="宋体" w:hAnsi="宋体" w:eastAsia="宋体" w:cs="宋体"/>
                <w:color w:val="000000"/>
                <w:kern w:val="0"/>
                <w:sz w:val="21"/>
                <w:szCs w:val="21"/>
                <w:u w:val="none"/>
                <w:lang w:val="en-US" w:eastAsia="zh-CN" w:bidi="ar"/>
              </w:rPr>
              <w:t>2-8</w:t>
            </w:r>
            <w:r>
              <w:rPr>
                <w:rFonts w:hint="eastAsia" w:ascii="宋体" w:hAnsi="宋体" w:eastAsia="宋体" w:cs="宋体"/>
                <w:color w:val="000000"/>
                <w:kern w:val="0"/>
                <w:sz w:val="21"/>
                <w:szCs w:val="21"/>
                <w:u w:val="none"/>
                <w:lang w:bidi="ar"/>
              </w:rPr>
              <w:t>℃（当环境温度为+38℃～+42℃时）</w:t>
            </w:r>
            <w:r>
              <w:rPr>
                <w:rFonts w:hint="eastAsia" w:ascii="宋体" w:hAnsi="宋体" w:eastAsia="宋体" w:cs="宋体"/>
                <w:color w:val="000000"/>
                <w:kern w:val="0"/>
                <w:sz w:val="21"/>
                <w:szCs w:val="21"/>
                <w:u w:val="none"/>
                <w:lang w:eastAsia="zh-CN" w:bidi="ar"/>
              </w:rPr>
              <w:t>。</w:t>
            </w:r>
          </w:p>
        </w:tc>
      </w:tr>
      <w:tr w14:paraId="457C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7AA8495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5DA85BE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58D0F96">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.冷库具有自动定时和强制除霜功能；做好蒸发器化霜后的积水排放处理，冷库内不能有积水。</w:t>
            </w:r>
          </w:p>
        </w:tc>
      </w:tr>
      <w:tr w14:paraId="71F6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2ECB489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63CDF6E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3FE6A715">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电气系统：</w:t>
            </w:r>
            <w:r>
              <w:rPr>
                <w:rFonts w:hint="eastAsia" w:ascii="宋体" w:hAnsi="宋体" w:eastAsia="宋体" w:cs="宋体"/>
                <w:color w:val="000000"/>
                <w:kern w:val="0"/>
                <w:sz w:val="21"/>
                <w:szCs w:val="21"/>
              </w:rPr>
              <w:t>冷库制冷系统配置智能控制功能，达到完全智能运行，无需人员值守和操作</w:t>
            </w:r>
            <w:r>
              <w:rPr>
                <w:rFonts w:hint="eastAsia" w:ascii="宋体" w:hAnsi="宋体" w:eastAsia="宋体" w:cs="宋体"/>
                <w:color w:val="auto"/>
                <w:kern w:val="0"/>
                <w:sz w:val="21"/>
                <w:szCs w:val="21"/>
                <w:lang w:eastAsia="zh-CN"/>
              </w:rPr>
              <w:t>；</w:t>
            </w:r>
            <w:r>
              <w:rPr>
                <w:rFonts w:hint="eastAsia" w:ascii="宋体" w:hAnsi="宋体" w:eastAsia="宋体" w:cs="宋体"/>
                <w:color w:val="auto"/>
                <w:lang w:val="en-US" w:eastAsia="zh-CN"/>
              </w:rPr>
              <w:t>保障产品质量及疫苗安全存储符合规范和要求，提升疫苗存储安全。</w:t>
            </w:r>
          </w:p>
        </w:tc>
      </w:tr>
      <w:tr w14:paraId="7BF6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01BABD3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498040A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5C2856A">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.冷库采用智能控制系统，数字屏显示。一套系统故障，可实现故障切换。智能控制系统设计合理，使用简便。</w:t>
            </w:r>
          </w:p>
        </w:tc>
      </w:tr>
      <w:tr w14:paraId="26A2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208083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0CD7101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01AD8D7C">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.双倍输出：采用智能控制方式，1）可通过智能控制系统自动控制两套制冷系统，达到用户设定条件下可以同时开启，输出双倍制冷量。应对非正常工作情况的发生；2）输出异常信号，发出声光报警。</w:t>
            </w:r>
          </w:p>
        </w:tc>
      </w:tr>
      <w:tr w14:paraId="058B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65" w:type="pct"/>
            <w:vMerge w:val="continue"/>
            <w:vAlign w:val="center"/>
          </w:tcPr>
          <w:p w14:paraId="354B44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409AE64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59C0214E">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lang w:eastAsia="zh-CN"/>
              </w:rPr>
              <w:t>冷库</w:t>
            </w:r>
            <w:r>
              <w:rPr>
                <w:rFonts w:hint="eastAsia" w:ascii="宋体" w:hAnsi="宋体" w:eastAsia="宋体" w:cs="宋体"/>
                <w:color w:val="auto"/>
                <w:lang w:val="en-US" w:eastAsia="zh-CN"/>
              </w:rPr>
              <w:t>具</w:t>
            </w:r>
            <w:r>
              <w:rPr>
                <w:rFonts w:hint="eastAsia" w:ascii="宋体" w:hAnsi="宋体" w:eastAsia="宋体" w:cs="宋体"/>
                <w:color w:val="auto"/>
                <w:lang w:eastAsia="zh-CN"/>
              </w:rPr>
              <w:t>有物联功能；</w:t>
            </w:r>
            <w:r>
              <w:rPr>
                <w:rFonts w:hint="eastAsia" w:ascii="宋体" w:hAnsi="宋体" w:eastAsia="宋体" w:cs="宋体"/>
                <w:color w:val="auto"/>
                <w:sz w:val="21"/>
                <w:szCs w:val="21"/>
              </w:rPr>
              <w:t>支持微信报警处理，能够在微信端处理报警，允许提交处理现场的照片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提供无偿</w:t>
            </w:r>
            <w:r>
              <w:rPr>
                <w:rFonts w:hint="eastAsia" w:ascii="宋体" w:hAnsi="宋体" w:eastAsia="宋体" w:cs="宋体"/>
                <w:color w:val="auto"/>
                <w:lang w:val="en-US" w:eastAsia="zh-CN"/>
              </w:rPr>
              <w:t>软件技术升级改造服务。</w:t>
            </w:r>
          </w:p>
        </w:tc>
      </w:tr>
      <w:tr w14:paraId="4E8F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65" w:type="pct"/>
            <w:vMerge w:val="continue"/>
            <w:vAlign w:val="center"/>
          </w:tcPr>
          <w:p w14:paraId="6D2D5D4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0593BAC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DB5BC76">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w:t>
            </w:r>
            <w:r>
              <w:rPr>
                <w:rFonts w:hint="eastAsia" w:ascii="宋体" w:hAnsi="宋体" w:eastAsia="宋体" w:cs="宋体"/>
                <w:color w:val="auto"/>
                <w:lang w:val="en-US" w:eastAsia="zh-CN"/>
              </w:rPr>
              <w:t>具有</w:t>
            </w:r>
            <w:r>
              <w:rPr>
                <w:rFonts w:hint="eastAsia" w:ascii="宋体" w:hAnsi="宋体" w:eastAsia="宋体" w:cs="宋体"/>
                <w:color w:val="auto"/>
                <w:lang w:eastAsia="zh-CN"/>
              </w:rPr>
              <w:t>远程</w:t>
            </w:r>
            <w:r>
              <w:rPr>
                <w:rFonts w:hint="eastAsia" w:ascii="宋体" w:hAnsi="宋体" w:eastAsia="宋体" w:cs="宋体"/>
                <w:color w:val="auto"/>
                <w:lang w:val="en-US" w:eastAsia="zh-CN"/>
              </w:rPr>
              <w:t>实时监控温度功能；</w:t>
            </w:r>
            <w:r>
              <w:rPr>
                <w:rFonts w:hint="eastAsia" w:ascii="宋体" w:hAnsi="宋体" w:eastAsia="宋体" w:cs="宋体"/>
                <w:color w:val="auto"/>
                <w:sz w:val="21"/>
                <w:szCs w:val="21"/>
              </w:rPr>
              <w:t>支持微信端单台设备的状态查看，能够实时查询单台设备的状态信息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提供无偿</w:t>
            </w:r>
            <w:r>
              <w:rPr>
                <w:rFonts w:hint="eastAsia" w:ascii="宋体" w:hAnsi="宋体" w:eastAsia="宋体" w:cs="宋体"/>
                <w:color w:val="auto"/>
                <w:lang w:val="en-US" w:eastAsia="zh-CN"/>
              </w:rPr>
              <w:t>软件技术升级改造服务。</w:t>
            </w:r>
          </w:p>
        </w:tc>
      </w:tr>
      <w:tr w14:paraId="7F3E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restart"/>
            <w:vAlign w:val="center"/>
          </w:tcPr>
          <w:p w14:paraId="5CFB2BD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rPr>
              <w:t>2</w:t>
            </w:r>
          </w:p>
        </w:tc>
        <w:tc>
          <w:tcPr>
            <w:tcW w:w="633" w:type="pct"/>
            <w:vMerge w:val="restart"/>
            <w:vAlign w:val="center"/>
          </w:tcPr>
          <w:p w14:paraId="73DBAEB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sz w:val="21"/>
                <w:szCs w:val="21"/>
              </w:rPr>
              <w:t>发电机</w:t>
            </w:r>
          </w:p>
        </w:tc>
        <w:tc>
          <w:tcPr>
            <w:tcW w:w="3900" w:type="pct"/>
            <w:vAlign w:val="top"/>
          </w:tcPr>
          <w:p w14:paraId="732E71E8">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kern w:val="2"/>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.功率≥8000瓦，额定功率（KVA）≥7300瓦。</w:t>
            </w:r>
          </w:p>
        </w:tc>
      </w:tr>
      <w:tr w14:paraId="394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37AE2D3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258429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vAlign w:val="top"/>
          </w:tcPr>
          <w:p w14:paraId="4DBCCE6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.柴油总升数≥1</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L，手电一体启动。</w:t>
            </w:r>
          </w:p>
        </w:tc>
      </w:tr>
      <w:tr w14:paraId="0D52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011CCA2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6125D5D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vAlign w:val="top"/>
          </w:tcPr>
          <w:p w14:paraId="696667DC">
            <w:pPr>
              <w:widowControl/>
              <w:spacing w:after="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.发电机配备ATS双电源自动切换开关，一旦电路因检修或是发生故障，发电机能够迅速的启动供电。当电路恢复供电时，发电机将自动停止供电。</w:t>
            </w:r>
          </w:p>
        </w:tc>
      </w:tr>
      <w:bookmarkEnd w:id="1"/>
    </w:tbl>
    <w:p w14:paraId="71D01AF3">
      <w:pPr>
        <w:pStyle w:val="8"/>
        <w:rPr>
          <w:rFonts w:hint="default" w:eastAsia="宋体" w:cs="Times New Roman"/>
          <w:b/>
          <w:bCs/>
          <w:sz w:val="21"/>
          <w:szCs w:val="21"/>
          <w:lang w:val="en-US" w:eastAsia="zh-CN"/>
        </w:rPr>
      </w:pPr>
      <w:r>
        <w:rPr>
          <w:rFonts w:hint="eastAsia" w:eastAsia="宋体" w:cs="Times New Roman"/>
          <w:b/>
          <w:bCs/>
          <w:sz w:val="21"/>
          <w:szCs w:val="21"/>
          <w:lang w:val="en-US" w:eastAsia="zh-CN"/>
        </w:rPr>
        <w:t>★（</w:t>
      </w:r>
      <w:r>
        <w:rPr>
          <w:rFonts w:hint="eastAsia" w:cs="Times New Roman"/>
          <w:b/>
          <w:bCs/>
          <w:sz w:val="21"/>
          <w:szCs w:val="21"/>
          <w:lang w:val="en-US" w:eastAsia="zh-CN"/>
        </w:rPr>
        <w:t>三</w:t>
      </w:r>
      <w:r>
        <w:rPr>
          <w:rFonts w:hint="eastAsia" w:eastAsia="宋体" w:cs="Times New Roman"/>
          <w:b/>
          <w:bCs/>
          <w:sz w:val="21"/>
          <w:szCs w:val="21"/>
          <w:lang w:val="en-US" w:eastAsia="zh-CN"/>
        </w:rPr>
        <w:t>）配齐满足以上性能且正常使用所需要的所有配置及配件。</w:t>
      </w:r>
    </w:p>
    <w:p w14:paraId="1C63B974">
      <w:pPr>
        <w:pStyle w:val="10"/>
        <w:tabs>
          <w:tab w:val="left" w:pos="540"/>
        </w:tabs>
        <w:adjustRightInd w:val="0"/>
        <w:snapToGrid w:val="0"/>
        <w:spacing w:before="156" w:beforeLines="50" w:line="360" w:lineRule="auto"/>
        <w:ind w:left="420" w:hanging="42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r>
        <w:rPr>
          <w:rFonts w:hint="eastAsia" w:ascii="宋体"/>
          <w:b/>
          <w:color w:val="000000"/>
          <w:lang w:val="en-US" w:eastAsia="zh-CN"/>
        </w:rPr>
        <w:t>（</w:t>
      </w:r>
      <w:r>
        <w:rPr>
          <w:rFonts w:hint="eastAsia" w:ascii="宋体" w:hAnsi="宋体" w:eastAsia="宋体" w:cs="宋体"/>
          <w:b/>
          <w:bCs/>
          <w:i w:val="0"/>
          <w:iCs w:val="0"/>
          <w:caps w:val="0"/>
          <w:color w:val="000000"/>
          <w:spacing w:val="0"/>
          <w:sz w:val="21"/>
          <w:szCs w:val="21"/>
          <w:shd w:val="clear" w:fill="FFFFFF"/>
        </w:rPr>
        <w:t>在以下条款中，带“★”标记的为实质性条款，需要投标人作出响应。其他条款为必须满足条</w:t>
      </w:r>
      <w:r>
        <w:rPr>
          <w:rFonts w:hint="eastAsia" w:hAnsi="宋体" w:cs="宋体"/>
          <w:b/>
          <w:bCs/>
          <w:i w:val="0"/>
          <w:iCs w:val="0"/>
          <w:caps w:val="0"/>
          <w:color w:val="000000"/>
          <w:spacing w:val="0"/>
          <w:sz w:val="21"/>
          <w:szCs w:val="21"/>
          <w:shd w:val="clear" w:fill="FFFFFF"/>
          <w:lang w:val="en-US" w:eastAsia="zh-CN"/>
        </w:rPr>
        <w:t>款</w:t>
      </w:r>
      <w:r>
        <w:rPr>
          <w:rFonts w:hint="eastAsia" w:ascii="宋体" w:hAnsi="宋体" w:eastAsia="宋体" w:cs="宋体"/>
          <w:b/>
          <w:bCs/>
          <w:i w:val="0"/>
          <w:iCs w:val="0"/>
          <w:caps w:val="0"/>
          <w:color w:val="000000"/>
          <w:spacing w:val="0"/>
          <w:sz w:val="21"/>
          <w:szCs w:val="21"/>
          <w:shd w:val="clear" w:fill="FFFFFF"/>
        </w:rPr>
        <w:t>，</w:t>
      </w:r>
      <w:r>
        <w:rPr>
          <w:rFonts w:hint="eastAsia" w:hAnsi="宋体" w:cs="宋体"/>
          <w:b/>
          <w:bCs/>
          <w:i w:val="0"/>
          <w:iCs w:val="0"/>
          <w:caps w:val="0"/>
          <w:color w:val="000000"/>
          <w:spacing w:val="0"/>
          <w:sz w:val="21"/>
          <w:szCs w:val="21"/>
          <w:shd w:val="clear" w:fill="FFFFFF"/>
          <w:lang w:val="en-US" w:eastAsia="zh-CN"/>
        </w:rPr>
        <w:t>无</w:t>
      </w:r>
      <w:r>
        <w:rPr>
          <w:rFonts w:hint="eastAsia" w:ascii="宋体"/>
          <w:b/>
          <w:color w:val="000000"/>
          <w:lang w:eastAsia="zh-CN"/>
        </w:rPr>
        <w:t>需投标人响应</w:t>
      </w:r>
      <w:r>
        <w:rPr>
          <w:rFonts w:hint="eastAsia"/>
          <w:b/>
          <w:color w:val="000000"/>
          <w:lang w:eastAsia="zh-CN"/>
        </w:rPr>
        <w:t>，</w:t>
      </w:r>
      <w:r>
        <w:rPr>
          <w:rFonts w:hint="eastAsia" w:ascii="宋体" w:hAnsi="宋体" w:eastAsia="宋体" w:cs="宋体"/>
          <w:b/>
          <w:bCs/>
          <w:i w:val="0"/>
          <w:iCs w:val="0"/>
          <w:caps w:val="0"/>
          <w:color w:val="000000"/>
          <w:spacing w:val="0"/>
          <w:sz w:val="21"/>
          <w:szCs w:val="21"/>
          <w:shd w:val="clear" w:fill="FFFFFF"/>
        </w:rPr>
        <w:t>若未满足，将视为投标无效</w:t>
      </w:r>
      <w:r>
        <w:rPr>
          <w:rFonts w:hint="eastAsia" w:ascii="宋体"/>
          <w:b/>
          <w:color w:val="000000"/>
          <w:lang w:val="en-US" w:eastAsia="zh-CN"/>
        </w:rPr>
        <w:t>）</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5DD2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DBB62D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14:paraId="175DAFB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14:paraId="0B1D9D8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24EF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627577E6">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75056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FA8565E">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1</w:t>
            </w:r>
          </w:p>
        </w:tc>
        <w:tc>
          <w:tcPr>
            <w:tcW w:w="1545" w:type="dxa"/>
            <w:vAlign w:val="center"/>
          </w:tcPr>
          <w:p w14:paraId="7907E96F">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免费保修期</w:t>
            </w:r>
          </w:p>
        </w:tc>
        <w:tc>
          <w:tcPr>
            <w:tcW w:w="6704" w:type="dxa"/>
            <w:vAlign w:val="top"/>
          </w:tcPr>
          <w:p w14:paraId="36523AE5">
            <w:pPr>
              <w:spacing w:line="240" w:lineRule="auto"/>
              <w:rPr>
                <w:rFonts w:hint="eastAsia" w:ascii="仿宋" w:hAnsi="仿宋" w:eastAsia="仿宋" w:cs="仿宋"/>
                <w:b/>
                <w:bCs/>
                <w:sz w:val="24"/>
                <w:szCs w:val="24"/>
                <w:highlight w:val="none"/>
              </w:rPr>
            </w:pPr>
            <w:r>
              <w:rPr>
                <w:rFonts w:hint="eastAsia" w:ascii="宋体" w:hAnsi="宋体" w:cs="宋体"/>
                <w:b/>
                <w:bCs/>
                <w:szCs w:val="21"/>
                <w:highlight w:val="none"/>
              </w:rPr>
              <w:t>★</w:t>
            </w:r>
            <w:r>
              <w:rPr>
                <w:rFonts w:hint="eastAsia" w:ascii="宋体" w:hAnsi="宋体" w:eastAsia="宋体" w:cs="宋体"/>
                <w:b/>
                <w:bCs/>
                <w:color w:val="000000"/>
                <w:sz w:val="21"/>
                <w:szCs w:val="21"/>
              </w:rPr>
              <w:t>货物免费保修期至少</w:t>
            </w:r>
            <w:r>
              <w:rPr>
                <w:rFonts w:hint="eastAsia" w:ascii="宋体" w:hAnsi="宋体" w:eastAsia="宋体" w:cs="宋体"/>
                <w:b/>
                <w:bCs/>
                <w:color w:val="000000"/>
                <w:sz w:val="21"/>
                <w:szCs w:val="21"/>
                <w:u w:val="single"/>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eastAsia="zh-CN"/>
              </w:rPr>
              <w:t>保修期</w:t>
            </w:r>
            <w:r>
              <w:rPr>
                <w:rFonts w:hint="eastAsia" w:ascii="宋体" w:hAnsi="宋体" w:eastAsia="宋体" w:cs="宋体"/>
                <w:b/>
                <w:bCs/>
                <w:color w:val="000000"/>
                <w:sz w:val="21"/>
                <w:szCs w:val="21"/>
              </w:rPr>
              <w:t>从设备最终验收合格并交付使用之日起计算，由中标人提供产品保修文件。</w:t>
            </w:r>
          </w:p>
        </w:tc>
      </w:tr>
      <w:tr w14:paraId="0BDE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36E4E6F0">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2</w:t>
            </w:r>
          </w:p>
        </w:tc>
        <w:tc>
          <w:tcPr>
            <w:tcW w:w="1545" w:type="dxa"/>
            <w:vAlign w:val="center"/>
          </w:tcPr>
          <w:p w14:paraId="3B00F572">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维修响应及故障解决时间</w:t>
            </w:r>
          </w:p>
        </w:tc>
        <w:tc>
          <w:tcPr>
            <w:tcW w:w="6704" w:type="dxa"/>
            <w:vAlign w:val="top"/>
          </w:tcPr>
          <w:p w14:paraId="47087E23">
            <w:pPr>
              <w:spacing w:line="240" w:lineRule="auto"/>
              <w:rPr>
                <w:rFonts w:hint="eastAsia" w:ascii="仿宋" w:hAnsi="仿宋" w:eastAsia="仿宋" w:cs="仿宋"/>
                <w:b/>
                <w:bCs/>
                <w:sz w:val="24"/>
                <w:szCs w:val="24"/>
                <w:highlight w:val="none"/>
              </w:rPr>
            </w:pPr>
            <w:r>
              <w:rPr>
                <w:rFonts w:hint="eastAsia" w:ascii="宋体" w:hAnsi="宋体" w:eastAsia="宋体" w:cs="宋体"/>
                <w:b w:val="0"/>
                <w:bCs w:val="0"/>
                <w:color w:val="auto"/>
                <w:sz w:val="21"/>
                <w:szCs w:val="21"/>
                <w:highlight w:val="none"/>
                <w:lang w:val="en-US" w:eastAsia="zh-CN"/>
              </w:rPr>
              <w:t>费</w:t>
            </w:r>
            <w:r>
              <w:rPr>
                <w:rFonts w:hint="eastAsia" w:ascii="宋体" w:hAnsi="宋体" w:eastAsia="宋体" w:cs="宋体"/>
                <w:b w:val="0"/>
                <w:bCs w:val="0"/>
                <w:color w:val="auto"/>
                <w:sz w:val="21"/>
                <w:szCs w:val="21"/>
                <w:highlight w:val="none"/>
              </w:rPr>
              <w:t>保修期内，设备发生质量问题，免费维修，中标人保证在接到通知</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分钟内赶到现场进行修理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室外机组、冷风机、发电机</w:t>
            </w:r>
            <w:r>
              <w:rPr>
                <w:rFonts w:hint="eastAsia" w:ascii="宋体" w:hAnsi="宋体" w:eastAsia="宋体" w:cs="宋体"/>
                <w:b w:val="0"/>
                <w:bCs w:val="0"/>
                <w:color w:val="auto"/>
                <w:sz w:val="21"/>
                <w:szCs w:val="21"/>
                <w:highlight w:val="none"/>
              </w:rPr>
              <w:t>48小时维修不好提供备用设备给采购人使用</w:t>
            </w:r>
            <w:r>
              <w:rPr>
                <w:rFonts w:hint="eastAsia" w:ascii="宋体" w:hAnsi="宋体" w:eastAsia="宋体" w:cs="宋体"/>
                <w:b w:val="0"/>
                <w:bCs w:val="0"/>
                <w:color w:val="auto"/>
                <w:sz w:val="21"/>
                <w:szCs w:val="21"/>
                <w:highlight w:val="none"/>
                <w:lang w:eastAsia="zh-CN"/>
              </w:rPr>
              <w:t>。</w:t>
            </w:r>
          </w:p>
        </w:tc>
      </w:tr>
      <w:tr w14:paraId="06D95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624C2AC3">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3</w:t>
            </w:r>
          </w:p>
        </w:tc>
        <w:tc>
          <w:tcPr>
            <w:tcW w:w="1545" w:type="dxa"/>
            <w:vAlign w:val="center"/>
          </w:tcPr>
          <w:p w14:paraId="738CC1B0">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发生质量问题的处理方式</w:t>
            </w:r>
          </w:p>
        </w:tc>
        <w:tc>
          <w:tcPr>
            <w:tcW w:w="6704" w:type="dxa"/>
            <w:vAlign w:val="top"/>
          </w:tcPr>
          <w:p w14:paraId="2EF59C8A">
            <w:pPr>
              <w:spacing w:line="240" w:lineRule="auto"/>
              <w:rPr>
                <w:rFonts w:hint="eastAsia" w:ascii="仿宋" w:hAnsi="仿宋" w:eastAsia="仿宋" w:cs="仿宋"/>
                <w:b/>
                <w:bCs/>
                <w:sz w:val="24"/>
                <w:szCs w:val="24"/>
                <w:highlight w:val="none"/>
              </w:rPr>
            </w:pPr>
            <w:r>
              <w:rPr>
                <w:rFonts w:hint="eastAsia" w:ascii="宋体" w:hAnsi="宋体" w:eastAsia="宋体" w:cs="宋体"/>
                <w:b w:val="0"/>
                <w:bCs w:val="0"/>
                <w:sz w:val="21"/>
                <w:szCs w:val="21"/>
              </w:rPr>
              <w:t>免费保修期内，如果有因质量问题而引起的损坏，中标人应对产品予以维修或更换，全部服务费和更换产品或配件的费用由中标人承担，中标人如不能修理或不能调换，按产品原价赔偿处理。</w:t>
            </w:r>
          </w:p>
        </w:tc>
      </w:tr>
      <w:tr w14:paraId="0409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78332C9A">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15D3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4BEE56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Align w:val="center"/>
          </w:tcPr>
          <w:p w14:paraId="7847F2CA">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免费保修期外售后服务</w:t>
            </w:r>
          </w:p>
        </w:tc>
        <w:tc>
          <w:tcPr>
            <w:tcW w:w="6704" w:type="dxa"/>
            <w:vAlign w:val="center"/>
          </w:tcPr>
          <w:p w14:paraId="26DF9A57">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免费保修期后继续支持维修，并按成本价标准收取维修及零件费用。</w:t>
            </w:r>
          </w:p>
        </w:tc>
      </w:tr>
      <w:tr w14:paraId="3FAC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14:paraId="684801D2">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29B5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shd w:val="clear" w:color="auto" w:fill="auto"/>
            <w:vAlign w:val="center"/>
          </w:tcPr>
          <w:p w14:paraId="4DBA9564">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w:t>
            </w:r>
          </w:p>
        </w:tc>
        <w:tc>
          <w:tcPr>
            <w:tcW w:w="1545" w:type="dxa"/>
            <w:vMerge w:val="restart"/>
            <w:shd w:val="clear" w:color="auto" w:fill="auto"/>
            <w:vAlign w:val="center"/>
          </w:tcPr>
          <w:p w14:paraId="28C439CA">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关报价及交货要求</w:t>
            </w:r>
          </w:p>
        </w:tc>
        <w:tc>
          <w:tcPr>
            <w:tcW w:w="6704" w:type="dxa"/>
            <w:shd w:val="clear" w:color="auto" w:fill="auto"/>
            <w:vAlign w:val="top"/>
          </w:tcPr>
          <w:p w14:paraId="748A55E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1.报价要求</w:t>
            </w:r>
          </w:p>
          <w:p w14:paraId="6B4E5767">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1.1报价方式：人民币报价，本次招标采用总承包方式，因此投标人的报价应包括人工费、税费、运输费、安装费、场地清理费、设备费等所有的费用。</w:t>
            </w:r>
          </w:p>
          <w:p w14:paraId="765AAFE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1.2投标人应根据本企业的成本自行决定报价。专家认为投标人的报价明显低于其他通过符合性审查投标人的报价，有可能影响服务质量或不能诚信履约的，将会要求该投标人在评标现场合理的时间内提供书面说明和相关证明材料。投标人不能证明其报价合理性的，专家应将其作为无效投标处理。</w:t>
            </w:r>
          </w:p>
          <w:p w14:paraId="4D79DCD1">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rPr>
              <w:t>1.3投标人如没有提出具体的土建要求在后期安装冷库所产生的土建装修等一切费用由投标人自行承担；</w:t>
            </w:r>
          </w:p>
        </w:tc>
      </w:tr>
      <w:tr w14:paraId="0D5FE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42137AB">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4546BDC4">
            <w:pPr>
              <w:spacing w:line="360" w:lineRule="auto"/>
              <w:jc w:val="center"/>
              <w:rPr>
                <w:rFonts w:hint="eastAsia" w:ascii="仿宋" w:hAnsi="仿宋" w:eastAsia="仿宋" w:cs="仿宋"/>
                <w:b/>
                <w:bCs/>
                <w:sz w:val="24"/>
                <w:szCs w:val="24"/>
              </w:rPr>
            </w:pPr>
          </w:p>
        </w:tc>
        <w:tc>
          <w:tcPr>
            <w:tcW w:w="6704" w:type="dxa"/>
            <w:shd w:val="clear" w:color="auto" w:fill="auto"/>
            <w:vAlign w:val="top"/>
          </w:tcPr>
          <w:p w14:paraId="571D545F">
            <w:pPr>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.交货期：签订合同后，30（天）日历日内内交付使用。（日历日为自然天，包括双休日及法定节假日，不等同于工作日；逾期交货采购人有权按照相关规定处罚。</w:t>
            </w:r>
          </w:p>
        </w:tc>
      </w:tr>
      <w:tr w14:paraId="6EE6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276745D9">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7B756256">
            <w:pPr>
              <w:spacing w:line="360" w:lineRule="auto"/>
              <w:jc w:val="center"/>
              <w:rPr>
                <w:rFonts w:hint="eastAsia" w:ascii="仿宋" w:hAnsi="仿宋" w:eastAsia="仿宋" w:cs="仿宋"/>
                <w:b/>
                <w:bCs/>
                <w:sz w:val="24"/>
                <w:szCs w:val="24"/>
              </w:rPr>
            </w:pPr>
          </w:p>
        </w:tc>
        <w:tc>
          <w:tcPr>
            <w:tcW w:w="6704" w:type="dxa"/>
            <w:shd w:val="clear" w:color="auto" w:fill="auto"/>
            <w:vAlign w:val="top"/>
          </w:tcPr>
          <w:p w14:paraId="06117748">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商品运输：合同中所有的商品均须由中标人自行运往采购单位指定地点，不论商品从何处购置、采用何种方式运输，采购单位不承担任何责任及相关费用。中标人应自行处理商品质量和数量短缺等问题。中标人应委派技术人员进行现场安装、调试，并提供货物安装调试的一切技术支持。安装调试的具体时间由采购人提前3天通知中标人。</w:t>
            </w:r>
          </w:p>
        </w:tc>
      </w:tr>
      <w:tr w14:paraId="2371D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3A9022B">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7853DC2A">
            <w:pPr>
              <w:spacing w:line="360" w:lineRule="auto"/>
              <w:jc w:val="center"/>
              <w:rPr>
                <w:rFonts w:hint="eastAsia" w:ascii="仿宋" w:hAnsi="仿宋" w:eastAsia="仿宋" w:cs="仿宋"/>
                <w:b/>
                <w:bCs/>
                <w:sz w:val="24"/>
                <w:szCs w:val="24"/>
              </w:rPr>
            </w:pPr>
          </w:p>
        </w:tc>
        <w:tc>
          <w:tcPr>
            <w:tcW w:w="6704" w:type="dxa"/>
            <w:shd w:val="clear" w:color="auto" w:fill="auto"/>
            <w:vAlign w:val="top"/>
          </w:tcPr>
          <w:p w14:paraId="7FB8CB05">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.交货（具体）地点：产品交付、检验、安装使用地点为采购人指定地点。</w:t>
            </w:r>
          </w:p>
        </w:tc>
      </w:tr>
      <w:tr w14:paraId="35222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0E0BBC0">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05B5FA80">
            <w:pPr>
              <w:spacing w:line="360" w:lineRule="auto"/>
              <w:jc w:val="center"/>
              <w:rPr>
                <w:rFonts w:hint="eastAsia" w:ascii="仿宋" w:hAnsi="仿宋" w:eastAsia="仿宋" w:cs="仿宋"/>
                <w:b/>
                <w:bCs/>
                <w:sz w:val="24"/>
                <w:szCs w:val="24"/>
              </w:rPr>
            </w:pPr>
          </w:p>
        </w:tc>
        <w:tc>
          <w:tcPr>
            <w:tcW w:w="6704" w:type="dxa"/>
            <w:shd w:val="clear" w:color="auto" w:fill="auto"/>
            <w:vAlign w:val="top"/>
          </w:tcPr>
          <w:p w14:paraId="08D31F5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.从中华人民共和国海关境内提供的货物，技术资料应齐全，提供但不限于如下技术文件和资料：</w:t>
            </w:r>
          </w:p>
          <w:p w14:paraId="6F607CD7">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（1）产品安装、操作和维修保养手册；</w:t>
            </w:r>
          </w:p>
          <w:p w14:paraId="3E0EAC2F">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（2）产品使用说明书；</w:t>
            </w:r>
          </w:p>
          <w:p w14:paraId="7377F3C0">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（3）产品出厂检验合格证；</w:t>
            </w:r>
          </w:p>
          <w:p w14:paraId="580EEBBC">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（4）产品到货清单；</w:t>
            </w:r>
          </w:p>
          <w:p w14:paraId="64A034AF">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（5）产品保修证明。</w:t>
            </w:r>
          </w:p>
        </w:tc>
      </w:tr>
      <w:tr w14:paraId="76F38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68EBDDF">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w:t>
            </w:r>
          </w:p>
        </w:tc>
        <w:tc>
          <w:tcPr>
            <w:tcW w:w="1545" w:type="dxa"/>
            <w:shd w:val="clear" w:color="auto" w:fill="auto"/>
            <w:vAlign w:val="center"/>
          </w:tcPr>
          <w:p w14:paraId="371E37C0">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关于验收</w:t>
            </w:r>
          </w:p>
        </w:tc>
        <w:tc>
          <w:tcPr>
            <w:tcW w:w="6704" w:type="dxa"/>
            <w:shd w:val="clear" w:color="auto" w:fill="auto"/>
            <w:vAlign w:val="top"/>
          </w:tcPr>
          <w:p w14:paraId="363AE07E">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中标人交付的设备制作及安装应当完全符合采购人要求的设计方案、安装地点、材质、数量和规格，中标人不得少提供货物。中标人提供的设备制作及安装不符合招投标文件和合同规定的，采购人有权拒绝验收，由此引起的风险及费用由乙方承担。</w:t>
            </w:r>
          </w:p>
          <w:p w14:paraId="2A357034">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2.由采购人与中标人双方共同对设备进行验收，若验收不合格则采购人有权退货，中标人应无条件退换货。验收合格后交付采购人使用。</w:t>
            </w:r>
          </w:p>
          <w:p w14:paraId="137DF58B">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3.当满足以下条件时，采购人才向中标人签发设备验收报告：</w:t>
            </w:r>
          </w:p>
          <w:p w14:paraId="336EA9FF">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(1)中标人已按照合同规定提供了全部产品及完整的技术资料。</w:t>
            </w:r>
          </w:p>
          <w:p w14:paraId="1AF1AF5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(2)货物符合招标文件技术规格书的要求，性能满足要求。</w:t>
            </w:r>
          </w:p>
          <w:p w14:paraId="74D0927F">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(3)货物具备产品合格证。</w:t>
            </w:r>
          </w:p>
        </w:tc>
      </w:tr>
      <w:tr w14:paraId="7E3C0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14E47A4">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w:t>
            </w:r>
          </w:p>
        </w:tc>
        <w:tc>
          <w:tcPr>
            <w:tcW w:w="1545" w:type="dxa"/>
            <w:shd w:val="clear" w:color="auto" w:fill="auto"/>
            <w:vAlign w:val="center"/>
          </w:tcPr>
          <w:p w14:paraId="202EA593">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付款方式</w:t>
            </w:r>
          </w:p>
        </w:tc>
        <w:tc>
          <w:tcPr>
            <w:tcW w:w="6704" w:type="dxa"/>
            <w:shd w:val="clear" w:color="auto" w:fill="auto"/>
            <w:vAlign w:val="center"/>
          </w:tcPr>
          <w:p w14:paraId="2FF5AE2A">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采用货到安装完工的付款方式，出具验收清单，按开具验收合格结算金额的合法发票，采购人在收到</w:t>
            </w:r>
            <w:r>
              <w:rPr>
                <w:rFonts w:hint="eastAsia" w:ascii="宋体" w:hAnsi="宋体" w:eastAsia="宋体" w:cs="宋体"/>
                <w:b w:val="0"/>
                <w:bCs w:val="0"/>
                <w:color w:val="000000"/>
                <w:sz w:val="21"/>
                <w:szCs w:val="21"/>
                <w:lang w:val="en-US" w:eastAsia="zh-CN"/>
              </w:rPr>
              <w:t>中标人</w:t>
            </w:r>
            <w:r>
              <w:rPr>
                <w:rFonts w:hint="eastAsia" w:ascii="宋体" w:hAnsi="宋体" w:eastAsia="宋体" w:cs="宋体"/>
                <w:b w:val="0"/>
                <w:bCs w:val="0"/>
                <w:color w:val="000000"/>
                <w:sz w:val="21"/>
                <w:szCs w:val="21"/>
              </w:rPr>
              <w:t>合法发票后</w:t>
            </w:r>
            <w:r>
              <w:rPr>
                <w:rFonts w:hint="eastAsia" w:ascii="宋体" w:hAnsi="宋体" w:eastAsia="宋体" w:cs="宋体"/>
                <w:b w:val="0"/>
                <w:bCs w:val="0"/>
                <w:color w:val="000000"/>
                <w:sz w:val="21"/>
                <w:szCs w:val="21"/>
                <w:lang w:val="en-US" w:eastAsia="zh-CN"/>
              </w:rPr>
              <w:t>按相应时间规定</w:t>
            </w:r>
            <w:r>
              <w:rPr>
                <w:rFonts w:hint="eastAsia" w:ascii="宋体" w:hAnsi="宋体" w:eastAsia="宋体" w:cs="宋体"/>
                <w:b w:val="0"/>
                <w:bCs w:val="0"/>
                <w:color w:val="000000"/>
                <w:sz w:val="21"/>
                <w:szCs w:val="21"/>
              </w:rPr>
              <w:t>以转账方式支付货款。</w:t>
            </w:r>
          </w:p>
        </w:tc>
      </w:tr>
      <w:tr w14:paraId="000B2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25D54AD">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4</w:t>
            </w:r>
          </w:p>
        </w:tc>
        <w:tc>
          <w:tcPr>
            <w:tcW w:w="1545" w:type="dxa"/>
            <w:shd w:val="clear" w:color="auto" w:fill="auto"/>
            <w:vAlign w:val="center"/>
          </w:tcPr>
          <w:p w14:paraId="53D19AB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关于知识产权</w:t>
            </w:r>
          </w:p>
        </w:tc>
        <w:tc>
          <w:tcPr>
            <w:tcW w:w="6704" w:type="dxa"/>
            <w:shd w:val="clear" w:color="auto" w:fill="auto"/>
            <w:vAlign w:val="top"/>
          </w:tcPr>
          <w:p w14:paraId="4C809BD4">
            <w:pPr>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1.提供的货物必须是合法厂家生产和经销的原包装产品（包括零配件）</w:t>
            </w:r>
            <w:r>
              <w:rPr>
                <w:rFonts w:hint="eastAsia" w:ascii="宋体" w:hAnsi="宋体" w:cs="宋体"/>
                <w:b w:val="0"/>
                <w:bCs w:val="0"/>
                <w:color w:val="000000"/>
                <w:sz w:val="21"/>
                <w:szCs w:val="21"/>
                <w:lang w:eastAsia="zh-CN"/>
              </w:rPr>
              <w:t>。</w:t>
            </w:r>
          </w:p>
          <w:p w14:paraId="09386A47">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14:paraId="6D550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755D22B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5</w:t>
            </w:r>
          </w:p>
        </w:tc>
        <w:tc>
          <w:tcPr>
            <w:tcW w:w="1545" w:type="dxa"/>
            <w:shd w:val="clear" w:color="auto" w:fill="auto"/>
            <w:vAlign w:val="center"/>
          </w:tcPr>
          <w:p w14:paraId="28E12A1E">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基本要求</w:t>
            </w:r>
          </w:p>
        </w:tc>
        <w:tc>
          <w:tcPr>
            <w:tcW w:w="6704" w:type="dxa"/>
            <w:shd w:val="clear" w:color="auto" w:fill="auto"/>
            <w:vAlign w:val="top"/>
          </w:tcPr>
          <w:p w14:paraId="28C61EB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每项设备的制作需在采购人规定的时间前完成方案设计、制作及安装。</w:t>
            </w:r>
          </w:p>
          <w:p w14:paraId="3165B710">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采购人反复提出修改意见导致中标人工作不能按时完成时，可按延长时间顺延执行。</w:t>
            </w:r>
          </w:p>
          <w:p w14:paraId="54814594">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中标人未能按采购合同供货及提供服务给采购人造成的直接损失，由中标人承担责任。</w:t>
            </w:r>
          </w:p>
          <w:p w14:paraId="2F535B13">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4</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在供货服务期内，如出现用户单位对协议供货、服务等投诉问题，经调查属实，将追究供货供应商（中标人）的责任。</w:t>
            </w:r>
          </w:p>
        </w:tc>
      </w:tr>
      <w:tr w14:paraId="7A0E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shd w:val="clear" w:color="auto" w:fill="auto"/>
            <w:vAlign w:val="center"/>
          </w:tcPr>
          <w:p w14:paraId="25D86743">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6</w:t>
            </w:r>
          </w:p>
        </w:tc>
        <w:tc>
          <w:tcPr>
            <w:tcW w:w="1545" w:type="dxa"/>
            <w:vMerge w:val="restart"/>
            <w:shd w:val="clear" w:color="auto" w:fill="auto"/>
            <w:vAlign w:val="center"/>
          </w:tcPr>
          <w:p w14:paraId="3E80C24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关于违约</w:t>
            </w:r>
          </w:p>
        </w:tc>
        <w:tc>
          <w:tcPr>
            <w:tcW w:w="6704" w:type="dxa"/>
            <w:shd w:val="clear" w:color="auto" w:fill="auto"/>
            <w:vAlign w:val="center"/>
          </w:tcPr>
          <w:p w14:paraId="53D08420">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1</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中标人不能交货的，需偿付不能交货部分货款的30%的违约金并按主管部门相关规定处理。</w:t>
            </w:r>
          </w:p>
        </w:tc>
      </w:tr>
      <w:tr w14:paraId="7107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46D4741">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75C5EBE5">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47D97DA0">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中标人逾期交货的，按主管部门相关规定处理。</w:t>
            </w:r>
          </w:p>
        </w:tc>
      </w:tr>
      <w:tr w14:paraId="7A8B0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6FF9763">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78B4A19C">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4DCA3C97">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中标人所交付产品、工程或服务不符合其投标承诺的，或在投标阶段为了中标而盲目虚假承诺、低价恶性竞争，在履约阶段则通过偷工减料、以次充好而获取利润的，</w:t>
            </w:r>
            <w:r>
              <w:rPr>
                <w:rFonts w:hint="eastAsia" w:ascii="宋体" w:hAnsi="宋体" w:cs="宋体"/>
                <w:b w:val="0"/>
                <w:bCs w:val="0"/>
                <w:color w:val="000000"/>
                <w:sz w:val="21"/>
                <w:szCs w:val="21"/>
                <w:highlight w:val="none"/>
                <w:lang w:val="en-US" w:eastAsia="zh-CN"/>
              </w:rPr>
              <w:t>报相关</w:t>
            </w:r>
            <w:r>
              <w:rPr>
                <w:rFonts w:hint="eastAsia" w:ascii="宋体" w:hAnsi="宋体" w:eastAsia="宋体" w:cs="宋体"/>
                <w:b w:val="0"/>
                <w:bCs w:val="0"/>
                <w:color w:val="000000"/>
                <w:sz w:val="21"/>
                <w:szCs w:val="21"/>
                <w:highlight w:val="none"/>
              </w:rPr>
              <w:t>部门处理。</w:t>
            </w:r>
          </w:p>
        </w:tc>
      </w:tr>
      <w:tr w14:paraId="3CFE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714" w:type="dxa"/>
            <w:vMerge w:val="continue"/>
            <w:vAlign w:val="center"/>
          </w:tcPr>
          <w:p w14:paraId="63F6A48A">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606B718F">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173F8677">
            <w:pPr>
              <w:pStyle w:val="16"/>
              <w:keepNext w:val="0"/>
              <w:keepLines w:val="0"/>
              <w:suppressLineNumbers w:val="0"/>
              <w:spacing w:before="0" w:beforeAutospacing="0" w:after="0" w:afterAutospacing="0" w:line="320" w:lineRule="exact"/>
              <w:ind w:left="0" w:right="0"/>
              <w:jc w:val="both"/>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4.投标人如承诺中标（成交）后取得相关认证证书的，如未按承诺要求在相应时间内取得相关认证证书的，将视为合同违约，需支付合同金额10%的违约金。</w:t>
            </w:r>
          </w:p>
        </w:tc>
      </w:tr>
      <w:tr w14:paraId="51DE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shd w:val="clear" w:color="auto" w:fill="auto"/>
            <w:vAlign w:val="center"/>
          </w:tcPr>
          <w:p w14:paraId="095A28BC">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7</w:t>
            </w:r>
          </w:p>
        </w:tc>
        <w:tc>
          <w:tcPr>
            <w:tcW w:w="1545" w:type="dxa"/>
            <w:vMerge w:val="restart"/>
            <w:shd w:val="clear" w:color="auto" w:fill="auto"/>
            <w:vAlign w:val="center"/>
          </w:tcPr>
          <w:p w14:paraId="6DF37376">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关于生产</w:t>
            </w:r>
          </w:p>
        </w:tc>
        <w:tc>
          <w:tcPr>
            <w:tcW w:w="6704" w:type="dxa"/>
            <w:shd w:val="clear" w:color="auto" w:fill="auto"/>
            <w:vAlign w:val="center"/>
          </w:tcPr>
          <w:p w14:paraId="037128EA">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1.</w:t>
            </w:r>
            <w:r>
              <w:rPr>
                <w:rFonts w:hint="eastAsia" w:ascii="宋体" w:hAnsi="宋体" w:eastAsia="宋体" w:cs="宋体"/>
                <w:b w:val="0"/>
                <w:bCs w:val="0"/>
                <w:color w:val="000000"/>
                <w:sz w:val="21"/>
                <w:szCs w:val="21"/>
              </w:rPr>
              <w:t>中标人中标后项目不转包，未经采购人同意不进行分包。</w:t>
            </w:r>
          </w:p>
        </w:tc>
      </w:tr>
      <w:tr w14:paraId="7E899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25B4EDB">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4B5BAD50">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0EB29DE6">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本招标文件设备实际尺寸须中标人实地测量供经采购人确认后再制作，否则造成损失由中标人全力承担，工程量计算以实地测量为准。</w:t>
            </w:r>
          </w:p>
        </w:tc>
      </w:tr>
      <w:tr w14:paraId="0910E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0AEAD04">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430AB683">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5163DBEA">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中标人须提供拟选用的材料</w:t>
            </w:r>
            <w:r>
              <w:rPr>
                <w:rFonts w:hint="eastAsia" w:ascii="宋体" w:hAnsi="宋体" w:eastAsia="宋体" w:cs="宋体"/>
                <w:b w:val="0"/>
                <w:bCs w:val="0"/>
                <w:sz w:val="21"/>
                <w:szCs w:val="21"/>
              </w:rPr>
              <w:t>等</w:t>
            </w:r>
            <w:r>
              <w:rPr>
                <w:rFonts w:hint="eastAsia" w:ascii="宋体" w:hAnsi="宋体" w:eastAsia="宋体" w:cs="宋体"/>
                <w:b w:val="0"/>
                <w:bCs w:val="0"/>
                <w:color w:val="000000"/>
                <w:sz w:val="21"/>
                <w:szCs w:val="21"/>
              </w:rPr>
              <w:t>供采购人确认。</w:t>
            </w:r>
          </w:p>
        </w:tc>
      </w:tr>
      <w:tr w14:paraId="53674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7926C494">
            <w:pPr>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lang w:val="en-US" w:eastAsia="zh-CN"/>
              </w:rPr>
              <w:t>8</w:t>
            </w:r>
          </w:p>
        </w:tc>
        <w:tc>
          <w:tcPr>
            <w:tcW w:w="1545" w:type="dxa"/>
            <w:shd w:val="clear" w:color="auto" w:fill="auto"/>
            <w:vAlign w:val="center"/>
          </w:tcPr>
          <w:p w14:paraId="11E65234">
            <w:pPr>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rPr>
              <w:t>项目团队</w:t>
            </w:r>
            <w:r>
              <w:rPr>
                <w:rFonts w:hint="eastAsia" w:ascii="宋体" w:hAnsi="宋体" w:eastAsia="宋体" w:cs="宋体"/>
                <w:b w:val="0"/>
                <w:bCs w:val="0"/>
                <w:color w:val="000000"/>
                <w:sz w:val="21"/>
                <w:szCs w:val="21"/>
                <w:highlight w:val="none"/>
                <w:lang w:val="en-US" w:eastAsia="zh-CN"/>
              </w:rPr>
              <w:t>人员</w:t>
            </w:r>
            <w:r>
              <w:rPr>
                <w:rFonts w:hint="eastAsia" w:ascii="宋体" w:hAnsi="宋体" w:eastAsia="宋体" w:cs="宋体"/>
                <w:b w:val="0"/>
                <w:bCs w:val="0"/>
                <w:color w:val="000000"/>
                <w:sz w:val="21"/>
                <w:szCs w:val="21"/>
                <w:highlight w:val="none"/>
              </w:rPr>
              <w:t>情况</w:t>
            </w:r>
          </w:p>
        </w:tc>
        <w:tc>
          <w:tcPr>
            <w:tcW w:w="6704" w:type="dxa"/>
            <w:shd w:val="clear" w:color="auto" w:fill="auto"/>
            <w:vAlign w:val="center"/>
          </w:tcPr>
          <w:p w14:paraId="23CF8B66">
            <w:pPr>
              <w:spacing w:line="240" w:lineRule="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bCs/>
                <w:color w:val="auto"/>
                <w:sz w:val="21"/>
                <w:szCs w:val="21"/>
              </w:rPr>
              <w:t>★</w:t>
            </w:r>
            <w:r>
              <w:rPr>
                <w:rFonts w:hint="eastAsia" w:ascii="宋体" w:hAnsi="宋体" w:cs="宋体"/>
                <w:b/>
                <w:bCs/>
                <w:color w:val="auto"/>
                <w:szCs w:val="21"/>
                <w:lang w:val="en-US" w:eastAsia="zh-CN"/>
              </w:rPr>
              <w:t>项目团队</w:t>
            </w:r>
            <w:r>
              <w:rPr>
                <w:rFonts w:hint="eastAsia" w:ascii="宋体" w:hAnsi="宋体" w:eastAsia="宋体" w:cs="宋体"/>
                <w:b/>
                <w:bCs/>
                <w:color w:val="auto"/>
                <w:sz w:val="21"/>
                <w:szCs w:val="21"/>
                <w:highlight w:val="none"/>
              </w:rPr>
              <w:t>技术人员具</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中华人民共和国特种作业操作证书（操作项目：低压电工作业）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中华人民共和国特种作业操作证书（操作项目：制冷与空调设备安装修理作业）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w:t>
            </w:r>
            <w:r>
              <w:rPr>
                <w:rFonts w:hint="eastAsia" w:ascii="宋体" w:hAnsi="宋体" w:eastAsia="宋体" w:cs="宋体"/>
                <w:b/>
                <w:bCs/>
                <w:color w:val="auto"/>
                <w:sz w:val="21"/>
                <w:szCs w:val="21"/>
                <w:highlight w:val="none"/>
                <w:lang w:val="en-US" w:eastAsia="zh-CN"/>
              </w:rPr>
              <w:t>焊</w:t>
            </w:r>
            <w:r>
              <w:rPr>
                <w:rFonts w:hint="eastAsia" w:ascii="宋体" w:hAnsi="宋体" w:cs="宋体"/>
                <w:b/>
                <w:bCs/>
                <w:color w:val="auto"/>
                <w:sz w:val="21"/>
                <w:szCs w:val="21"/>
                <w:highlight w:val="none"/>
                <w:lang w:val="en-US" w:eastAsia="zh-CN"/>
              </w:rPr>
              <w:t>接与热切割</w:t>
            </w:r>
            <w:r>
              <w:rPr>
                <w:rFonts w:hint="eastAsia" w:ascii="宋体" w:hAnsi="宋体" w:eastAsia="宋体" w:cs="宋体"/>
                <w:b/>
                <w:bCs/>
                <w:color w:val="auto"/>
                <w:sz w:val="21"/>
                <w:szCs w:val="21"/>
                <w:highlight w:val="none"/>
              </w:rPr>
              <w:t>作业</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r>
    </w:tbl>
    <w:p w14:paraId="592B468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六</w:t>
      </w:r>
      <w:r>
        <w:rPr>
          <w:rFonts w:hint="eastAsia" w:ascii="仿宋" w:hAnsi="仿宋" w:eastAsia="仿宋" w:cs="仿宋"/>
          <w:b/>
          <w:bCs w:val="0"/>
          <w:kern w:val="0"/>
          <w:sz w:val="24"/>
          <w:szCs w:val="24"/>
          <w:highlight w:val="none"/>
          <w:lang w:val="en-US" w:eastAsia="zh-CN" w:bidi="ar-SA"/>
        </w:rPr>
        <w:t>、其他重要条款</w:t>
      </w:r>
    </w:p>
    <w:p w14:paraId="5DFF40F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3160B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1F5D30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C810CB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ACFC7C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4C06A6F9">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14:paraId="267D0AD5">
      <w:pPr>
        <w:numPr>
          <w:ilvl w:val="0"/>
          <w:numId w:val="0"/>
        </w:numPr>
        <w:ind w:firstLine="0" w:firstLineChars="0"/>
        <w:jc w:val="both"/>
        <w:outlineLvl w:val="0"/>
        <w:rPr>
          <w:rFonts w:hint="eastAsia" w:ascii="仿宋" w:hAnsi="仿宋" w:eastAsia="仿宋" w:cs="仿宋"/>
          <w:b w:val="0"/>
          <w:bCs/>
          <w:kern w:val="0"/>
          <w:sz w:val="24"/>
          <w:szCs w:val="24"/>
          <w:highlight w:val="none"/>
          <w:lang w:val="en-US" w:eastAsia="zh-CN" w:bidi="ar-SA"/>
        </w:rPr>
      </w:pPr>
    </w:p>
    <w:p w14:paraId="2A03D358">
      <w:pPr>
        <w:numPr>
          <w:ilvl w:val="0"/>
          <w:numId w:val="5"/>
        </w:numPr>
        <w:ind w:firstLine="0" w:firstLineChars="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14:paraId="195A69B0">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2B94745D">
      <w:pPr>
        <w:outlineLvl w:val="2"/>
        <w:rPr>
          <w:rFonts w:hint="eastAsia" w:ascii="仿宋" w:hAnsi="仿宋" w:eastAsia="仿宋" w:cs="仿宋"/>
          <w:sz w:val="24"/>
          <w:szCs w:val="24"/>
          <w:highlight w:val="none"/>
        </w:rPr>
      </w:pPr>
      <w:r>
        <w:rPr>
          <w:rStyle w:val="35"/>
          <w:rFonts w:hint="eastAsia" w:ascii="仿宋" w:hAnsi="仿宋" w:eastAsia="仿宋" w:cs="仿宋"/>
          <w:b/>
          <w:bCs w:val="0"/>
          <w:sz w:val="24"/>
          <w:szCs w:val="24"/>
          <w:highlight w:val="none"/>
        </w:rPr>
        <w:t>投标文件组成</w:t>
      </w:r>
    </w:p>
    <w:p w14:paraId="3A65D89D">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1AD9CFB0">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B4FDDE8">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C7C4C71">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392819DB">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B190010">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24ABCD37">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17438E6F">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8.合同条款及格式</w:t>
      </w:r>
    </w:p>
    <w:p w14:paraId="317E5C88">
      <w:pPr>
        <w:pStyle w:val="27"/>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9.投标人认为需要加以说明的其他内容</w:t>
      </w:r>
    </w:p>
    <w:p w14:paraId="3876A3ED">
      <w:pPr>
        <w:outlineLvl w:val="2"/>
        <w:rPr>
          <w:rFonts w:hint="eastAsia" w:ascii="仿宋" w:hAnsi="仿宋" w:eastAsia="仿宋" w:cs="仿宋"/>
          <w:b/>
          <w:bCs/>
          <w:sz w:val="28"/>
          <w:szCs w:val="28"/>
          <w:highlight w:val="none"/>
        </w:rPr>
      </w:pPr>
    </w:p>
    <w:p w14:paraId="3159DA4F">
      <w:pPr>
        <w:outlineLvl w:val="2"/>
        <w:rPr>
          <w:rFonts w:hint="eastAsia" w:ascii="仿宋" w:hAnsi="仿宋" w:eastAsia="仿宋" w:cs="仿宋"/>
          <w:b/>
          <w:bCs/>
          <w:sz w:val="28"/>
          <w:szCs w:val="28"/>
          <w:highlight w:val="none"/>
        </w:rPr>
      </w:pPr>
    </w:p>
    <w:p w14:paraId="5C4220A8">
      <w:pPr>
        <w:outlineLvl w:val="2"/>
        <w:rPr>
          <w:rFonts w:hint="eastAsia" w:ascii="仿宋" w:hAnsi="仿宋" w:eastAsia="仿宋" w:cs="仿宋"/>
          <w:b/>
          <w:bCs/>
          <w:sz w:val="28"/>
          <w:szCs w:val="28"/>
          <w:highlight w:val="none"/>
        </w:rPr>
      </w:pPr>
    </w:p>
    <w:p w14:paraId="2EAE1CC5">
      <w:pPr>
        <w:outlineLvl w:val="2"/>
        <w:rPr>
          <w:rFonts w:hint="eastAsia" w:ascii="仿宋" w:hAnsi="仿宋" w:eastAsia="仿宋" w:cs="仿宋"/>
          <w:b/>
          <w:bCs/>
          <w:sz w:val="28"/>
          <w:szCs w:val="28"/>
          <w:highlight w:val="none"/>
        </w:rPr>
      </w:pPr>
    </w:p>
    <w:p w14:paraId="5789EF34">
      <w:pPr>
        <w:outlineLvl w:val="2"/>
        <w:rPr>
          <w:rFonts w:hint="eastAsia" w:ascii="仿宋" w:hAnsi="仿宋" w:eastAsia="仿宋" w:cs="仿宋"/>
          <w:b/>
          <w:bCs/>
          <w:sz w:val="28"/>
          <w:szCs w:val="28"/>
          <w:highlight w:val="none"/>
        </w:rPr>
      </w:pPr>
    </w:p>
    <w:p w14:paraId="31AE379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E787264">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5"/>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0E686C09">
      <w:pPr>
        <w:pStyle w:val="8"/>
        <w:rPr>
          <w:rFonts w:hint="eastAsia" w:ascii="仿宋" w:hAnsi="仿宋" w:eastAsia="仿宋" w:cs="仿宋"/>
          <w:highlight w:val="none"/>
        </w:rPr>
      </w:pPr>
    </w:p>
    <w:p w14:paraId="7C437142">
      <w:pPr>
        <w:keepNext/>
        <w:keepLines/>
        <w:spacing w:line="360" w:lineRule="auto"/>
        <w:outlineLvl w:val="3"/>
        <w:rPr>
          <w:rFonts w:hint="eastAsia" w:ascii="仿宋" w:hAnsi="仿宋" w:eastAsia="仿宋" w:cs="仿宋"/>
          <w:b/>
          <w:bCs/>
          <w:sz w:val="24"/>
          <w:szCs w:val="24"/>
          <w:highlight w:val="none"/>
        </w:rPr>
      </w:pPr>
      <w:bookmarkStart w:id="2" w:name="_Toc24797"/>
      <w:bookmarkStart w:id="3" w:name="_Toc24698"/>
      <w:bookmarkStart w:id="4" w:name="_Toc18075"/>
      <w:bookmarkStart w:id="5" w:name="_Toc5828"/>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8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05BF7754">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61AD43F">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5C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521ACC7">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BBA99B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410BB5A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D4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0A1832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D24848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20F620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F45EF3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2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C42A578">
            <w:pPr>
              <w:spacing w:line="360" w:lineRule="auto"/>
              <w:rPr>
                <w:rFonts w:hint="eastAsia" w:ascii="仿宋" w:hAnsi="仿宋" w:eastAsia="仿宋" w:cs="仿宋"/>
                <w:b/>
                <w:sz w:val="24"/>
                <w:szCs w:val="24"/>
                <w:highlight w:val="none"/>
              </w:rPr>
            </w:pPr>
          </w:p>
        </w:tc>
        <w:tc>
          <w:tcPr>
            <w:tcW w:w="1255" w:type="dxa"/>
            <w:vMerge w:val="continue"/>
          </w:tcPr>
          <w:p w14:paraId="56539D59">
            <w:pPr>
              <w:spacing w:line="360" w:lineRule="auto"/>
              <w:rPr>
                <w:rFonts w:hint="eastAsia" w:ascii="仿宋" w:hAnsi="仿宋" w:eastAsia="仿宋" w:cs="仿宋"/>
                <w:b/>
                <w:sz w:val="24"/>
                <w:szCs w:val="24"/>
                <w:highlight w:val="none"/>
              </w:rPr>
            </w:pPr>
          </w:p>
        </w:tc>
        <w:tc>
          <w:tcPr>
            <w:tcW w:w="1927" w:type="dxa"/>
            <w:vAlign w:val="center"/>
          </w:tcPr>
          <w:p w14:paraId="4451CD1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7DBFAC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6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BE58E">
            <w:pPr>
              <w:spacing w:line="360" w:lineRule="auto"/>
              <w:rPr>
                <w:rFonts w:hint="eastAsia" w:ascii="仿宋" w:hAnsi="仿宋" w:eastAsia="仿宋" w:cs="仿宋"/>
                <w:b/>
                <w:sz w:val="24"/>
                <w:szCs w:val="24"/>
                <w:highlight w:val="none"/>
              </w:rPr>
            </w:pPr>
          </w:p>
        </w:tc>
        <w:tc>
          <w:tcPr>
            <w:tcW w:w="1255" w:type="dxa"/>
            <w:vMerge w:val="continue"/>
          </w:tcPr>
          <w:p w14:paraId="344EF4B3">
            <w:pPr>
              <w:spacing w:line="360" w:lineRule="auto"/>
              <w:rPr>
                <w:rFonts w:hint="eastAsia" w:ascii="仿宋" w:hAnsi="仿宋" w:eastAsia="仿宋" w:cs="仿宋"/>
                <w:b/>
                <w:sz w:val="24"/>
                <w:szCs w:val="24"/>
                <w:highlight w:val="none"/>
              </w:rPr>
            </w:pPr>
          </w:p>
        </w:tc>
        <w:tc>
          <w:tcPr>
            <w:tcW w:w="1927" w:type="dxa"/>
            <w:vAlign w:val="center"/>
          </w:tcPr>
          <w:p w14:paraId="1112443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7421BC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60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503B2CF">
            <w:pPr>
              <w:spacing w:line="360" w:lineRule="auto"/>
              <w:rPr>
                <w:rFonts w:hint="eastAsia" w:ascii="仿宋" w:hAnsi="仿宋" w:eastAsia="仿宋" w:cs="仿宋"/>
                <w:b/>
                <w:sz w:val="24"/>
                <w:szCs w:val="24"/>
                <w:highlight w:val="none"/>
              </w:rPr>
            </w:pPr>
          </w:p>
        </w:tc>
        <w:tc>
          <w:tcPr>
            <w:tcW w:w="1255" w:type="dxa"/>
            <w:vMerge w:val="continue"/>
          </w:tcPr>
          <w:p w14:paraId="1199123B">
            <w:pPr>
              <w:spacing w:line="360" w:lineRule="auto"/>
              <w:rPr>
                <w:rFonts w:hint="eastAsia" w:ascii="仿宋" w:hAnsi="仿宋" w:eastAsia="仿宋" w:cs="仿宋"/>
                <w:b/>
                <w:sz w:val="24"/>
                <w:szCs w:val="24"/>
                <w:highlight w:val="none"/>
              </w:rPr>
            </w:pPr>
          </w:p>
        </w:tc>
        <w:tc>
          <w:tcPr>
            <w:tcW w:w="1927" w:type="dxa"/>
            <w:vAlign w:val="center"/>
          </w:tcPr>
          <w:p w14:paraId="74C0E90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A549D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41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03B1BB9">
            <w:pPr>
              <w:spacing w:line="360" w:lineRule="auto"/>
              <w:rPr>
                <w:rFonts w:hint="eastAsia" w:ascii="仿宋" w:hAnsi="仿宋" w:eastAsia="仿宋" w:cs="仿宋"/>
                <w:b/>
                <w:sz w:val="24"/>
                <w:szCs w:val="24"/>
                <w:highlight w:val="none"/>
              </w:rPr>
            </w:pPr>
          </w:p>
        </w:tc>
        <w:tc>
          <w:tcPr>
            <w:tcW w:w="1255" w:type="dxa"/>
            <w:vMerge w:val="restart"/>
            <w:vAlign w:val="center"/>
          </w:tcPr>
          <w:p w14:paraId="080DB87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32E324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D1BD48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3D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0D7781">
            <w:pPr>
              <w:spacing w:line="360" w:lineRule="auto"/>
              <w:rPr>
                <w:rFonts w:hint="eastAsia" w:ascii="仿宋" w:hAnsi="仿宋" w:eastAsia="仿宋" w:cs="仿宋"/>
                <w:b/>
                <w:sz w:val="24"/>
                <w:szCs w:val="24"/>
                <w:highlight w:val="none"/>
              </w:rPr>
            </w:pPr>
          </w:p>
        </w:tc>
        <w:tc>
          <w:tcPr>
            <w:tcW w:w="1255" w:type="dxa"/>
            <w:vMerge w:val="continue"/>
          </w:tcPr>
          <w:p w14:paraId="4DBCE817">
            <w:pPr>
              <w:spacing w:line="360" w:lineRule="auto"/>
              <w:rPr>
                <w:rFonts w:hint="eastAsia" w:ascii="仿宋" w:hAnsi="仿宋" w:eastAsia="仿宋" w:cs="仿宋"/>
                <w:b/>
                <w:sz w:val="24"/>
                <w:szCs w:val="24"/>
                <w:highlight w:val="none"/>
              </w:rPr>
            </w:pPr>
          </w:p>
        </w:tc>
        <w:tc>
          <w:tcPr>
            <w:tcW w:w="1927" w:type="dxa"/>
            <w:vAlign w:val="center"/>
          </w:tcPr>
          <w:p w14:paraId="2E6F11C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0BDAC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51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B12B55">
            <w:pPr>
              <w:spacing w:line="360" w:lineRule="auto"/>
              <w:rPr>
                <w:rFonts w:hint="eastAsia" w:ascii="仿宋" w:hAnsi="仿宋" w:eastAsia="仿宋" w:cs="仿宋"/>
                <w:b/>
                <w:sz w:val="24"/>
                <w:szCs w:val="24"/>
                <w:highlight w:val="none"/>
              </w:rPr>
            </w:pPr>
          </w:p>
        </w:tc>
        <w:tc>
          <w:tcPr>
            <w:tcW w:w="1255" w:type="dxa"/>
            <w:vMerge w:val="continue"/>
          </w:tcPr>
          <w:p w14:paraId="4FD35109">
            <w:pPr>
              <w:spacing w:line="360" w:lineRule="auto"/>
              <w:rPr>
                <w:rFonts w:hint="eastAsia" w:ascii="仿宋" w:hAnsi="仿宋" w:eastAsia="仿宋" w:cs="仿宋"/>
                <w:b/>
                <w:sz w:val="24"/>
                <w:szCs w:val="24"/>
                <w:highlight w:val="none"/>
              </w:rPr>
            </w:pPr>
          </w:p>
        </w:tc>
        <w:tc>
          <w:tcPr>
            <w:tcW w:w="1927" w:type="dxa"/>
            <w:vAlign w:val="center"/>
          </w:tcPr>
          <w:p w14:paraId="76339A6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775C7B2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8BED40">
            <w:pPr>
              <w:spacing w:line="360" w:lineRule="auto"/>
              <w:rPr>
                <w:rFonts w:hint="eastAsia" w:ascii="仿宋" w:hAnsi="仿宋" w:eastAsia="仿宋" w:cs="仿宋"/>
                <w:b/>
                <w:sz w:val="24"/>
                <w:szCs w:val="24"/>
                <w:highlight w:val="none"/>
              </w:rPr>
            </w:pPr>
          </w:p>
        </w:tc>
        <w:tc>
          <w:tcPr>
            <w:tcW w:w="1255" w:type="dxa"/>
            <w:vMerge w:val="continue"/>
          </w:tcPr>
          <w:p w14:paraId="45284498">
            <w:pPr>
              <w:spacing w:line="360" w:lineRule="auto"/>
              <w:rPr>
                <w:rFonts w:hint="eastAsia" w:ascii="仿宋" w:hAnsi="仿宋" w:eastAsia="仿宋" w:cs="仿宋"/>
                <w:b/>
                <w:sz w:val="24"/>
                <w:szCs w:val="24"/>
                <w:highlight w:val="none"/>
              </w:rPr>
            </w:pPr>
          </w:p>
        </w:tc>
        <w:tc>
          <w:tcPr>
            <w:tcW w:w="1927" w:type="dxa"/>
            <w:vAlign w:val="center"/>
          </w:tcPr>
          <w:p w14:paraId="312C0C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6799625">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38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A9D9AA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982444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6846370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0C05E8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7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46B193">
            <w:pPr>
              <w:spacing w:line="360" w:lineRule="auto"/>
              <w:rPr>
                <w:rFonts w:hint="eastAsia" w:ascii="仿宋" w:hAnsi="仿宋" w:eastAsia="仿宋" w:cs="仿宋"/>
                <w:b/>
                <w:sz w:val="24"/>
                <w:szCs w:val="24"/>
                <w:highlight w:val="none"/>
              </w:rPr>
            </w:pPr>
          </w:p>
        </w:tc>
        <w:tc>
          <w:tcPr>
            <w:tcW w:w="1255" w:type="dxa"/>
            <w:vMerge w:val="continue"/>
          </w:tcPr>
          <w:p w14:paraId="2F01334C">
            <w:pPr>
              <w:spacing w:line="360" w:lineRule="auto"/>
              <w:rPr>
                <w:rFonts w:hint="eastAsia" w:ascii="仿宋" w:hAnsi="仿宋" w:eastAsia="仿宋" w:cs="仿宋"/>
                <w:b/>
                <w:sz w:val="24"/>
                <w:szCs w:val="24"/>
                <w:highlight w:val="none"/>
              </w:rPr>
            </w:pPr>
          </w:p>
        </w:tc>
        <w:tc>
          <w:tcPr>
            <w:tcW w:w="1927" w:type="dxa"/>
            <w:vAlign w:val="center"/>
          </w:tcPr>
          <w:p w14:paraId="5F8D217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725E80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7676E6">
            <w:pPr>
              <w:spacing w:line="360" w:lineRule="auto"/>
              <w:rPr>
                <w:rFonts w:hint="eastAsia" w:ascii="仿宋" w:hAnsi="仿宋" w:eastAsia="仿宋" w:cs="仿宋"/>
                <w:b/>
                <w:sz w:val="24"/>
                <w:szCs w:val="24"/>
                <w:highlight w:val="none"/>
              </w:rPr>
            </w:pPr>
          </w:p>
        </w:tc>
        <w:tc>
          <w:tcPr>
            <w:tcW w:w="1255" w:type="dxa"/>
            <w:vMerge w:val="continue"/>
          </w:tcPr>
          <w:p w14:paraId="7AC83D5B">
            <w:pPr>
              <w:spacing w:line="360" w:lineRule="auto"/>
              <w:rPr>
                <w:rFonts w:hint="eastAsia" w:ascii="仿宋" w:hAnsi="仿宋" w:eastAsia="仿宋" w:cs="仿宋"/>
                <w:b/>
                <w:sz w:val="24"/>
                <w:szCs w:val="24"/>
                <w:highlight w:val="none"/>
              </w:rPr>
            </w:pPr>
          </w:p>
        </w:tc>
        <w:tc>
          <w:tcPr>
            <w:tcW w:w="1927" w:type="dxa"/>
            <w:vAlign w:val="center"/>
          </w:tcPr>
          <w:p w14:paraId="17057DB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283ADA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AB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F20DB2">
            <w:pPr>
              <w:spacing w:line="360" w:lineRule="auto"/>
              <w:rPr>
                <w:rFonts w:hint="eastAsia" w:ascii="仿宋" w:hAnsi="仿宋" w:eastAsia="仿宋" w:cs="仿宋"/>
                <w:b/>
                <w:sz w:val="24"/>
                <w:szCs w:val="24"/>
                <w:highlight w:val="none"/>
              </w:rPr>
            </w:pPr>
          </w:p>
        </w:tc>
        <w:tc>
          <w:tcPr>
            <w:tcW w:w="1255" w:type="dxa"/>
            <w:vMerge w:val="restart"/>
            <w:vAlign w:val="center"/>
          </w:tcPr>
          <w:p w14:paraId="7CF01C7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38A1A8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C465F7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1E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179699">
            <w:pPr>
              <w:spacing w:line="360" w:lineRule="auto"/>
              <w:rPr>
                <w:rFonts w:hint="eastAsia" w:ascii="仿宋" w:hAnsi="仿宋" w:eastAsia="仿宋" w:cs="仿宋"/>
                <w:b/>
                <w:sz w:val="24"/>
                <w:szCs w:val="24"/>
                <w:highlight w:val="none"/>
              </w:rPr>
            </w:pPr>
          </w:p>
        </w:tc>
        <w:tc>
          <w:tcPr>
            <w:tcW w:w="1255" w:type="dxa"/>
            <w:vMerge w:val="continue"/>
          </w:tcPr>
          <w:p w14:paraId="21272196">
            <w:pPr>
              <w:spacing w:line="360" w:lineRule="auto"/>
              <w:rPr>
                <w:rFonts w:hint="eastAsia" w:ascii="仿宋" w:hAnsi="仿宋" w:eastAsia="仿宋" w:cs="仿宋"/>
                <w:b/>
                <w:sz w:val="24"/>
                <w:szCs w:val="24"/>
                <w:highlight w:val="none"/>
              </w:rPr>
            </w:pPr>
          </w:p>
        </w:tc>
        <w:tc>
          <w:tcPr>
            <w:tcW w:w="1927" w:type="dxa"/>
            <w:vAlign w:val="center"/>
          </w:tcPr>
          <w:p w14:paraId="2D7F403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2E4AD61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CA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34389BFA">
            <w:pPr>
              <w:spacing w:line="360" w:lineRule="auto"/>
              <w:rPr>
                <w:rFonts w:hint="eastAsia" w:ascii="仿宋" w:hAnsi="仿宋" w:eastAsia="仿宋" w:cs="仿宋"/>
                <w:b/>
                <w:sz w:val="24"/>
                <w:szCs w:val="24"/>
                <w:highlight w:val="none"/>
              </w:rPr>
            </w:pPr>
          </w:p>
        </w:tc>
        <w:tc>
          <w:tcPr>
            <w:tcW w:w="1255" w:type="dxa"/>
            <w:vMerge w:val="continue"/>
          </w:tcPr>
          <w:p w14:paraId="00501006">
            <w:pPr>
              <w:spacing w:line="360" w:lineRule="auto"/>
              <w:rPr>
                <w:rFonts w:hint="eastAsia" w:ascii="仿宋" w:hAnsi="仿宋" w:eastAsia="仿宋" w:cs="仿宋"/>
                <w:b/>
                <w:sz w:val="24"/>
                <w:szCs w:val="24"/>
                <w:highlight w:val="none"/>
              </w:rPr>
            </w:pPr>
          </w:p>
        </w:tc>
        <w:tc>
          <w:tcPr>
            <w:tcW w:w="1927" w:type="dxa"/>
            <w:vAlign w:val="center"/>
          </w:tcPr>
          <w:p w14:paraId="39AF1F5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558242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1A533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5C65ED5">
      <w:pPr>
        <w:numPr>
          <w:ilvl w:val="0"/>
          <w:numId w:val="6"/>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1E9C21F1">
      <w:pPr>
        <w:pStyle w:val="5"/>
        <w:ind w:left="0" w:leftChars="0" w:firstLine="0" w:firstLineChars="0"/>
        <w:rPr>
          <w:rFonts w:hint="eastAsia" w:ascii="仿宋" w:hAnsi="仿宋" w:eastAsia="仿宋" w:cs="仿宋"/>
          <w:b w:val="0"/>
          <w:i w:val="0"/>
          <w:caps w:val="0"/>
          <w:spacing w:val="0"/>
          <w:w w:val="100"/>
          <w:sz w:val="28"/>
          <w:highlight w:val="none"/>
        </w:rPr>
      </w:pPr>
    </w:p>
    <w:p w14:paraId="6F94792C">
      <w:pPr>
        <w:pStyle w:val="8"/>
        <w:rPr>
          <w:rFonts w:hint="eastAsia" w:ascii="仿宋" w:hAnsi="仿宋" w:eastAsia="仿宋" w:cs="仿宋"/>
          <w:highlight w:val="none"/>
        </w:rPr>
      </w:pPr>
    </w:p>
    <w:p w14:paraId="2BA20453">
      <w:pPr>
        <w:pStyle w:val="17"/>
        <w:rPr>
          <w:rFonts w:hint="eastAsia" w:ascii="仿宋" w:hAnsi="仿宋" w:eastAsia="仿宋" w:cs="仿宋"/>
          <w:highlight w:val="none"/>
        </w:rPr>
      </w:pPr>
    </w:p>
    <w:p w14:paraId="75F0232C">
      <w:pPr>
        <w:rPr>
          <w:rFonts w:hint="eastAsia" w:ascii="仿宋" w:hAnsi="仿宋" w:eastAsia="仿宋" w:cs="仿宋"/>
          <w:highlight w:val="none"/>
        </w:rPr>
      </w:pPr>
    </w:p>
    <w:p w14:paraId="6B593B73">
      <w:pPr>
        <w:pStyle w:val="27"/>
        <w:rPr>
          <w:rFonts w:hint="eastAsia" w:ascii="仿宋" w:hAnsi="仿宋" w:eastAsia="仿宋" w:cs="仿宋"/>
          <w:highlight w:val="none"/>
        </w:rPr>
      </w:pPr>
    </w:p>
    <w:p w14:paraId="3167D502">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3D6E0A3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6F82BDD">
      <w:pPr>
        <w:pStyle w:val="8"/>
        <w:rPr>
          <w:rFonts w:hint="eastAsia" w:ascii="仿宋" w:hAnsi="仿宋" w:eastAsia="仿宋" w:cs="仿宋"/>
          <w:color w:val="auto"/>
          <w:sz w:val="24"/>
          <w:szCs w:val="24"/>
          <w:highlight w:val="none"/>
        </w:rPr>
      </w:pPr>
    </w:p>
    <w:p w14:paraId="55AE7F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6EAFAA4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11F9A28F">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454E8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02C1D03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DE1393D">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1A49021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854888A">
      <w:pPr>
        <w:ind w:left="540" w:leftChars="257"/>
        <w:rPr>
          <w:rFonts w:hint="eastAsia" w:ascii="仿宋" w:hAnsi="仿宋" w:eastAsia="仿宋" w:cs="仿宋"/>
          <w:color w:val="auto"/>
          <w:sz w:val="24"/>
          <w:szCs w:val="24"/>
          <w:highlight w:val="none"/>
        </w:rPr>
      </w:pPr>
    </w:p>
    <w:p w14:paraId="6E5939E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303B592">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64A8544E">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F4D049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AD61A1D">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DF9F83">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3D0104E">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2360E89C">
      <w:pPr>
        <w:pStyle w:val="27"/>
        <w:rPr>
          <w:rFonts w:hint="eastAsia" w:ascii="仿宋" w:hAnsi="仿宋" w:eastAsia="仿宋" w:cs="仿宋"/>
          <w:color w:val="auto"/>
          <w:sz w:val="24"/>
          <w:szCs w:val="24"/>
          <w:highlight w:val="none"/>
        </w:rPr>
      </w:pPr>
    </w:p>
    <w:p w14:paraId="5E6CC40C">
      <w:pPr>
        <w:pStyle w:val="27"/>
        <w:rPr>
          <w:rFonts w:hint="eastAsia" w:ascii="仿宋" w:hAnsi="仿宋" w:eastAsia="仿宋" w:cs="仿宋"/>
          <w:color w:val="auto"/>
          <w:sz w:val="24"/>
          <w:szCs w:val="24"/>
          <w:highlight w:val="none"/>
        </w:rPr>
      </w:pPr>
    </w:p>
    <w:p w14:paraId="12A40429">
      <w:pPr>
        <w:pStyle w:val="27"/>
        <w:rPr>
          <w:rFonts w:hint="eastAsia" w:ascii="仿宋" w:hAnsi="仿宋" w:eastAsia="仿宋" w:cs="仿宋"/>
          <w:color w:val="auto"/>
          <w:sz w:val="24"/>
          <w:szCs w:val="24"/>
          <w:highlight w:val="none"/>
        </w:rPr>
      </w:pPr>
    </w:p>
    <w:p w14:paraId="05C7EC43">
      <w:pPr>
        <w:pStyle w:val="27"/>
        <w:rPr>
          <w:rFonts w:hint="eastAsia" w:ascii="仿宋" w:hAnsi="仿宋" w:eastAsia="仿宋" w:cs="仿宋"/>
          <w:color w:val="auto"/>
          <w:sz w:val="24"/>
          <w:szCs w:val="24"/>
          <w:highlight w:val="none"/>
        </w:rPr>
      </w:pPr>
    </w:p>
    <w:p w14:paraId="51228F13">
      <w:pPr>
        <w:pStyle w:val="27"/>
        <w:rPr>
          <w:rFonts w:hint="eastAsia" w:ascii="仿宋" w:hAnsi="仿宋" w:eastAsia="仿宋" w:cs="仿宋"/>
          <w:color w:val="auto"/>
          <w:sz w:val="24"/>
          <w:szCs w:val="24"/>
          <w:highlight w:val="none"/>
        </w:rPr>
      </w:pPr>
    </w:p>
    <w:p w14:paraId="1CCF7456">
      <w:pPr>
        <w:pStyle w:val="27"/>
        <w:rPr>
          <w:rFonts w:hint="eastAsia" w:ascii="仿宋" w:hAnsi="仿宋" w:eastAsia="仿宋" w:cs="仿宋"/>
          <w:color w:val="auto"/>
          <w:sz w:val="24"/>
          <w:szCs w:val="24"/>
          <w:highlight w:val="none"/>
        </w:rPr>
      </w:pPr>
    </w:p>
    <w:p w14:paraId="3062CA1E">
      <w:pPr>
        <w:pStyle w:val="27"/>
        <w:rPr>
          <w:rFonts w:hint="eastAsia" w:ascii="仿宋" w:hAnsi="仿宋" w:eastAsia="仿宋" w:cs="仿宋"/>
          <w:color w:val="auto"/>
          <w:sz w:val="24"/>
          <w:szCs w:val="24"/>
          <w:highlight w:val="none"/>
        </w:rPr>
      </w:pPr>
    </w:p>
    <w:p w14:paraId="2A933A5E">
      <w:pPr>
        <w:pStyle w:val="27"/>
        <w:rPr>
          <w:rFonts w:hint="eastAsia" w:ascii="仿宋" w:hAnsi="仿宋" w:eastAsia="仿宋" w:cs="仿宋"/>
          <w:color w:val="auto"/>
          <w:sz w:val="24"/>
          <w:szCs w:val="24"/>
          <w:highlight w:val="none"/>
        </w:rPr>
      </w:pPr>
    </w:p>
    <w:p w14:paraId="457B2C56">
      <w:pPr>
        <w:pStyle w:val="27"/>
        <w:rPr>
          <w:rFonts w:hint="eastAsia" w:ascii="仿宋" w:hAnsi="仿宋" w:eastAsia="仿宋" w:cs="仿宋"/>
          <w:color w:val="auto"/>
          <w:sz w:val="24"/>
          <w:szCs w:val="24"/>
          <w:highlight w:val="none"/>
        </w:rPr>
      </w:pPr>
    </w:p>
    <w:p w14:paraId="41CEF1C3">
      <w:pPr>
        <w:pStyle w:val="27"/>
        <w:rPr>
          <w:rFonts w:hint="eastAsia" w:ascii="仿宋" w:hAnsi="仿宋" w:eastAsia="仿宋" w:cs="仿宋"/>
          <w:color w:val="auto"/>
          <w:sz w:val="24"/>
          <w:szCs w:val="24"/>
          <w:highlight w:val="none"/>
        </w:rPr>
      </w:pPr>
    </w:p>
    <w:p w14:paraId="4FDDE232">
      <w:pPr>
        <w:pStyle w:val="27"/>
        <w:rPr>
          <w:rFonts w:hint="eastAsia" w:ascii="仿宋" w:hAnsi="仿宋" w:eastAsia="仿宋" w:cs="仿宋"/>
          <w:color w:val="auto"/>
          <w:sz w:val="24"/>
          <w:szCs w:val="24"/>
          <w:highlight w:val="none"/>
        </w:rPr>
      </w:pPr>
    </w:p>
    <w:p w14:paraId="376CAB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0D513370">
      <w:pPr>
        <w:rPr>
          <w:rFonts w:hint="eastAsia" w:ascii="仿宋" w:hAnsi="仿宋" w:eastAsia="仿宋" w:cs="仿宋"/>
          <w:highlight w:val="none"/>
        </w:rPr>
      </w:pPr>
    </w:p>
    <w:p w14:paraId="1773E818">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773"/>
        <w:gridCol w:w="1198"/>
        <w:gridCol w:w="455"/>
        <w:gridCol w:w="457"/>
        <w:gridCol w:w="455"/>
        <w:gridCol w:w="455"/>
        <w:gridCol w:w="455"/>
        <w:gridCol w:w="935"/>
        <w:gridCol w:w="935"/>
        <w:gridCol w:w="945"/>
      </w:tblGrid>
      <w:tr w14:paraId="239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8CFCB4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14:paraId="6962B1C7">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14:paraId="39C4E14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14:paraId="7C2C02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14:paraId="6BC8E7FF">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14:paraId="231E6CB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14:paraId="2B8860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14:paraId="6F4A685A">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14:paraId="2362FD31">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14:paraId="5D7188A4">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14:paraId="255A4F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4DAB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66" w:type="pct"/>
          </w:tcPr>
          <w:p w14:paraId="75F8EC24">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040" w:type="pct"/>
            <w:vMerge w:val="restart"/>
            <w:vAlign w:val="center"/>
          </w:tcPr>
          <w:p w14:paraId="1FFDA086">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LGZXYYZBB20250723-1A</w:t>
            </w:r>
          </w:p>
        </w:tc>
        <w:tc>
          <w:tcPr>
            <w:tcW w:w="703" w:type="pct"/>
            <w:vAlign w:val="center"/>
          </w:tcPr>
          <w:p w14:paraId="499A088C">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后补式冷库</w:t>
            </w:r>
          </w:p>
        </w:tc>
        <w:tc>
          <w:tcPr>
            <w:tcW w:w="267" w:type="pct"/>
            <w:vAlign w:val="center"/>
          </w:tcPr>
          <w:p w14:paraId="4E8F1687">
            <w:pPr>
              <w:rPr>
                <w:rFonts w:hint="eastAsia" w:ascii="仿宋" w:hAnsi="仿宋" w:eastAsia="仿宋" w:cs="仿宋"/>
                <w:bCs/>
                <w:sz w:val="24"/>
                <w:szCs w:val="24"/>
                <w:highlight w:val="none"/>
              </w:rPr>
            </w:pPr>
          </w:p>
        </w:tc>
        <w:tc>
          <w:tcPr>
            <w:tcW w:w="268" w:type="pct"/>
            <w:vAlign w:val="center"/>
          </w:tcPr>
          <w:p w14:paraId="6F7817E2">
            <w:pPr>
              <w:rPr>
                <w:rFonts w:hint="eastAsia" w:ascii="仿宋" w:hAnsi="仿宋" w:eastAsia="仿宋" w:cs="仿宋"/>
                <w:bCs/>
                <w:sz w:val="24"/>
                <w:szCs w:val="24"/>
                <w:highlight w:val="none"/>
              </w:rPr>
            </w:pPr>
          </w:p>
        </w:tc>
        <w:tc>
          <w:tcPr>
            <w:tcW w:w="267" w:type="pct"/>
            <w:vAlign w:val="center"/>
          </w:tcPr>
          <w:p w14:paraId="05A4CB61">
            <w:pPr>
              <w:rPr>
                <w:rFonts w:hint="eastAsia" w:ascii="仿宋" w:hAnsi="仿宋" w:eastAsia="仿宋" w:cs="仿宋"/>
                <w:bCs/>
                <w:sz w:val="24"/>
                <w:szCs w:val="24"/>
                <w:highlight w:val="none"/>
              </w:rPr>
            </w:pPr>
          </w:p>
        </w:tc>
        <w:tc>
          <w:tcPr>
            <w:tcW w:w="267" w:type="pct"/>
            <w:vAlign w:val="center"/>
          </w:tcPr>
          <w:p w14:paraId="6C93BEB2">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67" w:type="pct"/>
            <w:vAlign w:val="center"/>
          </w:tcPr>
          <w:p w14:paraId="0D2234A8">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548" w:type="pct"/>
            <w:vAlign w:val="center"/>
          </w:tcPr>
          <w:p w14:paraId="107D733A">
            <w:pPr>
              <w:jc w:val="center"/>
              <w:rPr>
                <w:rFonts w:hint="eastAsia" w:ascii="仿宋" w:hAnsi="仿宋" w:eastAsia="仿宋" w:cs="仿宋"/>
                <w:bCs/>
                <w:sz w:val="24"/>
                <w:szCs w:val="24"/>
                <w:highlight w:val="none"/>
              </w:rPr>
            </w:pPr>
          </w:p>
        </w:tc>
        <w:tc>
          <w:tcPr>
            <w:tcW w:w="548" w:type="pct"/>
            <w:vAlign w:val="center"/>
          </w:tcPr>
          <w:p w14:paraId="4E91D6D6">
            <w:pPr>
              <w:jc w:val="center"/>
              <w:rPr>
                <w:rFonts w:hint="eastAsia" w:ascii="仿宋" w:hAnsi="仿宋" w:eastAsia="仿宋" w:cs="仿宋"/>
                <w:bCs/>
                <w:sz w:val="24"/>
                <w:szCs w:val="24"/>
                <w:highlight w:val="none"/>
              </w:rPr>
            </w:pPr>
          </w:p>
        </w:tc>
        <w:tc>
          <w:tcPr>
            <w:tcW w:w="554" w:type="pct"/>
            <w:vMerge w:val="restart"/>
            <w:vAlign w:val="center"/>
          </w:tcPr>
          <w:p w14:paraId="5905386C">
            <w:pPr>
              <w:jc w:val="center"/>
              <w:rPr>
                <w:rFonts w:hint="eastAsia" w:ascii="仿宋" w:hAnsi="仿宋" w:eastAsia="仿宋" w:cs="仿宋"/>
                <w:bCs/>
                <w:sz w:val="24"/>
                <w:szCs w:val="24"/>
                <w:highlight w:val="none"/>
                <w:lang w:val="en-US" w:eastAsia="zh-CN"/>
              </w:rPr>
            </w:pPr>
            <w:r>
              <w:rPr>
                <w:rFonts w:hint="default" w:ascii="仿宋" w:hAnsi="仿宋" w:eastAsia="仿宋" w:cs="仿宋"/>
                <w:bCs/>
                <w:color w:val="auto"/>
                <w:sz w:val="24"/>
                <w:szCs w:val="24"/>
                <w:highlight w:val="none"/>
                <w:lang w:val="en-US" w:eastAsia="zh-CN"/>
              </w:rPr>
              <w:t>173361.44</w:t>
            </w:r>
          </w:p>
        </w:tc>
      </w:tr>
      <w:tr w14:paraId="4046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6" w:type="pct"/>
          </w:tcPr>
          <w:p w14:paraId="68155EBA">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1040" w:type="pct"/>
            <w:vMerge w:val="continue"/>
            <w:vAlign w:val="center"/>
          </w:tcPr>
          <w:p w14:paraId="5928A633">
            <w:pPr>
              <w:tabs>
                <w:tab w:val="left" w:pos="528"/>
              </w:tabs>
              <w:jc w:val="center"/>
              <w:rPr>
                <w:rFonts w:hint="eastAsia" w:ascii="仿宋" w:hAnsi="仿宋" w:eastAsia="仿宋" w:cs="仿宋"/>
                <w:bCs/>
                <w:sz w:val="24"/>
                <w:szCs w:val="24"/>
                <w:highlight w:val="none"/>
                <w:lang w:eastAsia="zh-CN"/>
              </w:rPr>
            </w:pPr>
          </w:p>
        </w:tc>
        <w:tc>
          <w:tcPr>
            <w:tcW w:w="703" w:type="pct"/>
            <w:vAlign w:val="center"/>
          </w:tcPr>
          <w:p w14:paraId="2745B127">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发电机</w:t>
            </w:r>
          </w:p>
        </w:tc>
        <w:tc>
          <w:tcPr>
            <w:tcW w:w="267" w:type="pct"/>
            <w:vAlign w:val="center"/>
          </w:tcPr>
          <w:p w14:paraId="7D9D3167">
            <w:pPr>
              <w:rPr>
                <w:rFonts w:hint="eastAsia" w:ascii="仿宋" w:hAnsi="仿宋" w:eastAsia="仿宋" w:cs="仿宋"/>
                <w:bCs/>
                <w:sz w:val="24"/>
                <w:szCs w:val="24"/>
                <w:highlight w:val="none"/>
              </w:rPr>
            </w:pPr>
          </w:p>
        </w:tc>
        <w:tc>
          <w:tcPr>
            <w:tcW w:w="268" w:type="pct"/>
            <w:vAlign w:val="center"/>
          </w:tcPr>
          <w:p w14:paraId="36B8118E">
            <w:pPr>
              <w:rPr>
                <w:rFonts w:hint="eastAsia" w:ascii="仿宋" w:hAnsi="仿宋" w:eastAsia="仿宋" w:cs="仿宋"/>
                <w:bCs/>
                <w:sz w:val="24"/>
                <w:szCs w:val="24"/>
                <w:highlight w:val="none"/>
              </w:rPr>
            </w:pPr>
          </w:p>
        </w:tc>
        <w:tc>
          <w:tcPr>
            <w:tcW w:w="267" w:type="pct"/>
            <w:vAlign w:val="center"/>
          </w:tcPr>
          <w:p w14:paraId="61D7EF55">
            <w:pPr>
              <w:rPr>
                <w:rFonts w:hint="eastAsia" w:ascii="仿宋" w:hAnsi="仿宋" w:eastAsia="仿宋" w:cs="仿宋"/>
                <w:bCs/>
                <w:sz w:val="24"/>
                <w:szCs w:val="24"/>
                <w:highlight w:val="none"/>
              </w:rPr>
            </w:pPr>
          </w:p>
        </w:tc>
        <w:tc>
          <w:tcPr>
            <w:tcW w:w="267" w:type="pct"/>
            <w:vAlign w:val="center"/>
          </w:tcPr>
          <w:p w14:paraId="3BF69E30">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67" w:type="pct"/>
            <w:vAlign w:val="center"/>
          </w:tcPr>
          <w:p w14:paraId="03563373">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台</w:t>
            </w:r>
          </w:p>
        </w:tc>
        <w:tc>
          <w:tcPr>
            <w:tcW w:w="548" w:type="pct"/>
            <w:vAlign w:val="center"/>
          </w:tcPr>
          <w:p w14:paraId="27642309">
            <w:pPr>
              <w:jc w:val="center"/>
              <w:rPr>
                <w:rFonts w:hint="eastAsia" w:ascii="仿宋" w:hAnsi="仿宋" w:eastAsia="仿宋" w:cs="仿宋"/>
                <w:bCs/>
                <w:sz w:val="24"/>
                <w:szCs w:val="24"/>
                <w:highlight w:val="none"/>
              </w:rPr>
            </w:pPr>
          </w:p>
        </w:tc>
        <w:tc>
          <w:tcPr>
            <w:tcW w:w="548" w:type="pct"/>
            <w:vAlign w:val="center"/>
          </w:tcPr>
          <w:p w14:paraId="0EB81FA7">
            <w:pPr>
              <w:jc w:val="center"/>
              <w:rPr>
                <w:rFonts w:hint="eastAsia" w:ascii="仿宋" w:hAnsi="仿宋" w:eastAsia="仿宋" w:cs="仿宋"/>
                <w:bCs/>
                <w:sz w:val="24"/>
                <w:szCs w:val="24"/>
                <w:highlight w:val="none"/>
              </w:rPr>
            </w:pPr>
          </w:p>
        </w:tc>
        <w:tc>
          <w:tcPr>
            <w:tcW w:w="554" w:type="pct"/>
            <w:vMerge w:val="continue"/>
            <w:vAlign w:val="center"/>
          </w:tcPr>
          <w:p w14:paraId="4A911DA0">
            <w:pPr>
              <w:jc w:val="center"/>
              <w:rPr>
                <w:rFonts w:hint="eastAsia" w:ascii="仿宋" w:hAnsi="仿宋" w:eastAsia="仿宋" w:cs="仿宋"/>
                <w:bCs/>
                <w:sz w:val="24"/>
                <w:szCs w:val="24"/>
                <w:highlight w:val="none"/>
                <w:lang w:val="en-US" w:eastAsia="zh-CN"/>
              </w:rPr>
            </w:pPr>
          </w:p>
        </w:tc>
      </w:tr>
      <w:tr w14:paraId="2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000" w:type="pct"/>
            <w:gridSpan w:val="11"/>
          </w:tcPr>
          <w:p w14:paraId="5944A6BE">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14:paraId="16EAE5AF">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1FDBFCD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9799D39">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4029E0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4C21962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31A1464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076758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056B5326">
      <w:pPr>
        <w:tabs>
          <w:tab w:val="left" w:pos="720"/>
        </w:tabs>
        <w:jc w:val="center"/>
        <w:rPr>
          <w:rFonts w:hint="eastAsia" w:ascii="仿宋" w:hAnsi="仿宋" w:eastAsia="仿宋" w:cs="仿宋"/>
          <w:b/>
          <w:sz w:val="24"/>
          <w:highlight w:val="none"/>
        </w:rPr>
      </w:pPr>
    </w:p>
    <w:p w14:paraId="18FAA106">
      <w:pPr>
        <w:rPr>
          <w:rFonts w:hint="eastAsia" w:ascii="仿宋" w:hAnsi="仿宋" w:eastAsia="仿宋" w:cs="仿宋"/>
          <w:b/>
          <w:sz w:val="24"/>
          <w:highlight w:val="none"/>
        </w:rPr>
      </w:pPr>
    </w:p>
    <w:p w14:paraId="40B9A8E4">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E3D24A0">
      <w:pPr>
        <w:rPr>
          <w:rFonts w:hint="eastAsia" w:ascii="仿宋" w:hAnsi="仿宋" w:eastAsia="仿宋" w:cs="仿宋"/>
          <w:b/>
          <w:sz w:val="24"/>
          <w:highlight w:val="none"/>
        </w:rPr>
      </w:pPr>
    </w:p>
    <w:p w14:paraId="56574B47">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23C9BC2">
      <w:pPr>
        <w:rPr>
          <w:rFonts w:hint="eastAsia" w:ascii="仿宋" w:hAnsi="仿宋" w:eastAsia="仿宋" w:cs="仿宋"/>
          <w:b/>
          <w:sz w:val="24"/>
          <w:highlight w:val="none"/>
        </w:rPr>
      </w:pPr>
    </w:p>
    <w:p w14:paraId="0C1EB9CA">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7EC1FADE">
      <w:pPr>
        <w:pStyle w:val="27"/>
        <w:rPr>
          <w:rFonts w:hint="eastAsia" w:ascii="仿宋" w:hAnsi="仿宋" w:eastAsia="仿宋" w:cs="仿宋"/>
          <w:b w:val="0"/>
          <w:bCs/>
          <w:sz w:val="24"/>
          <w:highlight w:val="none"/>
        </w:rPr>
      </w:pPr>
    </w:p>
    <w:p w14:paraId="68423EF2">
      <w:pPr>
        <w:tabs>
          <w:tab w:val="left" w:pos="720"/>
        </w:tabs>
        <w:ind w:firstLine="3132" w:firstLineChars="1300"/>
        <w:rPr>
          <w:rFonts w:hint="eastAsia" w:ascii="仿宋" w:hAnsi="仿宋" w:eastAsia="仿宋" w:cs="仿宋"/>
          <w:b/>
          <w:sz w:val="24"/>
          <w:highlight w:val="none"/>
        </w:rPr>
      </w:pPr>
    </w:p>
    <w:p w14:paraId="0C0DD548">
      <w:pPr>
        <w:tabs>
          <w:tab w:val="left" w:pos="720"/>
        </w:tabs>
        <w:ind w:firstLine="3132" w:firstLineChars="1300"/>
        <w:rPr>
          <w:rFonts w:hint="eastAsia" w:ascii="仿宋" w:hAnsi="仿宋" w:eastAsia="仿宋" w:cs="仿宋"/>
          <w:b/>
          <w:sz w:val="24"/>
          <w:highlight w:val="none"/>
        </w:rPr>
      </w:pPr>
    </w:p>
    <w:p w14:paraId="1CD3A1BB">
      <w:pPr>
        <w:tabs>
          <w:tab w:val="left" w:pos="720"/>
        </w:tabs>
        <w:ind w:firstLine="3132" w:firstLineChars="1300"/>
        <w:rPr>
          <w:rFonts w:hint="eastAsia" w:ascii="仿宋" w:hAnsi="仿宋" w:eastAsia="仿宋" w:cs="仿宋"/>
          <w:b/>
          <w:sz w:val="24"/>
          <w:highlight w:val="none"/>
        </w:rPr>
      </w:pPr>
    </w:p>
    <w:p w14:paraId="539C045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14:paraId="72C3B1A8">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0FE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76DA47C5">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283A527">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6037C511">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60BD85AF">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23FE746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A51F32A">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4F536A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100519B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08BCCAEC">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20570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3D15A35">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2C25DA1">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F70A90E">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E7286EC">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9DA6D1">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CA7412">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08E105">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3E8A368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7D457CAC">
            <w:pPr>
              <w:adjustRightInd w:val="0"/>
              <w:snapToGrid w:val="0"/>
              <w:spacing w:line="500" w:lineRule="exact"/>
              <w:jc w:val="center"/>
              <w:rPr>
                <w:rFonts w:ascii="仿宋_GB2312" w:hAnsi="宋体" w:eastAsia="仿宋_GB2312"/>
                <w:kern w:val="0"/>
                <w:sz w:val="21"/>
                <w:szCs w:val="21"/>
              </w:rPr>
            </w:pPr>
          </w:p>
        </w:tc>
      </w:tr>
      <w:tr w14:paraId="0904D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67C46136">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4FD2FF">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67B3D63">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38AC9A6">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2086FDD">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EEC7A">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D7DB3B">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8A0186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31573B3C">
            <w:pPr>
              <w:spacing w:line="500" w:lineRule="exact"/>
              <w:jc w:val="center"/>
              <w:rPr>
                <w:rFonts w:ascii="仿宋_GB2312" w:hAnsi="宋体" w:eastAsia="仿宋_GB2312"/>
                <w:kern w:val="0"/>
                <w:sz w:val="21"/>
                <w:szCs w:val="21"/>
              </w:rPr>
            </w:pPr>
          </w:p>
        </w:tc>
      </w:tr>
    </w:tbl>
    <w:p w14:paraId="414D137D">
      <w:pPr>
        <w:spacing w:line="500" w:lineRule="exact"/>
        <w:rPr>
          <w:rFonts w:ascii="仿宋_GB2312" w:hAnsi="宋体" w:eastAsia="仿宋_GB2312"/>
          <w:kern w:val="0"/>
          <w:sz w:val="28"/>
          <w:szCs w:val="28"/>
        </w:rPr>
      </w:pPr>
    </w:p>
    <w:p w14:paraId="03D49F7E">
      <w:pPr>
        <w:rPr>
          <w:rFonts w:hint="eastAsia" w:ascii="仿宋" w:hAnsi="仿宋" w:eastAsia="仿宋" w:cs="仿宋"/>
          <w:b/>
          <w:bCs w:val="0"/>
          <w:kern w:val="2"/>
          <w:sz w:val="24"/>
          <w:szCs w:val="24"/>
          <w:highlight w:val="none"/>
          <w:lang w:val="en-US" w:eastAsia="zh-CN"/>
        </w:rPr>
      </w:pPr>
    </w:p>
    <w:p w14:paraId="248E940C">
      <w:pPr>
        <w:keepNext w:val="0"/>
        <w:keepLines w:val="0"/>
        <w:pageBreakBefore w:val="0"/>
        <w:widowControl/>
        <w:numPr>
          <w:ilvl w:val="-1"/>
          <w:numId w:val="0"/>
        </w:numPr>
        <w:spacing w:line="240" w:lineRule="auto"/>
        <w:ind w:left="0" w:leftChars="0" w:firstLine="0" w:firstLineChars="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page"/>
      </w:r>
    </w:p>
    <w:p w14:paraId="2873F493">
      <w:pPr>
        <w:keepNext w:val="0"/>
        <w:keepLines w:val="0"/>
        <w:pageBreakBefore w:val="0"/>
        <w:widowControl/>
        <w:numPr>
          <w:ilvl w:val="0"/>
          <w:numId w:val="0"/>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szCs w:val="24"/>
          <w:highlight w:val="none"/>
          <w:lang w:val="en-US" w:eastAsia="zh-CN"/>
        </w:rPr>
        <w:t>自行采购项目供应商资格审查表</w:t>
      </w:r>
    </w:p>
    <w:p w14:paraId="414AD91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11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296419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524ECB3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7839102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04BD097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10CD4A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1FB1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61BC58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127390A4">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26D46D7C">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418D1682">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559F10C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FE00D6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52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9802DAB">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169E308">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0DBF76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8804A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06362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AC2626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BC0BBC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142ACAE6">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DA94B1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10E02B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B90AEA1">
            <w:pPr>
              <w:jc w:val="both"/>
              <w:rPr>
                <w:rFonts w:hint="eastAsia" w:ascii="仿宋" w:hAnsi="仿宋" w:eastAsia="仿宋" w:cs="仿宋"/>
                <w:color w:val="auto"/>
                <w:kern w:val="2"/>
                <w:sz w:val="24"/>
                <w:szCs w:val="24"/>
                <w:highlight w:val="none"/>
                <w:vertAlign w:val="baseline"/>
              </w:rPr>
            </w:pPr>
          </w:p>
        </w:tc>
      </w:tr>
      <w:tr w14:paraId="5F4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439386AF">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FD690D0">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B6C6D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1FA383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BCE125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9DFC0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07BE8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D1BDF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6A5311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3483282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0FEA378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004B984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AB7A4E1">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0DCE76A">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5E3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E8B3834">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1604EF6">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36CD161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78FB539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C612DC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D32D93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3B5368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89AEE6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623566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460305A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F771662">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90C12DA">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78DB07E4">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7D3EDA9">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47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12BC4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238D78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5085EB7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74512CDF">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E33831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AD3105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B65DDEE">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69CCBB0">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E9A1842">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8B7BC06">
      <w:pPr>
        <w:outlineLvl w:val="3"/>
        <w:rPr>
          <w:rFonts w:hint="eastAsia" w:ascii="仿宋" w:hAnsi="仿宋" w:eastAsia="仿宋" w:cs="仿宋"/>
          <w:b/>
          <w:szCs w:val="21"/>
          <w:highlight w:val="none"/>
        </w:rPr>
      </w:pPr>
      <w:bookmarkStart w:id="7" w:name="_Toc7602"/>
    </w:p>
    <w:bookmarkEnd w:id="7"/>
    <w:p w14:paraId="0FA27BE2">
      <w:pPr>
        <w:rPr>
          <w:rFonts w:hint="eastAsia" w:ascii="仿宋" w:hAnsi="仿宋" w:eastAsia="仿宋" w:cs="仿宋"/>
          <w:highlight w:val="none"/>
        </w:rPr>
      </w:pPr>
    </w:p>
    <w:p w14:paraId="39B9A842">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0D9BF740">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8BDAAB2">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0D51F42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A3F3FD">
      <w:pPr>
        <w:adjustRightInd w:val="0"/>
        <w:jc w:val="center"/>
        <w:outlineLvl w:val="4"/>
        <w:rPr>
          <w:rFonts w:hint="eastAsia" w:ascii="仿宋" w:hAnsi="仿宋" w:eastAsia="仿宋" w:cs="仿宋"/>
          <w:b/>
          <w:bCs/>
          <w:sz w:val="24"/>
          <w:szCs w:val="24"/>
          <w:highlight w:val="none"/>
        </w:rPr>
      </w:pPr>
    </w:p>
    <w:p w14:paraId="4E6C8F7C">
      <w:pPr>
        <w:adjustRightInd w:val="0"/>
        <w:jc w:val="both"/>
        <w:outlineLvl w:val="4"/>
        <w:rPr>
          <w:rFonts w:hint="eastAsia" w:ascii="仿宋" w:hAnsi="仿宋" w:eastAsia="仿宋" w:cs="仿宋"/>
          <w:b/>
          <w:bCs/>
          <w:sz w:val="24"/>
          <w:szCs w:val="24"/>
          <w:highlight w:val="none"/>
          <w:lang w:val="en-US" w:eastAsia="zh-CN"/>
        </w:rPr>
      </w:pPr>
    </w:p>
    <w:p w14:paraId="734F5788">
      <w:pPr>
        <w:adjustRightInd w:val="0"/>
        <w:jc w:val="both"/>
        <w:outlineLvl w:val="4"/>
        <w:rPr>
          <w:rFonts w:hint="eastAsia" w:ascii="仿宋" w:hAnsi="仿宋" w:eastAsia="仿宋" w:cs="仿宋"/>
          <w:b/>
          <w:bCs/>
          <w:sz w:val="24"/>
          <w:szCs w:val="24"/>
          <w:highlight w:val="none"/>
          <w:lang w:val="en-US" w:eastAsia="zh-CN"/>
        </w:rPr>
      </w:pPr>
    </w:p>
    <w:p w14:paraId="0AFED00B">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7A5BF580">
      <w:pPr>
        <w:shd w:val="clear"/>
        <w:snapToGrid w:val="0"/>
        <w:spacing w:line="360" w:lineRule="auto"/>
        <w:rPr>
          <w:rFonts w:hint="eastAsia" w:ascii="仿宋" w:hAnsi="仿宋" w:eastAsia="仿宋" w:cs="仿宋"/>
          <w:color w:val="auto"/>
          <w:sz w:val="24"/>
          <w:szCs w:val="24"/>
          <w:highlight w:val="none"/>
        </w:rPr>
      </w:pPr>
    </w:p>
    <w:p w14:paraId="74DA941F">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1875355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739ACC2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5F2EB0F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2237AF9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54211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484DFBE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4C7E9F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21FEB84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011CFA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42B1BA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C05690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3D5C28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75DCA9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5D2B38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76360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1A75578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37A1F7D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201FF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69B4A94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221391E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653B401C">
      <w:pPr>
        <w:shd w:val="clear"/>
        <w:spacing w:line="360" w:lineRule="auto"/>
        <w:ind w:firstLine="5760" w:firstLineChars="2400"/>
        <w:jc w:val="left"/>
        <w:rPr>
          <w:rFonts w:hint="eastAsia" w:ascii="仿宋" w:hAnsi="仿宋" w:eastAsia="仿宋" w:cs="仿宋"/>
          <w:color w:val="auto"/>
          <w:sz w:val="24"/>
          <w:szCs w:val="24"/>
          <w:highlight w:val="none"/>
        </w:rPr>
      </w:pPr>
    </w:p>
    <w:p w14:paraId="2BEF1DE5">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152D5B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36F45362">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56E280CF">
      <w:pPr>
        <w:pStyle w:val="5"/>
        <w:widowControl w:val="0"/>
        <w:numPr>
          <w:ilvl w:val="0"/>
          <w:numId w:val="0"/>
        </w:numPr>
        <w:jc w:val="both"/>
        <w:rPr>
          <w:rFonts w:hint="default" w:ascii="仿宋" w:hAnsi="仿宋" w:eastAsia="仿宋" w:cs="仿宋"/>
          <w:b/>
          <w:bCs/>
          <w:sz w:val="24"/>
          <w:szCs w:val="24"/>
          <w:highlight w:val="none"/>
          <w:lang w:val="en-US" w:eastAsia="zh-CN"/>
        </w:rPr>
      </w:pPr>
    </w:p>
    <w:p w14:paraId="03338908">
      <w:pPr>
        <w:pStyle w:val="5"/>
        <w:widowControl w:val="0"/>
        <w:numPr>
          <w:ilvl w:val="0"/>
          <w:numId w:val="0"/>
        </w:numPr>
        <w:jc w:val="both"/>
        <w:rPr>
          <w:rFonts w:hint="default" w:ascii="仿宋" w:hAnsi="仿宋" w:eastAsia="仿宋" w:cs="仿宋"/>
          <w:b/>
          <w:bCs/>
          <w:sz w:val="24"/>
          <w:szCs w:val="24"/>
          <w:highlight w:val="none"/>
          <w:lang w:val="en-US" w:eastAsia="zh-CN"/>
        </w:rPr>
      </w:pPr>
    </w:p>
    <w:p w14:paraId="0C2E3935">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F0C4C02">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29757"/>
      <w:bookmarkStart w:id="9" w:name="_Toc743"/>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4FC90BFE">
      <w:pPr>
        <w:pStyle w:val="10"/>
        <w:spacing w:line="360" w:lineRule="auto"/>
        <w:jc w:val="center"/>
        <w:rPr>
          <w:rFonts w:hint="eastAsia" w:ascii="仿宋" w:hAnsi="仿宋" w:eastAsia="仿宋" w:cs="仿宋"/>
          <w:b/>
          <w:bCs/>
          <w:sz w:val="24"/>
          <w:szCs w:val="24"/>
          <w:highlight w:val="none"/>
        </w:rPr>
      </w:pPr>
    </w:p>
    <w:p w14:paraId="3AAE88C2">
      <w:pPr>
        <w:pStyle w:val="1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9ED263">
      <w:pPr>
        <w:widowControl/>
        <w:autoSpaceDE w:val="0"/>
        <w:autoSpaceDN w:val="0"/>
        <w:ind w:right="893"/>
        <w:jc w:val="center"/>
        <w:textAlignment w:val="bottom"/>
        <w:rPr>
          <w:rFonts w:hint="eastAsia" w:ascii="仿宋" w:hAnsi="仿宋" w:eastAsia="仿宋" w:cs="仿宋"/>
          <w:sz w:val="24"/>
          <w:szCs w:val="24"/>
          <w:highlight w:val="none"/>
        </w:rPr>
      </w:pPr>
    </w:p>
    <w:p w14:paraId="3BCB9E69">
      <w:pPr>
        <w:pStyle w:val="8"/>
        <w:rPr>
          <w:rFonts w:hint="eastAsia" w:ascii="仿宋" w:hAnsi="仿宋" w:eastAsia="仿宋" w:cs="仿宋"/>
          <w:sz w:val="24"/>
          <w:szCs w:val="24"/>
          <w:highlight w:val="none"/>
        </w:rPr>
      </w:pPr>
    </w:p>
    <w:p w14:paraId="6EDEE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7ECAA05F">
      <w:pPr>
        <w:ind w:firstLine="480" w:firstLineChars="200"/>
        <w:rPr>
          <w:rFonts w:hint="eastAsia" w:ascii="仿宋" w:hAnsi="仿宋" w:eastAsia="仿宋" w:cs="仿宋"/>
          <w:bCs/>
          <w:color w:val="auto"/>
          <w:kern w:val="2"/>
          <w:sz w:val="24"/>
          <w:szCs w:val="24"/>
          <w:highlight w:val="none"/>
          <w:lang w:val="en-US" w:eastAsia="zh-CN" w:bidi="ar-SA"/>
        </w:rPr>
      </w:pPr>
    </w:p>
    <w:p w14:paraId="2AE31502">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2E3A546">
      <w:pPr>
        <w:pStyle w:val="10"/>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11A7E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75E100B">
      <w:pPr>
        <w:ind w:firstLine="480" w:firstLineChars="200"/>
        <w:rPr>
          <w:rFonts w:hint="eastAsia" w:ascii="仿宋" w:hAnsi="仿宋" w:eastAsia="仿宋" w:cs="仿宋"/>
          <w:color w:val="auto"/>
          <w:sz w:val="24"/>
          <w:szCs w:val="24"/>
          <w:highlight w:val="none"/>
        </w:rPr>
      </w:pPr>
    </w:p>
    <w:p w14:paraId="032877D0">
      <w:pPr>
        <w:ind w:firstLine="480" w:firstLineChars="200"/>
        <w:rPr>
          <w:rFonts w:hint="eastAsia" w:ascii="仿宋" w:hAnsi="仿宋" w:eastAsia="仿宋" w:cs="仿宋"/>
          <w:color w:val="auto"/>
          <w:sz w:val="24"/>
          <w:szCs w:val="24"/>
          <w:highlight w:val="none"/>
        </w:rPr>
      </w:pPr>
    </w:p>
    <w:p w14:paraId="79987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F5513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73081A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6B3FAD2">
      <w:pPr>
        <w:widowControl/>
        <w:autoSpaceDE w:val="0"/>
        <w:autoSpaceDN w:val="0"/>
        <w:ind w:right="893"/>
        <w:textAlignment w:val="bottom"/>
        <w:rPr>
          <w:rFonts w:hint="eastAsia" w:ascii="仿宋" w:hAnsi="仿宋" w:eastAsia="仿宋" w:cs="仿宋"/>
          <w:color w:val="auto"/>
          <w:sz w:val="24"/>
          <w:szCs w:val="24"/>
          <w:highlight w:val="none"/>
        </w:rPr>
      </w:pPr>
    </w:p>
    <w:p w14:paraId="79582EB0">
      <w:pPr>
        <w:widowControl/>
        <w:autoSpaceDE w:val="0"/>
        <w:autoSpaceDN w:val="0"/>
        <w:ind w:right="893"/>
        <w:textAlignment w:val="bottom"/>
        <w:rPr>
          <w:rFonts w:hint="eastAsia" w:ascii="仿宋" w:hAnsi="仿宋" w:eastAsia="仿宋" w:cs="仿宋"/>
          <w:color w:val="auto"/>
          <w:sz w:val="24"/>
          <w:szCs w:val="24"/>
          <w:highlight w:val="none"/>
        </w:rPr>
      </w:pPr>
    </w:p>
    <w:p w14:paraId="05F01123">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1B8AEBFA">
      <w:pPr>
        <w:keepNext/>
        <w:keepLines/>
        <w:spacing w:line="360" w:lineRule="auto"/>
        <w:rPr>
          <w:rFonts w:hint="eastAsia" w:ascii="仿宋" w:hAnsi="仿宋" w:eastAsia="仿宋" w:cs="仿宋"/>
          <w:color w:val="auto"/>
          <w:sz w:val="24"/>
          <w:szCs w:val="24"/>
          <w:highlight w:val="none"/>
        </w:rPr>
      </w:pPr>
    </w:p>
    <w:p w14:paraId="6A37AC3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v:textbox>
                </v:rect>
              </v:group>
            </w:pict>
          </mc:Fallback>
        </mc:AlternateContent>
      </w:r>
    </w:p>
    <w:p w14:paraId="3BCC9DB3">
      <w:pPr>
        <w:keepNext/>
        <w:keepLines/>
        <w:spacing w:line="360" w:lineRule="auto"/>
        <w:rPr>
          <w:rFonts w:hint="eastAsia" w:ascii="仿宋" w:hAnsi="仿宋" w:eastAsia="仿宋" w:cs="仿宋"/>
          <w:sz w:val="24"/>
          <w:szCs w:val="24"/>
          <w:highlight w:val="none"/>
        </w:rPr>
      </w:pPr>
    </w:p>
    <w:p w14:paraId="614A9860">
      <w:pPr>
        <w:keepNext/>
        <w:keepLines/>
        <w:spacing w:line="360" w:lineRule="auto"/>
        <w:rPr>
          <w:rFonts w:hint="eastAsia" w:ascii="仿宋" w:hAnsi="仿宋" w:eastAsia="仿宋" w:cs="仿宋"/>
          <w:sz w:val="24"/>
          <w:szCs w:val="24"/>
          <w:highlight w:val="none"/>
        </w:rPr>
      </w:pPr>
    </w:p>
    <w:p w14:paraId="0E771983">
      <w:pPr>
        <w:keepNext/>
        <w:keepLines/>
        <w:spacing w:line="360" w:lineRule="auto"/>
        <w:rPr>
          <w:rFonts w:hint="eastAsia" w:ascii="仿宋" w:hAnsi="仿宋" w:eastAsia="仿宋" w:cs="仿宋"/>
          <w:sz w:val="24"/>
          <w:szCs w:val="24"/>
          <w:highlight w:val="none"/>
        </w:rPr>
      </w:pPr>
    </w:p>
    <w:p w14:paraId="4F3CC879">
      <w:pPr>
        <w:keepNext/>
        <w:keepLines/>
        <w:spacing w:line="360" w:lineRule="auto"/>
        <w:rPr>
          <w:rFonts w:hint="eastAsia" w:ascii="仿宋" w:hAnsi="仿宋" w:eastAsia="仿宋" w:cs="仿宋"/>
          <w:sz w:val="24"/>
          <w:szCs w:val="24"/>
          <w:highlight w:val="none"/>
        </w:rPr>
      </w:pPr>
    </w:p>
    <w:p w14:paraId="796B6D12">
      <w:pPr>
        <w:keepNext/>
        <w:keepLines/>
        <w:spacing w:line="360" w:lineRule="auto"/>
        <w:rPr>
          <w:rFonts w:hint="eastAsia" w:ascii="仿宋" w:hAnsi="仿宋" w:eastAsia="仿宋" w:cs="仿宋"/>
          <w:sz w:val="24"/>
          <w:szCs w:val="24"/>
          <w:highlight w:val="none"/>
        </w:rPr>
      </w:pPr>
    </w:p>
    <w:p w14:paraId="50CA0DCE">
      <w:pPr>
        <w:keepNext/>
        <w:keepLines/>
        <w:spacing w:line="360" w:lineRule="auto"/>
        <w:rPr>
          <w:rFonts w:hint="eastAsia" w:ascii="仿宋" w:hAnsi="仿宋" w:eastAsia="仿宋" w:cs="仿宋"/>
          <w:sz w:val="24"/>
          <w:szCs w:val="24"/>
          <w:highlight w:val="none"/>
        </w:rPr>
      </w:pPr>
    </w:p>
    <w:p w14:paraId="7EC56D99">
      <w:pPr>
        <w:keepNext/>
        <w:keepLines/>
        <w:spacing w:line="360" w:lineRule="auto"/>
        <w:rPr>
          <w:rFonts w:hint="eastAsia" w:ascii="仿宋" w:hAnsi="仿宋" w:eastAsia="仿宋" w:cs="仿宋"/>
          <w:sz w:val="24"/>
          <w:szCs w:val="24"/>
          <w:highlight w:val="none"/>
        </w:rPr>
      </w:pPr>
    </w:p>
    <w:p w14:paraId="23A7E3A6">
      <w:pPr>
        <w:keepNext/>
        <w:keepLines/>
        <w:spacing w:line="360" w:lineRule="auto"/>
        <w:rPr>
          <w:rFonts w:hint="eastAsia" w:ascii="仿宋" w:hAnsi="仿宋" w:eastAsia="仿宋" w:cs="仿宋"/>
          <w:sz w:val="24"/>
          <w:szCs w:val="24"/>
          <w:highlight w:val="none"/>
        </w:rPr>
      </w:pPr>
    </w:p>
    <w:p w14:paraId="5419FC2C">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20DB4AB">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6169AD67">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71D565C">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5067C03">
      <w:pPr>
        <w:spacing w:line="360" w:lineRule="auto"/>
        <w:jc w:val="center"/>
        <w:rPr>
          <w:rFonts w:hint="eastAsia" w:ascii="仿宋" w:hAnsi="仿宋" w:eastAsia="仿宋" w:cs="仿宋"/>
          <w:b/>
          <w:bCs/>
          <w:sz w:val="24"/>
          <w:szCs w:val="24"/>
          <w:highlight w:val="none"/>
        </w:rPr>
      </w:pPr>
    </w:p>
    <w:p w14:paraId="2835F8C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3C4E7A66">
      <w:pPr>
        <w:spacing w:line="360" w:lineRule="auto"/>
        <w:jc w:val="center"/>
        <w:rPr>
          <w:rFonts w:hint="eastAsia" w:ascii="仿宋" w:hAnsi="仿宋" w:eastAsia="仿宋" w:cs="仿宋"/>
          <w:sz w:val="24"/>
          <w:szCs w:val="24"/>
          <w:highlight w:val="none"/>
        </w:rPr>
      </w:pPr>
    </w:p>
    <w:p w14:paraId="551CE1E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62E055EF">
      <w:pPr>
        <w:pStyle w:val="10"/>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4217B0CF">
      <w:pPr>
        <w:pStyle w:val="10"/>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757D8C0">
      <w:pPr>
        <w:spacing w:line="360" w:lineRule="auto"/>
        <w:rPr>
          <w:rFonts w:hint="eastAsia" w:ascii="仿宋" w:hAnsi="仿宋" w:eastAsia="仿宋" w:cs="仿宋"/>
          <w:color w:val="auto"/>
          <w:sz w:val="24"/>
          <w:szCs w:val="24"/>
          <w:highlight w:val="none"/>
        </w:rPr>
      </w:pPr>
    </w:p>
    <w:p w14:paraId="4EC8CAA7">
      <w:pPr>
        <w:pStyle w:val="10"/>
        <w:rPr>
          <w:rFonts w:hint="eastAsia"/>
        </w:rPr>
      </w:pPr>
    </w:p>
    <w:p w14:paraId="462518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68654E8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8A2AA68">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01F9D767">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D9AD6B7">
      <w:pPr>
        <w:widowControl/>
        <w:autoSpaceDE w:val="0"/>
        <w:autoSpaceDN w:val="0"/>
        <w:ind w:right="893"/>
        <w:textAlignment w:val="bottom"/>
        <w:rPr>
          <w:rFonts w:hint="eastAsia" w:ascii="仿宋" w:hAnsi="仿宋" w:eastAsia="仿宋" w:cs="仿宋"/>
          <w:color w:val="auto"/>
          <w:sz w:val="24"/>
          <w:szCs w:val="24"/>
          <w:highlight w:val="none"/>
        </w:rPr>
      </w:pPr>
    </w:p>
    <w:p w14:paraId="6783D11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624ADDA6">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v:textbox>
                </v:rect>
              </v:group>
            </w:pict>
          </mc:Fallback>
        </mc:AlternateContent>
      </w:r>
    </w:p>
    <w:p w14:paraId="5899F564">
      <w:pPr>
        <w:keepNext/>
        <w:keepLines/>
        <w:spacing w:line="360" w:lineRule="auto"/>
        <w:rPr>
          <w:rFonts w:hint="eastAsia" w:ascii="仿宋" w:hAnsi="仿宋" w:eastAsia="仿宋" w:cs="仿宋"/>
          <w:b/>
          <w:sz w:val="24"/>
          <w:szCs w:val="24"/>
          <w:highlight w:val="none"/>
        </w:rPr>
      </w:pPr>
    </w:p>
    <w:p w14:paraId="2B516814">
      <w:pPr>
        <w:keepNext/>
        <w:keepLines/>
        <w:spacing w:line="360" w:lineRule="auto"/>
        <w:rPr>
          <w:rFonts w:hint="eastAsia" w:ascii="仿宋" w:hAnsi="仿宋" w:eastAsia="仿宋" w:cs="仿宋"/>
          <w:b/>
          <w:sz w:val="24"/>
          <w:szCs w:val="24"/>
          <w:highlight w:val="none"/>
        </w:rPr>
      </w:pPr>
    </w:p>
    <w:p w14:paraId="48626FC9">
      <w:pPr>
        <w:keepNext/>
        <w:keepLines/>
        <w:spacing w:line="360" w:lineRule="auto"/>
        <w:rPr>
          <w:rFonts w:hint="eastAsia" w:ascii="仿宋" w:hAnsi="仿宋" w:eastAsia="仿宋" w:cs="仿宋"/>
          <w:b/>
          <w:sz w:val="24"/>
          <w:szCs w:val="24"/>
          <w:highlight w:val="none"/>
        </w:rPr>
      </w:pPr>
    </w:p>
    <w:p w14:paraId="4C3CD728">
      <w:pPr>
        <w:keepNext/>
        <w:keepLines/>
        <w:spacing w:line="360" w:lineRule="auto"/>
        <w:rPr>
          <w:rFonts w:hint="eastAsia" w:ascii="仿宋" w:hAnsi="仿宋" w:eastAsia="仿宋" w:cs="仿宋"/>
          <w:b/>
          <w:sz w:val="24"/>
          <w:szCs w:val="24"/>
          <w:highlight w:val="none"/>
        </w:rPr>
      </w:pPr>
    </w:p>
    <w:p w14:paraId="746FC71C">
      <w:pPr>
        <w:keepNext/>
        <w:keepLines/>
        <w:spacing w:line="360" w:lineRule="auto"/>
        <w:rPr>
          <w:rFonts w:hint="eastAsia" w:ascii="仿宋" w:hAnsi="仿宋" w:eastAsia="仿宋" w:cs="仿宋"/>
          <w:b/>
          <w:sz w:val="24"/>
          <w:szCs w:val="24"/>
          <w:highlight w:val="none"/>
        </w:rPr>
      </w:pPr>
    </w:p>
    <w:p w14:paraId="43C13F6F">
      <w:pPr>
        <w:keepNext/>
        <w:keepLines/>
        <w:spacing w:line="360" w:lineRule="auto"/>
        <w:rPr>
          <w:rFonts w:hint="eastAsia" w:ascii="仿宋" w:hAnsi="仿宋" w:eastAsia="仿宋" w:cs="仿宋"/>
          <w:b/>
          <w:sz w:val="24"/>
          <w:szCs w:val="24"/>
          <w:highlight w:val="none"/>
        </w:rPr>
      </w:pPr>
    </w:p>
    <w:p w14:paraId="2DB2C2EC">
      <w:pPr>
        <w:rPr>
          <w:rFonts w:hint="eastAsia" w:ascii="仿宋" w:hAnsi="仿宋" w:eastAsia="仿宋" w:cs="仿宋"/>
          <w:b/>
          <w:bCs/>
          <w:color w:val="auto"/>
          <w:sz w:val="24"/>
          <w:szCs w:val="24"/>
          <w:highlight w:val="none"/>
        </w:rPr>
      </w:pPr>
    </w:p>
    <w:p w14:paraId="643BF3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26D498">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F36D69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2CA50825">
      <w:pPr>
        <w:pStyle w:val="2"/>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BE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A96F0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75A6F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39E5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35065C1E">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5F39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7426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171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B40C63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3A4AED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510923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31526B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25E642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6789C5AF">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7FB556B3">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5C7EE60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0CB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49C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97255E">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376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D8ABF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36F7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CE99B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43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35E9E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F6EC5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43B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66FD7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218F7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FC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A5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0BD9A6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1877CC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0AF832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2D90F7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2F96F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2C95A7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29F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74B7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7413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7A9F4A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2E33E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3981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408A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33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2FBA9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502F1829">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3B14C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44FEB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583C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5679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75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37CF90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18A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DDAF3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2D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26EAB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050573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D11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E3C61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29A9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E568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72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C55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131D73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A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EECEB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CC496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80683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8F897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1C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8EAA9C8">
            <w:pPr>
              <w:pStyle w:val="53"/>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F79E428">
      <w:pPr>
        <w:spacing w:line="75" w:lineRule="exact"/>
        <w:rPr>
          <w:rFonts w:hint="eastAsia" w:ascii="宋体" w:hAnsi="宋体" w:eastAsia="宋体" w:cs="宋体"/>
          <w:sz w:val="21"/>
          <w:szCs w:val="21"/>
        </w:rPr>
      </w:pPr>
    </w:p>
    <w:p w14:paraId="10613592">
      <w:pPr>
        <w:rPr>
          <w:rFonts w:hint="eastAsia" w:ascii="宋体" w:hAnsi="宋体" w:eastAsia="宋体" w:cs="宋体"/>
          <w:sz w:val="21"/>
          <w:szCs w:val="21"/>
        </w:rPr>
      </w:pPr>
    </w:p>
    <w:p w14:paraId="1FA6B3A3">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0926B10E">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BD2A706">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投标时需提供以下附件，该要求作为供应商资格性审查的证明材料。如未提供，视为未提供资格审查的相关证明材料，按资格审查不通过处理。</w:t>
      </w:r>
    </w:p>
    <w:p w14:paraId="1AD13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60C77D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136B9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03D33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BD8D5D7">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7CD37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4173D8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18A2E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E7BE30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A4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3F7CC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3634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B54B5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310B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3D157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F54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1827BC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7EB24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57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4B2F22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BF00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43C6BD77">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bCs w:val="0"/>
          <w:color w:val="FF0000"/>
          <w:szCs w:val="21"/>
          <w:lang w:eastAsia="zh-CN"/>
        </w:rPr>
        <w:t>（</w:t>
      </w:r>
      <w:r>
        <w:rPr>
          <w:rFonts w:hint="eastAsia" w:ascii="宋体" w:hAnsi="宋体" w:cs="宋体"/>
          <w:b/>
          <w:bCs w:val="0"/>
          <w:color w:val="FF0000"/>
          <w:szCs w:val="21"/>
          <w:lang w:val="en-US" w:eastAsia="zh-CN"/>
        </w:rPr>
        <w:t>提供国家企业信用信息公示系统(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r>
        <w:rPr>
          <w:rFonts w:hint="eastAsia" w:ascii="宋体" w:hAnsi="宋体" w:cs="宋体"/>
          <w:b/>
          <w:bCs w:val="0"/>
          <w:color w:val="FF0000"/>
          <w:szCs w:val="21"/>
          <w:lang w:eastAsia="zh-CN"/>
        </w:rPr>
        <w:t>）</w:t>
      </w:r>
    </w:p>
    <w:p w14:paraId="0B4D4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6E726B34">
      <w:pPr>
        <w:pStyle w:val="5"/>
      </w:pPr>
    </w:p>
    <w:p w14:paraId="1D8AFAAC">
      <w:pPr>
        <w:pStyle w:val="29"/>
        <w:rPr>
          <w:rFonts w:hint="eastAsia" w:ascii="宋体" w:hAnsi="宋体" w:eastAsia="宋体" w:cs="宋体"/>
          <w:sz w:val="21"/>
          <w:szCs w:val="21"/>
        </w:rPr>
      </w:pPr>
    </w:p>
    <w:p w14:paraId="73552B9B">
      <w:pPr>
        <w:pStyle w:val="29"/>
        <w:rPr>
          <w:rFonts w:hint="eastAsia" w:ascii="宋体" w:hAnsi="宋体" w:eastAsia="宋体" w:cs="宋体"/>
          <w:sz w:val="21"/>
          <w:szCs w:val="21"/>
        </w:rPr>
      </w:pPr>
    </w:p>
    <w:p w14:paraId="45DD4E17">
      <w:pPr>
        <w:pStyle w:val="10"/>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3606FE7E">
      <w:pPr>
        <w:wordWrap w:val="0"/>
        <w:adjustRightInd w:val="0"/>
        <w:snapToGrid w:val="0"/>
        <w:spacing w:line="360" w:lineRule="auto"/>
        <w:ind w:firstLine="4200" w:firstLineChars="2000"/>
        <w:rPr>
          <w:rFonts w:hint="eastAsia" w:ascii="宋体" w:hAnsi="宋体" w:cs="宋体"/>
          <w:szCs w:val="21"/>
        </w:rPr>
      </w:pPr>
    </w:p>
    <w:p w14:paraId="6E376224">
      <w:pPr>
        <w:wordWrap w:val="0"/>
        <w:adjustRightInd w:val="0"/>
        <w:snapToGrid w:val="0"/>
        <w:spacing w:line="360" w:lineRule="auto"/>
        <w:ind w:firstLine="4200" w:firstLineChars="2000"/>
        <w:rPr>
          <w:rFonts w:hint="eastAsia" w:ascii="宋体" w:hAnsi="宋体" w:cs="宋体"/>
          <w:szCs w:val="21"/>
        </w:rPr>
      </w:pPr>
    </w:p>
    <w:p w14:paraId="334FD9C7">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743DD16">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614755D7">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358316AB">
      <w:pPr>
        <w:spacing w:before="184" w:line="208" w:lineRule="auto"/>
        <w:ind w:left="2778"/>
        <w:outlineLvl w:val="0"/>
        <w:rPr>
          <w:rFonts w:hint="eastAsia" w:ascii="仿宋" w:hAnsi="仿宋" w:eastAsia="仿宋" w:cs="仿宋"/>
          <w:b/>
          <w:bCs/>
          <w:spacing w:val="9"/>
          <w:sz w:val="43"/>
          <w:szCs w:val="43"/>
          <w:highlight w:val="none"/>
        </w:rPr>
      </w:pPr>
    </w:p>
    <w:p w14:paraId="7CBA20FC">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47969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67B79C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67FF0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060B0A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0A70C3E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3343352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7E383E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2DB6E8B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26F7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DC06B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4EE31FF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355CAAE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01ED2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20924C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EFD3F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7C57816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366D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3B635D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835FB36">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19C0248E">
      <w:pPr>
        <w:pStyle w:val="15"/>
        <w:rPr>
          <w:rFonts w:hint="eastAsia"/>
          <w:lang w:val="en-US" w:eastAsia="zh-CN"/>
        </w:rPr>
      </w:pPr>
    </w:p>
    <w:p w14:paraId="7A8FB81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21E7F6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C961F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9B860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AC19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64F83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52E2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860A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1EF923CA">
      <w:pPr>
        <w:rPr>
          <w:rFonts w:hint="eastAsia" w:ascii="仿宋" w:hAnsi="仿宋" w:eastAsia="仿宋" w:cs="仿宋"/>
          <w:sz w:val="24"/>
          <w:szCs w:val="24"/>
          <w:highlight w:val="none"/>
        </w:rPr>
      </w:pPr>
    </w:p>
    <w:p w14:paraId="2755F1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07FD4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078D97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26B2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455EE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7753B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E87A67">
      <w:pPr>
        <w:ind w:firstLine="480" w:firstLineChars="200"/>
        <w:rPr>
          <w:rFonts w:ascii="宋体" w:hAnsi="宋体" w:cs="宋体"/>
          <w:sz w:val="24"/>
          <w:highlight w:val="none"/>
        </w:rPr>
      </w:pPr>
    </w:p>
    <w:p w14:paraId="1F4726D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599D8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79E57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E2E3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7F88E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1D555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184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C0E82C1">
      <w:pPr>
        <w:widowControl w:val="0"/>
        <w:jc w:val="both"/>
        <w:rPr>
          <w:rFonts w:hint="eastAsia" w:ascii="仿宋" w:hAnsi="仿宋" w:eastAsia="仿宋" w:cs="仿宋"/>
          <w:b/>
          <w:bCs/>
          <w:sz w:val="24"/>
          <w:szCs w:val="24"/>
          <w:highlight w:val="none"/>
        </w:rPr>
      </w:pPr>
    </w:p>
    <w:p w14:paraId="1A1DDA23">
      <w:pPr>
        <w:widowControl w:val="0"/>
        <w:jc w:val="both"/>
        <w:rPr>
          <w:rFonts w:hint="eastAsia" w:ascii="仿宋" w:hAnsi="仿宋" w:eastAsia="仿宋" w:cs="仿宋"/>
          <w:color w:val="FF0000"/>
          <w:kern w:val="2"/>
          <w:sz w:val="24"/>
          <w:szCs w:val="24"/>
          <w:highlight w:val="none"/>
        </w:rPr>
      </w:pPr>
    </w:p>
    <w:p w14:paraId="722172F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6424E85">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14:paraId="771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14:paraId="1869CC1D">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14:paraId="47279ED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14:paraId="0E5DE74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14:paraId="3A1CBBE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14:paraId="2E10E70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14:paraId="0B6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1ADBB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14:paraId="4F48FF08">
            <w:pPr>
              <w:numPr>
                <w:ilvl w:val="0"/>
                <w:numId w:val="0"/>
              </w:numPr>
              <w:spacing w:line="276" w:lineRule="auto"/>
              <w:ind w:left="5" w:leftChars="0" w:hanging="5" w:firstLineChars="0"/>
              <w:jc w:val="left"/>
              <w:rPr>
                <w:rFonts w:hint="eastAsia" w:ascii="宋体" w:hAnsi="宋体" w:eastAsia="宋体" w:cs="宋体"/>
                <w:color w:val="auto"/>
                <w:kern w:val="0"/>
                <w:sz w:val="24"/>
                <w:szCs w:val="24"/>
                <w:highlight w:val="none"/>
                <w:lang w:val="en-US" w:eastAsia="zh-CN" w:bidi="ar-SA"/>
              </w:rPr>
            </w:pPr>
            <w:r>
              <w:rPr>
                <w:rFonts w:hint="eastAsia" w:eastAsia="宋体" w:cs="Times New Roman"/>
                <w:b/>
                <w:bCs/>
                <w:sz w:val="21"/>
                <w:szCs w:val="21"/>
                <w:lang w:val="en-US" w:eastAsia="zh-CN"/>
              </w:rPr>
              <w:t>★（</w:t>
            </w:r>
            <w:r>
              <w:rPr>
                <w:rFonts w:hint="eastAsia" w:cs="Times New Roman"/>
                <w:b/>
                <w:bCs/>
                <w:sz w:val="21"/>
                <w:szCs w:val="21"/>
                <w:lang w:val="en-US" w:eastAsia="zh-CN"/>
              </w:rPr>
              <w:t>三</w:t>
            </w:r>
            <w:r>
              <w:rPr>
                <w:rFonts w:hint="eastAsia" w:eastAsia="宋体" w:cs="Times New Roman"/>
                <w:b/>
                <w:bCs/>
                <w:sz w:val="21"/>
                <w:szCs w:val="21"/>
                <w:lang w:val="en-US" w:eastAsia="zh-CN"/>
              </w:rPr>
              <w:t>）配齐满足以上性能且正常使用所需要的所有配置及配件。</w:t>
            </w:r>
          </w:p>
        </w:tc>
        <w:tc>
          <w:tcPr>
            <w:tcW w:w="3081" w:type="dxa"/>
          </w:tcPr>
          <w:p w14:paraId="78CB7E59">
            <w:pPr>
              <w:adjustRightInd w:val="0"/>
              <w:snapToGrid w:val="0"/>
              <w:spacing w:line="360" w:lineRule="auto"/>
              <w:rPr>
                <w:rFonts w:ascii="宋体" w:hAnsi="宋体"/>
                <w:kern w:val="0"/>
                <w:sz w:val="24"/>
                <w:szCs w:val="24"/>
                <w:highlight w:val="none"/>
              </w:rPr>
            </w:pPr>
          </w:p>
        </w:tc>
        <w:tc>
          <w:tcPr>
            <w:tcW w:w="1431" w:type="dxa"/>
          </w:tcPr>
          <w:p w14:paraId="598EBFB9">
            <w:pPr>
              <w:adjustRightInd w:val="0"/>
              <w:snapToGrid w:val="0"/>
              <w:spacing w:line="360" w:lineRule="auto"/>
              <w:rPr>
                <w:rFonts w:ascii="宋体" w:hAnsi="宋体"/>
                <w:kern w:val="0"/>
                <w:sz w:val="24"/>
                <w:szCs w:val="24"/>
                <w:highlight w:val="none"/>
              </w:rPr>
            </w:pPr>
          </w:p>
        </w:tc>
        <w:tc>
          <w:tcPr>
            <w:tcW w:w="1160" w:type="dxa"/>
          </w:tcPr>
          <w:p w14:paraId="0DEF05D9">
            <w:pPr>
              <w:adjustRightInd w:val="0"/>
              <w:snapToGrid w:val="0"/>
              <w:spacing w:line="360" w:lineRule="auto"/>
              <w:rPr>
                <w:rFonts w:ascii="宋体" w:hAnsi="宋体"/>
                <w:kern w:val="0"/>
                <w:sz w:val="24"/>
                <w:szCs w:val="24"/>
                <w:highlight w:val="none"/>
              </w:rPr>
            </w:pPr>
          </w:p>
        </w:tc>
      </w:tr>
      <w:tr w14:paraId="31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8ECDA38">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14:paraId="1144667D">
            <w:pPr>
              <w:rPr>
                <w:rFonts w:hint="eastAsia" w:ascii="宋体" w:hAnsi="宋体" w:eastAsia="宋体" w:cs="宋体"/>
                <w:color w:val="auto"/>
                <w:kern w:val="2"/>
                <w:sz w:val="24"/>
                <w:szCs w:val="24"/>
                <w:highlight w:val="none"/>
                <w:lang w:val="en-US" w:eastAsia="zh-CN" w:bidi="ar-SA"/>
              </w:rPr>
            </w:pPr>
            <w:r>
              <w:rPr>
                <w:rFonts w:hint="eastAsia" w:ascii="宋体" w:hAnsi="宋体" w:cs="宋体"/>
                <w:b/>
                <w:bCs/>
                <w:szCs w:val="21"/>
                <w:highlight w:val="none"/>
              </w:rPr>
              <w:t>★</w:t>
            </w:r>
            <w:r>
              <w:rPr>
                <w:rFonts w:hint="eastAsia" w:ascii="宋体" w:hAnsi="宋体" w:eastAsia="宋体" w:cs="宋体"/>
                <w:b/>
                <w:bCs/>
                <w:color w:val="000000"/>
                <w:sz w:val="21"/>
                <w:szCs w:val="21"/>
              </w:rPr>
              <w:t>货物免费保修期至少</w:t>
            </w:r>
            <w:r>
              <w:rPr>
                <w:rFonts w:hint="eastAsia" w:ascii="宋体" w:hAnsi="宋体" w:eastAsia="宋体" w:cs="宋体"/>
                <w:b/>
                <w:bCs/>
                <w:color w:val="000000"/>
                <w:sz w:val="21"/>
                <w:szCs w:val="21"/>
                <w:u w:val="single"/>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eastAsia="zh-CN"/>
              </w:rPr>
              <w:t>保修期</w:t>
            </w:r>
            <w:r>
              <w:rPr>
                <w:rFonts w:hint="eastAsia" w:ascii="宋体" w:hAnsi="宋体" w:eastAsia="宋体" w:cs="宋体"/>
                <w:b/>
                <w:bCs/>
                <w:color w:val="000000"/>
                <w:sz w:val="21"/>
                <w:szCs w:val="21"/>
              </w:rPr>
              <w:t>从设备最终验收合格并交付使用之日起计算，由中标人提供产品保修文件。</w:t>
            </w:r>
          </w:p>
        </w:tc>
        <w:tc>
          <w:tcPr>
            <w:tcW w:w="3081" w:type="dxa"/>
          </w:tcPr>
          <w:p w14:paraId="4A6B202C">
            <w:pPr>
              <w:adjustRightInd w:val="0"/>
              <w:snapToGrid w:val="0"/>
              <w:spacing w:line="360" w:lineRule="auto"/>
              <w:rPr>
                <w:rFonts w:ascii="宋体" w:hAnsi="宋体"/>
                <w:kern w:val="0"/>
                <w:sz w:val="24"/>
                <w:szCs w:val="24"/>
                <w:highlight w:val="none"/>
              </w:rPr>
            </w:pPr>
          </w:p>
        </w:tc>
        <w:tc>
          <w:tcPr>
            <w:tcW w:w="1431" w:type="dxa"/>
          </w:tcPr>
          <w:p w14:paraId="0B759241">
            <w:pPr>
              <w:adjustRightInd w:val="0"/>
              <w:snapToGrid w:val="0"/>
              <w:spacing w:line="360" w:lineRule="auto"/>
              <w:rPr>
                <w:rFonts w:ascii="宋体" w:hAnsi="宋体"/>
                <w:kern w:val="0"/>
                <w:sz w:val="24"/>
                <w:szCs w:val="24"/>
                <w:highlight w:val="none"/>
              </w:rPr>
            </w:pPr>
          </w:p>
        </w:tc>
        <w:tc>
          <w:tcPr>
            <w:tcW w:w="1160" w:type="dxa"/>
          </w:tcPr>
          <w:p w14:paraId="1ABD5E9D">
            <w:pPr>
              <w:adjustRightInd w:val="0"/>
              <w:snapToGrid w:val="0"/>
              <w:spacing w:line="360" w:lineRule="auto"/>
              <w:rPr>
                <w:rFonts w:ascii="宋体" w:hAnsi="宋体"/>
                <w:kern w:val="0"/>
                <w:sz w:val="24"/>
                <w:szCs w:val="24"/>
                <w:highlight w:val="none"/>
              </w:rPr>
            </w:pPr>
          </w:p>
        </w:tc>
      </w:tr>
      <w:tr w14:paraId="41C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4D7901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14:paraId="3E5800E3">
            <w:pPr>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1"/>
                <w:szCs w:val="21"/>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.交货期：签订合同后，30（天）日历日内内交付使用。（日历日为自然天，包括双休日及法定节假日，不等同于工作日；逾期交货采购人有权按照相关规定处罚。</w:t>
            </w:r>
          </w:p>
        </w:tc>
        <w:tc>
          <w:tcPr>
            <w:tcW w:w="3081" w:type="dxa"/>
          </w:tcPr>
          <w:p w14:paraId="71C8C74C">
            <w:pPr>
              <w:adjustRightInd w:val="0"/>
              <w:snapToGrid w:val="0"/>
              <w:spacing w:line="360" w:lineRule="auto"/>
              <w:rPr>
                <w:rFonts w:ascii="宋体" w:hAnsi="宋体"/>
                <w:kern w:val="0"/>
                <w:sz w:val="24"/>
                <w:szCs w:val="24"/>
                <w:highlight w:val="none"/>
              </w:rPr>
            </w:pPr>
          </w:p>
        </w:tc>
        <w:tc>
          <w:tcPr>
            <w:tcW w:w="1431" w:type="dxa"/>
          </w:tcPr>
          <w:p w14:paraId="4DEF9E2C">
            <w:pPr>
              <w:adjustRightInd w:val="0"/>
              <w:snapToGrid w:val="0"/>
              <w:spacing w:line="360" w:lineRule="auto"/>
              <w:rPr>
                <w:rFonts w:ascii="宋体" w:hAnsi="宋体"/>
                <w:kern w:val="0"/>
                <w:sz w:val="24"/>
                <w:szCs w:val="24"/>
                <w:highlight w:val="none"/>
              </w:rPr>
            </w:pPr>
          </w:p>
        </w:tc>
        <w:tc>
          <w:tcPr>
            <w:tcW w:w="1160" w:type="dxa"/>
          </w:tcPr>
          <w:p w14:paraId="31F2D6D1">
            <w:pPr>
              <w:adjustRightInd w:val="0"/>
              <w:snapToGrid w:val="0"/>
              <w:spacing w:line="360" w:lineRule="auto"/>
              <w:rPr>
                <w:rFonts w:ascii="宋体" w:hAnsi="宋体"/>
                <w:kern w:val="0"/>
                <w:sz w:val="24"/>
                <w:szCs w:val="24"/>
                <w:highlight w:val="none"/>
              </w:rPr>
            </w:pPr>
          </w:p>
        </w:tc>
      </w:tr>
      <w:tr w14:paraId="6B5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C57413">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14:paraId="10616541">
            <w:pP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1"/>
                <w:szCs w:val="21"/>
              </w:rPr>
              <w:t>★</w:t>
            </w:r>
            <w:r>
              <w:rPr>
                <w:rFonts w:hint="eastAsia" w:ascii="宋体" w:hAnsi="宋体" w:cs="宋体"/>
                <w:b/>
                <w:bCs/>
                <w:color w:val="auto"/>
                <w:szCs w:val="21"/>
                <w:lang w:val="en-US" w:eastAsia="zh-CN"/>
              </w:rPr>
              <w:t>项目团队</w:t>
            </w:r>
            <w:r>
              <w:rPr>
                <w:rFonts w:hint="eastAsia" w:ascii="宋体" w:hAnsi="宋体" w:eastAsia="宋体" w:cs="宋体"/>
                <w:b/>
                <w:bCs/>
                <w:color w:val="auto"/>
                <w:sz w:val="21"/>
                <w:szCs w:val="21"/>
                <w:highlight w:val="none"/>
              </w:rPr>
              <w:t>技术人员具</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中华人民共和国特种作业操作证书（操作项目：低压电工作业）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中华人民共和国特种作业操作证书（操作项目：制冷与空调设备安装修理作业）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w:t>
            </w:r>
            <w:r>
              <w:rPr>
                <w:rFonts w:hint="eastAsia" w:ascii="宋体" w:hAnsi="宋体" w:eastAsia="宋体" w:cs="宋体"/>
                <w:b/>
                <w:bCs/>
                <w:color w:val="auto"/>
                <w:sz w:val="21"/>
                <w:szCs w:val="21"/>
                <w:highlight w:val="none"/>
                <w:lang w:val="en-US" w:eastAsia="zh-CN"/>
              </w:rPr>
              <w:t>焊</w:t>
            </w:r>
            <w:r>
              <w:rPr>
                <w:rFonts w:hint="eastAsia" w:ascii="宋体" w:hAnsi="宋体" w:cs="宋体"/>
                <w:b/>
                <w:bCs/>
                <w:color w:val="auto"/>
                <w:sz w:val="21"/>
                <w:szCs w:val="21"/>
                <w:highlight w:val="none"/>
                <w:lang w:val="en-US" w:eastAsia="zh-CN"/>
              </w:rPr>
              <w:t>接与热切割</w:t>
            </w:r>
            <w:r>
              <w:rPr>
                <w:rFonts w:hint="eastAsia" w:ascii="宋体" w:hAnsi="宋体" w:eastAsia="宋体" w:cs="宋体"/>
                <w:b/>
                <w:bCs/>
                <w:color w:val="auto"/>
                <w:sz w:val="21"/>
                <w:szCs w:val="21"/>
                <w:highlight w:val="none"/>
              </w:rPr>
              <w:t>作业</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c>
          <w:tcPr>
            <w:tcW w:w="3081" w:type="dxa"/>
          </w:tcPr>
          <w:p w14:paraId="22CBF872">
            <w:pPr>
              <w:adjustRightInd w:val="0"/>
              <w:snapToGrid w:val="0"/>
              <w:spacing w:line="360" w:lineRule="auto"/>
              <w:rPr>
                <w:rFonts w:ascii="宋体" w:hAnsi="宋体"/>
                <w:kern w:val="0"/>
                <w:sz w:val="24"/>
                <w:szCs w:val="24"/>
                <w:highlight w:val="none"/>
              </w:rPr>
            </w:pPr>
          </w:p>
        </w:tc>
        <w:tc>
          <w:tcPr>
            <w:tcW w:w="1431" w:type="dxa"/>
          </w:tcPr>
          <w:p w14:paraId="0E20E8AD">
            <w:pPr>
              <w:adjustRightInd w:val="0"/>
              <w:snapToGrid w:val="0"/>
              <w:spacing w:line="360" w:lineRule="auto"/>
              <w:rPr>
                <w:rFonts w:ascii="宋体" w:hAnsi="宋体"/>
                <w:kern w:val="0"/>
                <w:sz w:val="24"/>
                <w:szCs w:val="24"/>
                <w:highlight w:val="none"/>
              </w:rPr>
            </w:pPr>
          </w:p>
        </w:tc>
        <w:tc>
          <w:tcPr>
            <w:tcW w:w="1160" w:type="dxa"/>
          </w:tcPr>
          <w:p w14:paraId="43DFEF9F">
            <w:pPr>
              <w:adjustRightInd w:val="0"/>
              <w:snapToGrid w:val="0"/>
              <w:spacing w:line="360" w:lineRule="auto"/>
              <w:rPr>
                <w:rFonts w:ascii="宋体" w:hAnsi="宋体"/>
                <w:kern w:val="0"/>
                <w:sz w:val="24"/>
                <w:szCs w:val="24"/>
                <w:highlight w:val="none"/>
              </w:rPr>
            </w:pPr>
          </w:p>
        </w:tc>
      </w:tr>
      <w:tr w14:paraId="45B7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B4E75E3">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974" w:type="dxa"/>
            <w:shd w:val="clear" w:color="auto" w:fill="auto"/>
            <w:vAlign w:val="top"/>
          </w:tcPr>
          <w:p w14:paraId="4B6313E7">
            <w:pPr>
              <w:rPr>
                <w:rFonts w:hint="eastAsia" w:ascii="宋体" w:hAnsi="宋体" w:eastAsia="宋体" w:cs="宋体"/>
                <w:b/>
                <w:bCs/>
                <w:color w:val="auto"/>
                <w:sz w:val="21"/>
                <w:szCs w:val="21"/>
              </w:rPr>
            </w:pPr>
            <w:r>
              <w:rPr>
                <w:rFonts w:hint="eastAsia" w:ascii="仿宋" w:hAnsi="仿宋" w:eastAsia="仿宋" w:cs="仿宋"/>
                <w:b/>
                <w:bCs/>
                <w:color w:val="000000"/>
                <w:kern w:val="0"/>
                <w:sz w:val="24"/>
                <w:szCs w:val="24"/>
                <w:highlight w:val="none"/>
                <w:lang w:val="en-US" w:eastAsia="zh-CN"/>
              </w:rPr>
              <w:t>★</w:t>
            </w:r>
            <w:r>
              <w:rPr>
                <w:rFonts w:hint="eastAsia" w:ascii="宋体" w:hAnsi="宋体" w:eastAsia="宋体" w:cs="宋体"/>
                <w:b/>
                <w:bCs/>
                <w:color w:val="auto"/>
                <w:kern w:val="0"/>
                <w:sz w:val="21"/>
                <w:szCs w:val="21"/>
                <w:lang w:val="en-US" w:eastAsia="zh-CN" w:bidi="ar-SA"/>
              </w:rPr>
              <w:t>3.组合冷库用隔热夹芯板，阻燃等级≥B1级；厚度≥100mm。参数要求：（1）燃烧增长</w:t>
            </w:r>
            <w:r>
              <w:rPr>
                <w:rFonts w:hint="eastAsia" w:ascii="宋体" w:hAnsi="宋体" w:cs="宋体"/>
                <w:b/>
                <w:bCs/>
                <w:color w:val="auto"/>
                <w:kern w:val="0"/>
                <w:sz w:val="21"/>
                <w:szCs w:val="21"/>
                <w:lang w:val="en-US" w:eastAsia="zh-CN" w:bidi="ar-SA"/>
              </w:rPr>
              <w:t>速</w:t>
            </w:r>
            <w:r>
              <w:rPr>
                <w:rFonts w:hint="eastAsia" w:ascii="宋体" w:hAnsi="宋体" w:eastAsia="宋体" w:cs="宋体"/>
                <w:b/>
                <w:bCs/>
                <w:color w:val="auto"/>
                <w:kern w:val="0"/>
                <w:sz w:val="21"/>
                <w:szCs w:val="21"/>
                <w:lang w:val="en-US" w:eastAsia="zh-CN" w:bidi="ar-SA"/>
              </w:rPr>
              <w:t>率指数FIGRA</w:t>
            </w:r>
            <w:r>
              <w:rPr>
                <w:rFonts w:hint="eastAsia" w:ascii="宋体" w:hAnsi="宋体" w:eastAsia="宋体" w:cs="宋体"/>
                <w:b/>
                <w:bCs/>
                <w:color w:val="auto"/>
                <w:kern w:val="0"/>
                <w:sz w:val="21"/>
                <w:szCs w:val="21"/>
                <w:vertAlign w:val="subscript"/>
                <w:lang w:val="en-US" w:eastAsia="zh-CN" w:bidi="ar-SA"/>
              </w:rPr>
              <w:t>0.2MJ</w:t>
            </w:r>
            <w:r>
              <w:rPr>
                <w:rFonts w:hint="eastAsia" w:ascii="宋体" w:hAnsi="宋体" w:eastAsia="宋体" w:cs="宋体"/>
                <w:b/>
                <w:bCs/>
                <w:color w:val="auto"/>
                <w:kern w:val="0"/>
                <w:sz w:val="21"/>
                <w:szCs w:val="21"/>
                <w:lang w:val="en-US" w:eastAsia="zh-CN" w:bidi="ar-SA"/>
              </w:rPr>
              <w:t>≤120</w:t>
            </w:r>
            <w:r>
              <w:rPr>
                <w:rFonts w:hint="eastAsia" w:ascii="宋体" w:hAnsi="宋体" w:cs="宋体"/>
                <w:b/>
                <w:bCs/>
                <w:color w:val="auto"/>
                <w:kern w:val="0"/>
                <w:sz w:val="21"/>
                <w:szCs w:val="21"/>
                <w:lang w:val="en-US" w:eastAsia="zh-CN" w:bidi="ar-SA"/>
              </w:rPr>
              <w:t>W</w:t>
            </w:r>
            <w:r>
              <w:rPr>
                <w:rFonts w:hint="eastAsia" w:ascii="宋体" w:hAnsi="宋体" w:eastAsia="宋体" w:cs="宋体"/>
                <w:b/>
                <w:bCs/>
                <w:color w:val="auto"/>
                <w:kern w:val="0"/>
                <w:sz w:val="21"/>
                <w:szCs w:val="21"/>
                <w:lang w:val="en-US" w:eastAsia="zh-CN" w:bidi="ar-SA"/>
              </w:rPr>
              <w:t>/s；（2）600</w:t>
            </w:r>
            <w:r>
              <w:rPr>
                <w:rFonts w:hint="default" w:ascii="宋体" w:hAnsi="宋体" w:eastAsia="宋体" w:cs="宋体"/>
                <w:b/>
                <w:bCs/>
                <w:color w:val="auto"/>
                <w:kern w:val="0"/>
                <w:sz w:val="21"/>
                <w:szCs w:val="21"/>
                <w:lang w:val="en-US" w:eastAsia="zh-CN" w:bidi="ar-SA"/>
              </w:rPr>
              <w:t>s</w:t>
            </w:r>
            <w:r>
              <w:rPr>
                <w:rFonts w:hint="eastAsia" w:ascii="宋体" w:hAnsi="宋体" w:eastAsia="宋体" w:cs="宋体"/>
                <w:b/>
                <w:bCs/>
                <w:color w:val="auto"/>
                <w:kern w:val="0"/>
                <w:sz w:val="21"/>
                <w:szCs w:val="21"/>
                <w:lang w:val="en-US" w:eastAsia="zh-CN" w:bidi="ar-SA"/>
              </w:rPr>
              <w:t>总放热量THR</w:t>
            </w:r>
            <w:r>
              <w:rPr>
                <w:rFonts w:hint="eastAsia" w:ascii="宋体" w:hAnsi="宋体" w:eastAsia="宋体" w:cs="宋体"/>
                <w:b/>
                <w:bCs/>
                <w:color w:val="auto"/>
                <w:kern w:val="0"/>
                <w:sz w:val="21"/>
                <w:szCs w:val="21"/>
                <w:vertAlign w:val="subscript"/>
                <w:lang w:val="en-US" w:eastAsia="zh-CN" w:bidi="ar-SA"/>
              </w:rPr>
              <w:t>600S</w:t>
            </w:r>
            <w:r>
              <w:rPr>
                <w:rFonts w:hint="eastAsia" w:ascii="宋体" w:hAnsi="宋体" w:eastAsia="宋体" w:cs="宋体"/>
                <w:b/>
                <w:bCs/>
                <w:color w:val="auto"/>
                <w:kern w:val="0"/>
                <w:sz w:val="21"/>
                <w:szCs w:val="21"/>
                <w:lang w:val="en-US" w:eastAsia="zh-CN" w:bidi="ar-SA"/>
              </w:rPr>
              <w:t>≤7.5MJ；（3）火焰横向蔓延未达到试样长翼边缘；（</w:t>
            </w:r>
            <w:r>
              <w:rPr>
                <w:rFonts w:hint="eastAsia" w:ascii="宋体" w:hAnsi="宋体" w:cs="宋体"/>
                <w:b/>
                <w:bCs/>
                <w:color w:val="auto"/>
                <w:kern w:val="0"/>
                <w:sz w:val="21"/>
                <w:szCs w:val="21"/>
                <w:lang w:val="en-US" w:eastAsia="zh-CN" w:bidi="ar-SA"/>
              </w:rPr>
              <w:t>4</w:t>
            </w:r>
            <w:r>
              <w:rPr>
                <w:rFonts w:hint="eastAsia" w:ascii="宋体" w:hAnsi="宋体" w:eastAsia="宋体" w:cs="宋体"/>
                <w:b/>
                <w:bCs/>
                <w:color w:val="auto"/>
                <w:kern w:val="0"/>
                <w:sz w:val="21"/>
                <w:szCs w:val="21"/>
                <w:lang w:val="en-US" w:eastAsia="zh-CN" w:bidi="ar-SA"/>
              </w:rPr>
              <w:t>）</w:t>
            </w:r>
            <w:r>
              <w:rPr>
                <w:rFonts w:hint="default" w:ascii="宋体" w:hAnsi="宋体" w:eastAsia="宋体" w:cs="宋体"/>
                <w:b/>
                <w:bCs/>
                <w:color w:val="auto"/>
                <w:kern w:val="0"/>
                <w:sz w:val="21"/>
                <w:szCs w:val="21"/>
                <w:lang w:val="en-US" w:eastAsia="zh-CN" w:bidi="ar-SA"/>
              </w:rPr>
              <w:t>60s内焰尖高度Fs</w:t>
            </w:r>
            <w:r>
              <w:rPr>
                <w:rFonts w:hint="eastAsia" w:ascii="宋体" w:hAnsi="宋体" w:eastAsia="宋体" w:cs="宋体"/>
                <w:b/>
                <w:bCs/>
                <w:color w:val="auto"/>
                <w:kern w:val="0"/>
                <w:sz w:val="21"/>
                <w:szCs w:val="21"/>
                <w:lang w:val="en-US" w:eastAsia="zh-CN" w:bidi="ar-SA"/>
              </w:rPr>
              <w:t>≤150mm；（</w:t>
            </w:r>
            <w:r>
              <w:rPr>
                <w:rFonts w:hint="eastAsia" w:ascii="宋体" w:hAnsi="宋体" w:cs="宋体"/>
                <w:b/>
                <w:bCs/>
                <w:color w:val="auto"/>
                <w:kern w:val="0"/>
                <w:sz w:val="21"/>
                <w:szCs w:val="21"/>
                <w:lang w:val="en-US" w:eastAsia="zh-CN" w:bidi="ar-SA"/>
              </w:rPr>
              <w:t>5</w:t>
            </w:r>
            <w:r>
              <w:rPr>
                <w:rFonts w:hint="eastAsia" w:ascii="宋体" w:hAnsi="宋体" w:eastAsia="宋体" w:cs="宋体"/>
                <w:b/>
                <w:bCs/>
                <w:color w:val="auto"/>
                <w:kern w:val="0"/>
                <w:sz w:val="21"/>
                <w:szCs w:val="21"/>
                <w:lang w:val="en-US" w:eastAsia="zh-CN" w:bidi="ar-SA"/>
              </w:rPr>
              <w:t>）</w:t>
            </w:r>
            <w:r>
              <w:rPr>
                <w:rFonts w:hint="default" w:ascii="宋体" w:hAnsi="宋体" w:eastAsia="宋体" w:cs="宋体"/>
                <w:b/>
                <w:bCs/>
                <w:color w:val="auto"/>
                <w:kern w:val="0"/>
                <w:sz w:val="21"/>
                <w:szCs w:val="21"/>
                <w:lang w:val="en-US" w:eastAsia="zh-CN" w:bidi="ar-SA"/>
              </w:rPr>
              <w:t>60s</w:t>
            </w:r>
            <w:r>
              <w:rPr>
                <w:rFonts w:hint="eastAsia" w:ascii="宋体" w:hAnsi="宋体" w:cs="宋体"/>
                <w:b/>
                <w:bCs/>
                <w:color w:val="auto"/>
                <w:kern w:val="0"/>
                <w:sz w:val="21"/>
                <w:szCs w:val="21"/>
                <w:lang w:val="en-US" w:eastAsia="zh-CN" w:bidi="ar-SA"/>
              </w:rPr>
              <w:t>内</w:t>
            </w:r>
            <w:r>
              <w:rPr>
                <w:rFonts w:hint="eastAsia" w:ascii="宋体" w:hAnsi="宋体" w:eastAsia="宋体" w:cs="宋体"/>
                <w:b/>
                <w:bCs/>
                <w:color w:val="auto"/>
                <w:kern w:val="0"/>
                <w:sz w:val="21"/>
                <w:szCs w:val="21"/>
                <w:lang w:val="en-US" w:eastAsia="zh-CN" w:bidi="ar-SA"/>
              </w:rPr>
              <w:t>无燃烧滴落物引燃滤纸现象；（</w:t>
            </w:r>
            <w:r>
              <w:rPr>
                <w:rFonts w:hint="eastAsia" w:ascii="宋体" w:hAnsi="宋体" w:cs="宋体"/>
                <w:b/>
                <w:bCs/>
                <w:color w:val="auto"/>
                <w:kern w:val="0"/>
                <w:sz w:val="21"/>
                <w:szCs w:val="21"/>
                <w:lang w:val="en-US" w:eastAsia="zh-CN" w:bidi="ar-SA"/>
              </w:rPr>
              <w:t>6</w:t>
            </w:r>
            <w:r>
              <w:rPr>
                <w:rFonts w:hint="eastAsia" w:ascii="宋体" w:hAnsi="宋体" w:eastAsia="宋体" w:cs="宋体"/>
                <w:b/>
                <w:bCs/>
                <w:color w:val="auto"/>
                <w:kern w:val="0"/>
                <w:sz w:val="21"/>
                <w:szCs w:val="21"/>
                <w:lang w:val="en-US" w:eastAsia="zh-CN" w:bidi="ar-SA"/>
              </w:rPr>
              <w:t>）氧指数≥30%。</w:t>
            </w:r>
          </w:p>
        </w:tc>
        <w:tc>
          <w:tcPr>
            <w:tcW w:w="3081" w:type="dxa"/>
          </w:tcPr>
          <w:p w14:paraId="7719B502">
            <w:pPr>
              <w:adjustRightInd w:val="0"/>
              <w:snapToGrid w:val="0"/>
              <w:spacing w:line="360" w:lineRule="auto"/>
              <w:rPr>
                <w:rFonts w:ascii="宋体" w:hAnsi="宋体"/>
                <w:kern w:val="0"/>
                <w:sz w:val="24"/>
                <w:szCs w:val="24"/>
                <w:highlight w:val="none"/>
              </w:rPr>
            </w:pPr>
          </w:p>
        </w:tc>
        <w:tc>
          <w:tcPr>
            <w:tcW w:w="1431" w:type="dxa"/>
          </w:tcPr>
          <w:p w14:paraId="6271FE45">
            <w:pPr>
              <w:adjustRightInd w:val="0"/>
              <w:snapToGrid w:val="0"/>
              <w:spacing w:line="360" w:lineRule="auto"/>
              <w:rPr>
                <w:rFonts w:ascii="宋体" w:hAnsi="宋体"/>
                <w:kern w:val="0"/>
                <w:sz w:val="24"/>
                <w:szCs w:val="24"/>
                <w:highlight w:val="none"/>
              </w:rPr>
            </w:pPr>
          </w:p>
        </w:tc>
        <w:tc>
          <w:tcPr>
            <w:tcW w:w="1160" w:type="dxa"/>
          </w:tcPr>
          <w:p w14:paraId="0BBAC845">
            <w:pPr>
              <w:adjustRightInd w:val="0"/>
              <w:snapToGrid w:val="0"/>
              <w:spacing w:line="360" w:lineRule="auto"/>
              <w:rPr>
                <w:rFonts w:ascii="宋体" w:hAnsi="宋体"/>
                <w:kern w:val="0"/>
                <w:sz w:val="24"/>
                <w:szCs w:val="24"/>
                <w:highlight w:val="none"/>
              </w:rPr>
            </w:pPr>
          </w:p>
        </w:tc>
      </w:tr>
    </w:tbl>
    <w:p w14:paraId="56EB69C2">
      <w:pPr>
        <w:numPr>
          <w:ilvl w:val="0"/>
          <w:numId w:val="0"/>
        </w:numPr>
        <w:jc w:val="both"/>
        <w:rPr>
          <w:rFonts w:hint="eastAsia" w:ascii="仿宋" w:hAnsi="仿宋" w:eastAsia="仿宋" w:cs="仿宋"/>
          <w:b/>
          <w:sz w:val="24"/>
          <w:highlight w:val="none"/>
          <w:lang w:val="en-US" w:eastAsia="zh-CN"/>
        </w:rPr>
      </w:pPr>
    </w:p>
    <w:p w14:paraId="57A6595A">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364CD4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32D22532">
      <w:pPr>
        <w:numPr>
          <w:ilvl w:val="0"/>
          <w:numId w:val="0"/>
        </w:numPr>
        <w:ind w:leftChars="0"/>
        <w:jc w:val="both"/>
        <w:rPr>
          <w:rFonts w:hint="eastAsia" w:ascii="仿宋" w:hAnsi="仿宋" w:eastAsia="仿宋" w:cs="仿宋"/>
          <w:b/>
          <w:sz w:val="24"/>
          <w:highlight w:val="none"/>
          <w:lang w:val="en-US" w:eastAsia="zh-CN"/>
        </w:rPr>
      </w:pPr>
    </w:p>
    <w:p w14:paraId="0A39F402">
      <w:pPr>
        <w:numPr>
          <w:ilvl w:val="0"/>
          <w:numId w:val="0"/>
        </w:numPr>
        <w:ind w:leftChars="0"/>
        <w:jc w:val="both"/>
        <w:rPr>
          <w:rFonts w:hint="eastAsia" w:ascii="仿宋" w:hAnsi="仿宋" w:eastAsia="仿宋" w:cs="仿宋"/>
          <w:b/>
          <w:sz w:val="24"/>
          <w:highlight w:val="none"/>
          <w:lang w:val="en-US" w:eastAsia="zh-CN"/>
        </w:rPr>
      </w:pPr>
    </w:p>
    <w:p w14:paraId="6B9C0B6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F568FAD">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745"/>
        <w:gridCol w:w="3707"/>
        <w:gridCol w:w="1350"/>
        <w:gridCol w:w="1191"/>
        <w:gridCol w:w="1011"/>
      </w:tblGrid>
      <w:tr w14:paraId="1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Align w:val="center"/>
          </w:tcPr>
          <w:p w14:paraId="38F9214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7" w:type="pct"/>
            <w:vAlign w:val="center"/>
          </w:tcPr>
          <w:p w14:paraId="0DF790CF">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2175" w:type="pct"/>
            <w:vAlign w:val="center"/>
          </w:tcPr>
          <w:p w14:paraId="2C07C1C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792" w:type="pct"/>
            <w:vAlign w:val="center"/>
          </w:tcPr>
          <w:p w14:paraId="7D03B58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14:paraId="4EB910B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93" w:type="pct"/>
            <w:vAlign w:val="center"/>
          </w:tcPr>
          <w:p w14:paraId="25E3B1B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706C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restart"/>
            <w:vAlign w:val="center"/>
          </w:tcPr>
          <w:p w14:paraId="0AD68D3F">
            <w:pPr>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w:t>
            </w:r>
          </w:p>
        </w:tc>
        <w:tc>
          <w:tcPr>
            <w:tcW w:w="437" w:type="pct"/>
            <w:vMerge w:val="restart"/>
            <w:vAlign w:val="center"/>
          </w:tcPr>
          <w:p w14:paraId="75A8A4F7">
            <w:pPr>
              <w:jc w:val="center"/>
              <w:rPr>
                <w:rFonts w:hint="eastAsia" w:ascii="仿宋" w:hAnsi="仿宋" w:eastAsia="仿宋" w:cs="仿宋"/>
                <w:b/>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后补式冷库</w:t>
            </w:r>
          </w:p>
        </w:tc>
        <w:tc>
          <w:tcPr>
            <w:tcW w:w="2175" w:type="pct"/>
            <w:shd w:val="clear" w:color="auto" w:fill="auto"/>
            <w:vAlign w:val="center"/>
          </w:tcPr>
          <w:p w14:paraId="2FDEA19D">
            <w:pPr>
              <w:widowControl/>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▲1.冷库的设计、建设应符合《疫苗流通和预防接种管理条例》、《疫苗储存和运输管理规范》《冷库设计规范》等规范。要求规划建设后备式疫苗冷藏库，</w:t>
            </w:r>
            <w:r>
              <w:rPr>
                <w:rFonts w:hint="eastAsia" w:ascii="宋体" w:hAnsi="宋体" w:cs="宋体"/>
                <w:color w:val="000000"/>
                <w:sz w:val="21"/>
                <w:szCs w:val="21"/>
                <w:lang w:val="en-US" w:eastAsia="zh-CN"/>
              </w:rPr>
              <w:t>保障</w:t>
            </w:r>
            <w:r>
              <w:rPr>
                <w:rFonts w:hint="eastAsia" w:ascii="宋体" w:hAnsi="宋体" w:eastAsia="宋体" w:cs="宋体"/>
                <w:color w:val="000000"/>
                <w:sz w:val="21"/>
                <w:szCs w:val="21"/>
              </w:rPr>
              <w:t>疫苗安全存储</w:t>
            </w:r>
            <w:r>
              <w:rPr>
                <w:rFonts w:hint="eastAsia" w:ascii="宋体" w:hAnsi="宋体" w:cs="宋体"/>
                <w:color w:val="000000"/>
                <w:sz w:val="21"/>
                <w:szCs w:val="21"/>
                <w:lang w:eastAsia="zh-CN"/>
              </w:rPr>
              <w:t>，</w:t>
            </w:r>
            <w:r>
              <w:rPr>
                <w:rFonts w:hint="eastAsia" w:ascii="宋体" w:hAnsi="宋体" w:eastAsia="宋体" w:cs="宋体"/>
                <w:color w:val="000000"/>
                <w:sz w:val="21"/>
                <w:szCs w:val="21"/>
              </w:rPr>
              <w:t>规格：冷库</w:t>
            </w:r>
            <w:r>
              <w:rPr>
                <w:rFonts w:hint="eastAsia" w:ascii="宋体" w:hAnsi="宋体" w:eastAsia="宋体" w:cs="宋体"/>
                <w:color w:val="000000"/>
                <w:sz w:val="21"/>
                <w:szCs w:val="21"/>
                <w:lang w:val="en-US" w:eastAsia="zh-CN"/>
              </w:rPr>
              <w:t>容</w:t>
            </w:r>
            <w:r>
              <w:rPr>
                <w:rFonts w:hint="eastAsia" w:ascii="宋体" w:hAnsi="宋体" w:eastAsia="宋体" w:cs="宋体"/>
                <w:color w:val="000000"/>
                <w:sz w:val="21"/>
                <w:szCs w:val="21"/>
              </w:rPr>
              <w:t>积约≥15m³（按实际测量结果定制）。根据现场土建结构的实际情况，冷库要做到建筑空间利用最大化，冷库尽量要做到贴土建墙和土建梁安装。</w:t>
            </w:r>
          </w:p>
        </w:tc>
        <w:tc>
          <w:tcPr>
            <w:tcW w:w="792" w:type="pct"/>
            <w:vAlign w:val="center"/>
          </w:tcPr>
          <w:p w14:paraId="16060B6D">
            <w:pPr>
              <w:jc w:val="center"/>
              <w:rPr>
                <w:rFonts w:hint="eastAsia" w:ascii="仿宋" w:hAnsi="仿宋" w:eastAsia="仿宋" w:cs="仿宋"/>
                <w:b/>
                <w:sz w:val="24"/>
                <w:szCs w:val="24"/>
                <w:highlight w:val="none"/>
              </w:rPr>
            </w:pPr>
          </w:p>
        </w:tc>
        <w:tc>
          <w:tcPr>
            <w:tcW w:w="699" w:type="pct"/>
            <w:vAlign w:val="center"/>
          </w:tcPr>
          <w:p w14:paraId="3E03EB97">
            <w:pPr>
              <w:jc w:val="center"/>
              <w:rPr>
                <w:rFonts w:hint="eastAsia" w:ascii="仿宋" w:hAnsi="仿宋" w:eastAsia="仿宋" w:cs="仿宋"/>
                <w:b/>
                <w:sz w:val="24"/>
                <w:szCs w:val="24"/>
                <w:highlight w:val="none"/>
              </w:rPr>
            </w:pPr>
          </w:p>
        </w:tc>
        <w:tc>
          <w:tcPr>
            <w:tcW w:w="593" w:type="pct"/>
            <w:vAlign w:val="center"/>
          </w:tcPr>
          <w:p w14:paraId="5C10375A">
            <w:pPr>
              <w:jc w:val="center"/>
              <w:rPr>
                <w:rFonts w:hint="eastAsia" w:ascii="仿宋" w:hAnsi="仿宋" w:eastAsia="仿宋" w:cs="仿宋"/>
                <w:b/>
                <w:sz w:val="24"/>
                <w:szCs w:val="24"/>
                <w:highlight w:val="none"/>
              </w:rPr>
            </w:pPr>
          </w:p>
        </w:tc>
      </w:tr>
      <w:tr w14:paraId="338A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5E4E9EFB">
            <w:pPr>
              <w:jc w:val="center"/>
              <w:rPr>
                <w:rFonts w:hint="eastAsia" w:ascii="仿宋" w:hAnsi="仿宋" w:eastAsia="仿宋" w:cs="仿宋"/>
                <w:b/>
                <w:sz w:val="24"/>
                <w:szCs w:val="24"/>
                <w:highlight w:val="none"/>
              </w:rPr>
            </w:pPr>
          </w:p>
        </w:tc>
        <w:tc>
          <w:tcPr>
            <w:tcW w:w="437" w:type="pct"/>
            <w:vMerge w:val="continue"/>
            <w:vAlign w:val="center"/>
          </w:tcPr>
          <w:p w14:paraId="5EE3D2AB">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4ACE8B70">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2.本项目所提交的系统应是通电即可使用的系统。其中包括招标文件中明确描述的以及有效完成系统功能所需的所有设备和服务。</w:t>
            </w:r>
          </w:p>
        </w:tc>
        <w:tc>
          <w:tcPr>
            <w:tcW w:w="792" w:type="pct"/>
            <w:vAlign w:val="center"/>
          </w:tcPr>
          <w:p w14:paraId="067AE2E7">
            <w:pPr>
              <w:jc w:val="center"/>
              <w:rPr>
                <w:rFonts w:hint="eastAsia" w:ascii="仿宋" w:hAnsi="仿宋" w:eastAsia="仿宋" w:cs="仿宋"/>
                <w:b/>
                <w:sz w:val="24"/>
                <w:szCs w:val="24"/>
                <w:highlight w:val="none"/>
              </w:rPr>
            </w:pPr>
          </w:p>
        </w:tc>
        <w:tc>
          <w:tcPr>
            <w:tcW w:w="699" w:type="pct"/>
            <w:vAlign w:val="center"/>
          </w:tcPr>
          <w:p w14:paraId="654F3014">
            <w:pPr>
              <w:jc w:val="center"/>
              <w:rPr>
                <w:rFonts w:hint="eastAsia" w:ascii="仿宋" w:hAnsi="仿宋" w:eastAsia="仿宋" w:cs="仿宋"/>
                <w:b/>
                <w:sz w:val="24"/>
                <w:szCs w:val="24"/>
                <w:highlight w:val="none"/>
              </w:rPr>
            </w:pPr>
          </w:p>
        </w:tc>
        <w:tc>
          <w:tcPr>
            <w:tcW w:w="593" w:type="pct"/>
            <w:vAlign w:val="center"/>
          </w:tcPr>
          <w:p w14:paraId="09B269F9">
            <w:pPr>
              <w:jc w:val="center"/>
              <w:rPr>
                <w:rFonts w:hint="eastAsia" w:ascii="仿宋" w:hAnsi="仿宋" w:eastAsia="仿宋" w:cs="仿宋"/>
                <w:b/>
                <w:sz w:val="24"/>
                <w:szCs w:val="24"/>
                <w:highlight w:val="none"/>
              </w:rPr>
            </w:pPr>
          </w:p>
        </w:tc>
      </w:tr>
      <w:tr w14:paraId="38DC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3EA72167">
            <w:pPr>
              <w:jc w:val="center"/>
              <w:rPr>
                <w:rFonts w:hint="eastAsia" w:ascii="仿宋" w:hAnsi="仿宋" w:eastAsia="仿宋" w:cs="仿宋"/>
                <w:b/>
                <w:sz w:val="24"/>
                <w:szCs w:val="24"/>
                <w:highlight w:val="none"/>
              </w:rPr>
            </w:pPr>
          </w:p>
        </w:tc>
        <w:tc>
          <w:tcPr>
            <w:tcW w:w="437" w:type="pct"/>
            <w:vMerge w:val="continue"/>
            <w:vAlign w:val="center"/>
          </w:tcPr>
          <w:p w14:paraId="642756A6">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03E37A4A">
            <w:pPr>
              <w:widowControl/>
              <w:spacing w:after="0" w:line="300" w:lineRule="exact"/>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库体其它：</w:t>
            </w:r>
            <w:r>
              <w:rPr>
                <w:rFonts w:hint="eastAsia" w:ascii="宋体" w:hAnsi="宋体" w:eastAsia="宋体" w:cs="宋体"/>
                <w:i w:val="0"/>
                <w:iCs w:val="0"/>
                <w:color w:val="000000"/>
                <w:kern w:val="0"/>
                <w:sz w:val="21"/>
                <w:szCs w:val="21"/>
                <w:u w:val="none"/>
                <w:lang w:val="en-US" w:eastAsia="zh-CN" w:bidi="ar"/>
              </w:rPr>
              <w:t>①冷库手拉门（单开）：700*1800*100mm, 双面彩钢板，带锁；②中空玻璃门：600*1610mm,含装饰边框，真空玻璃带加热丝防凝露；③隔板货架：固定孔位，层高可调，</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7层隔板；④电磁密码锁：密码和刷卡两种方式开门，配卡</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电磁锁</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密码键盘；⑤地面防滑不锈钢板：</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2.0mm厚；玻璃胶粘贴，定制铝合金压条收口</w:t>
            </w:r>
            <w:r>
              <w:rPr>
                <w:rFonts w:hint="eastAsia" w:ascii="宋体" w:hAnsi="宋体" w:eastAsia="宋体" w:cs="宋体"/>
                <w:color w:val="000000"/>
                <w:kern w:val="0"/>
                <w:sz w:val="21"/>
                <w:szCs w:val="21"/>
              </w:rPr>
              <w:t>。</w:t>
            </w:r>
          </w:p>
        </w:tc>
        <w:tc>
          <w:tcPr>
            <w:tcW w:w="792" w:type="pct"/>
            <w:vAlign w:val="center"/>
          </w:tcPr>
          <w:p w14:paraId="50902B49">
            <w:pPr>
              <w:jc w:val="center"/>
              <w:rPr>
                <w:rFonts w:hint="eastAsia" w:ascii="仿宋" w:hAnsi="仿宋" w:eastAsia="仿宋" w:cs="仿宋"/>
                <w:b/>
                <w:sz w:val="24"/>
                <w:szCs w:val="24"/>
                <w:highlight w:val="none"/>
              </w:rPr>
            </w:pPr>
          </w:p>
        </w:tc>
        <w:tc>
          <w:tcPr>
            <w:tcW w:w="699" w:type="pct"/>
            <w:vAlign w:val="center"/>
          </w:tcPr>
          <w:p w14:paraId="2FD692BF">
            <w:pPr>
              <w:jc w:val="center"/>
              <w:rPr>
                <w:rFonts w:hint="eastAsia" w:ascii="仿宋" w:hAnsi="仿宋" w:eastAsia="仿宋" w:cs="仿宋"/>
                <w:b/>
                <w:sz w:val="24"/>
                <w:szCs w:val="24"/>
                <w:highlight w:val="none"/>
              </w:rPr>
            </w:pPr>
          </w:p>
        </w:tc>
        <w:tc>
          <w:tcPr>
            <w:tcW w:w="593" w:type="pct"/>
            <w:vAlign w:val="center"/>
          </w:tcPr>
          <w:p w14:paraId="5CFCC376">
            <w:pPr>
              <w:jc w:val="center"/>
              <w:rPr>
                <w:rFonts w:hint="eastAsia" w:ascii="仿宋" w:hAnsi="仿宋" w:eastAsia="仿宋" w:cs="仿宋"/>
                <w:b/>
                <w:sz w:val="24"/>
                <w:szCs w:val="24"/>
                <w:highlight w:val="none"/>
              </w:rPr>
            </w:pPr>
          </w:p>
        </w:tc>
      </w:tr>
      <w:tr w14:paraId="6D74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0027E107">
            <w:pPr>
              <w:jc w:val="center"/>
              <w:rPr>
                <w:rFonts w:hint="eastAsia" w:ascii="仿宋" w:hAnsi="仿宋" w:eastAsia="仿宋" w:cs="仿宋"/>
                <w:b/>
                <w:sz w:val="24"/>
                <w:szCs w:val="24"/>
                <w:highlight w:val="none"/>
              </w:rPr>
            </w:pPr>
          </w:p>
        </w:tc>
        <w:tc>
          <w:tcPr>
            <w:tcW w:w="437" w:type="pct"/>
            <w:vMerge w:val="continue"/>
            <w:vAlign w:val="center"/>
          </w:tcPr>
          <w:p w14:paraId="27129B82">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53E33C59">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w:t>
            </w:r>
            <w:r>
              <w:rPr>
                <w:rFonts w:hint="eastAsia" w:ascii="宋体" w:hAnsi="宋体" w:eastAsia="宋体" w:cs="宋体"/>
                <w:i w:val="0"/>
                <w:iCs w:val="0"/>
                <w:color w:val="000000"/>
                <w:kern w:val="0"/>
                <w:sz w:val="21"/>
                <w:szCs w:val="21"/>
                <w:u w:val="none"/>
                <w:lang w:val="en-US" w:eastAsia="zh-CN" w:bidi="ar"/>
              </w:rPr>
              <w:t>室外机组：压缩机和冷凝器整装出厂，与库内蒸发器分体式连接,采用风冷箱式压缩机组，整机一体出厂，具备以下功能:广泛的使用工况，蒸发温度范围要求从-20℃-5℃。</w:t>
            </w:r>
          </w:p>
        </w:tc>
        <w:tc>
          <w:tcPr>
            <w:tcW w:w="792" w:type="pct"/>
            <w:vAlign w:val="center"/>
          </w:tcPr>
          <w:p w14:paraId="1EF7E813">
            <w:pPr>
              <w:jc w:val="center"/>
              <w:rPr>
                <w:rFonts w:hint="eastAsia" w:ascii="仿宋" w:hAnsi="仿宋" w:eastAsia="仿宋" w:cs="仿宋"/>
                <w:b/>
                <w:sz w:val="24"/>
                <w:szCs w:val="24"/>
                <w:highlight w:val="none"/>
              </w:rPr>
            </w:pPr>
          </w:p>
        </w:tc>
        <w:tc>
          <w:tcPr>
            <w:tcW w:w="699" w:type="pct"/>
            <w:vAlign w:val="center"/>
          </w:tcPr>
          <w:p w14:paraId="61051A89">
            <w:pPr>
              <w:jc w:val="center"/>
              <w:rPr>
                <w:rFonts w:hint="eastAsia" w:ascii="仿宋" w:hAnsi="仿宋" w:eastAsia="仿宋" w:cs="仿宋"/>
                <w:b/>
                <w:sz w:val="24"/>
                <w:szCs w:val="24"/>
                <w:highlight w:val="none"/>
              </w:rPr>
            </w:pPr>
          </w:p>
        </w:tc>
        <w:tc>
          <w:tcPr>
            <w:tcW w:w="593" w:type="pct"/>
            <w:vAlign w:val="center"/>
          </w:tcPr>
          <w:p w14:paraId="2C46C5B4">
            <w:pPr>
              <w:jc w:val="center"/>
              <w:rPr>
                <w:rFonts w:hint="eastAsia" w:ascii="仿宋" w:hAnsi="仿宋" w:eastAsia="仿宋" w:cs="仿宋"/>
                <w:b/>
                <w:sz w:val="24"/>
                <w:szCs w:val="24"/>
                <w:highlight w:val="none"/>
              </w:rPr>
            </w:pPr>
          </w:p>
        </w:tc>
      </w:tr>
      <w:tr w14:paraId="4320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56F6615C">
            <w:pPr>
              <w:jc w:val="center"/>
              <w:rPr>
                <w:rFonts w:hint="eastAsia" w:ascii="仿宋" w:hAnsi="仿宋" w:eastAsia="仿宋" w:cs="仿宋"/>
                <w:b/>
                <w:sz w:val="24"/>
                <w:szCs w:val="24"/>
                <w:highlight w:val="none"/>
              </w:rPr>
            </w:pPr>
          </w:p>
        </w:tc>
        <w:tc>
          <w:tcPr>
            <w:tcW w:w="437" w:type="pct"/>
            <w:vMerge w:val="continue"/>
            <w:vAlign w:val="center"/>
          </w:tcPr>
          <w:p w14:paraId="2D73BDDD">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07F4BD25">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6.</w:t>
            </w:r>
            <w:r>
              <w:rPr>
                <w:rFonts w:hint="eastAsia" w:ascii="宋体" w:hAnsi="宋体" w:eastAsia="宋体" w:cs="宋体"/>
                <w:i w:val="0"/>
                <w:iCs w:val="0"/>
                <w:color w:val="000000"/>
                <w:kern w:val="0"/>
                <w:sz w:val="21"/>
                <w:szCs w:val="21"/>
                <w:u w:val="none"/>
                <w:lang w:val="en-US" w:eastAsia="zh-CN" w:bidi="ar"/>
              </w:rPr>
              <w:t>吊顶式高效冷风机：高效静音风机，吊顶式前出风后回风的冷风机型蒸发器；随机标配加热丝橡胶冷凝水外排装置，可整体取出维修；风机风量</w:t>
            </w:r>
            <w:r>
              <w:rPr>
                <w:rStyle w:val="55"/>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1835m³/H;名义冷量≥5300W；220V；50HZ;化霜功率≥2740W</w:t>
            </w:r>
            <w:r>
              <w:rPr>
                <w:rFonts w:hint="eastAsia" w:ascii="宋体" w:hAnsi="宋体" w:eastAsia="宋体" w:cs="宋体"/>
                <w:color w:val="000000"/>
                <w:kern w:val="0"/>
                <w:sz w:val="21"/>
                <w:szCs w:val="21"/>
              </w:rPr>
              <w:t>。</w:t>
            </w:r>
          </w:p>
        </w:tc>
        <w:tc>
          <w:tcPr>
            <w:tcW w:w="792" w:type="pct"/>
            <w:vAlign w:val="center"/>
          </w:tcPr>
          <w:p w14:paraId="1FADBE06">
            <w:pPr>
              <w:jc w:val="center"/>
              <w:rPr>
                <w:rFonts w:hint="eastAsia" w:ascii="仿宋" w:hAnsi="仿宋" w:eastAsia="仿宋" w:cs="仿宋"/>
                <w:b/>
                <w:sz w:val="24"/>
                <w:szCs w:val="24"/>
                <w:highlight w:val="none"/>
              </w:rPr>
            </w:pPr>
          </w:p>
        </w:tc>
        <w:tc>
          <w:tcPr>
            <w:tcW w:w="699" w:type="pct"/>
            <w:vAlign w:val="center"/>
          </w:tcPr>
          <w:p w14:paraId="47D41A48">
            <w:pPr>
              <w:jc w:val="center"/>
              <w:rPr>
                <w:rFonts w:hint="eastAsia" w:ascii="仿宋" w:hAnsi="仿宋" w:eastAsia="仿宋" w:cs="仿宋"/>
                <w:b/>
                <w:sz w:val="24"/>
                <w:szCs w:val="24"/>
                <w:highlight w:val="none"/>
              </w:rPr>
            </w:pPr>
          </w:p>
        </w:tc>
        <w:tc>
          <w:tcPr>
            <w:tcW w:w="593" w:type="pct"/>
            <w:vAlign w:val="center"/>
          </w:tcPr>
          <w:p w14:paraId="4268157D">
            <w:pPr>
              <w:jc w:val="center"/>
              <w:rPr>
                <w:rFonts w:hint="eastAsia" w:ascii="仿宋" w:hAnsi="仿宋" w:eastAsia="仿宋" w:cs="仿宋"/>
                <w:b/>
                <w:sz w:val="24"/>
                <w:szCs w:val="24"/>
                <w:highlight w:val="none"/>
              </w:rPr>
            </w:pPr>
          </w:p>
        </w:tc>
      </w:tr>
      <w:tr w14:paraId="01DD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56F3A40E">
            <w:pPr>
              <w:jc w:val="center"/>
              <w:rPr>
                <w:rFonts w:hint="eastAsia" w:ascii="仿宋" w:hAnsi="仿宋" w:eastAsia="仿宋" w:cs="仿宋"/>
                <w:b/>
                <w:sz w:val="24"/>
                <w:szCs w:val="24"/>
                <w:highlight w:val="none"/>
              </w:rPr>
            </w:pPr>
          </w:p>
        </w:tc>
        <w:tc>
          <w:tcPr>
            <w:tcW w:w="437" w:type="pct"/>
            <w:vMerge w:val="continue"/>
            <w:vAlign w:val="center"/>
          </w:tcPr>
          <w:p w14:paraId="0EE7E2CD">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73085D5B">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w:t>
            </w:r>
            <w:r>
              <w:rPr>
                <w:rFonts w:hint="eastAsia" w:ascii="宋体" w:hAnsi="宋体" w:eastAsia="宋体" w:cs="宋体"/>
                <w:i w:val="0"/>
                <w:iCs w:val="0"/>
                <w:color w:val="000000"/>
                <w:kern w:val="0"/>
                <w:sz w:val="21"/>
                <w:szCs w:val="21"/>
                <w:u w:val="none"/>
                <w:lang w:val="en-US" w:eastAsia="zh-CN" w:bidi="ar"/>
              </w:rPr>
              <w:t>磷脱氧铜管，Φ10/Φ16mm，B1级保温</w:t>
            </w:r>
            <w:r>
              <w:rPr>
                <w:rFonts w:hint="eastAsia" w:ascii="宋体" w:hAnsi="宋体" w:eastAsia="宋体" w:cs="宋体"/>
                <w:color w:val="000000"/>
                <w:kern w:val="0"/>
                <w:sz w:val="21"/>
                <w:szCs w:val="21"/>
              </w:rPr>
              <w:t>。</w:t>
            </w:r>
          </w:p>
        </w:tc>
        <w:tc>
          <w:tcPr>
            <w:tcW w:w="792" w:type="pct"/>
            <w:vAlign w:val="center"/>
          </w:tcPr>
          <w:p w14:paraId="1AD1B6C8">
            <w:pPr>
              <w:jc w:val="center"/>
              <w:rPr>
                <w:rFonts w:hint="eastAsia" w:ascii="仿宋" w:hAnsi="仿宋" w:eastAsia="仿宋" w:cs="仿宋"/>
                <w:b/>
                <w:sz w:val="24"/>
                <w:szCs w:val="24"/>
                <w:highlight w:val="none"/>
              </w:rPr>
            </w:pPr>
          </w:p>
        </w:tc>
        <w:tc>
          <w:tcPr>
            <w:tcW w:w="699" w:type="pct"/>
            <w:vAlign w:val="center"/>
          </w:tcPr>
          <w:p w14:paraId="6629CA73">
            <w:pPr>
              <w:jc w:val="center"/>
              <w:rPr>
                <w:rFonts w:hint="eastAsia" w:ascii="仿宋" w:hAnsi="仿宋" w:eastAsia="仿宋" w:cs="仿宋"/>
                <w:b/>
                <w:sz w:val="24"/>
                <w:szCs w:val="24"/>
                <w:highlight w:val="none"/>
              </w:rPr>
            </w:pPr>
          </w:p>
        </w:tc>
        <w:tc>
          <w:tcPr>
            <w:tcW w:w="593" w:type="pct"/>
            <w:vAlign w:val="center"/>
          </w:tcPr>
          <w:p w14:paraId="1F768E54">
            <w:pPr>
              <w:jc w:val="center"/>
              <w:rPr>
                <w:rFonts w:hint="eastAsia" w:ascii="仿宋" w:hAnsi="仿宋" w:eastAsia="仿宋" w:cs="仿宋"/>
                <w:b/>
                <w:sz w:val="24"/>
                <w:szCs w:val="24"/>
                <w:highlight w:val="none"/>
              </w:rPr>
            </w:pPr>
          </w:p>
        </w:tc>
      </w:tr>
      <w:tr w14:paraId="4381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4DC6A768">
            <w:pPr>
              <w:jc w:val="center"/>
              <w:rPr>
                <w:rFonts w:hint="eastAsia" w:ascii="仿宋" w:hAnsi="仿宋" w:eastAsia="仿宋" w:cs="仿宋"/>
                <w:b/>
                <w:sz w:val="24"/>
                <w:szCs w:val="24"/>
                <w:highlight w:val="none"/>
              </w:rPr>
            </w:pPr>
          </w:p>
        </w:tc>
        <w:tc>
          <w:tcPr>
            <w:tcW w:w="437" w:type="pct"/>
            <w:vMerge w:val="continue"/>
            <w:vAlign w:val="center"/>
          </w:tcPr>
          <w:p w14:paraId="0740031A">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2F8DFDF8">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系统在冷库（空库）密封情况下，</w:t>
            </w:r>
            <w:r>
              <w:rPr>
                <w:rFonts w:hint="eastAsia" w:ascii="宋体" w:hAnsi="宋体" w:eastAsia="宋体" w:cs="宋体"/>
                <w:color w:val="000000"/>
                <w:kern w:val="0"/>
                <w:sz w:val="21"/>
                <w:szCs w:val="21"/>
                <w:u w:val="none"/>
                <w:lang w:val="en-US" w:eastAsia="zh-CN" w:bidi="ar"/>
              </w:rPr>
              <w:t>6</w:t>
            </w:r>
            <w:r>
              <w:rPr>
                <w:rFonts w:hint="eastAsia" w:ascii="宋体" w:hAnsi="宋体" w:eastAsia="宋体" w:cs="宋体"/>
                <w:color w:val="000000"/>
                <w:kern w:val="0"/>
                <w:sz w:val="21"/>
                <w:szCs w:val="21"/>
                <w:u w:val="none"/>
                <w:lang w:bidi="ar"/>
              </w:rPr>
              <w:t>0分钟内达到冷库温度要求</w:t>
            </w:r>
            <w:r>
              <w:rPr>
                <w:rFonts w:hint="eastAsia" w:ascii="宋体" w:hAnsi="宋体" w:eastAsia="宋体" w:cs="宋体"/>
                <w:color w:val="000000"/>
                <w:kern w:val="0"/>
                <w:sz w:val="21"/>
                <w:szCs w:val="21"/>
                <w:u w:val="none"/>
                <w:lang w:eastAsia="zh-CN" w:bidi="ar"/>
              </w:rPr>
              <w:t>：</w:t>
            </w:r>
            <w:r>
              <w:rPr>
                <w:rFonts w:hint="eastAsia" w:ascii="宋体" w:hAnsi="宋体" w:eastAsia="宋体" w:cs="宋体"/>
                <w:color w:val="000000"/>
                <w:kern w:val="0"/>
                <w:sz w:val="21"/>
                <w:szCs w:val="21"/>
                <w:u w:val="none"/>
                <w:lang w:val="en-US" w:eastAsia="zh-CN" w:bidi="ar"/>
              </w:rPr>
              <w:t>2-8</w:t>
            </w:r>
            <w:r>
              <w:rPr>
                <w:rFonts w:hint="eastAsia" w:ascii="宋体" w:hAnsi="宋体" w:eastAsia="宋体" w:cs="宋体"/>
                <w:color w:val="000000"/>
                <w:kern w:val="0"/>
                <w:sz w:val="21"/>
                <w:szCs w:val="21"/>
                <w:u w:val="none"/>
                <w:lang w:bidi="ar"/>
              </w:rPr>
              <w:t>℃（当环境温度为+38℃～+42℃时）</w:t>
            </w:r>
            <w:r>
              <w:rPr>
                <w:rFonts w:hint="eastAsia" w:ascii="宋体" w:hAnsi="宋体" w:eastAsia="宋体" w:cs="宋体"/>
                <w:color w:val="000000"/>
                <w:kern w:val="0"/>
                <w:sz w:val="21"/>
                <w:szCs w:val="21"/>
                <w:u w:val="none"/>
                <w:lang w:eastAsia="zh-CN" w:bidi="ar"/>
              </w:rPr>
              <w:t>。</w:t>
            </w:r>
          </w:p>
        </w:tc>
        <w:tc>
          <w:tcPr>
            <w:tcW w:w="792" w:type="pct"/>
            <w:vAlign w:val="center"/>
          </w:tcPr>
          <w:p w14:paraId="7FDB2510">
            <w:pPr>
              <w:jc w:val="center"/>
              <w:rPr>
                <w:rFonts w:hint="eastAsia" w:ascii="仿宋" w:hAnsi="仿宋" w:eastAsia="仿宋" w:cs="仿宋"/>
                <w:b/>
                <w:sz w:val="24"/>
                <w:szCs w:val="24"/>
                <w:highlight w:val="none"/>
              </w:rPr>
            </w:pPr>
          </w:p>
        </w:tc>
        <w:tc>
          <w:tcPr>
            <w:tcW w:w="699" w:type="pct"/>
            <w:vAlign w:val="center"/>
          </w:tcPr>
          <w:p w14:paraId="369D31CA">
            <w:pPr>
              <w:jc w:val="center"/>
              <w:rPr>
                <w:rFonts w:hint="eastAsia" w:ascii="仿宋" w:hAnsi="仿宋" w:eastAsia="仿宋" w:cs="仿宋"/>
                <w:b/>
                <w:sz w:val="24"/>
                <w:szCs w:val="24"/>
                <w:highlight w:val="none"/>
              </w:rPr>
            </w:pPr>
          </w:p>
        </w:tc>
        <w:tc>
          <w:tcPr>
            <w:tcW w:w="593" w:type="pct"/>
            <w:vAlign w:val="center"/>
          </w:tcPr>
          <w:p w14:paraId="276D862D">
            <w:pPr>
              <w:jc w:val="center"/>
              <w:rPr>
                <w:rFonts w:hint="eastAsia" w:ascii="仿宋" w:hAnsi="仿宋" w:eastAsia="仿宋" w:cs="仿宋"/>
                <w:b/>
                <w:sz w:val="24"/>
                <w:szCs w:val="24"/>
                <w:highlight w:val="none"/>
              </w:rPr>
            </w:pPr>
          </w:p>
        </w:tc>
      </w:tr>
      <w:tr w14:paraId="5B5F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0CEC244E">
            <w:pPr>
              <w:jc w:val="center"/>
              <w:rPr>
                <w:rFonts w:hint="eastAsia" w:ascii="仿宋" w:hAnsi="仿宋" w:eastAsia="仿宋" w:cs="仿宋"/>
                <w:b/>
                <w:sz w:val="24"/>
                <w:szCs w:val="24"/>
                <w:highlight w:val="none"/>
              </w:rPr>
            </w:pPr>
          </w:p>
        </w:tc>
        <w:tc>
          <w:tcPr>
            <w:tcW w:w="437" w:type="pct"/>
            <w:vMerge w:val="continue"/>
            <w:vAlign w:val="center"/>
          </w:tcPr>
          <w:p w14:paraId="209ABB6A">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6D0BC5A0">
            <w:pPr>
              <w:widowControl/>
              <w:spacing w:after="0"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.冷库具有自动定时和强制除霜功能；做好蒸发器化霜后的积水排放处理，冷库内不能有积水。</w:t>
            </w:r>
          </w:p>
        </w:tc>
        <w:tc>
          <w:tcPr>
            <w:tcW w:w="792" w:type="pct"/>
            <w:vAlign w:val="center"/>
          </w:tcPr>
          <w:p w14:paraId="2B01663E">
            <w:pPr>
              <w:jc w:val="center"/>
              <w:rPr>
                <w:rFonts w:hint="eastAsia" w:ascii="仿宋" w:hAnsi="仿宋" w:eastAsia="仿宋" w:cs="仿宋"/>
                <w:b/>
                <w:sz w:val="24"/>
                <w:szCs w:val="24"/>
                <w:highlight w:val="none"/>
              </w:rPr>
            </w:pPr>
          </w:p>
        </w:tc>
        <w:tc>
          <w:tcPr>
            <w:tcW w:w="699" w:type="pct"/>
            <w:vAlign w:val="center"/>
          </w:tcPr>
          <w:p w14:paraId="635F7CB9">
            <w:pPr>
              <w:jc w:val="center"/>
              <w:rPr>
                <w:rFonts w:hint="eastAsia" w:ascii="仿宋" w:hAnsi="仿宋" w:eastAsia="仿宋" w:cs="仿宋"/>
                <w:b/>
                <w:sz w:val="24"/>
                <w:szCs w:val="24"/>
                <w:highlight w:val="none"/>
              </w:rPr>
            </w:pPr>
          </w:p>
        </w:tc>
        <w:tc>
          <w:tcPr>
            <w:tcW w:w="593" w:type="pct"/>
            <w:vAlign w:val="center"/>
          </w:tcPr>
          <w:p w14:paraId="70D280E2">
            <w:pPr>
              <w:jc w:val="center"/>
              <w:rPr>
                <w:rFonts w:hint="eastAsia" w:ascii="仿宋" w:hAnsi="仿宋" w:eastAsia="仿宋" w:cs="仿宋"/>
                <w:b/>
                <w:sz w:val="24"/>
                <w:szCs w:val="24"/>
                <w:highlight w:val="none"/>
              </w:rPr>
            </w:pPr>
          </w:p>
        </w:tc>
      </w:tr>
      <w:tr w14:paraId="683A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2B414095">
            <w:pPr>
              <w:jc w:val="center"/>
              <w:rPr>
                <w:rFonts w:hint="eastAsia" w:ascii="仿宋" w:hAnsi="仿宋" w:eastAsia="仿宋" w:cs="仿宋"/>
                <w:b/>
                <w:sz w:val="24"/>
                <w:szCs w:val="24"/>
                <w:highlight w:val="none"/>
              </w:rPr>
            </w:pPr>
          </w:p>
        </w:tc>
        <w:tc>
          <w:tcPr>
            <w:tcW w:w="437" w:type="pct"/>
            <w:vMerge w:val="continue"/>
            <w:vAlign w:val="center"/>
          </w:tcPr>
          <w:p w14:paraId="6AE2E49D">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14918AAA">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电气系统：</w:t>
            </w:r>
            <w:r>
              <w:rPr>
                <w:rFonts w:hint="eastAsia" w:ascii="宋体" w:hAnsi="宋体" w:eastAsia="宋体" w:cs="宋体"/>
                <w:color w:val="000000"/>
                <w:kern w:val="0"/>
                <w:sz w:val="21"/>
                <w:szCs w:val="21"/>
              </w:rPr>
              <w:t>冷库制冷系统配置智能控制功能，达到完全智能运行，无需人员值守和操作</w:t>
            </w:r>
            <w:r>
              <w:rPr>
                <w:rFonts w:hint="eastAsia" w:ascii="宋体" w:hAnsi="宋体" w:eastAsia="宋体" w:cs="宋体"/>
                <w:color w:val="auto"/>
                <w:kern w:val="0"/>
                <w:sz w:val="21"/>
                <w:szCs w:val="21"/>
                <w:lang w:eastAsia="zh-CN"/>
              </w:rPr>
              <w:t>；</w:t>
            </w:r>
            <w:r>
              <w:rPr>
                <w:rFonts w:hint="eastAsia" w:ascii="宋体" w:hAnsi="宋体" w:eastAsia="宋体" w:cs="宋体"/>
                <w:color w:val="auto"/>
                <w:lang w:val="en-US" w:eastAsia="zh-CN"/>
              </w:rPr>
              <w:t>保障产品质量及疫苗安全存储符合规范和要求，提升疫苗存储安全。</w:t>
            </w:r>
          </w:p>
        </w:tc>
        <w:tc>
          <w:tcPr>
            <w:tcW w:w="792" w:type="pct"/>
            <w:vAlign w:val="center"/>
          </w:tcPr>
          <w:p w14:paraId="234EF2F7">
            <w:pPr>
              <w:jc w:val="center"/>
              <w:rPr>
                <w:rFonts w:hint="eastAsia" w:ascii="仿宋" w:hAnsi="仿宋" w:eastAsia="仿宋" w:cs="仿宋"/>
                <w:b/>
                <w:sz w:val="24"/>
                <w:szCs w:val="24"/>
                <w:highlight w:val="none"/>
              </w:rPr>
            </w:pPr>
          </w:p>
        </w:tc>
        <w:tc>
          <w:tcPr>
            <w:tcW w:w="699" w:type="pct"/>
            <w:vAlign w:val="center"/>
          </w:tcPr>
          <w:p w14:paraId="675309AD">
            <w:pPr>
              <w:jc w:val="center"/>
              <w:rPr>
                <w:rFonts w:hint="eastAsia" w:ascii="仿宋" w:hAnsi="仿宋" w:eastAsia="仿宋" w:cs="仿宋"/>
                <w:b/>
                <w:sz w:val="24"/>
                <w:szCs w:val="24"/>
                <w:highlight w:val="none"/>
              </w:rPr>
            </w:pPr>
          </w:p>
        </w:tc>
        <w:tc>
          <w:tcPr>
            <w:tcW w:w="593" w:type="pct"/>
            <w:vAlign w:val="center"/>
          </w:tcPr>
          <w:p w14:paraId="70E2EDB5">
            <w:pPr>
              <w:jc w:val="center"/>
              <w:rPr>
                <w:rFonts w:hint="eastAsia" w:ascii="仿宋" w:hAnsi="仿宋" w:eastAsia="仿宋" w:cs="仿宋"/>
                <w:b/>
                <w:sz w:val="24"/>
                <w:szCs w:val="24"/>
                <w:highlight w:val="none"/>
              </w:rPr>
            </w:pPr>
          </w:p>
        </w:tc>
      </w:tr>
      <w:tr w14:paraId="3AB5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72B4E8F4">
            <w:pPr>
              <w:jc w:val="center"/>
              <w:rPr>
                <w:rFonts w:hint="eastAsia" w:ascii="仿宋" w:hAnsi="仿宋" w:eastAsia="仿宋" w:cs="仿宋"/>
                <w:b/>
                <w:sz w:val="24"/>
                <w:szCs w:val="24"/>
                <w:highlight w:val="none"/>
              </w:rPr>
            </w:pPr>
          </w:p>
        </w:tc>
        <w:tc>
          <w:tcPr>
            <w:tcW w:w="437" w:type="pct"/>
            <w:vMerge w:val="continue"/>
            <w:vAlign w:val="center"/>
          </w:tcPr>
          <w:p w14:paraId="627754BE">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446F8610">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.冷库采用智能控制系统，数字屏显示。一套系统故障，可实现故障切换。智能控制系统设计合理，使用简便。</w:t>
            </w:r>
          </w:p>
        </w:tc>
        <w:tc>
          <w:tcPr>
            <w:tcW w:w="792" w:type="pct"/>
            <w:vAlign w:val="center"/>
          </w:tcPr>
          <w:p w14:paraId="6257D331">
            <w:pPr>
              <w:jc w:val="center"/>
              <w:rPr>
                <w:rFonts w:hint="eastAsia" w:ascii="仿宋" w:hAnsi="仿宋" w:eastAsia="仿宋" w:cs="仿宋"/>
                <w:b/>
                <w:sz w:val="24"/>
                <w:szCs w:val="24"/>
                <w:highlight w:val="none"/>
              </w:rPr>
            </w:pPr>
          </w:p>
        </w:tc>
        <w:tc>
          <w:tcPr>
            <w:tcW w:w="699" w:type="pct"/>
            <w:vAlign w:val="center"/>
          </w:tcPr>
          <w:p w14:paraId="487BAF67">
            <w:pPr>
              <w:jc w:val="center"/>
              <w:rPr>
                <w:rFonts w:hint="eastAsia" w:ascii="仿宋" w:hAnsi="仿宋" w:eastAsia="仿宋" w:cs="仿宋"/>
                <w:b/>
                <w:sz w:val="24"/>
                <w:szCs w:val="24"/>
                <w:highlight w:val="none"/>
              </w:rPr>
            </w:pPr>
          </w:p>
        </w:tc>
        <w:tc>
          <w:tcPr>
            <w:tcW w:w="593" w:type="pct"/>
            <w:vAlign w:val="center"/>
          </w:tcPr>
          <w:p w14:paraId="405861FE">
            <w:pPr>
              <w:jc w:val="center"/>
              <w:rPr>
                <w:rFonts w:hint="eastAsia" w:ascii="仿宋" w:hAnsi="仿宋" w:eastAsia="仿宋" w:cs="仿宋"/>
                <w:b/>
                <w:sz w:val="24"/>
                <w:szCs w:val="24"/>
                <w:highlight w:val="none"/>
              </w:rPr>
            </w:pPr>
          </w:p>
        </w:tc>
      </w:tr>
      <w:tr w14:paraId="0C23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4C17B320">
            <w:pPr>
              <w:jc w:val="center"/>
              <w:rPr>
                <w:rFonts w:hint="eastAsia" w:ascii="仿宋" w:hAnsi="仿宋" w:eastAsia="仿宋" w:cs="仿宋"/>
                <w:b/>
                <w:sz w:val="24"/>
                <w:szCs w:val="24"/>
                <w:highlight w:val="none"/>
              </w:rPr>
            </w:pPr>
          </w:p>
        </w:tc>
        <w:tc>
          <w:tcPr>
            <w:tcW w:w="437" w:type="pct"/>
            <w:vMerge w:val="continue"/>
            <w:vAlign w:val="center"/>
          </w:tcPr>
          <w:p w14:paraId="1330E682">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23E76E4B">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.双倍输出：采用智能控制方式，1）可通过智能控制系统自动控制两套制冷系统，达到用户设定条件下可以同时开启，输出双倍制冷量。应对非正常工作情况的发生；2）输出异常信号，发出声光报警。</w:t>
            </w:r>
          </w:p>
        </w:tc>
        <w:tc>
          <w:tcPr>
            <w:tcW w:w="792" w:type="pct"/>
            <w:vAlign w:val="center"/>
          </w:tcPr>
          <w:p w14:paraId="5D2C1537">
            <w:pPr>
              <w:jc w:val="center"/>
              <w:rPr>
                <w:rFonts w:hint="eastAsia" w:ascii="仿宋" w:hAnsi="仿宋" w:eastAsia="仿宋" w:cs="仿宋"/>
                <w:b/>
                <w:sz w:val="24"/>
                <w:szCs w:val="24"/>
                <w:highlight w:val="none"/>
              </w:rPr>
            </w:pPr>
          </w:p>
        </w:tc>
        <w:tc>
          <w:tcPr>
            <w:tcW w:w="699" w:type="pct"/>
            <w:vAlign w:val="center"/>
          </w:tcPr>
          <w:p w14:paraId="5F297313">
            <w:pPr>
              <w:jc w:val="center"/>
              <w:rPr>
                <w:rFonts w:hint="eastAsia" w:ascii="仿宋" w:hAnsi="仿宋" w:eastAsia="仿宋" w:cs="仿宋"/>
                <w:b/>
                <w:sz w:val="24"/>
                <w:szCs w:val="24"/>
                <w:highlight w:val="none"/>
              </w:rPr>
            </w:pPr>
          </w:p>
        </w:tc>
        <w:tc>
          <w:tcPr>
            <w:tcW w:w="593" w:type="pct"/>
            <w:vAlign w:val="center"/>
          </w:tcPr>
          <w:p w14:paraId="6CA88E3B">
            <w:pPr>
              <w:jc w:val="center"/>
              <w:rPr>
                <w:rFonts w:hint="eastAsia" w:ascii="仿宋" w:hAnsi="仿宋" w:eastAsia="仿宋" w:cs="仿宋"/>
                <w:b/>
                <w:sz w:val="24"/>
                <w:szCs w:val="24"/>
                <w:highlight w:val="none"/>
              </w:rPr>
            </w:pPr>
          </w:p>
        </w:tc>
      </w:tr>
      <w:tr w14:paraId="6346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18D3CF7B">
            <w:pPr>
              <w:jc w:val="center"/>
              <w:rPr>
                <w:rFonts w:hint="eastAsia" w:ascii="仿宋" w:hAnsi="仿宋" w:eastAsia="仿宋" w:cs="仿宋"/>
                <w:b/>
                <w:sz w:val="24"/>
                <w:szCs w:val="24"/>
                <w:highlight w:val="none"/>
              </w:rPr>
            </w:pPr>
          </w:p>
        </w:tc>
        <w:tc>
          <w:tcPr>
            <w:tcW w:w="437" w:type="pct"/>
            <w:vMerge w:val="continue"/>
            <w:vAlign w:val="center"/>
          </w:tcPr>
          <w:p w14:paraId="13EBF989">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76F01152">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lang w:eastAsia="zh-CN"/>
              </w:rPr>
              <w:t>冷库</w:t>
            </w:r>
            <w:r>
              <w:rPr>
                <w:rFonts w:hint="eastAsia" w:ascii="宋体" w:hAnsi="宋体" w:eastAsia="宋体" w:cs="宋体"/>
                <w:color w:val="auto"/>
                <w:lang w:val="en-US" w:eastAsia="zh-CN"/>
              </w:rPr>
              <w:t>具</w:t>
            </w:r>
            <w:r>
              <w:rPr>
                <w:rFonts w:hint="eastAsia" w:ascii="宋体" w:hAnsi="宋体" w:eastAsia="宋体" w:cs="宋体"/>
                <w:color w:val="auto"/>
                <w:lang w:eastAsia="zh-CN"/>
              </w:rPr>
              <w:t>有物联功能；</w:t>
            </w:r>
            <w:r>
              <w:rPr>
                <w:rFonts w:hint="eastAsia" w:ascii="宋体" w:hAnsi="宋体" w:eastAsia="宋体" w:cs="宋体"/>
                <w:color w:val="auto"/>
                <w:sz w:val="21"/>
                <w:szCs w:val="21"/>
              </w:rPr>
              <w:t>支持微信报警处理，能够在微信端处理报警，允许提交处理现场的照片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提供无偿</w:t>
            </w:r>
            <w:r>
              <w:rPr>
                <w:rFonts w:hint="eastAsia" w:ascii="宋体" w:hAnsi="宋体" w:eastAsia="宋体" w:cs="宋体"/>
                <w:color w:val="auto"/>
                <w:lang w:val="en-US" w:eastAsia="zh-CN"/>
              </w:rPr>
              <w:t>软件技术升级改造服务。</w:t>
            </w:r>
          </w:p>
        </w:tc>
        <w:tc>
          <w:tcPr>
            <w:tcW w:w="792" w:type="pct"/>
            <w:vAlign w:val="center"/>
          </w:tcPr>
          <w:p w14:paraId="27EF1575">
            <w:pPr>
              <w:jc w:val="center"/>
              <w:rPr>
                <w:rFonts w:hint="eastAsia" w:ascii="仿宋" w:hAnsi="仿宋" w:eastAsia="仿宋" w:cs="仿宋"/>
                <w:b/>
                <w:sz w:val="24"/>
                <w:szCs w:val="24"/>
                <w:highlight w:val="none"/>
              </w:rPr>
            </w:pPr>
          </w:p>
        </w:tc>
        <w:tc>
          <w:tcPr>
            <w:tcW w:w="699" w:type="pct"/>
            <w:vAlign w:val="center"/>
          </w:tcPr>
          <w:p w14:paraId="51C9B696">
            <w:pPr>
              <w:jc w:val="center"/>
              <w:rPr>
                <w:rFonts w:hint="eastAsia" w:ascii="仿宋" w:hAnsi="仿宋" w:eastAsia="仿宋" w:cs="仿宋"/>
                <w:b/>
                <w:sz w:val="24"/>
                <w:szCs w:val="24"/>
                <w:highlight w:val="none"/>
              </w:rPr>
            </w:pPr>
          </w:p>
        </w:tc>
        <w:tc>
          <w:tcPr>
            <w:tcW w:w="593" w:type="pct"/>
            <w:vAlign w:val="center"/>
          </w:tcPr>
          <w:p w14:paraId="27E35AE5">
            <w:pPr>
              <w:jc w:val="center"/>
              <w:rPr>
                <w:rFonts w:hint="eastAsia" w:ascii="仿宋" w:hAnsi="仿宋" w:eastAsia="仿宋" w:cs="仿宋"/>
                <w:b/>
                <w:sz w:val="24"/>
                <w:szCs w:val="24"/>
                <w:highlight w:val="none"/>
              </w:rPr>
            </w:pPr>
          </w:p>
        </w:tc>
      </w:tr>
      <w:tr w14:paraId="09B9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tcPr>
          <w:p w14:paraId="482DDD1D">
            <w:pPr>
              <w:jc w:val="center"/>
              <w:rPr>
                <w:rFonts w:hint="eastAsia" w:ascii="仿宋" w:hAnsi="仿宋" w:eastAsia="仿宋" w:cs="仿宋"/>
                <w:b/>
                <w:sz w:val="24"/>
                <w:szCs w:val="24"/>
                <w:highlight w:val="none"/>
              </w:rPr>
            </w:pPr>
          </w:p>
        </w:tc>
        <w:tc>
          <w:tcPr>
            <w:tcW w:w="437" w:type="pct"/>
            <w:vMerge w:val="continue"/>
          </w:tcPr>
          <w:p w14:paraId="24EE1A79">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3E904735">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lang w:val="en-US" w:eastAsia="zh-CN" w:bidi="ar-SA"/>
              </w:rPr>
              <w:t>14.</w:t>
            </w:r>
            <w:r>
              <w:rPr>
                <w:rFonts w:hint="eastAsia" w:ascii="宋体" w:hAnsi="宋体" w:eastAsia="宋体" w:cs="宋体"/>
                <w:color w:val="auto"/>
                <w:lang w:val="en-US" w:eastAsia="zh-CN"/>
              </w:rPr>
              <w:t>具有</w:t>
            </w:r>
            <w:r>
              <w:rPr>
                <w:rFonts w:hint="eastAsia" w:ascii="宋体" w:hAnsi="宋体" w:eastAsia="宋体" w:cs="宋体"/>
                <w:color w:val="auto"/>
                <w:lang w:eastAsia="zh-CN"/>
              </w:rPr>
              <w:t>远程</w:t>
            </w:r>
            <w:r>
              <w:rPr>
                <w:rFonts w:hint="eastAsia" w:ascii="宋体" w:hAnsi="宋体" w:eastAsia="宋体" w:cs="宋体"/>
                <w:color w:val="auto"/>
                <w:lang w:val="en-US" w:eastAsia="zh-CN"/>
              </w:rPr>
              <w:t>实时监控温度功能；</w:t>
            </w:r>
            <w:r>
              <w:rPr>
                <w:rFonts w:hint="eastAsia" w:ascii="宋体" w:hAnsi="宋体" w:eastAsia="宋体" w:cs="宋体"/>
                <w:color w:val="auto"/>
                <w:sz w:val="21"/>
                <w:szCs w:val="21"/>
              </w:rPr>
              <w:t>支持微信端单台设备的状态查看，能够实时查询单台设备的状态信息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提供无偿</w:t>
            </w:r>
            <w:r>
              <w:rPr>
                <w:rFonts w:hint="eastAsia" w:ascii="宋体" w:hAnsi="宋体" w:eastAsia="宋体" w:cs="宋体"/>
                <w:color w:val="auto"/>
                <w:lang w:val="en-US" w:eastAsia="zh-CN"/>
              </w:rPr>
              <w:t>软件技术升级改造服务。</w:t>
            </w:r>
          </w:p>
        </w:tc>
        <w:tc>
          <w:tcPr>
            <w:tcW w:w="0" w:type="auto"/>
          </w:tcPr>
          <w:p w14:paraId="54E0742D">
            <w:pPr>
              <w:jc w:val="center"/>
              <w:rPr>
                <w:rFonts w:hint="eastAsia" w:ascii="仿宋" w:hAnsi="仿宋" w:eastAsia="仿宋" w:cs="仿宋"/>
                <w:b/>
                <w:sz w:val="24"/>
                <w:szCs w:val="24"/>
                <w:highlight w:val="none"/>
              </w:rPr>
            </w:pPr>
          </w:p>
        </w:tc>
        <w:tc>
          <w:tcPr>
            <w:tcW w:w="0" w:type="auto"/>
          </w:tcPr>
          <w:p w14:paraId="774F282B">
            <w:pPr>
              <w:jc w:val="center"/>
              <w:rPr>
                <w:rFonts w:hint="eastAsia" w:ascii="仿宋" w:hAnsi="仿宋" w:eastAsia="仿宋" w:cs="仿宋"/>
                <w:b/>
                <w:sz w:val="24"/>
                <w:szCs w:val="24"/>
                <w:highlight w:val="none"/>
              </w:rPr>
            </w:pPr>
          </w:p>
        </w:tc>
        <w:tc>
          <w:tcPr>
            <w:tcW w:w="0" w:type="auto"/>
          </w:tcPr>
          <w:p w14:paraId="5188EF53">
            <w:pPr>
              <w:jc w:val="center"/>
              <w:rPr>
                <w:rFonts w:hint="eastAsia" w:ascii="仿宋" w:hAnsi="仿宋" w:eastAsia="仿宋" w:cs="仿宋"/>
                <w:b/>
                <w:sz w:val="24"/>
                <w:szCs w:val="24"/>
                <w:highlight w:val="none"/>
              </w:rPr>
            </w:pPr>
          </w:p>
        </w:tc>
      </w:tr>
      <w:tr w14:paraId="29FC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restart"/>
            <w:vAlign w:val="center"/>
          </w:tcPr>
          <w:p w14:paraId="521AA20E">
            <w:pPr>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437" w:type="pct"/>
            <w:vMerge w:val="restart"/>
            <w:vAlign w:val="center"/>
          </w:tcPr>
          <w:p w14:paraId="5B999297">
            <w:pPr>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发电机</w:t>
            </w:r>
          </w:p>
        </w:tc>
        <w:tc>
          <w:tcPr>
            <w:tcW w:w="2175" w:type="pct"/>
            <w:shd w:val="clear" w:color="auto" w:fill="auto"/>
            <w:vAlign w:val="top"/>
          </w:tcPr>
          <w:p w14:paraId="1E3644D1">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▲1.功率≥8000瓦，额定功率（KVA）≥7300瓦。</w:t>
            </w:r>
          </w:p>
        </w:tc>
        <w:tc>
          <w:tcPr>
            <w:tcW w:w="0" w:type="auto"/>
          </w:tcPr>
          <w:p w14:paraId="4A5F7173">
            <w:pPr>
              <w:jc w:val="center"/>
              <w:rPr>
                <w:rFonts w:hint="eastAsia" w:ascii="仿宋" w:hAnsi="仿宋" w:eastAsia="仿宋" w:cs="仿宋"/>
                <w:b/>
                <w:sz w:val="24"/>
                <w:szCs w:val="24"/>
                <w:highlight w:val="none"/>
              </w:rPr>
            </w:pPr>
          </w:p>
        </w:tc>
        <w:tc>
          <w:tcPr>
            <w:tcW w:w="0" w:type="auto"/>
          </w:tcPr>
          <w:p w14:paraId="5AF4AEBC">
            <w:pPr>
              <w:jc w:val="center"/>
              <w:rPr>
                <w:rFonts w:hint="eastAsia" w:ascii="仿宋" w:hAnsi="仿宋" w:eastAsia="仿宋" w:cs="仿宋"/>
                <w:b/>
                <w:sz w:val="24"/>
                <w:szCs w:val="24"/>
                <w:highlight w:val="none"/>
              </w:rPr>
            </w:pPr>
          </w:p>
        </w:tc>
        <w:tc>
          <w:tcPr>
            <w:tcW w:w="0" w:type="auto"/>
          </w:tcPr>
          <w:p w14:paraId="44C49643">
            <w:pPr>
              <w:jc w:val="center"/>
              <w:rPr>
                <w:rFonts w:hint="eastAsia" w:ascii="仿宋" w:hAnsi="仿宋" w:eastAsia="仿宋" w:cs="仿宋"/>
                <w:b/>
                <w:sz w:val="24"/>
                <w:szCs w:val="24"/>
                <w:highlight w:val="none"/>
              </w:rPr>
            </w:pPr>
          </w:p>
        </w:tc>
      </w:tr>
      <w:tr w14:paraId="3860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01" w:type="pct"/>
            <w:vMerge w:val="continue"/>
          </w:tcPr>
          <w:p w14:paraId="0E2ED672">
            <w:pPr>
              <w:jc w:val="center"/>
              <w:rPr>
                <w:rFonts w:hint="eastAsia" w:ascii="仿宋" w:hAnsi="仿宋" w:eastAsia="仿宋" w:cs="仿宋"/>
                <w:b/>
                <w:sz w:val="24"/>
                <w:szCs w:val="24"/>
                <w:highlight w:val="none"/>
              </w:rPr>
            </w:pPr>
          </w:p>
        </w:tc>
        <w:tc>
          <w:tcPr>
            <w:tcW w:w="437" w:type="pct"/>
            <w:vMerge w:val="continue"/>
          </w:tcPr>
          <w:p w14:paraId="422FDB15">
            <w:pPr>
              <w:jc w:val="center"/>
              <w:rPr>
                <w:rFonts w:hint="eastAsia" w:ascii="仿宋" w:hAnsi="仿宋" w:eastAsia="仿宋" w:cs="仿宋"/>
                <w:b/>
                <w:sz w:val="24"/>
                <w:szCs w:val="24"/>
                <w:highlight w:val="none"/>
                <w:lang w:val="en-US" w:eastAsia="zh-CN"/>
              </w:rPr>
            </w:pPr>
          </w:p>
        </w:tc>
        <w:tc>
          <w:tcPr>
            <w:tcW w:w="2175" w:type="pct"/>
            <w:shd w:val="clear" w:color="auto" w:fill="auto"/>
            <w:vAlign w:val="top"/>
          </w:tcPr>
          <w:p w14:paraId="024A8838">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2.柴油总升数≥13L，手电一体启动。</w:t>
            </w:r>
          </w:p>
        </w:tc>
        <w:tc>
          <w:tcPr>
            <w:tcW w:w="0" w:type="auto"/>
          </w:tcPr>
          <w:p w14:paraId="6C8930C2">
            <w:pPr>
              <w:jc w:val="center"/>
              <w:rPr>
                <w:rFonts w:hint="eastAsia" w:ascii="仿宋" w:hAnsi="仿宋" w:eastAsia="仿宋" w:cs="仿宋"/>
                <w:b/>
                <w:sz w:val="24"/>
                <w:szCs w:val="24"/>
                <w:highlight w:val="none"/>
              </w:rPr>
            </w:pPr>
          </w:p>
        </w:tc>
        <w:tc>
          <w:tcPr>
            <w:tcW w:w="0" w:type="auto"/>
          </w:tcPr>
          <w:p w14:paraId="48DA19FF">
            <w:pPr>
              <w:jc w:val="center"/>
              <w:rPr>
                <w:rFonts w:hint="eastAsia" w:ascii="仿宋" w:hAnsi="仿宋" w:eastAsia="仿宋" w:cs="仿宋"/>
                <w:b/>
                <w:sz w:val="24"/>
                <w:szCs w:val="24"/>
                <w:highlight w:val="none"/>
              </w:rPr>
            </w:pPr>
          </w:p>
        </w:tc>
        <w:tc>
          <w:tcPr>
            <w:tcW w:w="0" w:type="auto"/>
          </w:tcPr>
          <w:p w14:paraId="2A7CDBD4">
            <w:pPr>
              <w:jc w:val="center"/>
              <w:rPr>
                <w:rFonts w:hint="eastAsia" w:ascii="仿宋" w:hAnsi="仿宋" w:eastAsia="仿宋" w:cs="仿宋"/>
                <w:b/>
                <w:sz w:val="24"/>
                <w:szCs w:val="24"/>
                <w:highlight w:val="none"/>
              </w:rPr>
            </w:pPr>
          </w:p>
        </w:tc>
      </w:tr>
      <w:tr w14:paraId="5CC3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tcPr>
          <w:p w14:paraId="1FFE8020">
            <w:pPr>
              <w:jc w:val="center"/>
              <w:rPr>
                <w:rFonts w:hint="eastAsia" w:ascii="仿宋" w:hAnsi="仿宋" w:eastAsia="仿宋" w:cs="仿宋"/>
                <w:b/>
                <w:sz w:val="24"/>
                <w:szCs w:val="24"/>
                <w:highlight w:val="none"/>
              </w:rPr>
            </w:pPr>
          </w:p>
        </w:tc>
        <w:tc>
          <w:tcPr>
            <w:tcW w:w="437" w:type="pct"/>
            <w:vMerge w:val="continue"/>
          </w:tcPr>
          <w:p w14:paraId="54351C3D">
            <w:pPr>
              <w:jc w:val="center"/>
              <w:rPr>
                <w:rFonts w:hint="eastAsia" w:ascii="仿宋" w:hAnsi="仿宋" w:eastAsia="仿宋" w:cs="仿宋"/>
                <w:b/>
                <w:sz w:val="24"/>
                <w:szCs w:val="24"/>
                <w:highlight w:val="none"/>
                <w:lang w:val="en-US" w:eastAsia="zh-CN"/>
              </w:rPr>
            </w:pPr>
          </w:p>
        </w:tc>
        <w:tc>
          <w:tcPr>
            <w:tcW w:w="2175" w:type="pct"/>
            <w:shd w:val="clear" w:color="auto" w:fill="auto"/>
            <w:vAlign w:val="top"/>
          </w:tcPr>
          <w:p w14:paraId="546CF8B4">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3.发电机配备ATS双电源自动切换开关，一旦电路因检修或是发生故障，发电机能够迅速的启动供电。当电路恢复供电时，发电机将自动停止供电。</w:t>
            </w:r>
          </w:p>
        </w:tc>
        <w:tc>
          <w:tcPr>
            <w:tcW w:w="0" w:type="auto"/>
          </w:tcPr>
          <w:p w14:paraId="37E9D55E">
            <w:pPr>
              <w:jc w:val="center"/>
              <w:rPr>
                <w:rFonts w:hint="eastAsia" w:ascii="仿宋" w:hAnsi="仿宋" w:eastAsia="仿宋" w:cs="仿宋"/>
                <w:b/>
                <w:sz w:val="24"/>
                <w:szCs w:val="24"/>
                <w:highlight w:val="none"/>
              </w:rPr>
            </w:pPr>
          </w:p>
        </w:tc>
        <w:tc>
          <w:tcPr>
            <w:tcW w:w="0" w:type="auto"/>
          </w:tcPr>
          <w:p w14:paraId="434A4CFC">
            <w:pPr>
              <w:jc w:val="center"/>
              <w:rPr>
                <w:rFonts w:hint="eastAsia" w:ascii="仿宋" w:hAnsi="仿宋" w:eastAsia="仿宋" w:cs="仿宋"/>
                <w:b/>
                <w:sz w:val="24"/>
                <w:szCs w:val="24"/>
                <w:highlight w:val="none"/>
              </w:rPr>
            </w:pPr>
          </w:p>
        </w:tc>
        <w:tc>
          <w:tcPr>
            <w:tcW w:w="0" w:type="auto"/>
          </w:tcPr>
          <w:p w14:paraId="0821E88A">
            <w:pPr>
              <w:jc w:val="center"/>
              <w:rPr>
                <w:rFonts w:hint="eastAsia" w:ascii="仿宋" w:hAnsi="仿宋" w:eastAsia="仿宋" w:cs="仿宋"/>
                <w:b/>
                <w:sz w:val="24"/>
                <w:szCs w:val="24"/>
                <w:highlight w:val="none"/>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7E68C8BF">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42ADC013">
      <w:pPr>
        <w:numPr>
          <w:ilvl w:val="0"/>
          <w:numId w:val="0"/>
        </w:numPr>
        <w:jc w:val="both"/>
        <w:rPr>
          <w:rFonts w:hint="eastAsia" w:ascii="仿宋" w:hAnsi="仿宋" w:eastAsia="仿宋" w:cs="仿宋"/>
          <w:b/>
          <w:sz w:val="24"/>
          <w:highlight w:val="none"/>
          <w:lang w:val="en-US" w:eastAsia="zh-CN"/>
        </w:rPr>
      </w:pPr>
    </w:p>
    <w:p w14:paraId="687B9575">
      <w:pPr>
        <w:adjustRightInd w:val="0"/>
        <w:snapToGrid w:val="0"/>
        <w:spacing w:line="300" w:lineRule="auto"/>
        <w:ind w:firstLine="537" w:firstLineChars="224"/>
        <w:rPr>
          <w:rFonts w:hint="eastAsia" w:ascii="仿宋" w:hAnsi="仿宋" w:eastAsia="仿宋" w:cs="仿宋"/>
          <w:sz w:val="24"/>
          <w:highlight w:val="none"/>
        </w:rPr>
      </w:pPr>
    </w:p>
    <w:p w14:paraId="3D709DC8">
      <w:pPr>
        <w:outlineLvl w:val="2"/>
        <w:rPr>
          <w:rFonts w:hint="eastAsia" w:ascii="仿宋" w:hAnsi="仿宋" w:eastAsia="仿宋" w:cs="仿宋"/>
          <w:b/>
          <w:sz w:val="24"/>
          <w:highlight w:val="none"/>
          <w:lang w:val="en-US" w:eastAsia="zh-CN"/>
        </w:rPr>
      </w:pPr>
    </w:p>
    <w:p w14:paraId="6F90D0F5">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八、合同条款及格式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34D5C1FE">
      <w:pPr>
        <w:jc w:val="center"/>
        <w:rPr>
          <w:rFonts w:hint="eastAsia" w:ascii="宋体" w:hAnsi="宋体" w:cs="仿宋"/>
          <w:b/>
          <w:bCs/>
          <w:sz w:val="36"/>
          <w:szCs w:val="36"/>
          <w:lang w:val="en-US" w:eastAsia="zh-CN"/>
        </w:rPr>
      </w:pPr>
      <w:r>
        <w:rPr>
          <w:rFonts w:hint="eastAsia" w:ascii="宋体" w:hAnsi="宋体" w:cs="黑体"/>
          <w:b/>
          <w:sz w:val="36"/>
          <w:szCs w:val="36"/>
        </w:rPr>
        <w:t>深圳市龙岗中心医院</w:t>
      </w:r>
      <w:r>
        <w:rPr>
          <w:rFonts w:hint="eastAsia" w:ascii="宋体" w:hAnsi="宋体" w:cs="仿宋"/>
          <w:b/>
          <w:bCs/>
          <w:sz w:val="36"/>
          <w:szCs w:val="36"/>
          <w:lang w:val="en-US" w:eastAsia="zh-CN"/>
        </w:rPr>
        <w:t>********</w:t>
      </w:r>
    </w:p>
    <w:p w14:paraId="300BA33E">
      <w:pPr>
        <w:jc w:val="center"/>
        <w:rPr>
          <w:rFonts w:asciiTheme="minorEastAsia" w:hAnsiTheme="minorEastAsia" w:eastAsiaTheme="minorEastAsia"/>
          <w:sz w:val="44"/>
          <w:szCs w:val="44"/>
        </w:rPr>
      </w:pPr>
      <w:r>
        <w:rPr>
          <w:rFonts w:hint="eastAsia" w:ascii="宋体" w:hAnsi="宋体" w:cs="仿宋"/>
          <w:b/>
          <w:bCs/>
          <w:sz w:val="36"/>
          <w:szCs w:val="36"/>
        </w:rPr>
        <w:t>社康后补式冷库</w:t>
      </w:r>
      <w:r>
        <w:rPr>
          <w:rFonts w:hint="eastAsia" w:ascii="宋体" w:hAnsi="宋体" w:cs="黑体"/>
          <w:b/>
          <w:sz w:val="36"/>
          <w:szCs w:val="36"/>
        </w:rPr>
        <w:t>项目</w:t>
      </w:r>
      <w:r>
        <w:rPr>
          <w:rFonts w:hint="eastAsia" w:ascii="宋体" w:hAnsi="宋体"/>
          <w:b/>
          <w:sz w:val="36"/>
          <w:szCs w:val="36"/>
        </w:rPr>
        <w:t>合同</w:t>
      </w:r>
    </w:p>
    <w:p w14:paraId="788096CC">
      <w:pPr>
        <w:spacing w:line="400" w:lineRule="exact"/>
        <w:jc w:val="left"/>
        <w:rPr>
          <w:rFonts w:ascii="宋体" w:hAnsi="宋体"/>
          <w:szCs w:val="21"/>
        </w:rPr>
      </w:pPr>
      <w:r>
        <w:rPr>
          <w:rFonts w:hint="eastAsia" w:ascii="宋体" w:hAnsi="宋体"/>
          <w:szCs w:val="21"/>
        </w:rPr>
        <w:t>甲方：</w:t>
      </w:r>
      <w:r>
        <w:rPr>
          <w:rFonts w:hint="eastAsia" w:ascii="宋体" w:hAnsi="宋体"/>
          <w:szCs w:val="21"/>
          <w:u w:val="single"/>
        </w:rPr>
        <w:t>深圳市龙岗中心医院</w:t>
      </w:r>
    </w:p>
    <w:p w14:paraId="0DD0D873">
      <w:pPr>
        <w:spacing w:line="400" w:lineRule="exact"/>
        <w:jc w:val="left"/>
        <w:rPr>
          <w:rFonts w:hint="default" w:ascii="宋体" w:hAnsi="宋体" w:eastAsia="宋体"/>
          <w:szCs w:val="21"/>
          <w:lang w:val="en-US" w:eastAsia="zh-CN"/>
        </w:rPr>
      </w:pPr>
      <w:r>
        <w:rPr>
          <w:rFonts w:hint="eastAsia" w:ascii="宋体" w:hAnsi="宋体"/>
          <w:szCs w:val="21"/>
        </w:rPr>
        <w:t>乙方：</w:t>
      </w:r>
      <w:r>
        <w:rPr>
          <w:rFonts w:hint="eastAsia" w:ascii="宋体" w:hAnsi="宋体" w:cs="宋体"/>
          <w:color w:val="000000" w:themeColor="text1"/>
          <w:szCs w:val="21"/>
          <w:u w:val="single"/>
          <w:lang w:val="en-US" w:eastAsia="zh-CN"/>
          <w14:textFill>
            <w14:solidFill>
              <w14:schemeClr w14:val="tx1"/>
            </w14:solidFill>
          </w14:textFill>
        </w:rPr>
        <w:t>**********</w:t>
      </w:r>
    </w:p>
    <w:p w14:paraId="10F870DC">
      <w:pPr>
        <w:jc w:val="center"/>
        <w:rPr>
          <w:rFonts w:ascii="宋体" w:hAnsi="宋体"/>
          <w:szCs w:val="21"/>
        </w:rPr>
      </w:pPr>
      <w:bookmarkStart w:id="12" w:name="_Toc32645"/>
      <w:r>
        <w:rPr>
          <w:rFonts w:hint="eastAsia" w:ascii="宋体" w:hAnsi="宋体"/>
          <w:szCs w:val="21"/>
          <w:lang w:val="en-US" w:eastAsia="zh-CN"/>
        </w:rPr>
        <w:t xml:space="preserve"> </w:t>
      </w:r>
      <w:r>
        <w:rPr>
          <w:rFonts w:hint="eastAsia" w:ascii="宋体" w:hAnsi="宋体"/>
          <w:szCs w:val="21"/>
        </w:rPr>
        <w:t>根据</w:t>
      </w:r>
      <w:r>
        <w:rPr>
          <w:rFonts w:hint="eastAsia" w:ascii="宋体" w:hAnsi="宋体"/>
          <w:szCs w:val="21"/>
          <w:u w:val="single"/>
        </w:rPr>
        <w:t>项目名称：</w:t>
      </w:r>
      <w:r>
        <w:rPr>
          <w:rFonts w:hint="eastAsia" w:ascii="宋体" w:hAnsi="宋体"/>
          <w:b w:val="0"/>
          <w:bCs/>
          <w:color w:val="auto"/>
          <w:sz w:val="21"/>
          <w:szCs w:val="21"/>
          <w:u w:val="single"/>
          <w:lang w:eastAsia="zh-CN"/>
        </w:rPr>
        <w:t>********社康中心后补式冷库采购</w:t>
      </w:r>
      <w:r>
        <w:rPr>
          <w:rFonts w:hint="eastAsia" w:ascii="宋体" w:hAnsi="宋体" w:cs="宋体"/>
          <w:b w:val="0"/>
          <w:bCs/>
          <w:szCs w:val="21"/>
          <w:u w:val="single"/>
          <w:lang w:eastAsia="zh-CN"/>
        </w:rPr>
        <w:t>；</w:t>
      </w:r>
      <w:r>
        <w:rPr>
          <w:rFonts w:hint="eastAsia" w:ascii="宋体" w:hAnsi="宋体" w:eastAsia="宋体" w:cs="宋体"/>
          <w:szCs w:val="21"/>
          <w:u w:val="single"/>
        </w:rPr>
        <w:t>项目编号：</w:t>
      </w:r>
      <w:r>
        <w:rPr>
          <w:rFonts w:hint="eastAsia" w:ascii="宋体" w:hAnsi="宋体" w:cs="宋体"/>
          <w:szCs w:val="21"/>
          <w:u w:val="single"/>
          <w:lang w:val="en-US" w:eastAsia="zh-CN"/>
        </w:rPr>
        <w:t>*******</w:t>
      </w:r>
      <w:r>
        <w:rPr>
          <w:rFonts w:hint="eastAsia" w:ascii="宋体" w:hAnsi="宋体"/>
          <w:szCs w:val="21"/>
        </w:rPr>
        <w:t>的采购文件，按照《中华人民共和国民法典》、《中华人民共和国政府采购法》、《深圳经济特区政府采购条例》等相关法律法规的规定，甲乙双方经协商一致，达成以下合同条款：</w:t>
      </w:r>
      <w:bookmarkEnd w:id="12"/>
      <w:r>
        <w:rPr>
          <w:rFonts w:ascii="宋体" w:hAnsi="宋体"/>
          <w:szCs w:val="21"/>
        </w:rPr>
        <w:t xml:space="preserve"> </w:t>
      </w:r>
    </w:p>
    <w:p w14:paraId="0E0A9C35">
      <w:pPr>
        <w:spacing w:line="360" w:lineRule="exact"/>
        <w:jc w:val="left"/>
        <w:rPr>
          <w:rFonts w:ascii="宋体" w:hAnsi="宋体"/>
          <w:sz w:val="24"/>
        </w:rPr>
      </w:pPr>
      <w:r>
        <w:rPr>
          <w:rFonts w:hint="eastAsia" w:ascii="宋体" w:hAnsi="宋体"/>
          <w:b/>
          <w:sz w:val="24"/>
        </w:rPr>
        <w:t>一、合同标的</w:t>
      </w:r>
    </w:p>
    <w:p w14:paraId="699C579D">
      <w:pPr>
        <w:spacing w:line="360" w:lineRule="exact"/>
        <w:jc w:val="left"/>
        <w:rPr>
          <w:rFonts w:ascii="宋体" w:hAnsi="宋体"/>
          <w:szCs w:val="21"/>
        </w:rPr>
      </w:pPr>
      <w:r>
        <w:rPr>
          <w:rFonts w:hint="eastAsia" w:ascii="宋体" w:hAnsi="宋体"/>
          <w:szCs w:val="21"/>
        </w:rPr>
        <w:t>1、</w:t>
      </w:r>
      <w:r>
        <w:rPr>
          <w:rFonts w:ascii="宋体" w:hAnsi="宋体"/>
          <w:szCs w:val="21"/>
        </w:rPr>
        <w:t>乙方根据甲方需求提供下列货物：货物名称、规格及数量详见</w:t>
      </w:r>
      <w:r>
        <w:rPr>
          <w:rFonts w:ascii="宋体" w:hAnsi="宋体"/>
          <w:bCs/>
          <w:szCs w:val="21"/>
        </w:rPr>
        <w:t xml:space="preserve">下表 </w:t>
      </w:r>
      <w:r>
        <w:rPr>
          <w:rFonts w:ascii="宋体" w:hAnsi="宋体"/>
          <w:szCs w:val="21"/>
        </w:rPr>
        <w:t>。</w:t>
      </w:r>
    </w:p>
    <w:tbl>
      <w:tblPr>
        <w:tblStyle w:val="19"/>
        <w:tblW w:w="498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166"/>
        <w:gridCol w:w="1389"/>
        <w:gridCol w:w="538"/>
        <w:gridCol w:w="588"/>
        <w:gridCol w:w="1039"/>
        <w:gridCol w:w="1298"/>
        <w:gridCol w:w="939"/>
      </w:tblGrid>
      <w:tr w14:paraId="20199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14:paraId="0824C33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序号</w:t>
            </w:r>
          </w:p>
        </w:tc>
        <w:tc>
          <w:tcPr>
            <w:tcW w:w="1275" w:type="pct"/>
            <w:tcBorders>
              <w:top w:val="single" w:color="auto" w:sz="4" w:space="0"/>
              <w:left w:val="single" w:color="auto" w:sz="4" w:space="0"/>
              <w:bottom w:val="single" w:color="auto" w:sz="4" w:space="0"/>
              <w:right w:val="single" w:color="auto" w:sz="4" w:space="0"/>
            </w:tcBorders>
            <w:vAlign w:val="center"/>
          </w:tcPr>
          <w:p w14:paraId="7C9A3DDE">
            <w:pPr>
              <w:keepNext w:val="0"/>
              <w:keepLines w:val="0"/>
              <w:suppressLineNumbers w:val="0"/>
              <w:tabs>
                <w:tab w:val="left" w:pos="837"/>
              </w:tabs>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产品名称</w:t>
            </w:r>
          </w:p>
        </w:tc>
        <w:tc>
          <w:tcPr>
            <w:tcW w:w="817" w:type="pct"/>
            <w:tcBorders>
              <w:top w:val="single" w:color="auto" w:sz="4" w:space="0"/>
              <w:left w:val="single" w:color="auto" w:sz="4" w:space="0"/>
              <w:bottom w:val="single" w:color="auto" w:sz="4" w:space="0"/>
              <w:right w:val="single" w:color="auto" w:sz="4" w:space="0"/>
            </w:tcBorders>
            <w:vAlign w:val="center"/>
          </w:tcPr>
          <w:p w14:paraId="75626742">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规格型号</w:t>
            </w:r>
          </w:p>
        </w:tc>
        <w:tc>
          <w:tcPr>
            <w:tcW w:w="316" w:type="pct"/>
            <w:tcBorders>
              <w:top w:val="single" w:color="auto" w:sz="4" w:space="0"/>
              <w:left w:val="single" w:color="auto" w:sz="4" w:space="0"/>
              <w:bottom w:val="single" w:color="auto" w:sz="4" w:space="0"/>
              <w:right w:val="single" w:color="auto" w:sz="4" w:space="0"/>
            </w:tcBorders>
            <w:vAlign w:val="center"/>
          </w:tcPr>
          <w:p w14:paraId="31850E89">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数量</w:t>
            </w:r>
          </w:p>
        </w:tc>
        <w:tc>
          <w:tcPr>
            <w:tcW w:w="346" w:type="pct"/>
            <w:tcBorders>
              <w:top w:val="single" w:color="auto" w:sz="4" w:space="0"/>
              <w:left w:val="single" w:color="auto" w:sz="4" w:space="0"/>
              <w:bottom w:val="single" w:color="auto" w:sz="4" w:space="0"/>
              <w:right w:val="single" w:color="auto" w:sz="4" w:space="0"/>
            </w:tcBorders>
            <w:vAlign w:val="center"/>
          </w:tcPr>
          <w:p w14:paraId="2EAFBD4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单</w:t>
            </w:r>
            <w:r>
              <w:rPr>
                <w:rFonts w:hint="eastAsia" w:ascii="宋体" w:hAnsi="宋体" w:eastAsia="宋体" w:cs="宋体"/>
                <w:b w:val="0"/>
                <w:bCs w:val="0"/>
                <w:sz w:val="18"/>
                <w:szCs w:val="18"/>
              </w:rPr>
              <w:t>位</w:t>
            </w:r>
          </w:p>
        </w:tc>
        <w:tc>
          <w:tcPr>
            <w:tcW w:w="611" w:type="pct"/>
            <w:tcBorders>
              <w:top w:val="single" w:color="auto" w:sz="4" w:space="0"/>
              <w:left w:val="single" w:color="auto" w:sz="4" w:space="0"/>
              <w:bottom w:val="single" w:color="auto" w:sz="4" w:space="0"/>
              <w:right w:val="single" w:color="auto" w:sz="4" w:space="0"/>
            </w:tcBorders>
            <w:vAlign w:val="center"/>
          </w:tcPr>
          <w:p w14:paraId="133BE02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单价</w:t>
            </w:r>
          </w:p>
        </w:tc>
        <w:tc>
          <w:tcPr>
            <w:tcW w:w="764" w:type="pct"/>
            <w:tcBorders>
              <w:top w:val="single" w:color="auto" w:sz="4" w:space="0"/>
              <w:left w:val="single" w:color="auto" w:sz="4" w:space="0"/>
              <w:bottom w:val="single" w:color="auto" w:sz="4" w:space="0"/>
              <w:right w:val="single" w:color="auto" w:sz="4" w:space="0"/>
            </w:tcBorders>
            <w:vAlign w:val="center"/>
          </w:tcPr>
          <w:p w14:paraId="59010EB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总价</w:t>
            </w:r>
          </w:p>
        </w:tc>
        <w:tc>
          <w:tcPr>
            <w:tcW w:w="552" w:type="pct"/>
            <w:tcBorders>
              <w:top w:val="single" w:color="auto" w:sz="4" w:space="0"/>
              <w:left w:val="single" w:color="auto" w:sz="4" w:space="0"/>
              <w:bottom w:val="single" w:color="auto" w:sz="4" w:space="0"/>
              <w:right w:val="single" w:color="auto" w:sz="4" w:space="0"/>
            </w:tcBorders>
            <w:vAlign w:val="center"/>
          </w:tcPr>
          <w:p w14:paraId="1D82186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备注</w:t>
            </w:r>
          </w:p>
        </w:tc>
      </w:tr>
      <w:tr w14:paraId="6FEF3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4" w:type="pct"/>
            <w:vMerge w:val="restart"/>
            <w:tcBorders>
              <w:top w:val="single" w:color="auto" w:sz="4" w:space="0"/>
              <w:left w:val="single" w:color="auto" w:sz="4" w:space="0"/>
              <w:right w:val="single" w:color="auto" w:sz="4" w:space="0"/>
            </w:tcBorders>
            <w:vAlign w:val="center"/>
          </w:tcPr>
          <w:p w14:paraId="297AE0D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1</w:t>
            </w:r>
          </w:p>
        </w:tc>
        <w:tc>
          <w:tcPr>
            <w:tcW w:w="1275" w:type="pct"/>
            <w:tcBorders>
              <w:top w:val="single" w:color="auto" w:sz="4" w:space="0"/>
              <w:left w:val="single" w:color="auto" w:sz="4" w:space="0"/>
              <w:bottom w:val="single" w:color="auto" w:sz="4" w:space="0"/>
              <w:right w:val="single" w:color="auto" w:sz="4" w:space="0"/>
            </w:tcBorders>
            <w:vAlign w:val="center"/>
          </w:tcPr>
          <w:p w14:paraId="7E8514D2">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后补式冷库（含温控系统）</w:t>
            </w:r>
          </w:p>
        </w:tc>
        <w:tc>
          <w:tcPr>
            <w:tcW w:w="817" w:type="pct"/>
            <w:tcBorders>
              <w:top w:val="single" w:color="auto" w:sz="4" w:space="0"/>
              <w:left w:val="single" w:color="auto" w:sz="4" w:space="0"/>
              <w:bottom w:val="single" w:color="auto" w:sz="4" w:space="0"/>
              <w:right w:val="single" w:color="auto" w:sz="4" w:space="0"/>
            </w:tcBorders>
            <w:vAlign w:val="center"/>
          </w:tcPr>
          <w:p w14:paraId="365D451B">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en-US" w:eastAsia="zh-CN"/>
              </w:rPr>
            </w:pPr>
          </w:p>
        </w:tc>
        <w:tc>
          <w:tcPr>
            <w:tcW w:w="316" w:type="pct"/>
            <w:tcBorders>
              <w:top w:val="single" w:color="auto" w:sz="4" w:space="0"/>
              <w:left w:val="single" w:color="auto" w:sz="4" w:space="0"/>
              <w:bottom w:val="single" w:color="auto" w:sz="4" w:space="0"/>
              <w:right w:val="single" w:color="auto" w:sz="4" w:space="0"/>
            </w:tcBorders>
            <w:vAlign w:val="center"/>
          </w:tcPr>
          <w:p w14:paraId="4E5296B9">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1</w:t>
            </w:r>
          </w:p>
        </w:tc>
        <w:tc>
          <w:tcPr>
            <w:tcW w:w="346" w:type="pct"/>
            <w:tcBorders>
              <w:top w:val="single" w:color="auto" w:sz="4" w:space="0"/>
              <w:left w:val="single" w:color="auto" w:sz="4" w:space="0"/>
              <w:bottom w:val="single" w:color="auto" w:sz="4" w:space="0"/>
              <w:right w:val="single" w:color="auto" w:sz="4" w:space="0"/>
            </w:tcBorders>
            <w:vAlign w:val="center"/>
          </w:tcPr>
          <w:p w14:paraId="36305563">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套</w:t>
            </w:r>
          </w:p>
        </w:tc>
        <w:tc>
          <w:tcPr>
            <w:tcW w:w="611" w:type="pct"/>
            <w:tcBorders>
              <w:top w:val="single" w:color="auto" w:sz="4" w:space="0"/>
              <w:left w:val="single" w:color="auto" w:sz="4" w:space="0"/>
              <w:bottom w:val="single" w:color="auto" w:sz="4" w:space="0"/>
              <w:right w:val="single" w:color="auto" w:sz="4" w:space="0"/>
            </w:tcBorders>
            <w:vAlign w:val="center"/>
          </w:tcPr>
          <w:p w14:paraId="2D91C5FD">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764" w:type="pct"/>
            <w:tcBorders>
              <w:top w:val="single" w:color="auto" w:sz="4" w:space="0"/>
              <w:left w:val="single" w:color="auto" w:sz="4" w:space="0"/>
              <w:bottom w:val="single" w:color="auto" w:sz="4" w:space="0"/>
              <w:right w:val="single" w:color="auto" w:sz="4" w:space="0"/>
            </w:tcBorders>
            <w:vAlign w:val="center"/>
          </w:tcPr>
          <w:p w14:paraId="2DA927FA">
            <w:pPr>
              <w:keepNext w:val="0"/>
              <w:keepLines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b w:val="0"/>
                <w:bCs w:val="0"/>
                <w:kern w:val="2"/>
                <w:sz w:val="18"/>
                <w:szCs w:val="18"/>
                <w:lang w:val="zh-CN" w:eastAsia="zh-CN" w:bidi="ar-SA"/>
              </w:rPr>
            </w:pPr>
          </w:p>
        </w:tc>
        <w:tc>
          <w:tcPr>
            <w:tcW w:w="552" w:type="pct"/>
            <w:vMerge w:val="restart"/>
            <w:tcBorders>
              <w:top w:val="single" w:color="auto" w:sz="4" w:space="0"/>
              <w:left w:val="single" w:color="auto" w:sz="4" w:space="0"/>
              <w:right w:val="single" w:color="auto" w:sz="4" w:space="0"/>
            </w:tcBorders>
            <w:vAlign w:val="center"/>
          </w:tcPr>
          <w:p w14:paraId="0F6FEDB1">
            <w:pPr>
              <w:keepNext w:val="0"/>
              <w:keepLines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b w:val="0"/>
                <w:bCs w:val="0"/>
                <w:color w:val="auto"/>
                <w:sz w:val="18"/>
                <w:szCs w:val="18"/>
                <w:lang w:val="zh-CN"/>
              </w:rPr>
            </w:pPr>
          </w:p>
        </w:tc>
      </w:tr>
      <w:tr w14:paraId="0301E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4" w:type="pct"/>
            <w:vMerge w:val="continue"/>
            <w:tcBorders>
              <w:left w:val="single" w:color="auto" w:sz="4" w:space="0"/>
              <w:bottom w:val="single" w:color="auto" w:sz="4" w:space="0"/>
              <w:right w:val="single" w:color="auto" w:sz="4" w:space="0"/>
            </w:tcBorders>
            <w:vAlign w:val="center"/>
          </w:tcPr>
          <w:p w14:paraId="01EE496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p>
        </w:tc>
        <w:tc>
          <w:tcPr>
            <w:tcW w:w="1275" w:type="pct"/>
            <w:tcBorders>
              <w:top w:val="single" w:color="auto" w:sz="4" w:space="0"/>
              <w:left w:val="single" w:color="auto" w:sz="4" w:space="0"/>
              <w:bottom w:val="single" w:color="auto" w:sz="4" w:space="0"/>
              <w:right w:val="single" w:color="auto" w:sz="4" w:space="0"/>
            </w:tcBorders>
            <w:vAlign w:val="center"/>
          </w:tcPr>
          <w:p w14:paraId="3BEE314A">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发电机</w:t>
            </w:r>
          </w:p>
        </w:tc>
        <w:tc>
          <w:tcPr>
            <w:tcW w:w="817" w:type="pct"/>
            <w:tcBorders>
              <w:top w:val="single" w:color="auto" w:sz="4" w:space="0"/>
              <w:left w:val="single" w:color="auto" w:sz="4" w:space="0"/>
              <w:bottom w:val="single" w:color="auto" w:sz="4" w:space="0"/>
              <w:right w:val="single" w:color="auto" w:sz="4" w:space="0"/>
            </w:tcBorders>
            <w:vAlign w:val="center"/>
          </w:tcPr>
          <w:p w14:paraId="77CB494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en-US" w:eastAsia="zh-CN"/>
              </w:rPr>
            </w:pPr>
          </w:p>
        </w:tc>
        <w:tc>
          <w:tcPr>
            <w:tcW w:w="316" w:type="pct"/>
            <w:tcBorders>
              <w:top w:val="single" w:color="auto" w:sz="4" w:space="0"/>
              <w:left w:val="single" w:color="auto" w:sz="4" w:space="0"/>
              <w:bottom w:val="single" w:color="auto" w:sz="4" w:space="0"/>
              <w:right w:val="single" w:color="auto" w:sz="4" w:space="0"/>
            </w:tcBorders>
            <w:vAlign w:val="center"/>
          </w:tcPr>
          <w:p w14:paraId="2A4F597F">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1</w:t>
            </w:r>
          </w:p>
        </w:tc>
        <w:tc>
          <w:tcPr>
            <w:tcW w:w="346" w:type="pct"/>
            <w:tcBorders>
              <w:top w:val="single" w:color="auto" w:sz="4" w:space="0"/>
              <w:left w:val="single" w:color="auto" w:sz="4" w:space="0"/>
              <w:bottom w:val="single" w:color="auto" w:sz="4" w:space="0"/>
              <w:right w:val="single" w:color="auto" w:sz="4" w:space="0"/>
            </w:tcBorders>
            <w:vAlign w:val="center"/>
          </w:tcPr>
          <w:p w14:paraId="7366FE17">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台</w:t>
            </w:r>
          </w:p>
        </w:tc>
        <w:tc>
          <w:tcPr>
            <w:tcW w:w="611" w:type="pct"/>
            <w:tcBorders>
              <w:top w:val="single" w:color="auto" w:sz="4" w:space="0"/>
              <w:left w:val="single" w:color="auto" w:sz="4" w:space="0"/>
              <w:bottom w:val="single" w:color="auto" w:sz="4" w:space="0"/>
              <w:right w:val="single" w:color="auto" w:sz="4" w:space="0"/>
            </w:tcBorders>
            <w:vAlign w:val="center"/>
          </w:tcPr>
          <w:p w14:paraId="48C6F118">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764" w:type="pct"/>
            <w:tcBorders>
              <w:top w:val="single" w:color="auto" w:sz="4" w:space="0"/>
              <w:left w:val="single" w:color="auto" w:sz="4" w:space="0"/>
              <w:bottom w:val="single" w:color="auto" w:sz="4" w:space="0"/>
              <w:right w:val="single" w:color="auto" w:sz="4" w:space="0"/>
            </w:tcBorders>
            <w:vAlign w:val="center"/>
          </w:tcPr>
          <w:p w14:paraId="563FB6C5">
            <w:pPr>
              <w:keepNext w:val="0"/>
              <w:keepLines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b w:val="0"/>
                <w:bCs w:val="0"/>
                <w:kern w:val="2"/>
                <w:sz w:val="18"/>
                <w:szCs w:val="18"/>
                <w:lang w:val="zh-CN" w:eastAsia="zh-CN" w:bidi="ar-SA"/>
              </w:rPr>
            </w:pPr>
          </w:p>
        </w:tc>
        <w:tc>
          <w:tcPr>
            <w:tcW w:w="552" w:type="pct"/>
            <w:vMerge w:val="continue"/>
            <w:tcBorders>
              <w:left w:val="single" w:color="auto" w:sz="4" w:space="0"/>
              <w:bottom w:val="single" w:color="auto" w:sz="4" w:space="0"/>
              <w:right w:val="single" w:color="auto" w:sz="4" w:space="0"/>
            </w:tcBorders>
            <w:vAlign w:val="center"/>
          </w:tcPr>
          <w:p w14:paraId="739063B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z w:val="18"/>
                <w:szCs w:val="18"/>
                <w:lang w:val="zh-CN"/>
              </w:rPr>
            </w:pPr>
          </w:p>
        </w:tc>
      </w:tr>
      <w:tr w14:paraId="704C4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590" w:type="pct"/>
            <w:gridSpan w:val="2"/>
            <w:tcBorders>
              <w:top w:val="single" w:color="auto" w:sz="4" w:space="0"/>
              <w:left w:val="single" w:color="auto" w:sz="4" w:space="0"/>
              <w:right w:val="single" w:color="auto" w:sz="4" w:space="0"/>
            </w:tcBorders>
            <w:vAlign w:val="center"/>
          </w:tcPr>
          <w:p w14:paraId="494AD0CA">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小计</w:t>
            </w:r>
          </w:p>
        </w:tc>
        <w:tc>
          <w:tcPr>
            <w:tcW w:w="2092" w:type="pct"/>
            <w:gridSpan w:val="4"/>
            <w:tcBorders>
              <w:top w:val="single" w:color="auto" w:sz="4" w:space="0"/>
              <w:left w:val="single" w:color="auto" w:sz="4" w:space="0"/>
              <w:bottom w:val="single" w:color="auto" w:sz="4" w:space="0"/>
              <w:right w:val="single" w:color="auto" w:sz="4" w:space="0"/>
            </w:tcBorders>
            <w:vAlign w:val="center"/>
          </w:tcPr>
          <w:p w14:paraId="466C124A">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764" w:type="pct"/>
            <w:tcBorders>
              <w:top w:val="single" w:color="auto" w:sz="4" w:space="0"/>
              <w:left w:val="single" w:color="auto" w:sz="4" w:space="0"/>
              <w:bottom w:val="single" w:color="auto" w:sz="4" w:space="0"/>
              <w:right w:val="single" w:color="auto" w:sz="4" w:space="0"/>
            </w:tcBorders>
            <w:vAlign w:val="center"/>
          </w:tcPr>
          <w:p w14:paraId="1AEA5228">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552" w:type="pct"/>
            <w:tcBorders>
              <w:top w:val="single" w:color="auto" w:sz="4" w:space="0"/>
              <w:left w:val="single" w:color="auto" w:sz="4" w:space="0"/>
              <w:right w:val="single" w:color="auto" w:sz="4" w:space="0"/>
            </w:tcBorders>
            <w:vAlign w:val="center"/>
          </w:tcPr>
          <w:p w14:paraId="47E8876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z w:val="18"/>
                <w:szCs w:val="18"/>
              </w:rPr>
            </w:pPr>
          </w:p>
        </w:tc>
      </w:tr>
      <w:tr w14:paraId="25929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9698E97">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合计：小写：</w:t>
            </w:r>
            <w:r>
              <w:rPr>
                <w:rFonts w:hint="default" w:ascii="Arial" w:hAnsi="Arial" w:eastAsia="宋体" w:cs="Arial"/>
                <w:b w:val="0"/>
                <w:bCs w:val="0"/>
                <w:sz w:val="18"/>
                <w:szCs w:val="18"/>
                <w:lang w:val="en-US" w:eastAsia="zh-CN"/>
              </w:rPr>
              <w:t>¥</w:t>
            </w:r>
            <w:r>
              <w:rPr>
                <w:rFonts w:hint="eastAsia" w:ascii="宋体" w:hAnsi="宋体" w:eastAsia="宋体" w:cs="宋体"/>
                <w:b w:val="0"/>
                <w:bCs w:val="0"/>
                <w:sz w:val="18"/>
                <w:szCs w:val="18"/>
                <w:lang w:val="en-US" w:eastAsia="zh-CN"/>
              </w:rPr>
              <w:t>；大写：</w:t>
            </w:r>
          </w:p>
        </w:tc>
      </w:tr>
    </w:tbl>
    <w:p w14:paraId="163864F2">
      <w:pPr>
        <w:snapToGrid w:val="0"/>
        <w:spacing w:line="360" w:lineRule="exact"/>
        <w:jc w:val="left"/>
        <w:rPr>
          <w:rFonts w:hint="default" w:ascii="宋体" w:hAnsi="宋体" w:eastAsia="宋体"/>
          <w:szCs w:val="21"/>
          <w:lang w:val="en-US" w:eastAsia="zh-CN"/>
        </w:rPr>
      </w:pPr>
      <w:r>
        <w:rPr>
          <w:rFonts w:hint="eastAsia" w:ascii="宋体" w:hAnsi="宋体" w:cs="宋体"/>
          <w:szCs w:val="21"/>
        </w:rPr>
        <w:t>2、品牌:</w:t>
      </w:r>
      <w:r>
        <w:rPr>
          <w:rFonts w:hint="eastAsia" w:ascii="宋体" w:hAnsi="宋体"/>
          <w:szCs w:val="21"/>
          <w:lang w:val="en-US" w:eastAsia="zh-CN"/>
        </w:rPr>
        <w:t>********</w:t>
      </w:r>
    </w:p>
    <w:p w14:paraId="68DD85B0">
      <w:pPr>
        <w:snapToGrid w:val="0"/>
        <w:spacing w:line="360" w:lineRule="exact"/>
        <w:jc w:val="left"/>
        <w:rPr>
          <w:rFonts w:ascii="宋体" w:hAnsi="宋体" w:cs="宋体"/>
          <w:szCs w:val="21"/>
        </w:rPr>
      </w:pPr>
      <w:r>
        <w:rPr>
          <w:rFonts w:hint="eastAsia" w:ascii="宋体" w:hAnsi="宋体" w:cs="宋体"/>
          <w:szCs w:val="21"/>
        </w:rPr>
        <w:t>3、合同总额包括乙方设计、安装、随机零配件、标配工具、运输保险、调试、培训、质保期服务、各项税费及合同实施过程中不可预见费用等项目相关的一切费用。</w:t>
      </w:r>
    </w:p>
    <w:p w14:paraId="5B5BA788">
      <w:pPr>
        <w:snapToGrid w:val="0"/>
        <w:spacing w:line="360" w:lineRule="exact"/>
        <w:jc w:val="left"/>
        <w:rPr>
          <w:rFonts w:ascii="宋体" w:hAnsi="宋体" w:cs="宋体"/>
          <w:sz w:val="24"/>
        </w:rPr>
      </w:pPr>
      <w:r>
        <w:rPr>
          <w:rFonts w:hint="eastAsia" w:ascii="宋体" w:hAnsi="宋体" w:cs="宋体"/>
          <w:szCs w:val="21"/>
        </w:rPr>
        <w:t>4、货物名称内容必须与投标文件中货物名称内容一致。</w:t>
      </w:r>
      <w:bookmarkStart w:id="13" w:name="_Toc25015"/>
    </w:p>
    <w:p w14:paraId="7634CE2B">
      <w:pPr>
        <w:snapToGrid w:val="0"/>
        <w:spacing w:line="360" w:lineRule="exact"/>
        <w:jc w:val="left"/>
        <w:rPr>
          <w:rFonts w:ascii="宋体" w:hAnsi="宋体" w:cs="宋体"/>
          <w:sz w:val="24"/>
        </w:rPr>
      </w:pPr>
      <w:r>
        <w:rPr>
          <w:rFonts w:hint="eastAsia" w:ascii="宋体" w:hAnsi="宋体" w:cs="宋体"/>
          <w:b/>
          <w:sz w:val="24"/>
        </w:rPr>
        <w:t>二、设备要求</w:t>
      </w:r>
      <w:bookmarkEnd w:id="13"/>
    </w:p>
    <w:p w14:paraId="20EB3EB1">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1.货物为原制造商制造的全新产品，整机无污染，无侵权行为、表面无划损、无任何缺陷隐患，在中国境内可依常规安全合法使用。</w:t>
      </w:r>
    </w:p>
    <w:p w14:paraId="22C7D32B">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2.交付验收标准依次序对照适用标准为：①符合中华人民共和国国家安全质量标准、环保标准或行业标准；②符合招标文件和响应承诺中甲方认可的合理最佳配置、参数及各项要求；③货物来源国官方标准。</w:t>
      </w:r>
    </w:p>
    <w:p w14:paraId="070B40CC">
      <w:pPr>
        <w:tabs>
          <w:tab w:val="left" w:pos="425"/>
          <w:tab w:val="left" w:pos="73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3.货物为原厂商未启封全新包装，具出厂合格证，序列号、包装箱号与出厂批号一致，并可追索查阅。</w:t>
      </w:r>
    </w:p>
    <w:p w14:paraId="05A6AB21">
      <w:pPr>
        <w:tabs>
          <w:tab w:val="left" w:pos="360"/>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4.乙方应将关键主机设备的用户手册、保修手册、有关单证资料及配备件、随机工具等交付给甲方，使用操作及安全须知等重要资料应附有中文说明。</w:t>
      </w:r>
    </w:p>
    <w:p w14:paraId="52BF4764">
      <w:pPr>
        <w:tabs>
          <w:tab w:val="left" w:pos="425"/>
        </w:tabs>
        <w:spacing w:line="360" w:lineRule="exact"/>
        <w:jc w:val="left"/>
        <w:outlineLvl w:val="2"/>
        <w:rPr>
          <w:rFonts w:ascii="宋体" w:hAnsi="宋体" w:cs="宋体"/>
          <w:b/>
          <w:sz w:val="24"/>
        </w:rPr>
      </w:pPr>
      <w:bookmarkStart w:id="14" w:name="_Toc9082"/>
      <w:r>
        <w:rPr>
          <w:rFonts w:hint="eastAsia" w:ascii="宋体" w:hAnsi="宋体" w:cs="宋体"/>
          <w:b/>
          <w:sz w:val="24"/>
        </w:rPr>
        <w:t>三、质量要求：</w:t>
      </w:r>
      <w:bookmarkEnd w:id="14"/>
    </w:p>
    <w:p w14:paraId="3032777D">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1.乙方须提供全新的货物（含零部件、配件等）表面无划伤、无碰撞痕迹，且权属清楚，不得侵害他人的知识产权。</w:t>
      </w:r>
    </w:p>
    <w:p w14:paraId="4B6C8AA7">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2.货物必须符合或优于国家（行业）</w:t>
      </w:r>
      <w:r>
        <w:rPr>
          <w:rFonts w:hint="eastAsia" w:ascii="宋体" w:hAnsi="宋体" w:cs="宋体"/>
          <w:szCs w:val="21"/>
          <w:u w:val="single"/>
        </w:rPr>
        <w:t xml:space="preserve"> 行业  </w:t>
      </w:r>
      <w:r>
        <w:rPr>
          <w:rFonts w:hint="eastAsia" w:ascii="宋体" w:hAnsi="宋体" w:cs="宋体"/>
          <w:szCs w:val="21"/>
        </w:rPr>
        <w:t>标准，以及本项目招标文件的质量要求和技术指标与出厂标准。</w:t>
      </w:r>
    </w:p>
    <w:p w14:paraId="76F222DC">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w:t>
      </w:r>
      <w:r>
        <w:rPr>
          <w:rFonts w:hint="eastAsia" w:ascii="宋体" w:hAnsi="宋体"/>
          <w:szCs w:val="21"/>
        </w:rPr>
        <w:t xml:space="preserve"> </w:t>
      </w:r>
      <w:r>
        <w:rPr>
          <w:rFonts w:hint="eastAsia" w:ascii="宋体" w:hAnsi="宋体" w:cs="宋体"/>
          <w:szCs w:val="21"/>
        </w:rPr>
        <w:t>货物质量出现问题，乙方应负责三包（包修、包换、包退），费用由乙方负担，甲方有权到乙方生产场地检查货物质量和生产进度。</w:t>
      </w:r>
    </w:p>
    <w:p w14:paraId="6D7B17BD">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4.货到现场后由于甲方保管不当造成的质量问题，乙方亦应负责修理，但费用由甲方负担。</w:t>
      </w:r>
    </w:p>
    <w:p w14:paraId="56804F8E">
      <w:pPr>
        <w:tabs>
          <w:tab w:val="left" w:pos="425"/>
          <w:tab w:val="left" w:pos="960"/>
        </w:tabs>
        <w:spacing w:line="360" w:lineRule="exact"/>
        <w:jc w:val="left"/>
        <w:outlineLvl w:val="2"/>
        <w:rPr>
          <w:rFonts w:ascii="宋体" w:hAnsi="宋体" w:cs="宋体"/>
          <w:b/>
          <w:sz w:val="24"/>
        </w:rPr>
      </w:pPr>
      <w:bookmarkStart w:id="15" w:name="_Toc14428"/>
      <w:r>
        <w:rPr>
          <w:rFonts w:hint="eastAsia" w:ascii="宋体" w:hAnsi="宋体" w:cs="宋体"/>
          <w:b/>
          <w:sz w:val="24"/>
        </w:rPr>
        <w:t>四、交货期、交货方式及交货地点</w:t>
      </w:r>
      <w:bookmarkEnd w:id="15"/>
    </w:p>
    <w:p w14:paraId="742CCC3B">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1.交货期：</w:t>
      </w:r>
      <w:r>
        <w:rPr>
          <w:rFonts w:hint="eastAsia" w:ascii="宋体" w:hAnsi="宋体"/>
          <w:szCs w:val="21"/>
        </w:rPr>
        <w:t>合同签订后</w:t>
      </w:r>
      <w:r>
        <w:rPr>
          <w:rFonts w:hint="eastAsia" w:ascii="宋体" w:hAnsi="宋体"/>
          <w:szCs w:val="21"/>
          <w:u w:val="single"/>
        </w:rPr>
        <w:t>30</w:t>
      </w:r>
      <w:r>
        <w:rPr>
          <w:rFonts w:hint="eastAsia" w:ascii="宋体" w:hAnsi="宋体"/>
          <w:szCs w:val="21"/>
        </w:rPr>
        <w:t>日内</w:t>
      </w:r>
      <w:r>
        <w:rPr>
          <w:rFonts w:hint="eastAsia" w:ascii="宋体" w:hAnsi="宋体" w:cs="宋体"/>
          <w:szCs w:val="21"/>
        </w:rPr>
        <w:t>（包括交付、安装、调试运行正常至可验收状态）</w:t>
      </w:r>
    </w:p>
    <w:p w14:paraId="01596E9C">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2.交货地点：</w:t>
      </w:r>
      <w:r>
        <w:rPr>
          <w:rFonts w:hint="eastAsia" w:ascii="宋体" w:hAnsi="宋体"/>
          <w:szCs w:val="21"/>
        </w:rPr>
        <w:t>采购方指定地点（</w:t>
      </w:r>
      <w:r>
        <w:rPr>
          <w:rFonts w:hint="eastAsia" w:ascii="宋体" w:hAnsi="宋体" w:cs="宋体"/>
          <w:szCs w:val="21"/>
        </w:rPr>
        <w:t>龙岗中心医院</w:t>
      </w:r>
      <w:r>
        <w:rPr>
          <w:rFonts w:hint="eastAsia" w:ascii="宋体" w:hAnsi="宋体" w:cs="宋体"/>
          <w:szCs w:val="21"/>
          <w:lang w:val="en-US" w:eastAsia="zh-CN"/>
        </w:rPr>
        <w:t>*******</w:t>
      </w:r>
      <w:r>
        <w:rPr>
          <w:rFonts w:hint="eastAsia" w:ascii="宋体" w:hAnsi="宋体" w:cs="宋体"/>
          <w:szCs w:val="21"/>
        </w:rPr>
        <w:t>社康）</w:t>
      </w:r>
      <w:r>
        <w:rPr>
          <w:rFonts w:hint="eastAsia" w:ascii="宋体" w:hAnsi="宋体"/>
          <w:bCs/>
          <w:szCs w:val="21"/>
        </w:rPr>
        <w:t>。</w:t>
      </w:r>
    </w:p>
    <w:p w14:paraId="02C592DF">
      <w:pPr>
        <w:tabs>
          <w:tab w:val="left" w:pos="425"/>
          <w:tab w:val="left" w:pos="960"/>
        </w:tabs>
        <w:spacing w:line="360" w:lineRule="exact"/>
        <w:jc w:val="left"/>
        <w:outlineLvl w:val="2"/>
        <w:rPr>
          <w:rFonts w:ascii="宋体" w:hAnsi="宋体" w:cs="宋体"/>
          <w:b/>
          <w:sz w:val="24"/>
        </w:rPr>
      </w:pPr>
      <w:bookmarkStart w:id="16" w:name="_Toc24297"/>
      <w:r>
        <w:rPr>
          <w:rFonts w:hint="eastAsia" w:ascii="宋体" w:hAnsi="宋体" w:cs="宋体"/>
          <w:b/>
          <w:sz w:val="24"/>
        </w:rPr>
        <w:t>五、付款方式：</w:t>
      </w:r>
      <w:bookmarkEnd w:id="16"/>
    </w:p>
    <w:p w14:paraId="4B922E0D">
      <w:pPr>
        <w:tabs>
          <w:tab w:val="left" w:pos="425"/>
          <w:tab w:val="left" w:pos="960"/>
        </w:tabs>
        <w:spacing w:line="360" w:lineRule="exact"/>
        <w:jc w:val="left"/>
        <w:outlineLvl w:val="2"/>
        <w:rPr>
          <w:rFonts w:ascii="宋体" w:hAnsi="宋体"/>
          <w:szCs w:val="21"/>
        </w:rPr>
      </w:pPr>
      <w:r>
        <w:rPr>
          <w:rFonts w:hint="eastAsia" w:ascii="宋体" w:hAnsi="宋体"/>
          <w:szCs w:val="21"/>
        </w:rPr>
        <w:t>1.付款：甲方付款前，乙方提供全额发票,转</w:t>
      </w:r>
      <w:r>
        <w:rPr>
          <w:rFonts w:hint="eastAsia" w:ascii="宋体" w:hAnsi="宋体"/>
          <w:szCs w:val="21"/>
          <w:lang w:eastAsia="zh-CN"/>
        </w:rPr>
        <w:t>账</w:t>
      </w:r>
      <w:r>
        <w:rPr>
          <w:rFonts w:hint="eastAsia" w:ascii="宋体" w:hAnsi="宋体"/>
          <w:szCs w:val="21"/>
        </w:rPr>
        <w:t>支付。</w:t>
      </w:r>
    </w:p>
    <w:p w14:paraId="41283B94">
      <w:pPr>
        <w:tabs>
          <w:tab w:val="left" w:pos="425"/>
          <w:tab w:val="left" w:pos="960"/>
        </w:tabs>
        <w:spacing w:line="360" w:lineRule="exact"/>
        <w:jc w:val="left"/>
        <w:outlineLvl w:val="2"/>
        <w:rPr>
          <w:rFonts w:ascii="宋体" w:hAnsi="宋体" w:cs="宋体"/>
          <w:b/>
          <w:sz w:val="24"/>
        </w:rPr>
      </w:pPr>
      <w:bookmarkStart w:id="17" w:name="_Toc8340"/>
      <w:r>
        <w:rPr>
          <w:rFonts w:hint="eastAsia" w:ascii="宋体" w:hAnsi="宋体" w:cs="宋体"/>
          <w:b/>
          <w:sz w:val="24"/>
        </w:rPr>
        <w:t>六、质保期及售后服务要求</w:t>
      </w:r>
      <w:bookmarkEnd w:id="17"/>
    </w:p>
    <w:p w14:paraId="0947E301">
      <w:pPr>
        <w:tabs>
          <w:tab w:val="left" w:pos="425"/>
        </w:tabs>
        <w:autoSpaceDE w:val="0"/>
        <w:autoSpaceDN w:val="0"/>
        <w:adjustRightInd w:val="0"/>
        <w:snapToGrid w:val="0"/>
        <w:spacing w:line="360" w:lineRule="exact"/>
        <w:jc w:val="left"/>
        <w:rPr>
          <w:rFonts w:ascii="宋体" w:hAnsi="宋体" w:cs="仿宋_GB2312"/>
          <w:szCs w:val="21"/>
        </w:rPr>
      </w:pPr>
      <w:r>
        <w:rPr>
          <w:rFonts w:hint="eastAsia" w:ascii="宋体" w:hAnsi="宋体" w:cs="宋体"/>
          <w:szCs w:val="21"/>
        </w:rPr>
        <w:t xml:space="preserve">1．本合同的质量保证期（简称“质保期”）为 </w:t>
      </w:r>
      <w:r>
        <w:rPr>
          <w:rFonts w:hint="eastAsia" w:ascii="宋体" w:hAnsi="宋体" w:cs="宋体"/>
          <w:szCs w:val="21"/>
          <w:u w:val="single"/>
          <w:lang w:val="en-US" w:eastAsia="zh-CN"/>
        </w:rPr>
        <w:t>肆</w:t>
      </w:r>
      <w:r>
        <w:rPr>
          <w:rFonts w:hint="eastAsia" w:ascii="宋体" w:hAnsi="宋体" w:cs="宋体"/>
          <w:szCs w:val="21"/>
        </w:rPr>
        <w:t>年；</w:t>
      </w:r>
      <w:r>
        <w:rPr>
          <w:rStyle w:val="56"/>
          <w:rFonts w:hint="eastAsia" w:ascii="宋体" w:hAnsi="宋体" w:cs="宋体"/>
          <w:bCs/>
          <w:spacing w:val="20"/>
          <w:szCs w:val="21"/>
        </w:rPr>
        <w:t>保修期</w:t>
      </w:r>
      <w:r>
        <w:rPr>
          <w:rStyle w:val="56"/>
          <w:rFonts w:hint="eastAsia" w:ascii="宋体" w:hAnsi="宋体" w:cs="宋体"/>
          <w:bCs/>
          <w:spacing w:val="20"/>
          <w:szCs w:val="21"/>
          <w:lang w:val="en-US" w:eastAsia="zh-CN"/>
        </w:rPr>
        <w:t>*****</w:t>
      </w:r>
      <w:r>
        <w:rPr>
          <w:rStyle w:val="56"/>
          <w:rFonts w:hint="eastAsia" w:ascii="宋体" w:hAnsi="宋体" w:cs="宋体"/>
          <w:bCs/>
          <w:spacing w:val="20"/>
          <w:szCs w:val="21"/>
        </w:rPr>
        <w:t>年；</w:t>
      </w:r>
      <w:r>
        <w:rPr>
          <w:rFonts w:hint="eastAsia" w:ascii="宋体" w:hAnsi="宋体" w:cs="宋体"/>
          <w:szCs w:val="21"/>
        </w:rPr>
        <w:t>质保期自货物最终验收合格之日起算，质保期内乙方对所供货物实行包修、包换、包退、包维护保养；保质期满后终身维修免人工费；</w:t>
      </w:r>
      <w:r>
        <w:rPr>
          <w:rFonts w:hint="eastAsia" w:ascii="宋体" w:hAnsi="宋体"/>
          <w:szCs w:val="21"/>
        </w:rPr>
        <w:t>按厂家统一零配件价格</w:t>
      </w:r>
      <w:r>
        <w:rPr>
          <w:rFonts w:hint="eastAsia" w:ascii="宋体" w:hAnsi="宋体"/>
          <w:szCs w:val="21"/>
          <w:lang w:val="en-US" w:eastAsia="zh-CN"/>
        </w:rPr>
        <w:t>九折</w:t>
      </w:r>
      <w:r>
        <w:rPr>
          <w:rFonts w:hint="eastAsia" w:ascii="宋体" w:hAnsi="宋体"/>
          <w:szCs w:val="21"/>
        </w:rPr>
        <w:t>收取材料费用</w:t>
      </w:r>
      <w:r>
        <w:rPr>
          <w:rFonts w:hint="eastAsia" w:ascii="宋体" w:hAnsi="宋体" w:cs="宋体"/>
          <w:szCs w:val="21"/>
        </w:rPr>
        <w:t>。</w:t>
      </w:r>
    </w:p>
    <w:p w14:paraId="48717ACD">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2.质保期内，如设备或零部件因非人为因素出现故障而造成短期停用时，则质保期和免费维修期相应顺延。如停用时间累计超过60天则质保期重新计算。</w:t>
      </w:r>
    </w:p>
    <w:p w14:paraId="7439AD92">
      <w:pPr>
        <w:tabs>
          <w:tab w:val="left" w:pos="425"/>
        </w:tabs>
        <w:autoSpaceDE w:val="0"/>
        <w:autoSpaceDN w:val="0"/>
        <w:adjustRightInd w:val="0"/>
        <w:snapToGrid w:val="0"/>
        <w:spacing w:line="360" w:lineRule="exact"/>
        <w:jc w:val="left"/>
        <w:rPr>
          <w:rFonts w:ascii="宋体" w:hAnsi="宋体"/>
          <w:bCs/>
          <w:szCs w:val="21"/>
        </w:rPr>
      </w:pPr>
      <w:r>
        <w:rPr>
          <w:rFonts w:hint="eastAsia" w:ascii="宋体" w:hAnsi="宋体"/>
          <w:bCs/>
          <w:szCs w:val="21"/>
        </w:rPr>
        <w:t>3.在免费保修期内，一旦发生产品质量及安装问题，供应商保证在接到通知</w:t>
      </w:r>
      <w:r>
        <w:rPr>
          <w:rFonts w:hint="eastAsia" w:ascii="宋体" w:hAnsi="宋体"/>
          <w:bCs/>
          <w:szCs w:val="21"/>
          <w:lang w:val="en-US" w:eastAsia="zh-CN"/>
        </w:rPr>
        <w:t>30分钟</w:t>
      </w:r>
      <w:r>
        <w:rPr>
          <w:rFonts w:hint="eastAsia" w:ascii="宋体" w:hAnsi="宋体"/>
          <w:bCs/>
          <w:szCs w:val="21"/>
        </w:rPr>
        <w:t>内赶到现场，进行</w:t>
      </w:r>
      <w:r>
        <w:rPr>
          <w:rFonts w:hint="eastAsia" w:ascii="宋体" w:hAnsi="宋体"/>
          <w:szCs w:val="21"/>
        </w:rPr>
        <w:t>免费</w:t>
      </w:r>
      <w:r>
        <w:rPr>
          <w:rFonts w:hint="eastAsia" w:ascii="宋体" w:hAnsi="宋体"/>
          <w:bCs/>
          <w:szCs w:val="21"/>
        </w:rPr>
        <w:t>维修或更换</w:t>
      </w:r>
      <w:r>
        <w:rPr>
          <w:rFonts w:hint="eastAsia" w:ascii="宋体" w:hAnsi="宋体"/>
          <w:szCs w:val="21"/>
        </w:rPr>
        <w:t>有缺陷的设备或部件</w:t>
      </w:r>
      <w:r>
        <w:rPr>
          <w:rFonts w:hint="eastAsia" w:ascii="宋体" w:hAnsi="宋体"/>
          <w:bCs/>
          <w:szCs w:val="21"/>
        </w:rPr>
        <w:t>；响应时间：</w:t>
      </w:r>
      <w:r>
        <w:rPr>
          <w:rFonts w:hint="eastAsia" w:ascii="宋体" w:hAnsi="宋体"/>
          <w:bCs/>
          <w:szCs w:val="21"/>
          <w:lang w:val="en-US" w:eastAsia="zh-CN"/>
        </w:rPr>
        <w:t>10分钟</w:t>
      </w:r>
      <w:r>
        <w:rPr>
          <w:rFonts w:hint="eastAsia" w:ascii="宋体" w:hAnsi="宋体"/>
          <w:bCs/>
          <w:szCs w:val="21"/>
        </w:rPr>
        <w:t>响应；修复时间：</w:t>
      </w:r>
      <w:r>
        <w:rPr>
          <w:rFonts w:hint="eastAsia" w:ascii="宋体" w:hAnsi="宋体"/>
          <w:bCs/>
          <w:szCs w:val="21"/>
          <w:lang w:val="en-US" w:eastAsia="zh-CN"/>
        </w:rPr>
        <w:t>24</w:t>
      </w:r>
      <w:r>
        <w:rPr>
          <w:rFonts w:hint="eastAsia" w:ascii="宋体" w:hAnsi="宋体"/>
          <w:bCs/>
          <w:szCs w:val="21"/>
        </w:rPr>
        <w:t>小时内；冗余服务：在</w:t>
      </w:r>
      <w:r>
        <w:rPr>
          <w:rFonts w:hint="eastAsia" w:ascii="宋体" w:hAnsi="宋体"/>
          <w:bCs/>
          <w:szCs w:val="21"/>
          <w:lang w:val="en-US" w:eastAsia="zh-CN"/>
        </w:rPr>
        <w:t>48</w:t>
      </w:r>
      <w:r>
        <w:rPr>
          <w:rFonts w:hint="eastAsia" w:ascii="宋体" w:hAnsi="宋体"/>
          <w:bCs/>
          <w:szCs w:val="21"/>
        </w:rPr>
        <w:t>小时内或紧急情况下，未能修复，提供具有同样功能的设备供使用单位使用。</w:t>
      </w:r>
    </w:p>
    <w:p w14:paraId="24E5808B">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4.乙方响应、维修不符合合同约定，甲方有权自行或委托第三方维修，费用、损失由乙方负担，乙方每次另支付合同价款3‰的惩罚性违约金”。</w:t>
      </w:r>
    </w:p>
    <w:p w14:paraId="1CDC2C28">
      <w:pPr>
        <w:tabs>
          <w:tab w:val="left" w:pos="425"/>
        </w:tabs>
        <w:autoSpaceDE w:val="0"/>
        <w:autoSpaceDN w:val="0"/>
        <w:adjustRightInd w:val="0"/>
        <w:snapToGrid w:val="0"/>
        <w:spacing w:line="360" w:lineRule="exact"/>
        <w:jc w:val="left"/>
        <w:rPr>
          <w:rFonts w:ascii="宋体" w:hAnsi="宋体"/>
          <w:b/>
        </w:rPr>
      </w:pPr>
      <w:r>
        <w:rPr>
          <w:rFonts w:hint="eastAsia" w:ascii="宋体" w:hAnsi="宋体"/>
          <w:b/>
        </w:rPr>
        <w:t>七、履约保证金</w:t>
      </w:r>
    </w:p>
    <w:p w14:paraId="5AE31BC1">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无</w:t>
      </w:r>
    </w:p>
    <w:p w14:paraId="11B5BFD4">
      <w:pPr>
        <w:tabs>
          <w:tab w:val="left" w:pos="425"/>
          <w:tab w:val="left" w:pos="960"/>
        </w:tabs>
        <w:spacing w:line="360" w:lineRule="exact"/>
        <w:jc w:val="left"/>
        <w:outlineLvl w:val="2"/>
        <w:rPr>
          <w:rFonts w:ascii="宋体" w:hAnsi="宋体" w:cs="宋体"/>
          <w:b/>
          <w:sz w:val="24"/>
        </w:rPr>
      </w:pPr>
      <w:bookmarkStart w:id="18" w:name="_Toc19660"/>
      <w:r>
        <w:rPr>
          <w:rFonts w:hint="eastAsia" w:ascii="宋体" w:hAnsi="宋体" w:cs="宋体"/>
          <w:b/>
          <w:sz w:val="24"/>
        </w:rPr>
        <w:t>八、安装与调试</w:t>
      </w:r>
      <w:bookmarkEnd w:id="18"/>
    </w:p>
    <w:p w14:paraId="11A6E917">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乙方依照招标文件的要求和投标文件的承诺，将设备、系统安装并调试至正常运行的最佳状态。</w:t>
      </w:r>
    </w:p>
    <w:p w14:paraId="5B4E062B">
      <w:pPr>
        <w:tabs>
          <w:tab w:val="left" w:pos="425"/>
          <w:tab w:val="left" w:pos="960"/>
        </w:tabs>
        <w:spacing w:line="360" w:lineRule="exact"/>
        <w:jc w:val="left"/>
        <w:outlineLvl w:val="2"/>
        <w:rPr>
          <w:rFonts w:ascii="宋体" w:hAnsi="宋体" w:cs="宋体"/>
          <w:b/>
          <w:sz w:val="24"/>
        </w:rPr>
      </w:pPr>
      <w:bookmarkStart w:id="19" w:name="_Toc235"/>
      <w:r>
        <w:rPr>
          <w:rFonts w:hint="eastAsia" w:ascii="宋体" w:hAnsi="宋体" w:cs="宋体"/>
          <w:b/>
          <w:sz w:val="24"/>
        </w:rPr>
        <w:t>九、验收</w:t>
      </w:r>
      <w:bookmarkEnd w:id="19"/>
    </w:p>
    <w:p w14:paraId="166C8629">
      <w:pPr>
        <w:tabs>
          <w:tab w:val="left" w:pos="425"/>
          <w:tab w:val="left" w:pos="900"/>
        </w:tabs>
        <w:autoSpaceDE w:val="0"/>
        <w:autoSpaceDN w:val="0"/>
        <w:adjustRightInd w:val="0"/>
        <w:snapToGrid w:val="0"/>
        <w:spacing w:line="360" w:lineRule="exact"/>
        <w:jc w:val="left"/>
        <w:rPr>
          <w:rFonts w:ascii="宋体" w:hAnsi="宋体"/>
          <w:szCs w:val="21"/>
        </w:rPr>
      </w:pPr>
      <w:r>
        <w:rPr>
          <w:rFonts w:hint="eastAsia" w:ascii="宋体" w:hAnsi="宋体"/>
          <w:szCs w:val="21"/>
        </w:rPr>
        <w:t>1.乙方派有经验的技术人员到现场进行安装、调试，直到设备正常使用。</w:t>
      </w:r>
    </w:p>
    <w:p w14:paraId="0D9D9E58">
      <w:pPr>
        <w:tabs>
          <w:tab w:val="left" w:pos="425"/>
          <w:tab w:val="left" w:pos="900"/>
        </w:tabs>
        <w:autoSpaceDE w:val="0"/>
        <w:autoSpaceDN w:val="0"/>
        <w:adjustRightInd w:val="0"/>
        <w:snapToGrid w:val="0"/>
        <w:spacing w:line="360" w:lineRule="exact"/>
        <w:jc w:val="left"/>
        <w:rPr>
          <w:rFonts w:ascii="宋体" w:hAnsi="宋体"/>
          <w:szCs w:val="21"/>
        </w:rPr>
      </w:pPr>
      <w:r>
        <w:rPr>
          <w:rFonts w:hint="eastAsia" w:ascii="宋体" w:hAnsi="宋体"/>
          <w:szCs w:val="21"/>
        </w:rPr>
        <w:t>2.由甲方按合同和招标、投标文件约定的要求和标准及中华人民共和国现行的验收规范和评定标准进行交货验收。</w:t>
      </w:r>
    </w:p>
    <w:p w14:paraId="2D7351E7">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3．乙方应将关键主机设备的用户手册、保修手册、有关单证资料及配备件、随机工具等交付给甲方，使用操作及安全须知等重要资料应附有中文说明。</w:t>
      </w:r>
    </w:p>
    <w:p w14:paraId="017C0D6D">
      <w:pPr>
        <w:tabs>
          <w:tab w:val="left" w:pos="425"/>
          <w:tab w:val="left" w:pos="960"/>
        </w:tabs>
        <w:spacing w:line="360" w:lineRule="exact"/>
        <w:jc w:val="left"/>
        <w:outlineLvl w:val="2"/>
        <w:rPr>
          <w:rFonts w:ascii="宋体" w:hAnsi="宋体" w:cs="宋体"/>
          <w:b/>
          <w:sz w:val="24"/>
        </w:rPr>
      </w:pPr>
      <w:bookmarkStart w:id="20" w:name="_Toc21736"/>
      <w:r>
        <w:rPr>
          <w:rFonts w:hint="eastAsia" w:ascii="宋体" w:hAnsi="宋体" w:cs="宋体"/>
          <w:b/>
          <w:sz w:val="24"/>
        </w:rPr>
        <w:t>十、违约责任与赔偿损失</w:t>
      </w:r>
      <w:bookmarkEnd w:id="20"/>
    </w:p>
    <w:p w14:paraId="0BF92E25">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1．乙方交付的货物、工程/提供的服务不符合招标文件、投标文件或本合同规定的， 或验收不合格，甲方有权拒收、解除合同，并且乙方须向甲方支付本合同总价5%的违约金。</w:t>
      </w:r>
    </w:p>
    <w:p w14:paraId="6C1C5B41">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2．乙方未能按本合同规定的交货时间交付货物的/提供服务，从逾期之日起每日按本合同总价3‰的数额向甲方支付违约金并继续履行，逾期15天以上（含15天）的，甲方有权解除、终止合同。</w:t>
      </w:r>
    </w:p>
    <w:p w14:paraId="05F06068">
      <w:pPr>
        <w:tabs>
          <w:tab w:val="left" w:pos="425"/>
          <w:tab w:val="left" w:pos="900"/>
        </w:tabs>
        <w:autoSpaceDE w:val="0"/>
        <w:autoSpaceDN w:val="0"/>
        <w:adjustRightInd w:val="0"/>
        <w:snapToGrid w:val="0"/>
        <w:spacing w:line="360" w:lineRule="exact"/>
        <w:jc w:val="left"/>
        <w:rPr>
          <w:rFonts w:hint="eastAsia" w:ascii="宋体" w:hAnsi="宋体" w:cs="宋体"/>
          <w:szCs w:val="21"/>
        </w:rPr>
      </w:pPr>
      <w:r>
        <w:rPr>
          <w:rFonts w:hint="eastAsia" w:ascii="宋体" w:hAnsi="宋体" w:cs="宋体"/>
          <w:szCs w:val="21"/>
        </w:rPr>
        <w:t>3．甲方无正当理由拒收货物/接受服务，到期拒付货物/服务款项的，甲方向乙方偿付本合同总价的5%的违约金。违约金最高不超过合同总价的5%，甲方提交付款日期即为付款日期，审批导致的延迟付款不视为逾期付款。</w:t>
      </w:r>
    </w:p>
    <w:p w14:paraId="027773F4">
      <w:pPr>
        <w:tabs>
          <w:tab w:val="left" w:pos="425"/>
          <w:tab w:val="left" w:pos="900"/>
        </w:tabs>
        <w:autoSpaceDE w:val="0"/>
        <w:autoSpaceDN w:val="0"/>
        <w:adjustRightInd w:val="0"/>
        <w:snapToGrid w:val="0"/>
        <w:spacing w:line="360" w:lineRule="exact"/>
        <w:jc w:val="left"/>
        <w:rPr>
          <w:rFonts w:hint="default" w:ascii="宋体" w:hAnsi="宋体" w:eastAsia="宋体" w:cs="宋体"/>
          <w:szCs w:val="21"/>
          <w:lang w:val="en-US" w:eastAsia="zh-CN"/>
        </w:rPr>
      </w:pPr>
      <w:r>
        <w:rPr>
          <w:rFonts w:hint="eastAsia" w:ascii="宋体" w:hAnsi="宋体" w:cs="宋体"/>
          <w:szCs w:val="21"/>
          <w:lang w:val="en-US" w:eastAsia="zh-CN"/>
        </w:rPr>
        <w:t>4.投标人如承诺中标（成交）后取得相关认证证书的，如未按承诺要求在相应时间内取得相关认证证书的，将视为合同违约，需支付合同金额10%的违约金。</w:t>
      </w:r>
    </w:p>
    <w:p w14:paraId="28D07DDA">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．其它违约责任按《中华人民共和国</w:t>
      </w:r>
      <w:r>
        <w:rPr>
          <w:rFonts w:hint="eastAsia" w:ascii="宋体" w:hAnsi="宋体" w:cs="宋体"/>
          <w:szCs w:val="21"/>
          <w:lang w:val="en-US" w:eastAsia="zh-CN"/>
        </w:rPr>
        <w:t>民法典</w:t>
      </w:r>
      <w:r>
        <w:rPr>
          <w:rFonts w:hint="eastAsia" w:ascii="宋体" w:hAnsi="宋体" w:cs="宋体"/>
          <w:szCs w:val="21"/>
        </w:rPr>
        <w:t>》处理。</w:t>
      </w:r>
    </w:p>
    <w:p w14:paraId="674D7D58">
      <w:pPr>
        <w:tabs>
          <w:tab w:val="left" w:pos="425"/>
          <w:tab w:val="left" w:pos="960"/>
        </w:tabs>
        <w:spacing w:line="360" w:lineRule="exact"/>
        <w:jc w:val="left"/>
        <w:outlineLvl w:val="2"/>
        <w:rPr>
          <w:rFonts w:ascii="宋体" w:hAnsi="宋体" w:cs="宋体"/>
          <w:b/>
          <w:sz w:val="24"/>
        </w:rPr>
      </w:pPr>
      <w:bookmarkStart w:id="21" w:name="_Toc30672"/>
      <w:r>
        <w:rPr>
          <w:rFonts w:hint="eastAsia" w:ascii="宋体" w:hAnsi="宋体" w:cs="宋体"/>
          <w:b/>
          <w:sz w:val="24"/>
        </w:rPr>
        <w:t>十一、争议的解决</w:t>
      </w:r>
      <w:bookmarkEnd w:id="21"/>
    </w:p>
    <w:p w14:paraId="3B44055D">
      <w:pPr>
        <w:tabs>
          <w:tab w:val="left" w:pos="824"/>
        </w:tabs>
        <w:snapToGrid w:val="0"/>
        <w:spacing w:line="360" w:lineRule="exact"/>
        <w:ind w:firstLine="200"/>
        <w:jc w:val="left"/>
        <w:rPr>
          <w:rFonts w:ascii="宋体" w:hAnsi="宋体" w:cs="宋体"/>
          <w:szCs w:val="21"/>
        </w:rPr>
      </w:pPr>
      <w:r>
        <w:rPr>
          <w:rFonts w:hint="eastAsia" w:ascii="宋体" w:hAnsi="宋体" w:cs="宋体"/>
          <w:szCs w:val="21"/>
        </w:rPr>
        <w:t>合同执行过程中发生的任何争议，如双方不能通过友好协商解决，甲、乙双方一致同意向甲方所在地人民法院提起诉讼。</w:t>
      </w:r>
    </w:p>
    <w:p w14:paraId="66A6C148">
      <w:pPr>
        <w:tabs>
          <w:tab w:val="left" w:pos="425"/>
          <w:tab w:val="left" w:pos="960"/>
        </w:tabs>
        <w:spacing w:line="360" w:lineRule="exact"/>
        <w:jc w:val="left"/>
        <w:outlineLvl w:val="2"/>
        <w:rPr>
          <w:rFonts w:ascii="宋体" w:hAnsi="宋体" w:cs="宋体"/>
          <w:b/>
          <w:sz w:val="24"/>
        </w:rPr>
      </w:pPr>
      <w:bookmarkStart w:id="22" w:name="_Toc8877"/>
      <w:r>
        <w:rPr>
          <w:rFonts w:hint="eastAsia" w:ascii="宋体" w:hAnsi="宋体" w:cs="宋体"/>
          <w:b/>
          <w:sz w:val="24"/>
        </w:rPr>
        <w:t>十二、不可抗力</w:t>
      </w:r>
      <w:bookmarkEnd w:id="22"/>
    </w:p>
    <w:p w14:paraId="55256B13">
      <w:pPr>
        <w:tabs>
          <w:tab w:val="left" w:pos="824"/>
        </w:tabs>
        <w:snapToGrid w:val="0"/>
        <w:spacing w:line="360" w:lineRule="exact"/>
        <w:jc w:val="left"/>
        <w:rPr>
          <w:rFonts w:ascii="宋体" w:hAnsi="宋体" w:cs="宋体"/>
          <w:sz w:val="24"/>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r>
        <w:rPr>
          <w:rFonts w:hint="eastAsia" w:ascii="宋体" w:hAnsi="宋体" w:cs="宋体"/>
          <w:sz w:val="24"/>
        </w:rPr>
        <w:t>。</w:t>
      </w:r>
    </w:p>
    <w:p w14:paraId="256B27D9">
      <w:pPr>
        <w:tabs>
          <w:tab w:val="left" w:pos="425"/>
          <w:tab w:val="left" w:pos="960"/>
        </w:tabs>
        <w:spacing w:line="360" w:lineRule="exact"/>
        <w:jc w:val="left"/>
        <w:outlineLvl w:val="2"/>
        <w:rPr>
          <w:rFonts w:ascii="宋体" w:hAnsi="宋体" w:cs="宋体"/>
          <w:b/>
          <w:sz w:val="24"/>
        </w:rPr>
      </w:pPr>
      <w:bookmarkStart w:id="23" w:name="_Toc3603"/>
      <w:r>
        <w:rPr>
          <w:rFonts w:hint="eastAsia" w:ascii="宋体" w:hAnsi="宋体" w:cs="宋体"/>
          <w:b/>
          <w:sz w:val="24"/>
        </w:rPr>
        <w:t>十三、其它</w:t>
      </w:r>
      <w:bookmarkEnd w:id="23"/>
    </w:p>
    <w:p w14:paraId="0D02826E">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1．本合同所有附件、招标文件、投标文件、中标通知书均为合同的有效组成部分，与本合同具有同等法律效力。</w:t>
      </w:r>
    </w:p>
    <w:p w14:paraId="48B7B14B">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2．在执行本合同的过程中，所有经双方签署确认的文件（包括会议纪要、补充协议、往来信函）即成为本合同的有效组成部分。</w:t>
      </w:r>
    </w:p>
    <w:p w14:paraId="6BAE48AA">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 xml:space="preserve">3．如一方地址、电话、传真号码有变更，应在变更当日内书面通知对方，否则，应承担相应责任。 </w:t>
      </w:r>
    </w:p>
    <w:p w14:paraId="297E1D58">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4.除甲方事先书面同意外，乙方不得部分或全部转让其应履行的合同项下的义务。</w:t>
      </w:r>
    </w:p>
    <w:p w14:paraId="2DF9CFD7">
      <w:pPr>
        <w:spacing w:line="360" w:lineRule="auto"/>
        <w:rPr>
          <w:rFonts w:ascii="宋体" w:hAnsi="宋体" w:cs="宋体"/>
          <w:sz w:val="24"/>
        </w:rPr>
      </w:pPr>
      <w:bookmarkStart w:id="24" w:name="_Toc22602"/>
      <w:r>
        <w:rPr>
          <w:rFonts w:hint="eastAsia" w:ascii="宋体" w:hAnsi="宋体" w:cs="宋体"/>
          <w:b/>
          <w:bCs/>
          <w:sz w:val="24"/>
        </w:rPr>
        <w:t>十四</w:t>
      </w:r>
      <w:r>
        <w:rPr>
          <w:rFonts w:hint="eastAsia" w:ascii="宋体" w:hAnsi="宋体" w:cs="宋体"/>
          <w:sz w:val="24"/>
        </w:rPr>
        <w:t>、</w:t>
      </w:r>
      <w:r>
        <w:rPr>
          <w:rFonts w:hint="eastAsia" w:ascii="宋体" w:hAnsi="宋体" w:cs="宋体"/>
          <w:b/>
          <w:bCs/>
          <w:sz w:val="24"/>
        </w:rPr>
        <w:t>以下附件作为本合同的补充内容，具有同等法律效应。</w:t>
      </w:r>
    </w:p>
    <w:p w14:paraId="53492217">
      <w:pPr>
        <w:spacing w:line="360" w:lineRule="auto"/>
        <w:ind w:firstLine="630" w:firstLineChars="300"/>
        <w:rPr>
          <w:rFonts w:ascii="宋体" w:hAnsi="宋体"/>
          <w:szCs w:val="21"/>
        </w:rPr>
      </w:pPr>
      <w:r>
        <w:rPr>
          <w:rFonts w:hint="eastAsia" w:ascii="宋体" w:hAnsi="宋体"/>
          <w:szCs w:val="21"/>
        </w:rPr>
        <w:t>附件：1、廉洁承诺书</w:t>
      </w:r>
    </w:p>
    <w:p w14:paraId="4E95D039">
      <w:pPr>
        <w:pStyle w:val="8"/>
        <w:rPr>
          <w:rFonts w:ascii="宋体" w:hAnsi="宋体"/>
          <w:szCs w:val="21"/>
        </w:rPr>
      </w:pP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b w:val="0"/>
          <w:bCs w:val="0"/>
          <w:sz w:val="21"/>
          <w:szCs w:val="21"/>
          <w:lang w:val="en-US" w:eastAsia="zh-CN"/>
        </w:rPr>
        <w:t>2</w:t>
      </w:r>
      <w:r>
        <w:rPr>
          <w:rFonts w:hint="eastAsia" w:ascii="宋体" w:hAnsi="宋体"/>
          <w:b w:val="0"/>
          <w:bCs w:val="0"/>
          <w:sz w:val="21"/>
          <w:szCs w:val="21"/>
        </w:rPr>
        <w:t>、龙岗区进一步规范政商交往行为告知书</w:t>
      </w:r>
    </w:p>
    <w:p w14:paraId="4B09B4F2">
      <w:pPr>
        <w:tabs>
          <w:tab w:val="left" w:pos="425"/>
          <w:tab w:val="left" w:pos="960"/>
        </w:tabs>
        <w:spacing w:line="360" w:lineRule="exact"/>
        <w:jc w:val="left"/>
        <w:outlineLvl w:val="2"/>
        <w:rPr>
          <w:rFonts w:ascii="宋体" w:hAnsi="宋体" w:cs="宋体"/>
          <w:b/>
          <w:sz w:val="24"/>
        </w:rPr>
      </w:pPr>
      <w:r>
        <w:rPr>
          <w:rFonts w:hint="eastAsia" w:ascii="宋体" w:hAnsi="宋体" w:cs="宋体"/>
          <w:b/>
          <w:sz w:val="24"/>
        </w:rPr>
        <w:t>十五.合同生效</w:t>
      </w:r>
      <w:bookmarkEnd w:id="24"/>
    </w:p>
    <w:p w14:paraId="1C8C20E3">
      <w:pPr>
        <w:tabs>
          <w:tab w:val="left" w:pos="425"/>
          <w:tab w:val="left" w:pos="960"/>
        </w:tabs>
        <w:spacing w:line="360" w:lineRule="exact"/>
        <w:jc w:val="left"/>
        <w:outlineLvl w:val="2"/>
        <w:rPr>
          <w:rFonts w:ascii="宋体" w:hAnsi="宋体" w:cs="宋体"/>
          <w:bCs/>
          <w:szCs w:val="21"/>
        </w:rPr>
      </w:pPr>
      <w:r>
        <w:rPr>
          <w:rFonts w:hint="eastAsia" w:ascii="宋体" w:hAnsi="宋体" w:cs="宋体"/>
          <w:bCs/>
          <w:szCs w:val="21"/>
        </w:rPr>
        <w:t>1．合同自甲乙双方法人代表或其授权代表签字盖章之日起生效。</w:t>
      </w:r>
    </w:p>
    <w:p w14:paraId="742DC2BD">
      <w:pPr>
        <w:tabs>
          <w:tab w:val="left" w:pos="425"/>
        </w:tabs>
        <w:autoSpaceDE w:val="0"/>
        <w:autoSpaceDN w:val="0"/>
        <w:adjustRightInd w:val="0"/>
        <w:snapToGrid w:val="0"/>
        <w:spacing w:line="360" w:lineRule="exact"/>
        <w:jc w:val="left"/>
        <w:rPr>
          <w:rFonts w:ascii="宋体" w:hAnsi="宋体" w:cs="宋体"/>
          <w:bCs/>
          <w:sz w:val="24"/>
        </w:rPr>
      </w:pPr>
      <w:r>
        <w:rPr>
          <w:rFonts w:hint="eastAsia" w:ascii="宋体" w:hAnsi="宋体" w:cs="宋体"/>
          <w:bCs/>
          <w:szCs w:val="21"/>
        </w:rPr>
        <w:t>2．</w:t>
      </w:r>
      <w:r>
        <w:rPr>
          <w:rFonts w:hint="eastAsia" w:ascii="宋体" w:hAnsi="宋体"/>
          <w:bCs/>
          <w:szCs w:val="21"/>
        </w:rPr>
        <w:t>本合同一式</w:t>
      </w:r>
      <w:r>
        <w:rPr>
          <w:rFonts w:hint="eastAsia" w:ascii="宋体" w:hAnsi="宋体"/>
          <w:bCs/>
          <w:szCs w:val="21"/>
          <w:lang w:val="en-US" w:eastAsia="zh-CN"/>
        </w:rPr>
        <w:t>陆</w:t>
      </w:r>
      <w:r>
        <w:rPr>
          <w:rFonts w:hint="eastAsia" w:ascii="宋体" w:hAnsi="宋体"/>
          <w:bCs/>
          <w:szCs w:val="21"/>
        </w:rPr>
        <w:t>份，甲方</w:t>
      </w:r>
      <w:r>
        <w:rPr>
          <w:rFonts w:hint="eastAsia" w:ascii="宋体" w:hAnsi="宋体"/>
          <w:bCs/>
          <w:szCs w:val="21"/>
          <w:lang w:val="en-US" w:eastAsia="zh-CN"/>
        </w:rPr>
        <w:t>伍</w:t>
      </w:r>
      <w:r>
        <w:rPr>
          <w:rFonts w:hint="eastAsia" w:ascii="宋体" w:hAnsi="宋体"/>
          <w:bCs/>
          <w:szCs w:val="21"/>
        </w:rPr>
        <w:t>份，乙方壹份，具有同等法律效力。合同有效期为</w:t>
      </w:r>
      <w:r>
        <w:rPr>
          <w:rFonts w:hint="eastAsia" w:ascii="宋体" w:hAnsi="宋体"/>
          <w:bCs/>
          <w:szCs w:val="21"/>
          <w:u w:val="single"/>
        </w:rPr>
        <w:t xml:space="preserve"> </w:t>
      </w:r>
      <w:r>
        <w:rPr>
          <w:rFonts w:hint="eastAsia" w:ascii="宋体" w:hAnsi="宋体"/>
          <w:bCs/>
          <w:szCs w:val="21"/>
          <w:u w:val="single"/>
          <w:lang w:val="en-US" w:eastAsia="zh-CN"/>
        </w:rPr>
        <w:t>******</w:t>
      </w:r>
      <w:r>
        <w:rPr>
          <w:rFonts w:hint="eastAsia" w:ascii="宋体" w:hAnsi="宋体"/>
          <w:bCs/>
          <w:szCs w:val="21"/>
          <w:u w:val="single"/>
        </w:rPr>
        <w:t>　</w:t>
      </w:r>
      <w:r>
        <w:rPr>
          <w:rFonts w:hint="eastAsia" w:ascii="宋体" w:hAnsi="宋体"/>
          <w:bCs/>
          <w:szCs w:val="21"/>
        </w:rPr>
        <w:t>年，自</w:t>
      </w:r>
      <w:r>
        <w:rPr>
          <w:rFonts w:hint="eastAsia" w:ascii="宋体" w:hAnsi="宋体"/>
          <w:bCs/>
          <w:szCs w:val="21"/>
          <w:u w:val="single"/>
          <w:lang w:val="en-US" w:eastAsia="zh-CN"/>
        </w:rPr>
        <w:t>*****</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w:t>
      </w:r>
      <w:r>
        <w:rPr>
          <w:rFonts w:hint="eastAsia" w:ascii="宋体" w:hAnsi="宋体"/>
          <w:bCs/>
          <w:szCs w:val="21"/>
        </w:rPr>
        <w:t>月</w:t>
      </w:r>
      <w:r>
        <w:rPr>
          <w:rFonts w:hint="eastAsia" w:ascii="宋体" w:hAnsi="宋体"/>
          <w:bCs/>
          <w:szCs w:val="21"/>
          <w:u w:val="single"/>
        </w:rPr>
        <w:t>　 　</w:t>
      </w:r>
      <w:r>
        <w:rPr>
          <w:rFonts w:hint="eastAsia" w:ascii="宋体" w:hAnsi="宋体"/>
          <w:bCs/>
          <w:szCs w:val="21"/>
        </w:rPr>
        <w:t>日至</w:t>
      </w:r>
      <w:r>
        <w:rPr>
          <w:rFonts w:hint="eastAsia" w:ascii="宋体" w:hAnsi="宋体"/>
          <w:bCs/>
          <w:szCs w:val="21"/>
          <w:u w:val="single"/>
          <w:lang w:val="en-US" w:eastAsia="zh-CN"/>
        </w:rPr>
        <w:t>*****</w:t>
      </w:r>
      <w:r>
        <w:rPr>
          <w:rFonts w:hint="eastAsia" w:ascii="宋体" w:hAnsi="宋体"/>
          <w:bCs/>
          <w:szCs w:val="21"/>
        </w:rPr>
        <w:t>年</w:t>
      </w:r>
      <w:r>
        <w:rPr>
          <w:rFonts w:hint="eastAsia" w:ascii="宋体" w:hAnsi="宋体"/>
          <w:bCs/>
          <w:szCs w:val="21"/>
          <w:u w:val="single"/>
        </w:rPr>
        <w:t>　 　</w:t>
      </w:r>
      <w:r>
        <w:rPr>
          <w:rFonts w:hint="eastAsia" w:ascii="宋体" w:hAnsi="宋体"/>
          <w:bCs/>
          <w:szCs w:val="21"/>
        </w:rPr>
        <w:t>月</w:t>
      </w:r>
      <w:r>
        <w:rPr>
          <w:rFonts w:hint="eastAsia" w:ascii="宋体" w:hAnsi="宋体"/>
          <w:bCs/>
          <w:szCs w:val="21"/>
          <w:u w:val="single"/>
        </w:rPr>
        <w:t>　 　</w:t>
      </w:r>
      <w:r>
        <w:rPr>
          <w:rFonts w:hint="eastAsia" w:ascii="宋体" w:hAnsi="宋体"/>
          <w:bCs/>
          <w:szCs w:val="21"/>
        </w:rPr>
        <w:t>日。</w:t>
      </w:r>
    </w:p>
    <w:p w14:paraId="58AE21FB">
      <w:pPr>
        <w:autoSpaceDE w:val="0"/>
        <w:autoSpaceDN w:val="0"/>
        <w:adjustRightInd w:val="0"/>
        <w:snapToGrid w:val="0"/>
        <w:spacing w:line="360" w:lineRule="exact"/>
        <w:jc w:val="left"/>
        <w:rPr>
          <w:rFonts w:ascii="宋体" w:hAnsi="宋体" w:cs="宋体"/>
          <w:sz w:val="24"/>
        </w:rPr>
      </w:pPr>
    </w:p>
    <w:p w14:paraId="060921E6">
      <w:pPr>
        <w:spacing w:line="360" w:lineRule="auto"/>
        <w:rPr>
          <w:rFonts w:hint="eastAsia" w:ascii="宋体" w:hAnsi="宋体" w:cs="宋体"/>
          <w:sz w:val="24"/>
        </w:rPr>
      </w:pPr>
      <w:r>
        <w:rPr>
          <w:rFonts w:hint="eastAsia" w:ascii="宋体" w:hAnsi="宋体" w:cs="宋体"/>
          <w:sz w:val="24"/>
        </w:rPr>
        <w:t>甲方：深圳市龙岗中心医院（盖章）　　　　　 乙方：</w:t>
      </w:r>
      <w:r>
        <w:rPr>
          <w:rFonts w:hint="eastAsia" w:ascii="宋体" w:hAnsi="宋体" w:cs="宋体"/>
          <w:sz w:val="24"/>
          <w:lang w:val="en-US" w:eastAsia="zh-CN"/>
        </w:rPr>
        <w:t>******</w:t>
      </w:r>
      <w:r>
        <w:rPr>
          <w:rFonts w:hint="eastAsia" w:ascii="宋体" w:hAnsi="宋体" w:cs="宋体"/>
          <w:sz w:val="24"/>
        </w:rPr>
        <w:t xml:space="preserve"> </w:t>
      </w:r>
    </w:p>
    <w:p w14:paraId="636768D1">
      <w:pPr>
        <w:spacing w:line="360" w:lineRule="auto"/>
        <w:ind w:left="600" w:hanging="600" w:hangingChars="250"/>
        <w:rPr>
          <w:rFonts w:hint="eastAsia" w:ascii="宋体" w:hAnsi="宋体" w:cs="宋体"/>
          <w:sz w:val="24"/>
          <w:lang w:val="en-US" w:eastAsia="zh-CN"/>
        </w:rPr>
      </w:pPr>
      <w:r>
        <w:rPr>
          <w:rFonts w:hint="eastAsia" w:ascii="宋体" w:hAnsi="宋体" w:cs="宋体"/>
          <w:sz w:val="24"/>
        </w:rPr>
        <w:t>地址：深圳市龙岗区龙岗大道       　　　　　地址：</w:t>
      </w:r>
      <w:r>
        <w:rPr>
          <w:rFonts w:hint="eastAsia" w:ascii="宋体" w:hAnsi="宋体" w:cs="宋体"/>
          <w:sz w:val="24"/>
          <w:lang w:val="en-US" w:eastAsia="zh-CN"/>
        </w:rPr>
        <w:t>********</w:t>
      </w:r>
    </w:p>
    <w:p w14:paraId="4C6DC330">
      <w:pPr>
        <w:spacing w:line="360" w:lineRule="auto"/>
        <w:ind w:left="600" w:hanging="600" w:hangingChars="250"/>
        <w:rPr>
          <w:rFonts w:ascii="宋体" w:hAnsi="宋体" w:cs="宋体"/>
          <w:sz w:val="24"/>
        </w:rPr>
      </w:pPr>
      <w:r>
        <w:rPr>
          <w:rFonts w:hint="eastAsia" w:ascii="宋体" w:hAnsi="宋体" w:cs="宋体"/>
          <w:sz w:val="24"/>
        </w:rPr>
        <w:t xml:space="preserve">　　（龙岗段）6082号 　　　　　　　　　　　　　　　　　　　　　　　　                   </w:t>
      </w:r>
    </w:p>
    <w:p w14:paraId="17D46BCD">
      <w:pPr>
        <w:spacing w:line="360" w:lineRule="auto"/>
        <w:rPr>
          <w:rFonts w:hint="eastAsia" w:ascii="宋体" w:hAnsi="宋体" w:cs="宋体"/>
          <w:sz w:val="24"/>
        </w:rPr>
      </w:pPr>
    </w:p>
    <w:p w14:paraId="27FFAF66">
      <w:pPr>
        <w:spacing w:line="360" w:lineRule="auto"/>
        <w:rPr>
          <w:rFonts w:ascii="宋体" w:hAnsi="宋体" w:cs="宋体"/>
          <w:sz w:val="24"/>
        </w:rPr>
      </w:pPr>
      <w:r>
        <w:rPr>
          <w:rFonts w:hint="eastAsia" w:ascii="宋体" w:hAnsi="宋体" w:cs="宋体"/>
          <w:sz w:val="24"/>
        </w:rPr>
        <w:t>法定代表人：                     　　　　　法定代表人：</w:t>
      </w:r>
    </w:p>
    <w:p w14:paraId="6EE381F4">
      <w:pPr>
        <w:spacing w:line="360" w:lineRule="auto"/>
        <w:rPr>
          <w:rFonts w:hint="eastAsia" w:ascii="宋体" w:hAnsi="宋体" w:cs="宋体"/>
          <w:sz w:val="24"/>
        </w:rPr>
      </w:pPr>
    </w:p>
    <w:p w14:paraId="3DDC0B84">
      <w:pPr>
        <w:spacing w:line="360" w:lineRule="auto"/>
        <w:rPr>
          <w:rFonts w:ascii="宋体" w:hAnsi="宋体" w:cs="宋体"/>
          <w:sz w:val="24"/>
        </w:rPr>
      </w:pPr>
      <w:r>
        <w:rPr>
          <w:rFonts w:hint="eastAsia" w:ascii="宋体" w:hAnsi="宋体" w:cs="宋体"/>
          <w:sz w:val="24"/>
        </w:rPr>
        <w:t xml:space="preserve">委托代理人：                    　 　　　　委托代理人：             </w:t>
      </w:r>
    </w:p>
    <w:p w14:paraId="2CD5466D">
      <w:pPr>
        <w:spacing w:line="360" w:lineRule="auto"/>
        <w:rPr>
          <w:rFonts w:hint="eastAsia" w:ascii="宋体" w:hAnsi="宋体" w:cs="宋体"/>
          <w:sz w:val="24"/>
        </w:rPr>
      </w:pPr>
    </w:p>
    <w:p w14:paraId="577842AB">
      <w:pPr>
        <w:spacing w:line="360" w:lineRule="auto"/>
        <w:rPr>
          <w:rFonts w:hint="eastAsia" w:ascii="宋体" w:hAnsi="宋体" w:cs="宋体"/>
          <w:sz w:val="24"/>
        </w:rPr>
      </w:pPr>
      <w:r>
        <w:rPr>
          <w:rFonts w:hint="eastAsia" w:ascii="宋体" w:hAnsi="宋体" w:cs="宋体"/>
          <w:sz w:val="24"/>
        </w:rPr>
        <w:t xml:space="preserve">电话： 0755-84806933             　　　　　电话：                </w:t>
      </w:r>
    </w:p>
    <w:p w14:paraId="2FD63841">
      <w:pPr>
        <w:spacing w:line="360" w:lineRule="auto"/>
        <w:rPr>
          <w:rFonts w:hint="eastAsia" w:ascii="宋体" w:hAnsi="宋体" w:cs="宋体"/>
          <w:sz w:val="24"/>
        </w:rPr>
      </w:pPr>
      <w:r>
        <w:rPr>
          <w:rFonts w:hint="eastAsia" w:ascii="宋体" w:hAnsi="宋体" w:cs="宋体"/>
          <w:sz w:val="24"/>
        </w:rPr>
        <w:t xml:space="preserve">开户银行：深圳农村商业银行大和支行　　　　 开户银行：   </w:t>
      </w:r>
    </w:p>
    <w:p w14:paraId="707197BB">
      <w:pPr>
        <w:spacing w:line="360" w:lineRule="auto"/>
        <w:rPr>
          <w:rFonts w:ascii="宋体" w:hAnsi="宋体" w:cs="宋体"/>
          <w:sz w:val="24"/>
        </w:rPr>
      </w:pPr>
      <w:r>
        <w:rPr>
          <w:rFonts w:hint="eastAsia" w:ascii="宋体" w:hAnsi="宋体" w:cs="宋体"/>
          <w:sz w:val="24"/>
          <w:lang w:eastAsia="zh-CN"/>
        </w:rPr>
        <w:t>账</w:t>
      </w:r>
      <w:r>
        <w:rPr>
          <w:rFonts w:hint="eastAsia" w:ascii="宋体" w:hAnsi="宋体" w:cs="宋体"/>
          <w:sz w:val="24"/>
        </w:rPr>
        <w:t xml:space="preserve">户：000070583741                　　　　 </w:t>
      </w:r>
      <w:r>
        <w:rPr>
          <w:rFonts w:hint="eastAsia" w:ascii="宋体" w:hAnsi="宋体" w:cs="宋体"/>
          <w:sz w:val="24"/>
          <w:lang w:eastAsia="zh-CN"/>
        </w:rPr>
        <w:t>账</w:t>
      </w:r>
      <w:r>
        <w:rPr>
          <w:rFonts w:hint="eastAsia" w:ascii="宋体" w:hAnsi="宋体" w:cs="宋体"/>
          <w:sz w:val="24"/>
        </w:rPr>
        <w:t xml:space="preserve">号：           </w:t>
      </w:r>
    </w:p>
    <w:p w14:paraId="210F6566">
      <w:pPr>
        <w:spacing w:line="360" w:lineRule="auto"/>
        <w:jc w:val="center"/>
        <w:rPr>
          <w:rFonts w:ascii="宋体" w:hAnsi="宋体" w:cs="宋体"/>
          <w:sz w:val="24"/>
        </w:rPr>
      </w:pPr>
    </w:p>
    <w:p w14:paraId="28A670CA">
      <w:pPr>
        <w:spacing w:line="360" w:lineRule="auto"/>
        <w:jc w:val="center"/>
        <w:rPr>
          <w:rFonts w:hint="eastAsia" w:ascii="宋体" w:hAnsi="宋体" w:cs="宋体"/>
          <w:sz w:val="24"/>
        </w:rPr>
      </w:pPr>
    </w:p>
    <w:p w14:paraId="0044CA51">
      <w:pPr>
        <w:spacing w:line="360" w:lineRule="auto"/>
        <w:jc w:val="center"/>
        <w:rPr>
          <w:rFonts w:ascii="宋体" w:hAnsi="宋体" w:cs="宋体"/>
          <w:sz w:val="24"/>
        </w:rPr>
      </w:pPr>
      <w:r>
        <w:rPr>
          <w:rFonts w:hint="eastAsia" w:ascii="宋体" w:hAnsi="宋体" w:cs="宋体"/>
          <w:sz w:val="24"/>
        </w:rPr>
        <w:t xml:space="preserve">签约时间：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 xml:space="preserve"> 日</w:t>
      </w:r>
    </w:p>
    <w:p w14:paraId="6AA44B44">
      <w:pPr>
        <w:rPr>
          <w:rFonts w:hint="eastAsia" w:ascii="宋体" w:hAnsi="宋体"/>
          <w:b/>
          <w:bCs/>
          <w:sz w:val="28"/>
          <w:szCs w:val="28"/>
        </w:rPr>
      </w:pPr>
      <w:bookmarkStart w:id="25" w:name="_Hlk130198499"/>
      <w:r>
        <w:rPr>
          <w:rFonts w:hint="eastAsia" w:ascii="宋体" w:hAnsi="宋体"/>
          <w:b/>
          <w:bCs/>
          <w:sz w:val="28"/>
          <w:szCs w:val="28"/>
        </w:rPr>
        <w:br w:type="page"/>
      </w:r>
    </w:p>
    <w:p w14:paraId="2309E3DC">
      <w:pPr>
        <w:spacing w:line="360" w:lineRule="auto"/>
        <w:rPr>
          <w:rFonts w:ascii="宋体" w:hAnsi="宋体" w:cs="宋体"/>
          <w:sz w:val="24"/>
        </w:rPr>
      </w:pPr>
      <w:r>
        <w:rPr>
          <w:rFonts w:hint="eastAsia" w:ascii="宋体" w:hAnsi="宋体"/>
          <w:b/>
          <w:bCs/>
          <w:sz w:val="28"/>
          <w:szCs w:val="28"/>
        </w:rPr>
        <w:t>附件1</w:t>
      </w:r>
    </w:p>
    <w:bookmarkEnd w:id="25"/>
    <w:p w14:paraId="78E77D15">
      <w:pPr>
        <w:jc w:val="center"/>
        <w:rPr>
          <w:rFonts w:ascii="宋体" w:hAnsi="宋体"/>
          <w:b/>
          <w:bCs/>
          <w:sz w:val="36"/>
          <w:szCs w:val="36"/>
        </w:rPr>
      </w:pPr>
      <w:r>
        <w:rPr>
          <w:rFonts w:hint="eastAsia" w:ascii="宋体" w:hAnsi="宋体"/>
          <w:b/>
          <w:bCs/>
          <w:sz w:val="36"/>
          <w:szCs w:val="36"/>
        </w:rPr>
        <w:t>廉  洁  承  诺  书</w:t>
      </w:r>
    </w:p>
    <w:p w14:paraId="04F6C7C9">
      <w:pPr>
        <w:spacing w:line="540" w:lineRule="exact"/>
        <w:rPr>
          <w:rFonts w:ascii="宋体" w:hAnsi="宋体"/>
          <w:sz w:val="28"/>
          <w:szCs w:val="28"/>
        </w:rPr>
      </w:pPr>
      <w:r>
        <w:rPr>
          <w:rFonts w:hint="eastAsia" w:ascii="宋体" w:hAnsi="宋体"/>
          <w:sz w:val="28"/>
          <w:szCs w:val="28"/>
        </w:rPr>
        <w:t>甲方：深圳市龙岗中心医院</w:t>
      </w:r>
    </w:p>
    <w:p w14:paraId="0C77DB5E">
      <w:pPr>
        <w:spacing w:line="540" w:lineRule="exact"/>
        <w:rPr>
          <w:rFonts w:ascii="宋体" w:hAnsi="宋体"/>
          <w:sz w:val="28"/>
          <w:szCs w:val="28"/>
        </w:rPr>
      </w:pPr>
      <w:r>
        <w:rPr>
          <w:rFonts w:hint="eastAsia" w:ascii="宋体" w:hAnsi="宋体"/>
          <w:sz w:val="28"/>
          <w:szCs w:val="28"/>
        </w:rPr>
        <w:t>乙方：</w:t>
      </w:r>
      <w:r>
        <w:rPr>
          <w:rFonts w:hint="eastAsia" w:ascii="宋体" w:hAnsi="宋体"/>
          <w:sz w:val="28"/>
          <w:szCs w:val="28"/>
          <w:lang w:val="en-US" w:eastAsia="zh-CN"/>
        </w:rPr>
        <w:t>********</w:t>
      </w:r>
      <w:r>
        <w:rPr>
          <w:rFonts w:hint="eastAsia" w:ascii="宋体" w:hAnsi="宋体"/>
          <w:b/>
          <w:sz w:val="28"/>
          <w:szCs w:val="28"/>
        </w:rPr>
        <w:t xml:space="preserve"> </w:t>
      </w:r>
    </w:p>
    <w:p w14:paraId="352E8495">
      <w:pPr>
        <w:pStyle w:val="9"/>
        <w:adjustRightInd w:val="0"/>
        <w:snapToGrid w:val="0"/>
        <w:spacing w:line="540" w:lineRule="exact"/>
        <w:rPr>
          <w:rFonts w:ascii="宋体" w:hAnsi="宋体"/>
          <w:sz w:val="24"/>
        </w:rPr>
      </w:pPr>
      <w:r>
        <w:rPr>
          <w:rFonts w:hint="eastAsia" w:ascii="宋体" w:hAnsi="宋体"/>
          <w:sz w:val="24"/>
        </w:rPr>
        <w:t>为进一步完善监督制约机制，确保工作质量和预防职务犯罪行为以及各种不正当行为的发生，在物资供应、工程招投标等各项工作中保持总务科工作人员的廉洁自律，根据国家、广东省和深圳市有关廉政建设的各项规定，结合实际，我科现制订本协议如下：</w:t>
      </w:r>
    </w:p>
    <w:p w14:paraId="18E7790A">
      <w:pPr>
        <w:adjustRightInd w:val="0"/>
        <w:snapToGrid w:val="0"/>
        <w:spacing w:line="540" w:lineRule="exact"/>
        <w:ind w:firstLine="480" w:firstLineChars="200"/>
        <w:rPr>
          <w:rFonts w:ascii="宋体" w:hAnsi="宋体"/>
          <w:sz w:val="24"/>
        </w:rPr>
      </w:pPr>
      <w:r>
        <w:rPr>
          <w:rFonts w:hint="eastAsia" w:ascii="宋体" w:hAnsi="宋体"/>
          <w:sz w:val="24"/>
        </w:rPr>
        <w:t>一、甲乙双方在合作过程中，自觉遵守国家法律、法规，按照《中华人民共和国反不正当竞争法》、《中华人民共和国招标投标法》、《关于禁止商业贿赂行为的暂行规定》、以及其他相关规定开展正常的商业交易活动。</w:t>
      </w:r>
    </w:p>
    <w:p w14:paraId="205EFFEE">
      <w:pPr>
        <w:adjustRightInd w:val="0"/>
        <w:snapToGrid w:val="0"/>
        <w:spacing w:line="540" w:lineRule="exact"/>
        <w:ind w:firstLine="480" w:firstLineChars="200"/>
        <w:rPr>
          <w:rFonts w:ascii="宋体" w:hAnsi="宋体"/>
          <w:sz w:val="24"/>
        </w:rPr>
      </w:pPr>
      <w:r>
        <w:rPr>
          <w:rFonts w:hint="eastAsia" w:ascii="宋体" w:hAnsi="宋体"/>
          <w:sz w:val="24"/>
        </w:rPr>
        <w:t>二、甲方工作人员应保持与乙方的正常工作交往，不得接受乙方的礼金、有价证券和贵重物品，不得在乙方报销任何应由个人支付的费用，不得以任何形式向乙方索要和收受回扣或变相收受贿赂。</w:t>
      </w:r>
    </w:p>
    <w:p w14:paraId="55F47505">
      <w:pPr>
        <w:adjustRightInd w:val="0"/>
        <w:snapToGrid w:val="0"/>
        <w:spacing w:line="540" w:lineRule="exact"/>
        <w:ind w:firstLine="480" w:firstLineChars="200"/>
        <w:rPr>
          <w:rFonts w:ascii="宋体" w:hAnsi="宋体"/>
          <w:sz w:val="24"/>
        </w:rPr>
      </w:pPr>
      <w:r>
        <w:rPr>
          <w:rFonts w:hint="eastAsia" w:ascii="宋体" w:hAnsi="宋体"/>
          <w:sz w:val="24"/>
        </w:rPr>
        <w:t>三、甲方工作人员不得参加可能对公正执行公务有影响的宴请和娱乐活动。</w:t>
      </w:r>
    </w:p>
    <w:p w14:paraId="64EA2836">
      <w:pPr>
        <w:adjustRightInd w:val="0"/>
        <w:snapToGrid w:val="0"/>
        <w:spacing w:line="540" w:lineRule="exact"/>
        <w:ind w:firstLine="480" w:firstLineChars="200"/>
        <w:rPr>
          <w:rFonts w:ascii="宋体" w:hAnsi="宋体"/>
          <w:sz w:val="24"/>
        </w:rPr>
      </w:pPr>
      <w:r>
        <w:rPr>
          <w:rFonts w:hint="eastAsia" w:ascii="宋体" w:hAnsi="宋体"/>
          <w:sz w:val="24"/>
        </w:rPr>
        <w:t>四、甲方工作人员不得要求或者接收乙方为其住房装修、婚丧嫁娶、家属和子女的工作安排以及出国等提供方便。</w:t>
      </w:r>
    </w:p>
    <w:p w14:paraId="2B549E02">
      <w:pPr>
        <w:adjustRightInd w:val="0"/>
        <w:snapToGrid w:val="0"/>
        <w:spacing w:line="540" w:lineRule="exact"/>
        <w:ind w:firstLine="480" w:firstLineChars="200"/>
        <w:rPr>
          <w:rFonts w:ascii="宋体" w:hAnsi="宋体"/>
          <w:sz w:val="24"/>
        </w:rPr>
      </w:pPr>
      <w:r>
        <w:rPr>
          <w:rFonts w:hint="eastAsia" w:ascii="宋体" w:hAnsi="宋体"/>
          <w:sz w:val="24"/>
        </w:rPr>
        <w:t>五、甲方工作人员不得向乙方介绍亲属或亲友从事与甲方工作有关的经济活动。</w:t>
      </w:r>
    </w:p>
    <w:p w14:paraId="76B7E0A3">
      <w:pPr>
        <w:adjustRightInd w:val="0"/>
        <w:snapToGrid w:val="0"/>
        <w:spacing w:line="540" w:lineRule="exact"/>
        <w:ind w:firstLine="480" w:firstLineChars="200"/>
        <w:rPr>
          <w:rFonts w:ascii="宋体" w:hAnsi="宋体"/>
          <w:sz w:val="24"/>
        </w:rPr>
      </w:pPr>
      <w:r>
        <w:rPr>
          <w:rFonts w:hint="eastAsia" w:ascii="宋体" w:hAnsi="宋体"/>
          <w:sz w:val="24"/>
        </w:rPr>
        <w:t>六、乙方应当通过正常途径开展相关业务工作，不得为促进品种的销量或在零星工程的招投标等占便宜，而向甲方工作人员赠送礼金、有价证券、贵重物品及现金回扣等。</w:t>
      </w:r>
    </w:p>
    <w:p w14:paraId="1ACE3906">
      <w:pPr>
        <w:adjustRightInd w:val="0"/>
        <w:snapToGrid w:val="0"/>
        <w:spacing w:line="540" w:lineRule="exact"/>
        <w:ind w:firstLine="480" w:firstLineChars="200"/>
        <w:rPr>
          <w:rFonts w:ascii="宋体" w:hAnsi="宋体"/>
          <w:sz w:val="24"/>
        </w:rPr>
      </w:pPr>
      <w:r>
        <w:rPr>
          <w:rFonts w:hint="eastAsia" w:ascii="宋体" w:hAnsi="宋体"/>
          <w:sz w:val="24"/>
        </w:rPr>
        <w:t>七、乙方不得以洽谈业务、签订合同等为借口，邀请甲方工作人员外出旅游和进入营业性高消费娱乐场所。</w:t>
      </w:r>
    </w:p>
    <w:p w14:paraId="0B4C7C04">
      <w:pPr>
        <w:adjustRightInd w:val="0"/>
        <w:snapToGrid w:val="0"/>
        <w:spacing w:line="540" w:lineRule="exact"/>
        <w:ind w:firstLine="480" w:firstLineChars="200"/>
        <w:rPr>
          <w:rFonts w:ascii="宋体" w:hAnsi="宋体"/>
          <w:sz w:val="24"/>
        </w:rPr>
      </w:pPr>
      <w:r>
        <w:rPr>
          <w:rFonts w:hint="eastAsia" w:ascii="宋体" w:hAnsi="宋体"/>
          <w:sz w:val="24"/>
        </w:rPr>
        <w:t>八、乙方不得为甲方单位或个人购置或者提供通信工具、交通工具、家电、高档办公用品等。</w:t>
      </w:r>
    </w:p>
    <w:p w14:paraId="61A86BC0">
      <w:pPr>
        <w:adjustRightInd w:val="0"/>
        <w:snapToGrid w:val="0"/>
        <w:spacing w:line="540" w:lineRule="exact"/>
        <w:ind w:firstLine="480" w:firstLineChars="200"/>
        <w:rPr>
          <w:rFonts w:ascii="宋体" w:hAnsi="宋体"/>
          <w:sz w:val="24"/>
        </w:rPr>
      </w:pPr>
      <w:r>
        <w:rPr>
          <w:rFonts w:hint="eastAsia" w:ascii="宋体" w:hAnsi="宋体"/>
          <w:sz w:val="24"/>
        </w:rPr>
        <w:t>九、乙方如发现甲方工作人员有违反上述协议者，应向领导或者甲方上级主管单位举报。甲方不得以任何借口对乙方进行报复。</w:t>
      </w:r>
    </w:p>
    <w:p w14:paraId="117E1D0A">
      <w:pPr>
        <w:adjustRightInd w:val="0"/>
        <w:snapToGrid w:val="0"/>
        <w:spacing w:line="540" w:lineRule="exact"/>
        <w:ind w:firstLine="480" w:firstLineChars="200"/>
        <w:rPr>
          <w:rFonts w:ascii="宋体" w:hAnsi="宋体"/>
          <w:sz w:val="24"/>
        </w:rPr>
      </w:pPr>
      <w:r>
        <w:rPr>
          <w:rFonts w:hint="eastAsia" w:ascii="宋体" w:hAnsi="宋体"/>
          <w:sz w:val="24"/>
        </w:rPr>
        <w:t>十、如发现甲方工作人员违反上述协议者，一律交由医院纪检部的处理。</w:t>
      </w:r>
    </w:p>
    <w:p w14:paraId="063BD89B">
      <w:pPr>
        <w:adjustRightInd w:val="0"/>
        <w:snapToGrid w:val="0"/>
        <w:spacing w:line="540" w:lineRule="exact"/>
        <w:ind w:firstLine="480" w:firstLineChars="200"/>
        <w:rPr>
          <w:rFonts w:ascii="宋体" w:hAnsi="宋体"/>
          <w:sz w:val="24"/>
        </w:rPr>
      </w:pPr>
      <w:r>
        <w:rPr>
          <w:rFonts w:hint="eastAsia" w:ascii="宋体" w:hAnsi="宋体"/>
          <w:sz w:val="24"/>
        </w:rPr>
        <w:t>十一、如发现乙方工作人员违反上述协议，甲方有权终止与乙方的所有业务往来。</w:t>
      </w:r>
    </w:p>
    <w:p w14:paraId="19DCC742">
      <w:pPr>
        <w:adjustRightInd w:val="0"/>
        <w:snapToGrid w:val="0"/>
        <w:spacing w:line="540" w:lineRule="exact"/>
        <w:ind w:firstLine="480" w:firstLineChars="200"/>
        <w:rPr>
          <w:rFonts w:ascii="宋体" w:hAnsi="宋体"/>
          <w:sz w:val="24"/>
        </w:rPr>
      </w:pPr>
      <w:r>
        <w:rPr>
          <w:rFonts w:hint="eastAsia" w:ascii="宋体" w:hAnsi="宋体"/>
          <w:sz w:val="24"/>
        </w:rPr>
        <w:t>十二、甲乙双方监督单位为其上级主管部门。</w:t>
      </w:r>
    </w:p>
    <w:p w14:paraId="23D91138">
      <w:pPr>
        <w:pStyle w:val="9"/>
        <w:adjustRightInd w:val="0"/>
        <w:snapToGrid w:val="0"/>
        <w:spacing w:line="540" w:lineRule="exact"/>
        <w:rPr>
          <w:rFonts w:ascii="宋体" w:hAnsi="宋体"/>
          <w:sz w:val="24"/>
        </w:rPr>
      </w:pPr>
      <w:r>
        <w:rPr>
          <w:rFonts w:hint="eastAsia" w:ascii="宋体" w:hAnsi="宋体"/>
          <w:sz w:val="24"/>
        </w:rPr>
        <w:t>十三、本协议与合同具有同等法律效力。经双方签署后立即生效。</w:t>
      </w:r>
    </w:p>
    <w:p w14:paraId="6A980935">
      <w:pPr>
        <w:adjustRightInd w:val="0"/>
        <w:snapToGrid w:val="0"/>
        <w:spacing w:line="540" w:lineRule="exact"/>
        <w:ind w:firstLine="480" w:firstLineChars="200"/>
        <w:rPr>
          <w:rFonts w:ascii="宋体" w:hAnsi="宋体"/>
          <w:sz w:val="24"/>
        </w:rPr>
      </w:pPr>
      <w:r>
        <w:rPr>
          <w:rFonts w:hint="eastAsia" w:ascii="宋体" w:hAnsi="宋体"/>
          <w:sz w:val="24"/>
        </w:rPr>
        <w:t>十四、</w:t>
      </w:r>
      <w:r>
        <w:rPr>
          <w:rFonts w:hint="eastAsia" w:ascii="宋体" w:hAnsi="宋体"/>
          <w:spacing w:val="-2"/>
          <w:sz w:val="24"/>
        </w:rPr>
        <w:t>本协议的有效期为双方签署之日起至双方业务终止时止。</w:t>
      </w:r>
    </w:p>
    <w:p w14:paraId="4CA36225">
      <w:pPr>
        <w:adjustRightInd w:val="0"/>
        <w:snapToGrid w:val="0"/>
        <w:spacing w:line="540" w:lineRule="exact"/>
        <w:ind w:firstLine="480" w:firstLineChars="200"/>
        <w:rPr>
          <w:rFonts w:ascii="宋体" w:hAnsi="宋体"/>
          <w:sz w:val="24"/>
        </w:rPr>
      </w:pPr>
      <w:r>
        <w:rPr>
          <w:rFonts w:hint="eastAsia" w:ascii="宋体" w:hAnsi="宋体"/>
          <w:sz w:val="24"/>
        </w:rPr>
        <w:t>十五、本协议一式叁份，甲方持贰份，乙方持壹份。</w:t>
      </w:r>
    </w:p>
    <w:p w14:paraId="41B54706">
      <w:pPr>
        <w:adjustRightInd w:val="0"/>
        <w:snapToGrid w:val="0"/>
        <w:spacing w:line="540" w:lineRule="exact"/>
        <w:ind w:firstLine="560" w:firstLineChars="200"/>
        <w:rPr>
          <w:rFonts w:ascii="仿宋_GB2312" w:eastAsia="仿宋_GB2312"/>
          <w:sz w:val="28"/>
          <w:szCs w:val="28"/>
        </w:rPr>
      </w:pPr>
    </w:p>
    <w:p w14:paraId="11096D22">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14:paraId="4509B170">
      <w:pPr>
        <w:adjustRightInd w:val="0"/>
        <w:snapToGrid w:val="0"/>
        <w:spacing w:line="540" w:lineRule="exact"/>
        <w:ind w:firstLine="560" w:firstLineChars="200"/>
        <w:rPr>
          <w:rFonts w:ascii="仿宋_GB2312" w:eastAsia="仿宋_GB2312"/>
          <w:sz w:val="28"/>
          <w:szCs w:val="28"/>
        </w:rPr>
      </w:pPr>
    </w:p>
    <w:p w14:paraId="1F22B9CB">
      <w:pPr>
        <w:adjustRightInd w:val="0"/>
        <w:snapToGrid w:val="0"/>
        <w:spacing w:line="540" w:lineRule="exact"/>
        <w:ind w:left="4935" w:leftChars="150" w:hanging="4620" w:hangingChars="1650"/>
        <w:rPr>
          <w:rFonts w:ascii="宋体" w:hAnsi="宋体"/>
          <w:sz w:val="28"/>
          <w:szCs w:val="28"/>
        </w:rPr>
      </w:pPr>
      <w:r>
        <w:rPr>
          <w:rFonts w:hint="eastAsia" w:ascii="宋体" w:hAnsi="宋体"/>
          <w:sz w:val="28"/>
          <w:szCs w:val="28"/>
        </w:rPr>
        <w:t xml:space="preserve">甲方: </w:t>
      </w:r>
      <w:r>
        <w:rPr>
          <w:rFonts w:hint="eastAsia" w:ascii="宋体" w:hAnsi="宋体"/>
          <w:bCs/>
          <w:sz w:val="28"/>
          <w:szCs w:val="28"/>
        </w:rPr>
        <w:t>深圳市龙岗中心医院</w:t>
      </w:r>
      <w:r>
        <w:rPr>
          <w:rFonts w:hint="eastAsia" w:ascii="宋体" w:hAnsi="宋体"/>
          <w:sz w:val="28"/>
          <w:szCs w:val="28"/>
        </w:rPr>
        <w:t xml:space="preserve">  　　乙方:</w:t>
      </w:r>
      <w:r>
        <w:rPr>
          <w:rFonts w:hint="eastAsia" w:ascii="宋体" w:hAnsi="宋体"/>
          <w:sz w:val="28"/>
          <w:szCs w:val="28"/>
          <w:lang w:val="en-US" w:eastAsia="zh-CN"/>
        </w:rPr>
        <w:t>******</w:t>
      </w:r>
      <w:r>
        <w:rPr>
          <w:rFonts w:hint="eastAsia" w:ascii="宋体" w:hAnsi="宋体"/>
        </w:rPr>
        <w:t xml:space="preserve"> </w:t>
      </w:r>
      <w:r>
        <w:rPr>
          <w:rFonts w:hint="eastAsia" w:ascii="宋体" w:hAnsi="宋体"/>
          <w:b/>
          <w:sz w:val="28"/>
          <w:szCs w:val="28"/>
        </w:rPr>
        <w:t xml:space="preserve"> </w:t>
      </w:r>
    </w:p>
    <w:p w14:paraId="4786EB5D">
      <w:pPr>
        <w:adjustRightInd w:val="0"/>
        <w:snapToGrid w:val="0"/>
        <w:spacing w:line="540" w:lineRule="exact"/>
        <w:ind w:firstLine="420" w:firstLineChars="150"/>
        <w:rPr>
          <w:rFonts w:ascii="宋体" w:hAnsi="宋体"/>
          <w:sz w:val="28"/>
          <w:szCs w:val="28"/>
        </w:rPr>
      </w:pPr>
      <w:r>
        <w:rPr>
          <w:rFonts w:hint="eastAsia" w:ascii="宋体" w:hAnsi="宋体"/>
          <w:sz w:val="28"/>
          <w:szCs w:val="28"/>
        </w:rPr>
        <w:t>代表或委托人（签字）：   　　</w:t>
      </w:r>
      <w:r>
        <w:rPr>
          <w:rFonts w:ascii="宋体" w:hAnsi="宋体"/>
          <w:sz w:val="28"/>
          <w:szCs w:val="28"/>
        </w:rPr>
        <w:t xml:space="preserve"> </w:t>
      </w:r>
      <w:r>
        <w:rPr>
          <w:rFonts w:hint="eastAsia" w:ascii="宋体" w:hAnsi="宋体"/>
          <w:sz w:val="28"/>
          <w:szCs w:val="28"/>
        </w:rPr>
        <w:t>法人代表或委托人（签字）：</w:t>
      </w:r>
    </w:p>
    <w:p w14:paraId="27290116">
      <w:pPr>
        <w:tabs>
          <w:tab w:val="left" w:pos="4860"/>
        </w:tabs>
        <w:adjustRightInd w:val="0"/>
        <w:snapToGrid w:val="0"/>
        <w:spacing w:line="540" w:lineRule="exact"/>
        <w:ind w:firstLine="560" w:firstLineChars="200"/>
        <w:rPr>
          <w:rFonts w:ascii="宋体" w:hAnsi="宋体"/>
          <w:sz w:val="28"/>
          <w:szCs w:val="28"/>
        </w:rPr>
      </w:pPr>
    </w:p>
    <w:p w14:paraId="551F3C29">
      <w:pPr>
        <w:tabs>
          <w:tab w:val="left" w:pos="4860"/>
        </w:tabs>
        <w:adjustRightInd w:val="0"/>
        <w:snapToGrid w:val="0"/>
        <w:spacing w:line="540" w:lineRule="exact"/>
        <w:ind w:firstLine="560" w:firstLineChars="200"/>
        <w:rPr>
          <w:rFonts w:ascii="宋体" w:hAnsi="宋体"/>
          <w:sz w:val="28"/>
          <w:szCs w:val="28"/>
        </w:rPr>
      </w:pPr>
    </w:p>
    <w:p w14:paraId="1A5189E0">
      <w:pPr>
        <w:ind w:firstLine="4200" w:firstLineChars="1500"/>
        <w:rPr>
          <w:rFonts w:ascii="宋体" w:hAnsi="宋体"/>
          <w:sz w:val="28"/>
          <w:szCs w:val="28"/>
        </w:rPr>
      </w:pPr>
      <w:r>
        <w:rPr>
          <w:rFonts w:hint="eastAsia" w:ascii="宋体" w:hAnsi="宋体"/>
          <w:sz w:val="28"/>
          <w:szCs w:val="28"/>
        </w:rPr>
        <w:t xml:space="preserve">签订日期： </w:t>
      </w:r>
      <w:r>
        <w:rPr>
          <w:rFonts w:ascii="宋体" w:hAnsi="宋体"/>
          <w:sz w:val="28"/>
          <w:szCs w:val="28"/>
        </w:rPr>
        <w:t xml:space="preserve">     </w:t>
      </w:r>
      <w:r>
        <w:rPr>
          <w:rFonts w:hint="eastAsia" w:ascii="宋体" w:hAnsi="宋体"/>
          <w:sz w:val="28"/>
          <w:szCs w:val="28"/>
        </w:rPr>
        <w:t xml:space="preserve"> 年  </w:t>
      </w:r>
      <w:r>
        <w:rPr>
          <w:rFonts w:ascii="宋体" w:hAnsi="宋体"/>
          <w:sz w:val="28"/>
          <w:szCs w:val="28"/>
        </w:rPr>
        <w:t xml:space="preserve">   </w:t>
      </w:r>
      <w:r>
        <w:rPr>
          <w:rFonts w:hint="eastAsia" w:ascii="宋体" w:hAnsi="宋体"/>
          <w:sz w:val="28"/>
          <w:szCs w:val="28"/>
        </w:rPr>
        <w:t xml:space="preserve"> 月 </w:t>
      </w:r>
      <w:r>
        <w:rPr>
          <w:rFonts w:ascii="宋体" w:hAnsi="宋体"/>
          <w:sz w:val="28"/>
          <w:szCs w:val="28"/>
        </w:rPr>
        <w:t xml:space="preserve">  </w:t>
      </w:r>
      <w:r>
        <w:rPr>
          <w:rFonts w:hint="eastAsia" w:ascii="宋体" w:hAnsi="宋体"/>
          <w:sz w:val="28"/>
          <w:szCs w:val="28"/>
        </w:rPr>
        <w:t xml:space="preserve">  日</w:t>
      </w:r>
    </w:p>
    <w:p w14:paraId="06470B44">
      <w:pPr>
        <w:pStyle w:val="8"/>
      </w:pPr>
    </w:p>
    <w:p w14:paraId="45CD0E35"/>
    <w:p w14:paraId="2544FF3E">
      <w:pPr>
        <w:pStyle w:val="8"/>
      </w:pPr>
    </w:p>
    <w:p w14:paraId="7E2077D8"/>
    <w:p w14:paraId="6D1EEB7A">
      <w:pPr>
        <w:pStyle w:val="8"/>
      </w:pPr>
    </w:p>
    <w:p w14:paraId="64E19638"/>
    <w:p w14:paraId="6DAFB463">
      <w:pPr>
        <w:pStyle w:val="8"/>
      </w:pPr>
    </w:p>
    <w:p w14:paraId="31FA6D03"/>
    <w:p w14:paraId="4300C38D">
      <w:pPr>
        <w:pStyle w:val="8"/>
      </w:pPr>
    </w:p>
    <w:p w14:paraId="016C37A0"/>
    <w:p w14:paraId="76F10B23">
      <w:pPr>
        <w:pStyle w:val="8"/>
      </w:pPr>
    </w:p>
    <w:p w14:paraId="6A42B4C5">
      <w:pPr>
        <w:widowControl/>
        <w:spacing w:line="520" w:lineRule="exact"/>
        <w:jc w:val="left"/>
        <w:rPr>
          <w:rFonts w:hint="eastAsia" w:ascii="宋体" w:hAnsi="宋体" w:eastAsia="宋体"/>
          <w:b/>
          <w:bCs/>
          <w:sz w:val="28"/>
          <w:szCs w:val="28"/>
          <w:lang w:val="en-US" w:eastAsia="zh-CN"/>
        </w:rPr>
      </w:pPr>
      <w:r>
        <w:rPr>
          <w:rFonts w:hint="eastAsia" w:ascii="宋体" w:hAnsi="宋体"/>
          <w:b/>
          <w:bCs/>
          <w:sz w:val="28"/>
          <w:szCs w:val="28"/>
        </w:rPr>
        <w:t>附件</w:t>
      </w:r>
      <w:r>
        <w:rPr>
          <w:rFonts w:hint="eastAsia" w:ascii="宋体" w:hAnsi="宋体"/>
          <w:b/>
          <w:bCs/>
          <w:sz w:val="28"/>
          <w:szCs w:val="28"/>
          <w:lang w:val="en-US" w:eastAsia="zh-CN"/>
        </w:rPr>
        <w:t>2</w:t>
      </w:r>
    </w:p>
    <w:p w14:paraId="1BC6AD76">
      <w:pPr>
        <w:widowControl/>
        <w:spacing w:line="520" w:lineRule="exact"/>
        <w:jc w:val="center"/>
        <w:rPr>
          <w:rFonts w:ascii="宋体" w:hAnsi="宋体" w:cs="方正小标宋简体"/>
          <w:color w:val="000000"/>
          <w:kern w:val="0"/>
          <w:sz w:val="36"/>
          <w:szCs w:val="36"/>
          <w:lang w:bidi="ar"/>
        </w:rPr>
      </w:pPr>
      <w:r>
        <w:rPr>
          <w:rFonts w:hint="eastAsia" w:ascii="宋体" w:hAnsi="宋体" w:cs="方正小标宋简体"/>
          <w:color w:val="000000"/>
          <w:kern w:val="0"/>
          <w:sz w:val="36"/>
          <w:szCs w:val="36"/>
          <w:lang w:bidi="ar"/>
        </w:rPr>
        <w:t>龙岗区进一步规范政商交往行为“十个不得”告知书</w:t>
      </w:r>
    </w:p>
    <w:p w14:paraId="2DA6BEA3">
      <w:pPr>
        <w:widowControl/>
        <w:spacing w:line="520" w:lineRule="exact"/>
        <w:jc w:val="center"/>
        <w:rPr>
          <w:rFonts w:ascii="宋体" w:hAnsi="宋体" w:cs="方正小标宋简体"/>
          <w:color w:val="000000"/>
          <w:kern w:val="0"/>
          <w:sz w:val="30"/>
          <w:szCs w:val="30"/>
          <w:lang w:bidi="ar"/>
        </w:rPr>
      </w:pPr>
      <w:r>
        <w:rPr>
          <w:rFonts w:hint="eastAsia" w:ascii="宋体" w:hAnsi="宋体" w:cs="方正小标宋简体"/>
          <w:color w:val="000000"/>
          <w:kern w:val="0"/>
          <w:sz w:val="30"/>
          <w:szCs w:val="30"/>
          <w:lang w:bidi="ar"/>
        </w:rPr>
        <w:t>（2</w:t>
      </w:r>
      <w:r>
        <w:rPr>
          <w:rFonts w:ascii="宋体" w:hAnsi="宋体" w:cs="方正小标宋简体"/>
          <w:color w:val="000000"/>
          <w:kern w:val="0"/>
          <w:sz w:val="30"/>
          <w:szCs w:val="30"/>
          <w:lang w:bidi="ar"/>
        </w:rPr>
        <w:t>02</w:t>
      </w:r>
      <w:r>
        <w:rPr>
          <w:rFonts w:hint="eastAsia" w:ascii="宋体" w:hAnsi="宋体" w:cs="方正小标宋简体"/>
          <w:color w:val="000000"/>
          <w:kern w:val="0"/>
          <w:sz w:val="30"/>
          <w:szCs w:val="30"/>
          <w:lang w:val="en-US" w:eastAsia="zh-CN" w:bidi="ar"/>
        </w:rPr>
        <w:t>5</w:t>
      </w:r>
      <w:r>
        <w:rPr>
          <w:rFonts w:ascii="宋体" w:hAnsi="宋体" w:cs="方正小标宋简体"/>
          <w:color w:val="000000"/>
          <w:kern w:val="0"/>
          <w:sz w:val="30"/>
          <w:szCs w:val="30"/>
          <w:lang w:bidi="ar"/>
        </w:rPr>
        <w:t>年</w:t>
      </w:r>
      <w:r>
        <w:rPr>
          <w:rFonts w:hint="eastAsia" w:ascii="宋体" w:hAnsi="宋体" w:cs="方正小标宋简体"/>
          <w:color w:val="000000"/>
          <w:kern w:val="0"/>
          <w:sz w:val="30"/>
          <w:szCs w:val="30"/>
          <w:lang w:bidi="ar"/>
        </w:rPr>
        <w:t>）</w:t>
      </w:r>
    </w:p>
    <w:p w14:paraId="4B1B0D45">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为深入构建</w:t>
      </w:r>
      <w:r>
        <w:rPr>
          <w:rFonts w:hint="eastAsia" w:ascii="仿宋_GB2312" w:hAnsi="宋体" w:cs="仿宋_GB2312"/>
          <w:color w:val="000000"/>
          <w:kern w:val="0"/>
          <w:sz w:val="24"/>
          <w:lang w:eastAsia="zh-CN" w:bidi="ar"/>
        </w:rPr>
        <w:t>“</w:t>
      </w:r>
      <w:r>
        <w:rPr>
          <w:rFonts w:hint="eastAsia" w:ascii="仿宋_GB2312" w:hAnsi="宋体" w:cs="仿宋_GB2312"/>
          <w:color w:val="000000"/>
          <w:kern w:val="0"/>
          <w:sz w:val="24"/>
          <w:lang w:bidi="ar"/>
        </w:rPr>
        <w:t>亲</w:t>
      </w:r>
      <w:r>
        <w:rPr>
          <w:rFonts w:hint="eastAsia" w:ascii="仿宋_GB2312" w:hAnsi="宋体" w:cs="仿宋_GB2312"/>
          <w:color w:val="000000"/>
          <w:kern w:val="0"/>
          <w:sz w:val="24"/>
          <w:lang w:eastAsia="zh-CN" w:bidi="ar"/>
        </w:rPr>
        <w:t>”“</w:t>
      </w:r>
      <w:r>
        <w:rPr>
          <w:rFonts w:hint="eastAsia" w:ascii="仿宋_GB2312" w:hAnsi="宋体" w:cs="仿宋_GB2312"/>
          <w:color w:val="000000"/>
          <w:kern w:val="0"/>
          <w:sz w:val="24"/>
          <w:lang w:bidi="ar"/>
        </w:rPr>
        <w:t>清</w:t>
      </w:r>
      <w:r>
        <w:rPr>
          <w:rFonts w:hint="eastAsia" w:ascii="仿宋_GB2312" w:hAnsi="宋体" w:cs="仿宋_GB2312"/>
          <w:color w:val="000000"/>
          <w:kern w:val="0"/>
          <w:sz w:val="24"/>
          <w:lang w:eastAsia="zh-CN" w:bidi="ar"/>
        </w:rPr>
        <w:t>”</w:t>
      </w:r>
      <w:r>
        <w:rPr>
          <w:rFonts w:hint="eastAsia" w:ascii="仿宋_GB2312" w:hAnsi="宋体" w:cs="仿宋_GB2312"/>
          <w:color w:val="000000"/>
          <w:kern w:val="0"/>
          <w:sz w:val="24"/>
          <w:lang w:bidi="ar"/>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0246EB9D">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一、不得向公职人员赠送礼品、礼金、消费卡等财物。</w:t>
      </w:r>
    </w:p>
    <w:p w14:paraId="396414F9">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二、不得违规向公职人员提供宴请、旅游、娱乐等安排。</w:t>
      </w:r>
    </w:p>
    <w:p w14:paraId="4BC35C9C">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三、不得通过打麻将等形式向公职人员输送利益。</w:t>
      </w:r>
    </w:p>
    <w:p w14:paraId="2B902C3F">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四、不得为公职人员报销应由其个人支付的费用。</w:t>
      </w:r>
    </w:p>
    <w:p w14:paraId="624E2A16">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五、不得违规向公职人员及其亲友借贷款。</w:t>
      </w:r>
    </w:p>
    <w:p w14:paraId="60F6E15D">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六、不得违规将车辆、住房等借给公职人员使用。</w:t>
      </w:r>
    </w:p>
    <w:p w14:paraId="78EBF7DC">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七、不得在招投标中与公职人员搞暗箱操作、围标串标。</w:t>
      </w:r>
    </w:p>
    <w:p w14:paraId="16EFE655">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八、不得为利益相关人和公职人员牵线搭桥或者代为传递信息、传递财物。</w:t>
      </w:r>
    </w:p>
    <w:p w14:paraId="13D99243">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九、不得让公职人员在企业违规兼职取酬。</w:t>
      </w:r>
    </w:p>
    <w:p w14:paraId="4214AD16">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十、不得为公职人员亲友违规承揽业务提供便利。</w:t>
      </w:r>
    </w:p>
    <w:p w14:paraId="270CDEBF">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41C9009F">
      <w:pPr>
        <w:widowControl/>
        <w:spacing w:line="460" w:lineRule="exact"/>
        <w:jc w:val="left"/>
        <w:rPr>
          <w:rFonts w:ascii="仿宋_GB2312" w:hAnsi="宋体" w:cs="仿宋_GB2312"/>
          <w:color w:val="000000"/>
          <w:kern w:val="0"/>
          <w:sz w:val="24"/>
          <w:lang w:bidi="ar"/>
        </w:rPr>
      </w:pPr>
    </w:p>
    <w:p w14:paraId="31507E1D">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本人已知晓上述告知内容，并愿意遵照执行（签名）：</w:t>
      </w:r>
    </w:p>
    <w:p w14:paraId="1224AF80">
      <w:pPr>
        <w:widowControl/>
        <w:spacing w:line="460" w:lineRule="exact"/>
        <w:jc w:val="left"/>
        <w:rPr>
          <w:rFonts w:ascii="仿宋_GB2312" w:hAnsi="宋体" w:cs="仿宋_GB2312"/>
          <w:color w:val="000000"/>
          <w:kern w:val="0"/>
          <w:sz w:val="24"/>
          <w:lang w:bidi="ar"/>
        </w:rPr>
      </w:pPr>
      <w:r>
        <w:rPr>
          <w:rFonts w:ascii="仿宋_GB2312" w:hAnsi="宋体" w:cs="仿宋_GB2312"/>
          <w:color w:val="000000"/>
          <w:kern w:val="0"/>
          <w:sz w:val="24"/>
          <w:lang w:bidi="ar"/>
        </w:rPr>
        <w:t xml:space="preserve"> </w:t>
      </w:r>
    </w:p>
    <w:p w14:paraId="7AFCC9FE">
      <w:pPr>
        <w:widowControl/>
        <w:spacing w:line="460" w:lineRule="exact"/>
        <w:ind w:left="0" w:leftChars="0" w:firstLine="5880" w:firstLineChars="245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20</w:t>
      </w:r>
      <w:r>
        <w:rPr>
          <w:rFonts w:ascii="仿宋_GB2312" w:hAnsi="宋体" w:cs="仿宋_GB2312"/>
          <w:color w:val="000000"/>
          <w:kern w:val="0"/>
          <w:sz w:val="24"/>
          <w:lang w:bidi="ar"/>
        </w:rPr>
        <w:t>2</w:t>
      </w:r>
      <w:r>
        <w:rPr>
          <w:rFonts w:hint="eastAsia" w:ascii="仿宋_GB2312" w:hAnsi="宋体" w:cs="仿宋_GB2312"/>
          <w:color w:val="000000"/>
          <w:kern w:val="0"/>
          <w:sz w:val="24"/>
          <w:lang w:val="en-US" w:eastAsia="zh-CN" w:bidi="ar"/>
        </w:rPr>
        <w:t>5</w:t>
      </w:r>
      <w:r>
        <w:rPr>
          <w:rFonts w:hint="eastAsia" w:ascii="仿宋_GB2312" w:hAnsi="宋体" w:cs="仿宋_GB2312"/>
          <w:color w:val="000000"/>
          <w:kern w:val="0"/>
          <w:sz w:val="24"/>
          <w:lang w:bidi="ar"/>
        </w:rPr>
        <w:t>年</w:t>
      </w:r>
      <w:r>
        <w:rPr>
          <w:rFonts w:ascii="仿宋_GB2312" w:hAnsi="宋体" w:cs="仿宋_GB2312"/>
          <w:color w:val="000000"/>
          <w:kern w:val="0"/>
          <w:sz w:val="24"/>
          <w:lang w:bidi="ar"/>
        </w:rPr>
        <w:t xml:space="preserve">   </w:t>
      </w:r>
      <w:r>
        <w:rPr>
          <w:rFonts w:hint="eastAsia" w:ascii="仿宋_GB2312" w:hAnsi="宋体" w:cs="仿宋_GB2312"/>
          <w:color w:val="000000"/>
          <w:kern w:val="0"/>
          <w:sz w:val="24"/>
          <w:lang w:bidi="ar"/>
        </w:rPr>
        <w:t>月</w:t>
      </w:r>
      <w:r>
        <w:rPr>
          <w:rFonts w:ascii="仿宋_GB2312" w:hAnsi="宋体" w:cs="仿宋_GB2312"/>
          <w:color w:val="000000"/>
          <w:kern w:val="0"/>
          <w:sz w:val="24"/>
          <w:lang w:bidi="ar"/>
        </w:rPr>
        <w:t xml:space="preserve">    </w:t>
      </w:r>
      <w:r>
        <w:rPr>
          <w:rFonts w:hint="eastAsia" w:ascii="仿宋_GB2312" w:hAnsi="宋体" w:cs="仿宋_GB2312"/>
          <w:color w:val="000000"/>
          <w:kern w:val="0"/>
          <w:sz w:val="24"/>
          <w:lang w:bidi="ar"/>
        </w:rPr>
        <w:t>日</w:t>
      </w:r>
    </w:p>
    <w:p w14:paraId="134AFFF0">
      <w:pPr>
        <w:pStyle w:val="5"/>
        <w:rPr>
          <w:lang w:bidi="ar"/>
        </w:rPr>
      </w:pPr>
    </w:p>
    <w:p w14:paraId="6AAFCD81">
      <w:pPr>
        <w:jc w:val="center"/>
        <w:rPr>
          <w:rFonts w:ascii="黑体" w:hAnsi="宋体" w:eastAsia="黑体"/>
          <w:b/>
          <w:bCs/>
          <w:sz w:val="28"/>
          <w:szCs w:val="28"/>
        </w:rPr>
      </w:pPr>
      <w:r>
        <w:rPr>
          <w:rFonts w:ascii="楷体_GB2312" w:hAnsi="宋体" w:eastAsia="楷体_GB2312" w:cs="楷体_GB2312"/>
          <w:color w:val="000000"/>
          <w:kern w:val="0"/>
          <w:sz w:val="24"/>
          <w:lang w:bidi="ar"/>
        </w:rPr>
        <w:t>（本告知书一式两份，一份由被告知人保存，一份由告知人所在单位留存。）</w:t>
      </w:r>
    </w:p>
    <w:p w14:paraId="1C8AE798"/>
    <w:p w14:paraId="20294D52">
      <w:pPr>
        <w:rPr>
          <w:rFonts w:ascii="仿宋_GB2312" w:eastAsia="仿宋_GB2312"/>
          <w:b/>
          <w:bCs/>
          <w:sz w:val="28"/>
          <w:szCs w:val="28"/>
        </w:rPr>
      </w:pPr>
    </w:p>
    <w:p w14:paraId="5B9A3D0E">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九、投标人认为需要加以说明的其他内容的格式</w:t>
      </w:r>
    </w:p>
    <w:p w14:paraId="22A28802">
      <w:pPr>
        <w:rPr>
          <w:rFonts w:hint="eastAsia" w:ascii="仿宋" w:hAnsi="仿宋" w:eastAsia="仿宋" w:cs="仿宋"/>
          <w:b/>
          <w:bCs/>
          <w:kern w:val="2"/>
          <w:sz w:val="24"/>
          <w:szCs w:val="24"/>
          <w:highlight w:val="none"/>
          <w:lang w:val="en-US" w:eastAsia="zh-CN"/>
        </w:rPr>
      </w:pPr>
    </w:p>
    <w:p w14:paraId="53AD5D1E">
      <w:pPr>
        <w:widowControl/>
        <w:jc w:val="left"/>
        <w:rPr>
          <w:rFonts w:hint="eastAsia" w:ascii="仿宋" w:hAnsi="仿宋" w:eastAsia="仿宋" w:cs="仿宋"/>
          <w:b/>
          <w:bCs/>
          <w:sz w:val="24"/>
          <w:szCs w:val="20"/>
          <w:highlight w:val="none"/>
        </w:rPr>
      </w:pPr>
    </w:p>
    <w:p w14:paraId="7F88E781">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0B9D67">
      <w:pPr>
        <w:widowControl w:val="0"/>
        <w:ind w:firstLine="482" w:firstLineChars="200"/>
        <w:jc w:val="center"/>
        <w:rPr>
          <w:rFonts w:hint="eastAsia" w:ascii="仿宋" w:hAnsi="仿宋" w:eastAsia="仿宋" w:cs="仿宋"/>
          <w:b/>
          <w:bCs/>
          <w:kern w:val="2"/>
          <w:sz w:val="24"/>
          <w:szCs w:val="24"/>
          <w:highlight w:val="none"/>
          <w:lang w:val="en-US" w:eastAsia="zh-CN"/>
        </w:rPr>
      </w:pPr>
    </w:p>
    <w:p w14:paraId="65AE6BAC">
      <w:pPr>
        <w:widowControl w:val="0"/>
        <w:ind w:firstLine="482" w:firstLineChars="200"/>
        <w:jc w:val="center"/>
        <w:rPr>
          <w:rFonts w:hint="eastAsia" w:ascii="仿宋" w:hAnsi="仿宋" w:eastAsia="仿宋" w:cs="仿宋"/>
          <w:b/>
          <w:bCs/>
          <w:kern w:val="2"/>
          <w:sz w:val="24"/>
          <w:szCs w:val="24"/>
          <w:highlight w:val="none"/>
          <w:lang w:val="en-US" w:eastAsia="zh-CN"/>
        </w:rPr>
      </w:pPr>
    </w:p>
    <w:p w14:paraId="1197772D">
      <w:pPr>
        <w:pStyle w:val="8"/>
        <w:rPr>
          <w:rFonts w:hint="eastAsia" w:ascii="仿宋" w:hAnsi="仿宋" w:eastAsia="仿宋" w:cs="仿宋"/>
          <w:b/>
          <w:bCs/>
          <w:kern w:val="2"/>
          <w:sz w:val="24"/>
          <w:szCs w:val="24"/>
          <w:highlight w:val="none"/>
          <w:lang w:val="en-US" w:eastAsia="zh-CN"/>
        </w:rPr>
      </w:pPr>
    </w:p>
    <w:p w14:paraId="5A6CF823">
      <w:pPr>
        <w:rPr>
          <w:rFonts w:hint="eastAsia" w:ascii="仿宋" w:hAnsi="仿宋" w:eastAsia="仿宋" w:cs="仿宋"/>
          <w:b/>
          <w:bCs/>
          <w:kern w:val="2"/>
          <w:sz w:val="24"/>
          <w:szCs w:val="24"/>
          <w:highlight w:val="none"/>
          <w:lang w:val="en-US" w:eastAsia="zh-CN"/>
        </w:rPr>
      </w:pPr>
    </w:p>
    <w:p w14:paraId="30DE5F3E">
      <w:pPr>
        <w:pStyle w:val="8"/>
        <w:rPr>
          <w:rFonts w:hint="eastAsia" w:ascii="仿宋" w:hAnsi="仿宋" w:eastAsia="仿宋" w:cs="仿宋"/>
          <w:b/>
          <w:bCs/>
          <w:kern w:val="2"/>
          <w:sz w:val="24"/>
          <w:szCs w:val="24"/>
          <w:highlight w:val="none"/>
          <w:lang w:val="en-US" w:eastAsia="zh-CN"/>
        </w:rPr>
      </w:pPr>
    </w:p>
    <w:p w14:paraId="17ABDA6B">
      <w:pPr>
        <w:rPr>
          <w:rFonts w:hint="eastAsia" w:ascii="仿宋" w:hAnsi="仿宋" w:eastAsia="仿宋" w:cs="仿宋"/>
          <w:b/>
          <w:bCs/>
          <w:kern w:val="2"/>
          <w:sz w:val="24"/>
          <w:szCs w:val="24"/>
          <w:highlight w:val="none"/>
          <w:lang w:val="en-US" w:eastAsia="zh-CN"/>
        </w:rPr>
      </w:pPr>
    </w:p>
    <w:p w14:paraId="387383BB">
      <w:pPr>
        <w:pStyle w:val="8"/>
        <w:rPr>
          <w:rFonts w:hint="eastAsia" w:ascii="仿宋" w:hAnsi="仿宋" w:eastAsia="仿宋" w:cs="仿宋"/>
          <w:b/>
          <w:bCs/>
          <w:kern w:val="2"/>
          <w:sz w:val="24"/>
          <w:szCs w:val="24"/>
          <w:highlight w:val="none"/>
          <w:lang w:val="en-US" w:eastAsia="zh-CN"/>
        </w:rPr>
      </w:pPr>
    </w:p>
    <w:p w14:paraId="0B2AEEF7">
      <w:pPr>
        <w:rPr>
          <w:rFonts w:hint="eastAsia" w:ascii="仿宋" w:hAnsi="仿宋" w:eastAsia="仿宋" w:cs="仿宋"/>
          <w:b/>
          <w:bCs/>
          <w:kern w:val="2"/>
          <w:sz w:val="24"/>
          <w:szCs w:val="24"/>
          <w:highlight w:val="none"/>
          <w:lang w:val="en-US" w:eastAsia="zh-CN"/>
        </w:rPr>
      </w:pPr>
    </w:p>
    <w:p w14:paraId="7D5E711A">
      <w:pPr>
        <w:pStyle w:val="8"/>
        <w:rPr>
          <w:rFonts w:hint="eastAsia" w:ascii="仿宋" w:hAnsi="仿宋" w:eastAsia="仿宋" w:cs="仿宋"/>
          <w:b/>
          <w:bCs/>
          <w:kern w:val="2"/>
          <w:sz w:val="24"/>
          <w:szCs w:val="24"/>
          <w:highlight w:val="none"/>
          <w:lang w:val="en-US" w:eastAsia="zh-CN"/>
        </w:rPr>
      </w:pPr>
    </w:p>
    <w:p w14:paraId="6922AC7A">
      <w:pPr>
        <w:pStyle w:val="25"/>
        <w:rPr>
          <w:rFonts w:hint="eastAsia" w:ascii="仿宋" w:hAnsi="仿宋" w:eastAsia="仿宋" w:cs="仿宋"/>
          <w:b/>
          <w:bCs/>
          <w:kern w:val="2"/>
          <w:sz w:val="24"/>
          <w:szCs w:val="24"/>
          <w:highlight w:val="none"/>
          <w:lang w:val="en-US" w:eastAsia="zh-CN"/>
        </w:rPr>
      </w:pPr>
    </w:p>
    <w:p w14:paraId="51691E52">
      <w:pPr>
        <w:rPr>
          <w:rFonts w:hint="eastAsia" w:ascii="仿宋" w:hAnsi="仿宋" w:eastAsia="仿宋" w:cs="仿宋"/>
          <w:b/>
          <w:bCs/>
          <w:kern w:val="2"/>
          <w:sz w:val="24"/>
          <w:szCs w:val="24"/>
          <w:highlight w:val="none"/>
          <w:lang w:val="en-US" w:eastAsia="zh-CN"/>
        </w:rPr>
      </w:pPr>
    </w:p>
    <w:p w14:paraId="301862F6">
      <w:pPr>
        <w:pStyle w:val="8"/>
        <w:rPr>
          <w:rFonts w:hint="eastAsia" w:ascii="仿宋" w:hAnsi="仿宋" w:eastAsia="仿宋" w:cs="仿宋"/>
          <w:b/>
          <w:bCs/>
          <w:kern w:val="2"/>
          <w:sz w:val="24"/>
          <w:szCs w:val="24"/>
          <w:highlight w:val="none"/>
          <w:lang w:val="en-US" w:eastAsia="zh-CN"/>
        </w:rPr>
      </w:pPr>
    </w:p>
    <w:p w14:paraId="2A6B51FB">
      <w:pPr>
        <w:pStyle w:val="25"/>
        <w:rPr>
          <w:rFonts w:hint="eastAsia" w:ascii="仿宋" w:hAnsi="仿宋" w:eastAsia="仿宋" w:cs="仿宋"/>
          <w:b/>
          <w:bCs/>
          <w:kern w:val="2"/>
          <w:sz w:val="24"/>
          <w:szCs w:val="24"/>
          <w:highlight w:val="none"/>
          <w:lang w:val="en-US" w:eastAsia="zh-CN"/>
        </w:rPr>
      </w:pPr>
    </w:p>
    <w:p w14:paraId="25CB97FD">
      <w:pPr>
        <w:rPr>
          <w:rFonts w:hint="eastAsia" w:ascii="仿宋" w:hAnsi="仿宋" w:eastAsia="仿宋" w:cs="仿宋"/>
          <w:b/>
          <w:bCs/>
          <w:kern w:val="2"/>
          <w:sz w:val="24"/>
          <w:szCs w:val="24"/>
          <w:highlight w:val="none"/>
          <w:lang w:val="en-US" w:eastAsia="zh-CN"/>
        </w:rPr>
      </w:pPr>
    </w:p>
    <w:p w14:paraId="6AD321DC">
      <w:pPr>
        <w:pStyle w:val="8"/>
        <w:rPr>
          <w:rFonts w:hint="eastAsia" w:ascii="仿宋" w:hAnsi="仿宋" w:eastAsia="仿宋" w:cs="仿宋"/>
          <w:b/>
          <w:bCs/>
          <w:kern w:val="2"/>
          <w:sz w:val="24"/>
          <w:szCs w:val="24"/>
          <w:highlight w:val="none"/>
          <w:lang w:val="en-US" w:eastAsia="zh-CN"/>
        </w:rPr>
      </w:pPr>
    </w:p>
    <w:p w14:paraId="40CFD3AB">
      <w:pPr>
        <w:pStyle w:val="25"/>
        <w:rPr>
          <w:rFonts w:hint="eastAsia" w:ascii="仿宋" w:hAnsi="仿宋" w:eastAsia="仿宋" w:cs="仿宋"/>
          <w:b/>
          <w:bCs/>
          <w:kern w:val="2"/>
          <w:sz w:val="24"/>
          <w:szCs w:val="24"/>
          <w:highlight w:val="none"/>
          <w:lang w:val="en-US" w:eastAsia="zh-CN"/>
        </w:rPr>
      </w:pPr>
    </w:p>
    <w:p w14:paraId="560CAD9C">
      <w:pPr>
        <w:rPr>
          <w:rFonts w:hint="eastAsia" w:ascii="仿宋" w:hAnsi="仿宋" w:eastAsia="仿宋" w:cs="仿宋"/>
          <w:b/>
          <w:bCs/>
          <w:kern w:val="2"/>
          <w:sz w:val="24"/>
          <w:szCs w:val="24"/>
          <w:highlight w:val="none"/>
          <w:lang w:val="en-US" w:eastAsia="zh-CN"/>
        </w:rPr>
      </w:pPr>
    </w:p>
    <w:p w14:paraId="445ED316">
      <w:pPr>
        <w:pStyle w:val="8"/>
        <w:rPr>
          <w:rFonts w:hint="eastAsia" w:ascii="仿宋" w:hAnsi="仿宋" w:eastAsia="仿宋" w:cs="仿宋"/>
          <w:b/>
          <w:bCs/>
          <w:kern w:val="2"/>
          <w:sz w:val="24"/>
          <w:szCs w:val="24"/>
          <w:highlight w:val="none"/>
          <w:lang w:val="en-US" w:eastAsia="zh-CN"/>
        </w:rPr>
      </w:pPr>
    </w:p>
    <w:p w14:paraId="1063B013">
      <w:pPr>
        <w:pStyle w:val="25"/>
        <w:rPr>
          <w:rFonts w:hint="eastAsia" w:ascii="仿宋" w:hAnsi="仿宋" w:eastAsia="仿宋" w:cs="仿宋"/>
          <w:b/>
          <w:bCs/>
          <w:kern w:val="2"/>
          <w:sz w:val="24"/>
          <w:szCs w:val="24"/>
          <w:highlight w:val="none"/>
          <w:lang w:val="en-US" w:eastAsia="zh-CN"/>
        </w:rPr>
      </w:pPr>
    </w:p>
    <w:p w14:paraId="722E77C6">
      <w:pPr>
        <w:pStyle w:val="8"/>
        <w:rPr>
          <w:rFonts w:hint="eastAsia" w:ascii="仿宋" w:hAnsi="仿宋" w:eastAsia="仿宋" w:cs="仿宋"/>
          <w:b/>
          <w:bCs/>
          <w:kern w:val="2"/>
          <w:sz w:val="24"/>
          <w:szCs w:val="24"/>
          <w:highlight w:val="none"/>
          <w:lang w:val="en-US" w:eastAsia="zh-CN"/>
        </w:rPr>
      </w:pPr>
    </w:p>
    <w:p w14:paraId="06142FEB">
      <w:pPr>
        <w:pStyle w:val="25"/>
        <w:rPr>
          <w:rFonts w:hint="eastAsia" w:ascii="仿宋" w:hAnsi="仿宋" w:eastAsia="仿宋" w:cs="仿宋"/>
          <w:b/>
          <w:bCs/>
          <w:kern w:val="2"/>
          <w:sz w:val="24"/>
          <w:szCs w:val="24"/>
          <w:highlight w:val="none"/>
          <w:lang w:val="en-US" w:eastAsia="zh-CN"/>
        </w:rPr>
      </w:pPr>
    </w:p>
    <w:p w14:paraId="13861638">
      <w:pPr>
        <w:rPr>
          <w:rFonts w:hint="eastAsia" w:ascii="仿宋" w:hAnsi="仿宋" w:eastAsia="仿宋" w:cs="仿宋"/>
          <w:b/>
          <w:bCs/>
          <w:kern w:val="2"/>
          <w:sz w:val="24"/>
          <w:szCs w:val="24"/>
          <w:highlight w:val="none"/>
          <w:lang w:val="en-US" w:eastAsia="zh-CN"/>
        </w:rPr>
      </w:pPr>
    </w:p>
    <w:p w14:paraId="57099686">
      <w:pPr>
        <w:pStyle w:val="8"/>
        <w:rPr>
          <w:rFonts w:hint="eastAsia" w:ascii="仿宋" w:hAnsi="仿宋" w:eastAsia="仿宋" w:cs="仿宋"/>
          <w:b/>
          <w:bCs/>
          <w:kern w:val="2"/>
          <w:sz w:val="24"/>
          <w:szCs w:val="24"/>
          <w:highlight w:val="none"/>
          <w:lang w:val="en-US" w:eastAsia="zh-CN"/>
        </w:rPr>
      </w:pPr>
    </w:p>
    <w:p w14:paraId="67D45F95">
      <w:pPr>
        <w:pStyle w:val="25"/>
        <w:rPr>
          <w:rFonts w:hint="eastAsia" w:ascii="仿宋" w:hAnsi="仿宋" w:eastAsia="仿宋" w:cs="仿宋"/>
          <w:b/>
          <w:bCs/>
          <w:kern w:val="2"/>
          <w:sz w:val="24"/>
          <w:szCs w:val="24"/>
          <w:highlight w:val="none"/>
          <w:lang w:val="en-US" w:eastAsia="zh-CN"/>
        </w:rPr>
      </w:pPr>
    </w:p>
    <w:p w14:paraId="22F3B2D7">
      <w:pPr>
        <w:rPr>
          <w:rFonts w:hint="eastAsia" w:ascii="仿宋" w:hAnsi="仿宋" w:eastAsia="仿宋" w:cs="仿宋"/>
          <w:b/>
          <w:bCs/>
          <w:kern w:val="2"/>
          <w:sz w:val="24"/>
          <w:szCs w:val="24"/>
          <w:highlight w:val="none"/>
          <w:lang w:val="en-US" w:eastAsia="zh-CN"/>
        </w:rPr>
      </w:pPr>
    </w:p>
    <w:p w14:paraId="09179344">
      <w:pPr>
        <w:pStyle w:val="8"/>
        <w:rPr>
          <w:rFonts w:hint="eastAsia" w:ascii="仿宋" w:hAnsi="仿宋" w:eastAsia="仿宋" w:cs="仿宋"/>
          <w:b/>
          <w:bCs/>
          <w:kern w:val="2"/>
          <w:sz w:val="24"/>
          <w:szCs w:val="24"/>
          <w:highlight w:val="none"/>
          <w:lang w:val="en-US" w:eastAsia="zh-CN"/>
        </w:rPr>
      </w:pPr>
    </w:p>
    <w:p w14:paraId="2460EB50">
      <w:pPr>
        <w:pStyle w:val="25"/>
        <w:rPr>
          <w:rFonts w:hint="eastAsia" w:ascii="仿宋" w:hAnsi="仿宋" w:eastAsia="仿宋" w:cs="仿宋"/>
          <w:b/>
          <w:bCs/>
          <w:kern w:val="2"/>
          <w:sz w:val="24"/>
          <w:szCs w:val="24"/>
          <w:highlight w:val="none"/>
          <w:lang w:val="en-US" w:eastAsia="zh-CN"/>
        </w:rPr>
      </w:pPr>
    </w:p>
    <w:p w14:paraId="0A292F6E">
      <w:pPr>
        <w:rPr>
          <w:rFonts w:hint="eastAsia" w:ascii="仿宋" w:hAnsi="仿宋" w:eastAsia="仿宋" w:cs="仿宋"/>
          <w:b/>
          <w:bCs/>
          <w:kern w:val="2"/>
          <w:sz w:val="24"/>
          <w:szCs w:val="24"/>
          <w:highlight w:val="none"/>
          <w:lang w:val="en-US" w:eastAsia="zh-CN"/>
        </w:rPr>
      </w:pPr>
    </w:p>
    <w:p w14:paraId="610C5846">
      <w:pPr>
        <w:pStyle w:val="8"/>
        <w:rPr>
          <w:rFonts w:hint="eastAsia" w:ascii="仿宋" w:hAnsi="仿宋" w:eastAsia="仿宋" w:cs="仿宋"/>
          <w:b/>
          <w:bCs/>
          <w:kern w:val="2"/>
          <w:sz w:val="24"/>
          <w:szCs w:val="24"/>
          <w:highlight w:val="none"/>
          <w:lang w:val="en-US" w:eastAsia="zh-CN"/>
        </w:rPr>
      </w:pPr>
    </w:p>
    <w:p w14:paraId="7027A9C5">
      <w:pPr>
        <w:pStyle w:val="25"/>
        <w:rPr>
          <w:rFonts w:hint="eastAsia" w:ascii="仿宋" w:hAnsi="仿宋" w:eastAsia="仿宋" w:cs="仿宋"/>
          <w:b/>
          <w:bCs/>
          <w:kern w:val="2"/>
          <w:sz w:val="24"/>
          <w:szCs w:val="24"/>
          <w:highlight w:val="none"/>
          <w:lang w:val="en-US" w:eastAsia="zh-CN"/>
        </w:rPr>
      </w:pPr>
    </w:p>
    <w:p w14:paraId="17D991D4">
      <w:pPr>
        <w:rPr>
          <w:rFonts w:hint="eastAsia" w:ascii="仿宋" w:hAnsi="仿宋" w:eastAsia="仿宋" w:cs="仿宋"/>
          <w:b/>
          <w:bCs/>
          <w:kern w:val="2"/>
          <w:sz w:val="24"/>
          <w:szCs w:val="24"/>
          <w:highlight w:val="none"/>
          <w:lang w:val="en-US" w:eastAsia="zh-CN"/>
        </w:rPr>
      </w:pPr>
    </w:p>
    <w:p w14:paraId="342413F9">
      <w:pPr>
        <w:pStyle w:val="8"/>
        <w:rPr>
          <w:rFonts w:hint="eastAsia" w:ascii="仿宋" w:hAnsi="仿宋" w:eastAsia="仿宋" w:cs="仿宋"/>
          <w:b/>
          <w:bCs/>
          <w:kern w:val="2"/>
          <w:sz w:val="24"/>
          <w:szCs w:val="24"/>
          <w:highlight w:val="none"/>
          <w:lang w:val="en-US" w:eastAsia="zh-CN"/>
        </w:rPr>
      </w:pPr>
    </w:p>
    <w:p w14:paraId="49767176">
      <w:pPr>
        <w:pStyle w:val="25"/>
        <w:rPr>
          <w:rFonts w:hint="eastAsia" w:ascii="仿宋" w:hAnsi="仿宋" w:eastAsia="仿宋" w:cs="仿宋"/>
          <w:b/>
          <w:bCs/>
          <w:kern w:val="2"/>
          <w:sz w:val="24"/>
          <w:szCs w:val="24"/>
          <w:highlight w:val="none"/>
          <w:lang w:val="en-US" w:eastAsia="zh-CN"/>
        </w:rPr>
      </w:pPr>
    </w:p>
    <w:p w14:paraId="5C984369">
      <w:pPr>
        <w:rPr>
          <w:rFonts w:hint="eastAsia" w:ascii="仿宋" w:hAnsi="仿宋" w:eastAsia="仿宋" w:cs="仿宋"/>
          <w:b/>
          <w:bCs/>
          <w:kern w:val="2"/>
          <w:sz w:val="24"/>
          <w:szCs w:val="24"/>
          <w:highlight w:val="none"/>
          <w:lang w:val="en-US" w:eastAsia="zh-CN"/>
        </w:rPr>
      </w:pPr>
    </w:p>
    <w:p w14:paraId="335C6637">
      <w:pPr>
        <w:pStyle w:val="8"/>
        <w:rPr>
          <w:rFonts w:hint="eastAsia" w:ascii="仿宋" w:hAnsi="仿宋" w:eastAsia="仿宋" w:cs="仿宋"/>
          <w:b/>
          <w:bCs/>
          <w:kern w:val="2"/>
          <w:sz w:val="24"/>
          <w:szCs w:val="24"/>
          <w:highlight w:val="none"/>
          <w:lang w:val="en-US" w:eastAsia="zh-CN"/>
        </w:rPr>
      </w:pPr>
    </w:p>
    <w:p w14:paraId="604EAEAC">
      <w:pPr>
        <w:pStyle w:val="25"/>
        <w:rPr>
          <w:rFonts w:hint="eastAsia" w:ascii="仿宋" w:hAnsi="仿宋" w:eastAsia="仿宋" w:cs="仿宋"/>
          <w:b/>
          <w:bCs/>
          <w:kern w:val="2"/>
          <w:sz w:val="24"/>
          <w:szCs w:val="24"/>
          <w:highlight w:val="none"/>
          <w:lang w:val="en-US" w:eastAsia="zh-CN"/>
        </w:rPr>
      </w:pPr>
    </w:p>
    <w:p w14:paraId="73DB1855">
      <w:pPr>
        <w:rPr>
          <w:rFonts w:hint="eastAsia"/>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001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05D">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F37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1F37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8644">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823489C"/>
    <w:multiLevelType w:val="singleLevel"/>
    <w:tmpl w:val="E823489C"/>
    <w:lvl w:ilvl="0" w:tentative="0">
      <w:start w:val="1"/>
      <w:numFmt w:val="decimal"/>
      <w:lvlText w:val="%1."/>
      <w:lvlJc w:val="left"/>
      <w:pPr>
        <w:ind w:left="425" w:hanging="425"/>
      </w:pPr>
      <w:rPr>
        <w:rFonts w:hint="default"/>
      </w:rPr>
    </w:lvl>
  </w:abstractNum>
  <w:abstractNum w:abstractNumId="3">
    <w:nsid w:val="F8F6F4BF"/>
    <w:multiLevelType w:val="singleLevel"/>
    <w:tmpl w:val="F8F6F4BF"/>
    <w:lvl w:ilvl="0" w:tentative="0">
      <w:start w:val="1"/>
      <w:numFmt w:val="chineseCounting"/>
      <w:suff w:val="nothing"/>
      <w:lvlText w:val="（%1）"/>
      <w:lvlJc w:val="left"/>
      <w:rPr>
        <w:rFonts w:hint="eastAsia"/>
      </w:rPr>
    </w:lvl>
  </w:abstractNum>
  <w:abstractNum w:abstractNumId="4">
    <w:nsid w:val="063CE8F2"/>
    <w:multiLevelType w:val="singleLevel"/>
    <w:tmpl w:val="063CE8F2"/>
    <w:lvl w:ilvl="0" w:tentative="0">
      <w:start w:val="6"/>
      <w:numFmt w:val="chineseCounting"/>
      <w:suff w:val="nothing"/>
      <w:lvlText w:val="%1、"/>
      <w:lvlJc w:val="left"/>
      <w:rPr>
        <w:rFonts w:hint="eastAsia"/>
      </w:rPr>
    </w:lvl>
  </w:abstractNum>
  <w:abstractNum w:abstractNumId="5">
    <w:nsid w:val="296F2EC0"/>
    <w:multiLevelType w:val="singleLevel"/>
    <w:tmpl w:val="296F2EC0"/>
    <w:lvl w:ilvl="0" w:tentative="0">
      <w:start w:val="2"/>
      <w:numFmt w:val="chineseCounting"/>
      <w:suff w:val="nothing"/>
      <w:lvlText w:val="%1、"/>
      <w:lvlJc w:val="left"/>
      <w:rPr>
        <w:rFonts w:hint="eastAsia"/>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172A27"/>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1E67F19"/>
    <w:rsid w:val="02070CCA"/>
    <w:rsid w:val="020A35B5"/>
    <w:rsid w:val="029D3A65"/>
    <w:rsid w:val="029E28CC"/>
    <w:rsid w:val="02FD73D9"/>
    <w:rsid w:val="036076BB"/>
    <w:rsid w:val="036C77E2"/>
    <w:rsid w:val="03AF5836"/>
    <w:rsid w:val="03B35F94"/>
    <w:rsid w:val="03F00C2C"/>
    <w:rsid w:val="03F34A98"/>
    <w:rsid w:val="04041556"/>
    <w:rsid w:val="040D7160"/>
    <w:rsid w:val="042A3D4B"/>
    <w:rsid w:val="04417C67"/>
    <w:rsid w:val="049A7A55"/>
    <w:rsid w:val="04A163D8"/>
    <w:rsid w:val="04AD1FE3"/>
    <w:rsid w:val="04DC3B9D"/>
    <w:rsid w:val="04F24EFB"/>
    <w:rsid w:val="04F31768"/>
    <w:rsid w:val="060474C7"/>
    <w:rsid w:val="06050740"/>
    <w:rsid w:val="069F5FA0"/>
    <w:rsid w:val="07533F3F"/>
    <w:rsid w:val="07944D56"/>
    <w:rsid w:val="07A07BF6"/>
    <w:rsid w:val="07F949EC"/>
    <w:rsid w:val="07FC1113"/>
    <w:rsid w:val="081A0A78"/>
    <w:rsid w:val="0822685D"/>
    <w:rsid w:val="08D7672D"/>
    <w:rsid w:val="08E12275"/>
    <w:rsid w:val="09722ECD"/>
    <w:rsid w:val="09983C20"/>
    <w:rsid w:val="09EA6E37"/>
    <w:rsid w:val="0A0106F5"/>
    <w:rsid w:val="0A051F93"/>
    <w:rsid w:val="0A0807A0"/>
    <w:rsid w:val="0A1013CF"/>
    <w:rsid w:val="0A310FDA"/>
    <w:rsid w:val="0A426DC6"/>
    <w:rsid w:val="0A6848FD"/>
    <w:rsid w:val="0AC70AC2"/>
    <w:rsid w:val="0AC7549A"/>
    <w:rsid w:val="0B0A2F33"/>
    <w:rsid w:val="0B1701D0"/>
    <w:rsid w:val="0B4A7731"/>
    <w:rsid w:val="0B662E92"/>
    <w:rsid w:val="0B705B32"/>
    <w:rsid w:val="0BEA3AC8"/>
    <w:rsid w:val="0C032502"/>
    <w:rsid w:val="0C0C1163"/>
    <w:rsid w:val="0C141EDE"/>
    <w:rsid w:val="0C193AD3"/>
    <w:rsid w:val="0CAC2BC9"/>
    <w:rsid w:val="0CEA5470"/>
    <w:rsid w:val="0D4D66A4"/>
    <w:rsid w:val="0D596510"/>
    <w:rsid w:val="0DB708FE"/>
    <w:rsid w:val="0DBC030F"/>
    <w:rsid w:val="0DE95727"/>
    <w:rsid w:val="0DFF46DE"/>
    <w:rsid w:val="0E400B9F"/>
    <w:rsid w:val="0EB5061F"/>
    <w:rsid w:val="0EB86FCD"/>
    <w:rsid w:val="0EBE3E7B"/>
    <w:rsid w:val="0F436826"/>
    <w:rsid w:val="0F6E39D9"/>
    <w:rsid w:val="0FC24482"/>
    <w:rsid w:val="0FDFD16C"/>
    <w:rsid w:val="100D00CB"/>
    <w:rsid w:val="10C852A7"/>
    <w:rsid w:val="11482EF1"/>
    <w:rsid w:val="11830113"/>
    <w:rsid w:val="11F701D1"/>
    <w:rsid w:val="12176D07"/>
    <w:rsid w:val="12820E00"/>
    <w:rsid w:val="12E76E7A"/>
    <w:rsid w:val="1303372D"/>
    <w:rsid w:val="131C1D41"/>
    <w:rsid w:val="14103A0E"/>
    <w:rsid w:val="1435417E"/>
    <w:rsid w:val="145E012F"/>
    <w:rsid w:val="147B2172"/>
    <w:rsid w:val="147E0AD7"/>
    <w:rsid w:val="14D667B0"/>
    <w:rsid w:val="150F420C"/>
    <w:rsid w:val="154657DE"/>
    <w:rsid w:val="15C745A0"/>
    <w:rsid w:val="16434521"/>
    <w:rsid w:val="1651013B"/>
    <w:rsid w:val="16687697"/>
    <w:rsid w:val="167125A0"/>
    <w:rsid w:val="16AD1B1F"/>
    <w:rsid w:val="171200D6"/>
    <w:rsid w:val="173E6AE4"/>
    <w:rsid w:val="17684DD0"/>
    <w:rsid w:val="17775829"/>
    <w:rsid w:val="17C91873"/>
    <w:rsid w:val="17DB2032"/>
    <w:rsid w:val="18143A6B"/>
    <w:rsid w:val="183625F0"/>
    <w:rsid w:val="186D1B4E"/>
    <w:rsid w:val="19091C4A"/>
    <w:rsid w:val="19314B52"/>
    <w:rsid w:val="19316471"/>
    <w:rsid w:val="199219B9"/>
    <w:rsid w:val="19AF7825"/>
    <w:rsid w:val="19C568A1"/>
    <w:rsid w:val="19D44C1D"/>
    <w:rsid w:val="1A3F504D"/>
    <w:rsid w:val="1AF71C78"/>
    <w:rsid w:val="1B0E2C71"/>
    <w:rsid w:val="1B5B541D"/>
    <w:rsid w:val="1B735FFA"/>
    <w:rsid w:val="1B7A2B64"/>
    <w:rsid w:val="1B827729"/>
    <w:rsid w:val="1BB07BC9"/>
    <w:rsid w:val="1BFF59AC"/>
    <w:rsid w:val="1C0320AA"/>
    <w:rsid w:val="1C543752"/>
    <w:rsid w:val="1C7D15FF"/>
    <w:rsid w:val="1C8C6544"/>
    <w:rsid w:val="1D274CCD"/>
    <w:rsid w:val="1D550FDE"/>
    <w:rsid w:val="1D6E4E35"/>
    <w:rsid w:val="1D7B6BDE"/>
    <w:rsid w:val="1DAC3FFC"/>
    <w:rsid w:val="1DB16405"/>
    <w:rsid w:val="1DCF493A"/>
    <w:rsid w:val="1E393459"/>
    <w:rsid w:val="1E7B23CC"/>
    <w:rsid w:val="1EAB4F02"/>
    <w:rsid w:val="1EFE2CA3"/>
    <w:rsid w:val="1F6115C2"/>
    <w:rsid w:val="20182A59"/>
    <w:rsid w:val="202B4B09"/>
    <w:rsid w:val="203424EF"/>
    <w:rsid w:val="20612D7F"/>
    <w:rsid w:val="20765736"/>
    <w:rsid w:val="20A142F2"/>
    <w:rsid w:val="20DD55C0"/>
    <w:rsid w:val="20F947C6"/>
    <w:rsid w:val="21310158"/>
    <w:rsid w:val="2171390C"/>
    <w:rsid w:val="21D82E30"/>
    <w:rsid w:val="22066A41"/>
    <w:rsid w:val="22086721"/>
    <w:rsid w:val="22305D42"/>
    <w:rsid w:val="2231143C"/>
    <w:rsid w:val="2245341D"/>
    <w:rsid w:val="22574EFE"/>
    <w:rsid w:val="22882FEA"/>
    <w:rsid w:val="2331405F"/>
    <w:rsid w:val="236379CA"/>
    <w:rsid w:val="23CD3AA8"/>
    <w:rsid w:val="24030E99"/>
    <w:rsid w:val="244553D1"/>
    <w:rsid w:val="24503F80"/>
    <w:rsid w:val="24800AD4"/>
    <w:rsid w:val="24E0742D"/>
    <w:rsid w:val="254671E4"/>
    <w:rsid w:val="254C061E"/>
    <w:rsid w:val="25BB0CC3"/>
    <w:rsid w:val="25DE55C0"/>
    <w:rsid w:val="25E5110A"/>
    <w:rsid w:val="25EA2F9C"/>
    <w:rsid w:val="260E1D77"/>
    <w:rsid w:val="26226C5D"/>
    <w:rsid w:val="26306AEC"/>
    <w:rsid w:val="264C3A3F"/>
    <w:rsid w:val="2663431E"/>
    <w:rsid w:val="2808126A"/>
    <w:rsid w:val="28553C8E"/>
    <w:rsid w:val="286F6D0C"/>
    <w:rsid w:val="28790EF5"/>
    <w:rsid w:val="28C92CBB"/>
    <w:rsid w:val="28ED4932"/>
    <w:rsid w:val="290C4C94"/>
    <w:rsid w:val="2936586D"/>
    <w:rsid w:val="29AE1D01"/>
    <w:rsid w:val="29CE1F49"/>
    <w:rsid w:val="29FE21D6"/>
    <w:rsid w:val="2A0232FC"/>
    <w:rsid w:val="2A9E23A4"/>
    <w:rsid w:val="2AAB32CB"/>
    <w:rsid w:val="2ABC07E1"/>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AB37F5"/>
    <w:rsid w:val="2FCB0A66"/>
    <w:rsid w:val="2FF54D5A"/>
    <w:rsid w:val="304412AC"/>
    <w:rsid w:val="304A60A2"/>
    <w:rsid w:val="304F0D37"/>
    <w:rsid w:val="308C21D9"/>
    <w:rsid w:val="30E67B79"/>
    <w:rsid w:val="316769E0"/>
    <w:rsid w:val="31727460"/>
    <w:rsid w:val="31BD7D7C"/>
    <w:rsid w:val="330709B5"/>
    <w:rsid w:val="3309293E"/>
    <w:rsid w:val="338D69D1"/>
    <w:rsid w:val="33922D7B"/>
    <w:rsid w:val="33C148CD"/>
    <w:rsid w:val="33ED3B76"/>
    <w:rsid w:val="33F0040A"/>
    <w:rsid w:val="340547BA"/>
    <w:rsid w:val="34DC35CC"/>
    <w:rsid w:val="356B157C"/>
    <w:rsid w:val="35A707EA"/>
    <w:rsid w:val="35B2271F"/>
    <w:rsid w:val="35D75530"/>
    <w:rsid w:val="363E5826"/>
    <w:rsid w:val="368C11C2"/>
    <w:rsid w:val="368D4929"/>
    <w:rsid w:val="36BF3346"/>
    <w:rsid w:val="36CC1333"/>
    <w:rsid w:val="36E61D4C"/>
    <w:rsid w:val="36ED7E1F"/>
    <w:rsid w:val="36F32FEF"/>
    <w:rsid w:val="37C82C94"/>
    <w:rsid w:val="37EB6F48"/>
    <w:rsid w:val="38236009"/>
    <w:rsid w:val="38B417B8"/>
    <w:rsid w:val="39A56EBD"/>
    <w:rsid w:val="3A4251ED"/>
    <w:rsid w:val="3A560A8C"/>
    <w:rsid w:val="3A5E704A"/>
    <w:rsid w:val="3A744536"/>
    <w:rsid w:val="3A7D77A0"/>
    <w:rsid w:val="3AB1338A"/>
    <w:rsid w:val="3ACC0DB7"/>
    <w:rsid w:val="3B141786"/>
    <w:rsid w:val="3B2F036E"/>
    <w:rsid w:val="3B385475"/>
    <w:rsid w:val="3BFA6B84"/>
    <w:rsid w:val="3CA1587B"/>
    <w:rsid w:val="3CBC401D"/>
    <w:rsid w:val="3D8C7B84"/>
    <w:rsid w:val="3DD75110"/>
    <w:rsid w:val="3DDB63EB"/>
    <w:rsid w:val="3DFFC6BB"/>
    <w:rsid w:val="3EC139D3"/>
    <w:rsid w:val="3F623810"/>
    <w:rsid w:val="3F725A85"/>
    <w:rsid w:val="3FA255B3"/>
    <w:rsid w:val="3FA50767"/>
    <w:rsid w:val="400F4B9B"/>
    <w:rsid w:val="403D4A15"/>
    <w:rsid w:val="406749C8"/>
    <w:rsid w:val="41AB4D3E"/>
    <w:rsid w:val="41E74672"/>
    <w:rsid w:val="42066D19"/>
    <w:rsid w:val="420F4771"/>
    <w:rsid w:val="422A4836"/>
    <w:rsid w:val="431D791B"/>
    <w:rsid w:val="439416B6"/>
    <w:rsid w:val="43CA6456"/>
    <w:rsid w:val="43E21F24"/>
    <w:rsid w:val="43F809F6"/>
    <w:rsid w:val="442B6866"/>
    <w:rsid w:val="44990EC1"/>
    <w:rsid w:val="44B9656D"/>
    <w:rsid w:val="44DE52DF"/>
    <w:rsid w:val="44EE727B"/>
    <w:rsid w:val="456450B8"/>
    <w:rsid w:val="45BE3CD9"/>
    <w:rsid w:val="45CB1F02"/>
    <w:rsid w:val="46041566"/>
    <w:rsid w:val="4663405B"/>
    <w:rsid w:val="467A5994"/>
    <w:rsid w:val="46E04E44"/>
    <w:rsid w:val="4762530A"/>
    <w:rsid w:val="47717F92"/>
    <w:rsid w:val="477236F8"/>
    <w:rsid w:val="4797200E"/>
    <w:rsid w:val="47C9344E"/>
    <w:rsid w:val="48F913A7"/>
    <w:rsid w:val="49336A82"/>
    <w:rsid w:val="497F0713"/>
    <w:rsid w:val="49E21C9A"/>
    <w:rsid w:val="49F0701D"/>
    <w:rsid w:val="4A1238E7"/>
    <w:rsid w:val="4A155AE7"/>
    <w:rsid w:val="4B454122"/>
    <w:rsid w:val="4B475260"/>
    <w:rsid w:val="4B5856BF"/>
    <w:rsid w:val="4B8B7843"/>
    <w:rsid w:val="4C5D5BEE"/>
    <w:rsid w:val="4C6D6F48"/>
    <w:rsid w:val="4CC7470B"/>
    <w:rsid w:val="4D570466"/>
    <w:rsid w:val="4D5F7E50"/>
    <w:rsid w:val="4D9D385D"/>
    <w:rsid w:val="4E57115A"/>
    <w:rsid w:val="4E910D5D"/>
    <w:rsid w:val="4ED83B66"/>
    <w:rsid w:val="4F4426F6"/>
    <w:rsid w:val="4FC440DA"/>
    <w:rsid w:val="503874F1"/>
    <w:rsid w:val="50A53155"/>
    <w:rsid w:val="512303A7"/>
    <w:rsid w:val="516074FA"/>
    <w:rsid w:val="51A159FE"/>
    <w:rsid w:val="52287B99"/>
    <w:rsid w:val="522A79A8"/>
    <w:rsid w:val="52333AA7"/>
    <w:rsid w:val="52410C5B"/>
    <w:rsid w:val="526E3F03"/>
    <w:rsid w:val="526E7576"/>
    <w:rsid w:val="52992845"/>
    <w:rsid w:val="52B95792"/>
    <w:rsid w:val="533864BD"/>
    <w:rsid w:val="54313BCC"/>
    <w:rsid w:val="544D2950"/>
    <w:rsid w:val="54796CC8"/>
    <w:rsid w:val="547D1CF3"/>
    <w:rsid w:val="54956382"/>
    <w:rsid w:val="54975D21"/>
    <w:rsid w:val="54BF4E56"/>
    <w:rsid w:val="553625CD"/>
    <w:rsid w:val="554F2224"/>
    <w:rsid w:val="55762B17"/>
    <w:rsid w:val="55AE051A"/>
    <w:rsid w:val="55C607D1"/>
    <w:rsid w:val="55F07404"/>
    <w:rsid w:val="56080135"/>
    <w:rsid w:val="562C577E"/>
    <w:rsid w:val="56664420"/>
    <w:rsid w:val="567856F0"/>
    <w:rsid w:val="56CD51B3"/>
    <w:rsid w:val="5724401C"/>
    <w:rsid w:val="573A3ECB"/>
    <w:rsid w:val="575B02ED"/>
    <w:rsid w:val="57614FE6"/>
    <w:rsid w:val="57706216"/>
    <w:rsid w:val="57BB0D0F"/>
    <w:rsid w:val="57EE5AE8"/>
    <w:rsid w:val="5866703A"/>
    <w:rsid w:val="58C12ED4"/>
    <w:rsid w:val="59060509"/>
    <w:rsid w:val="595465EE"/>
    <w:rsid w:val="59C2490A"/>
    <w:rsid w:val="5A02041B"/>
    <w:rsid w:val="5A0C1B4F"/>
    <w:rsid w:val="5A2F0FFF"/>
    <w:rsid w:val="5ABF12B7"/>
    <w:rsid w:val="5ABF4225"/>
    <w:rsid w:val="5ACC5515"/>
    <w:rsid w:val="5B3F505C"/>
    <w:rsid w:val="5B40223A"/>
    <w:rsid w:val="5B4E6197"/>
    <w:rsid w:val="5B500161"/>
    <w:rsid w:val="5B7544F6"/>
    <w:rsid w:val="5BA150F8"/>
    <w:rsid w:val="5BE57E36"/>
    <w:rsid w:val="5C2258A6"/>
    <w:rsid w:val="5C882305"/>
    <w:rsid w:val="5CBF76D4"/>
    <w:rsid w:val="5CE9009D"/>
    <w:rsid w:val="5D6B1282"/>
    <w:rsid w:val="5D705536"/>
    <w:rsid w:val="5D7212B5"/>
    <w:rsid w:val="5D8E54C3"/>
    <w:rsid w:val="5DC22740"/>
    <w:rsid w:val="5DFF763B"/>
    <w:rsid w:val="5E0A2849"/>
    <w:rsid w:val="5E3E6CDB"/>
    <w:rsid w:val="5E657486"/>
    <w:rsid w:val="5E95226E"/>
    <w:rsid w:val="5EA66A16"/>
    <w:rsid w:val="5ECD73AA"/>
    <w:rsid w:val="5F381638"/>
    <w:rsid w:val="5F546AE6"/>
    <w:rsid w:val="5F8F2016"/>
    <w:rsid w:val="60031CB2"/>
    <w:rsid w:val="6035351B"/>
    <w:rsid w:val="60655578"/>
    <w:rsid w:val="607A4E61"/>
    <w:rsid w:val="608368E3"/>
    <w:rsid w:val="60F450F2"/>
    <w:rsid w:val="6111668E"/>
    <w:rsid w:val="61961985"/>
    <w:rsid w:val="623E27EF"/>
    <w:rsid w:val="624A69D1"/>
    <w:rsid w:val="624B6A89"/>
    <w:rsid w:val="629B05E1"/>
    <w:rsid w:val="62E2460D"/>
    <w:rsid w:val="63736D0F"/>
    <w:rsid w:val="63925A25"/>
    <w:rsid w:val="63B55DEB"/>
    <w:rsid w:val="63E279EC"/>
    <w:rsid w:val="64041E8E"/>
    <w:rsid w:val="6470717E"/>
    <w:rsid w:val="649D4417"/>
    <w:rsid w:val="65594BFA"/>
    <w:rsid w:val="655D6C47"/>
    <w:rsid w:val="658E3D60"/>
    <w:rsid w:val="658F2B3B"/>
    <w:rsid w:val="65E97B19"/>
    <w:rsid w:val="661E3335"/>
    <w:rsid w:val="662D5327"/>
    <w:rsid w:val="66361BAE"/>
    <w:rsid w:val="666F1DE3"/>
    <w:rsid w:val="66AA05FC"/>
    <w:rsid w:val="66C11670"/>
    <w:rsid w:val="66FE6C82"/>
    <w:rsid w:val="67216576"/>
    <w:rsid w:val="685300C0"/>
    <w:rsid w:val="685665D7"/>
    <w:rsid w:val="69056046"/>
    <w:rsid w:val="69111763"/>
    <w:rsid w:val="692B1B1E"/>
    <w:rsid w:val="69823BDB"/>
    <w:rsid w:val="69E516A1"/>
    <w:rsid w:val="6AAF146B"/>
    <w:rsid w:val="6B363EDF"/>
    <w:rsid w:val="6B3C7509"/>
    <w:rsid w:val="6B405AFC"/>
    <w:rsid w:val="6B6F1F3D"/>
    <w:rsid w:val="6BC86629"/>
    <w:rsid w:val="6C134FBF"/>
    <w:rsid w:val="6C332ECD"/>
    <w:rsid w:val="6C430180"/>
    <w:rsid w:val="6CA87DFD"/>
    <w:rsid w:val="6CCA5E07"/>
    <w:rsid w:val="6D1C4347"/>
    <w:rsid w:val="6D6F091A"/>
    <w:rsid w:val="6D977A4D"/>
    <w:rsid w:val="6DF710CF"/>
    <w:rsid w:val="6E1E6C74"/>
    <w:rsid w:val="6EAC554A"/>
    <w:rsid w:val="6EC1605C"/>
    <w:rsid w:val="6EEA3255"/>
    <w:rsid w:val="6F06541D"/>
    <w:rsid w:val="6F650CF5"/>
    <w:rsid w:val="6F767D3E"/>
    <w:rsid w:val="6FAD76CE"/>
    <w:rsid w:val="6FCF7722"/>
    <w:rsid w:val="70001CFE"/>
    <w:rsid w:val="700E1108"/>
    <w:rsid w:val="707C273F"/>
    <w:rsid w:val="70DE7195"/>
    <w:rsid w:val="710E21F8"/>
    <w:rsid w:val="71396740"/>
    <w:rsid w:val="715776FB"/>
    <w:rsid w:val="71F210A6"/>
    <w:rsid w:val="727B1C57"/>
    <w:rsid w:val="728E1AAC"/>
    <w:rsid w:val="72CC0A62"/>
    <w:rsid w:val="7350022B"/>
    <w:rsid w:val="73A9791B"/>
    <w:rsid w:val="73C60B68"/>
    <w:rsid w:val="73F83FDE"/>
    <w:rsid w:val="73FB0F8B"/>
    <w:rsid w:val="742D6E39"/>
    <w:rsid w:val="74DA4670"/>
    <w:rsid w:val="75082E7D"/>
    <w:rsid w:val="756E51BC"/>
    <w:rsid w:val="75F052ED"/>
    <w:rsid w:val="7602378C"/>
    <w:rsid w:val="772D6A54"/>
    <w:rsid w:val="779977D3"/>
    <w:rsid w:val="779D0CBD"/>
    <w:rsid w:val="78197E01"/>
    <w:rsid w:val="78454752"/>
    <w:rsid w:val="789C3DC3"/>
    <w:rsid w:val="78AA55C4"/>
    <w:rsid w:val="79386064"/>
    <w:rsid w:val="79E32474"/>
    <w:rsid w:val="7A2806AC"/>
    <w:rsid w:val="7A566D58"/>
    <w:rsid w:val="7A680E1F"/>
    <w:rsid w:val="7B5F2D1E"/>
    <w:rsid w:val="7B851309"/>
    <w:rsid w:val="7B9C0D55"/>
    <w:rsid w:val="7BD74E83"/>
    <w:rsid w:val="7C6A29E9"/>
    <w:rsid w:val="7D126505"/>
    <w:rsid w:val="7D176902"/>
    <w:rsid w:val="7D273B57"/>
    <w:rsid w:val="7DB54783"/>
    <w:rsid w:val="7DBFF5B2"/>
    <w:rsid w:val="7DCE2E07"/>
    <w:rsid w:val="7DD10836"/>
    <w:rsid w:val="7DD48B0D"/>
    <w:rsid w:val="7E83466E"/>
    <w:rsid w:val="7EA25F25"/>
    <w:rsid w:val="7F66575E"/>
    <w:rsid w:val="7FB34697"/>
    <w:rsid w:val="7FB78032"/>
    <w:rsid w:val="7FC44AF6"/>
    <w:rsid w:val="7FE0EA39"/>
    <w:rsid w:val="7FF520FB"/>
    <w:rsid w:val="7FFE127A"/>
    <w:rsid w:val="7FFEA83E"/>
    <w:rsid w:val="9FFE8352"/>
    <w:rsid w:val="A7F7C422"/>
    <w:rsid w:val="AFF56DAC"/>
    <w:rsid w:val="AFFDF614"/>
    <w:rsid w:val="BFED031A"/>
    <w:rsid w:val="DDBDA9D7"/>
    <w:rsid w:val="EB4D9759"/>
    <w:rsid w:val="F6AA1D5D"/>
    <w:rsid w:val="F7B3303F"/>
    <w:rsid w:val="FF3FF3B5"/>
    <w:rsid w:val="FFFFA3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3"/>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1"/>
    <w:next w:val="1"/>
    <w:link w:val="35"/>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6"/>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pPr>
    <w:rPr>
      <w:rFonts w:hAnsi="Verdana" w:cs="Times New Roman"/>
      <w:bCs/>
      <w:szCs w:val="24"/>
    </w:rPr>
  </w:style>
  <w:style w:type="paragraph" w:styleId="6">
    <w:name w:val="Document Map"/>
    <w:basedOn w:val="1"/>
    <w:link w:val="40"/>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unhideWhenUsed/>
    <w:qFormat/>
    <w:uiPriority w:val="99"/>
    <w:rPr>
      <w:rFonts w:asciiTheme="minorHAnsi" w:hAnsiTheme="minorHAnsi" w:cstheme="minorBidi"/>
      <w:szCs w:val="22"/>
    </w:rPr>
  </w:style>
  <w:style w:type="paragraph" w:styleId="9">
    <w:name w:val="Body Text Indent"/>
    <w:basedOn w:val="1"/>
    <w:qFormat/>
    <w:uiPriority w:val="0"/>
    <w:pPr>
      <w:spacing w:line="360" w:lineRule="auto"/>
      <w:ind w:firstLine="420" w:firstLineChars="200"/>
    </w:pPr>
  </w:style>
  <w:style w:type="paragraph" w:styleId="10">
    <w:name w:val="Plain Text"/>
    <w:basedOn w:val="1"/>
    <w:link w:val="44"/>
    <w:semiHidden/>
    <w:unhideWhenUsed/>
    <w:qFormat/>
    <w:uiPriority w:val="99"/>
    <w:rPr>
      <w:rFonts w:ascii="宋体" w:hAnsi="Courier New" w:cs="Times New Roman"/>
      <w:szCs w:val="20"/>
    </w:rPr>
  </w:style>
  <w:style w:type="paragraph" w:styleId="11">
    <w:name w:val="Balloon Text"/>
    <w:basedOn w:val="1"/>
    <w:link w:val="38"/>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unhideWhenUsed/>
    <w:qFormat/>
    <w:uiPriority w:val="99"/>
    <w:pPr>
      <w:ind w:left="200" w:leftChars="200" w:hanging="200" w:hangingChars="200"/>
    </w:pPr>
    <w:rPr>
      <w:rFonts w:eastAsia="等线"/>
      <w:szCs w:val="21"/>
    </w:rPr>
  </w:style>
  <w:style w:type="paragraph" w:styleId="15">
    <w:name w:val="Body Text 2"/>
    <w:basedOn w:val="1"/>
    <w:qFormat/>
    <w:uiPriority w:val="0"/>
    <w:pPr>
      <w:spacing w:line="360" w:lineRule="auto"/>
    </w:pPr>
    <w:rPr>
      <w:sz w:val="24"/>
    </w:rPr>
  </w:style>
  <w:style w:type="paragraph" w:styleId="16">
    <w:name w:val="Normal (Web)"/>
    <w:basedOn w:val="1"/>
    <w:link w:val="43"/>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9"/>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7">
    <w:name w:val="表格文字"/>
    <w:basedOn w:val="28"/>
    <w:qFormat/>
    <w:uiPriority w:val="99"/>
    <w:pPr>
      <w:spacing w:before="25" w:after="25"/>
    </w:pPr>
    <w:rPr>
      <w:spacing w:val="10"/>
      <w:sz w:val="24"/>
    </w:rPr>
  </w:style>
  <w:style w:type="paragraph" w:customStyle="1" w:styleId="28">
    <w:name w:val="正文 New New New New New New New New New New New New New New New New New New New New New New New New New New New New New New New New New New New New"/>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0">
    <w:name w:val="默认段落字体 Para Char Char Char Char"/>
    <w:basedOn w:val="1"/>
    <w:qFormat/>
    <w:uiPriority w:val="99"/>
    <w:rPr>
      <w:rFonts w:ascii="Times New Roman" w:hAnsi="Times New Roman" w:cs="Times New Roman"/>
    </w:rPr>
  </w:style>
  <w:style w:type="character" w:customStyle="1" w:styleId="31">
    <w:name w:val="页眉 Char"/>
    <w:basedOn w:val="21"/>
    <w:link w:val="13"/>
    <w:qFormat/>
    <w:uiPriority w:val="99"/>
    <w:rPr>
      <w:rFonts w:cs="Calibri"/>
      <w:sz w:val="18"/>
      <w:szCs w:val="18"/>
    </w:rPr>
  </w:style>
  <w:style w:type="character" w:customStyle="1" w:styleId="32">
    <w:name w:val="页脚 Char"/>
    <w:basedOn w:val="21"/>
    <w:link w:val="12"/>
    <w:qFormat/>
    <w:uiPriority w:val="99"/>
    <w:rPr>
      <w:rFonts w:cs="Calibri"/>
      <w:sz w:val="18"/>
      <w:szCs w:val="18"/>
    </w:rPr>
  </w:style>
  <w:style w:type="character" w:customStyle="1" w:styleId="33">
    <w:name w:val="标题 2 Char"/>
    <w:basedOn w:val="21"/>
    <w:link w:val="2"/>
    <w:qFormat/>
    <w:uiPriority w:val="0"/>
    <w:rPr>
      <w:rFonts w:ascii="宋体" w:hAnsi="宋体"/>
      <w:b/>
      <w:sz w:val="24"/>
    </w:rPr>
  </w:style>
  <w:style w:type="character" w:customStyle="1" w:styleId="34">
    <w:name w:val="正文缩进 Char"/>
    <w:basedOn w:val="21"/>
    <w:link w:val="5"/>
    <w:qFormat/>
    <w:uiPriority w:val="0"/>
    <w:rPr>
      <w:rFonts w:hAnsi="Verdana"/>
      <w:bCs/>
      <w:kern w:val="2"/>
      <w:sz w:val="21"/>
      <w:szCs w:val="24"/>
    </w:rPr>
  </w:style>
  <w:style w:type="character" w:customStyle="1" w:styleId="35">
    <w:name w:val="标题 3 Char"/>
    <w:basedOn w:val="21"/>
    <w:link w:val="3"/>
    <w:semiHidden/>
    <w:qFormat/>
    <w:uiPriority w:val="0"/>
    <w:rPr>
      <w:rFonts w:cs="Calibri"/>
      <w:b/>
      <w:bCs/>
      <w:kern w:val="2"/>
      <w:sz w:val="32"/>
      <w:szCs w:val="32"/>
    </w:rPr>
  </w:style>
  <w:style w:type="character" w:customStyle="1" w:styleId="36">
    <w:name w:val="标题 4 Char"/>
    <w:basedOn w:val="21"/>
    <w:link w:val="4"/>
    <w:semiHidden/>
    <w:qFormat/>
    <w:uiPriority w:val="0"/>
    <w:rPr>
      <w:rFonts w:ascii="Cambria" w:hAnsi="Cambria" w:eastAsia="宋体" w:cs="Times New Roman"/>
      <w:b/>
      <w:bCs/>
      <w:kern w:val="2"/>
      <w:sz w:val="28"/>
      <w:szCs w:val="28"/>
    </w:rPr>
  </w:style>
  <w:style w:type="paragraph" w:customStyle="1" w:styleId="3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8">
    <w:name w:val="批注框文本 Char"/>
    <w:basedOn w:val="21"/>
    <w:link w:val="11"/>
    <w:semiHidden/>
    <w:qFormat/>
    <w:uiPriority w:val="99"/>
    <w:rPr>
      <w:rFonts w:cs="Calibri"/>
      <w:kern w:val="2"/>
      <w:sz w:val="18"/>
      <w:szCs w:val="18"/>
    </w:rPr>
  </w:style>
  <w:style w:type="paragraph" w:styleId="39">
    <w:name w:val="List Paragraph"/>
    <w:basedOn w:val="1"/>
    <w:qFormat/>
    <w:uiPriority w:val="34"/>
    <w:pPr>
      <w:ind w:firstLine="420" w:firstLineChars="200"/>
    </w:pPr>
  </w:style>
  <w:style w:type="character" w:customStyle="1" w:styleId="40">
    <w:name w:val="文档结构图 Char"/>
    <w:basedOn w:val="21"/>
    <w:link w:val="6"/>
    <w:semiHidden/>
    <w:qFormat/>
    <w:uiPriority w:val="99"/>
    <w:rPr>
      <w:rFonts w:ascii="宋体" w:cs="Calibri"/>
      <w:kern w:val="2"/>
      <w:sz w:val="18"/>
      <w:szCs w:val="18"/>
    </w:rPr>
  </w:style>
  <w:style w:type="paragraph" w:customStyle="1" w:styleId="41">
    <w:name w:val="_Style 1"/>
    <w:basedOn w:val="1"/>
    <w:qFormat/>
    <w:uiPriority w:val="0"/>
  </w:style>
  <w:style w:type="paragraph" w:customStyle="1" w:styleId="42">
    <w:name w:val="_Style 2"/>
    <w:basedOn w:val="1"/>
    <w:qFormat/>
    <w:uiPriority w:val="0"/>
  </w:style>
  <w:style w:type="character" w:customStyle="1" w:styleId="43">
    <w:name w:val="普通(网站) Char"/>
    <w:link w:val="16"/>
    <w:qFormat/>
    <w:uiPriority w:val="99"/>
    <w:rPr>
      <w:rFonts w:ascii="宋体" w:hAnsi="宋体" w:cs="宋体"/>
      <w:sz w:val="24"/>
      <w:szCs w:val="24"/>
    </w:rPr>
  </w:style>
  <w:style w:type="character" w:customStyle="1" w:styleId="44">
    <w:name w:val="纯文本 Char"/>
    <w:basedOn w:val="21"/>
    <w:link w:val="10"/>
    <w:semiHidden/>
    <w:qFormat/>
    <w:uiPriority w:val="99"/>
    <w:rPr>
      <w:rFonts w:ascii="宋体" w:hAnsi="Courier New"/>
      <w:kern w:val="2"/>
      <w:sz w:val="21"/>
    </w:rPr>
  </w:style>
  <w:style w:type="paragraph" w:customStyle="1" w:styleId="45">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6">
    <w:name w:val="列出段落1"/>
    <w:basedOn w:val="1"/>
    <w:qFormat/>
    <w:uiPriority w:val="0"/>
    <w:pPr>
      <w:ind w:firstLine="420" w:firstLineChars="200"/>
    </w:pPr>
    <w:rPr>
      <w:szCs w:val="24"/>
    </w:rPr>
  </w:style>
  <w:style w:type="character" w:customStyle="1" w:styleId="47">
    <w:name w:val="NormalCharacter"/>
    <w:qFormat/>
    <w:uiPriority w:val="0"/>
    <w:rPr>
      <w:kern w:val="2"/>
      <w:sz w:val="21"/>
      <w:szCs w:val="24"/>
      <w:lang w:val="en-US" w:eastAsia="zh-CN" w:bidi="ar-SA"/>
    </w:rPr>
  </w:style>
  <w:style w:type="paragraph" w:customStyle="1" w:styleId="48">
    <w:name w:val="Table Paragraph"/>
    <w:basedOn w:val="1"/>
    <w:qFormat/>
    <w:uiPriority w:val="1"/>
    <w:rPr>
      <w:rFonts w:ascii="宋体" w:hAnsi="宋体" w:cs="宋体"/>
      <w:lang w:val="zh-CN" w:bidi="zh-CN"/>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0">
    <w:name w:val="p0"/>
    <w:basedOn w:val="1"/>
    <w:qFormat/>
    <w:uiPriority w:val="0"/>
    <w:pPr>
      <w:widowControl/>
    </w:pPr>
    <w:rPr>
      <w:rFonts w:ascii="Calibri" w:hAnsi="Calibri"/>
      <w:kern w:val="0"/>
      <w:szCs w:val="21"/>
    </w:rPr>
  </w:style>
  <w:style w:type="table" w:customStyle="1" w:styleId="51">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font101"/>
    <w:basedOn w:val="21"/>
    <w:qFormat/>
    <w:uiPriority w:val="0"/>
    <w:rPr>
      <w:rFonts w:ascii="Arial" w:hAnsi="Arial" w:cs="Arial"/>
      <w:color w:val="000000"/>
      <w:sz w:val="20"/>
      <w:szCs w:val="20"/>
      <w:u w:val="none"/>
    </w:rPr>
  </w:style>
  <w:style w:type="character" w:customStyle="1" w:styleId="56">
    <w:name w:val="正文文本 Char"/>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53</Pages>
  <Words>5683</Words>
  <Characters>5754</Characters>
  <Lines>108</Lines>
  <Paragraphs>30</Paragraphs>
  <TotalTime>16</TotalTime>
  <ScaleCrop>false</ScaleCrop>
  <LinksUpToDate>false</LinksUpToDate>
  <CharactersWithSpaces>6635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2019-08-15T09:51:00Z</dcterms:created>
  <dc:creator>think</dc:creator>
  <cp:lastModifiedBy>十口</cp:lastModifiedBy>
  <cp:lastPrinted>2023-05-20T16:05:00Z</cp:lastPrinted>
  <dcterms:modified xsi:type="dcterms:W3CDTF">2025-08-29T00:54:38Z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17DDE158216B49958DC96F5BE8E3A982_13</vt:lpwstr>
  </property>
  <property fmtid="{D5CDD505-2E9C-101B-9397-08002B2CF9AE}" pid="4" name="KSOTemplateDocerSaveRecord">
    <vt:lpwstr>eyJoZGlkIjoiNWE3MDJmOWE2YjBmYzM4NjVkYmM5YjNjNDFhNjBlZDQiLCJ1c2VySWQiOiI4NTkxMzM3MTkifQ==</vt:lpwstr>
  </property>
</Properties>
</file>