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Cs/>
          <w:sz w:val="44"/>
          <w:szCs w:val="44"/>
        </w:rPr>
      </w:pPr>
      <w:r>
        <w:rPr>
          <w:rFonts w:ascii="宋体" w:hAnsi="宋体" w:cs="宋体"/>
          <w:bCs/>
          <w:sz w:val="44"/>
          <w:szCs w:val="44"/>
        </w:rPr>
        <w:t>深圳市</w:t>
      </w:r>
      <w:r>
        <w:rPr>
          <w:rFonts w:hint="eastAsia" w:ascii="宋体" w:hAnsi="宋体" w:cs="宋体"/>
          <w:bCs/>
          <w:sz w:val="44"/>
          <w:szCs w:val="44"/>
        </w:rPr>
        <w:t>龙岗区应急管理局采购项目公告</w:t>
      </w:r>
    </w:p>
    <w:p>
      <w:pPr>
        <w:overflowPunct w:val="0"/>
        <w:adjustRightInd w:val="0"/>
        <w:snapToGrid w:val="0"/>
        <w:spacing w:line="560" w:lineRule="exact"/>
        <w:ind w:firstLine="640" w:firstLineChars="200"/>
        <w:rPr>
          <w:rFonts w:ascii="仿宋_GB2312" w:hAnsi="仿宋_GB2312" w:eastAsia="仿宋_GB2312" w:cs="仿宋_GB2312"/>
          <w:sz w:val="32"/>
          <w:szCs w:val="32"/>
        </w:rPr>
      </w:pP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为贯彻落实《中华人民共和国安全生产法》《中共中央 国务院关于推进安全生产领域改革发展的意见》《地方党政领导干部安全生产责任制规定》《事故灾难类安全风险动态评估机制建设及试点工作方案》（深安办〔2024〕132号）等文件要求，龙岗区拟开展安全生产高风险领域综合研判，切实提升发现问题和解决问题的强烈意愿和能力水平，推动重大事故隐患动态清零。</w:t>
      </w:r>
      <w:r>
        <w:rPr>
          <w:rFonts w:hint="eastAsia" w:ascii="仿宋_GB2312" w:eastAsia="仿宋_GB2312"/>
          <w:color w:val="000000"/>
          <w:sz w:val="32"/>
          <w:szCs w:val="32"/>
        </w:rPr>
        <w:t>龙岗区安全生产高风险领域综合研判项目</w:t>
      </w:r>
      <w:r>
        <w:rPr>
          <w:rFonts w:hint="eastAsia" w:ascii="仿宋_GB2312" w:hAnsi="仿宋_GB2312" w:eastAsia="仿宋_GB2312" w:cs="仿宋_GB2312"/>
          <w:sz w:val="32"/>
          <w:szCs w:val="32"/>
        </w:rPr>
        <w:t>现面向社会公开招标，欢迎有相应资质和能力的潜在投标人参加本次招标活动。</w:t>
      </w:r>
    </w:p>
    <w:p>
      <w:pPr>
        <w:overflowPunct w:val="0"/>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一、</w:t>
      </w:r>
      <w:r>
        <w:rPr>
          <w:rFonts w:hint="eastAsia" w:ascii="Times New Roman" w:hAnsi="Times New Roman" w:eastAsia="黑体" w:cs="黑体"/>
          <w:sz w:val="32"/>
          <w:szCs w:val="32"/>
        </w:rPr>
        <w:t>项目概况</w:t>
      </w:r>
    </w:p>
    <w:p>
      <w:pPr>
        <w:widowControl/>
        <w:adjustRightInd w:val="0"/>
        <w:snapToGrid w:val="0"/>
        <w:spacing w:line="560" w:lineRule="exact"/>
        <w:ind w:firstLine="640" w:firstLineChars="200"/>
        <w:rPr>
          <w:rFonts w:ascii="仿宋_GB2312" w:eastAsia="仿宋_GB2312"/>
          <w:color w:val="000000"/>
          <w:sz w:val="32"/>
          <w:szCs w:val="32"/>
        </w:rPr>
      </w:pPr>
      <w:r>
        <w:rPr>
          <w:rFonts w:hint="eastAsia" w:ascii="楷体_GB2312" w:hAnsi="楷体_GB2312" w:eastAsia="楷体_GB2312" w:cs="楷体_GB2312"/>
          <w:sz w:val="32"/>
          <w:szCs w:val="32"/>
        </w:rPr>
        <w:t>（一）采购项目名称：</w:t>
      </w:r>
      <w:r>
        <w:rPr>
          <w:rFonts w:hint="eastAsia" w:ascii="仿宋_GB2312" w:eastAsia="仿宋_GB2312"/>
          <w:color w:val="000000"/>
          <w:sz w:val="32"/>
          <w:szCs w:val="32"/>
        </w:rPr>
        <w:t>龙岗区安全生产高风险领域综合研判项目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（二）服务地点：</w:t>
      </w:r>
      <w:r>
        <w:rPr>
          <w:rFonts w:hint="eastAsia" w:ascii="仿宋_GB2312" w:hAnsi="Calibri" w:eastAsia="仿宋_GB2312" w:cs="Times New Roman"/>
          <w:color w:val="000000"/>
          <w:sz w:val="32"/>
          <w:szCs w:val="32"/>
        </w:rPr>
        <w:t>龙岗区</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（三）项目概况：</w:t>
      </w:r>
      <w:r>
        <w:rPr>
          <w:rFonts w:hint="eastAsia" w:ascii="仿宋_GB2312" w:hAnsi="仿宋_GB2312" w:eastAsia="仿宋_GB2312" w:cs="仿宋_GB2312"/>
          <w:sz w:val="32"/>
          <w:szCs w:val="32"/>
        </w:rPr>
        <w:t>协助龙岗区应急管理局开展龙岗区安全生产高风险领域综合研判工作，主要任务包括：一是龙岗区安全生产事故分析；二是开展重点单位传统风险、新兴风险监管调研；三是开展高风险领域点位核查；四是开展安全生产现状评估；五是开展龙岗区安全生产风险综合形势研判并提出下一步对策建议。</w:t>
      </w:r>
    </w:p>
    <w:p>
      <w:pPr>
        <w:spacing w:line="560" w:lineRule="exact"/>
        <w:ind w:firstLine="640" w:firstLineChars="200"/>
        <w:rPr>
          <w:rFonts w:hint="eastAsia" w:ascii="仿宋_GB2312" w:hAnsi="Calibri" w:eastAsia="仿宋_GB2312" w:cs="Times New Roman"/>
          <w:color w:val="000000"/>
          <w:sz w:val="32"/>
          <w:szCs w:val="32"/>
        </w:rPr>
      </w:pPr>
      <w:r>
        <w:rPr>
          <w:rFonts w:hint="eastAsia" w:ascii="楷体_GB2312" w:hAnsi="楷体_GB2312" w:eastAsia="楷体_GB2312" w:cs="楷体_GB2312"/>
          <w:sz w:val="32"/>
          <w:szCs w:val="32"/>
        </w:rPr>
        <w:t>（四）项目预算金额：</w:t>
      </w:r>
      <w:r>
        <w:rPr>
          <w:rFonts w:hint="eastAsia" w:ascii="仿宋_GB2312" w:hAnsi="Calibri" w:eastAsia="仿宋_GB2312" w:cs="Times New Roman"/>
          <w:color w:val="000000"/>
          <w:sz w:val="32"/>
          <w:szCs w:val="32"/>
        </w:rPr>
        <w:t>24.69万元。</w:t>
      </w:r>
    </w:p>
    <w:p>
      <w:pPr>
        <w:pStyle w:val="4"/>
        <w:autoSpaceDE w:val="0"/>
        <w:adjustRightInd w:val="0"/>
        <w:snapToGrid w:val="0"/>
        <w:spacing w:after="0" w:line="56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（五）项目期限：</w:t>
      </w:r>
      <w:r>
        <w:rPr>
          <w:rFonts w:hint="eastAsia" w:ascii="仿宋_GB2312" w:eastAsia="仿宋_GB2312"/>
          <w:sz w:val="32"/>
          <w:szCs w:val="32"/>
        </w:rPr>
        <w:t>合同签订之日起至2025年11月30日。</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（六）评分方法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本次投标采用我局综合评标法进行评审（资质20分+报价20分+经验20分+服务方案30</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诚信10分=综合评分100分），评委打分定标，评委对每个通过资格性检查和符合性检查且报价不超过预算控制金额的投标供应商进行打分，得分最高的投标供应商为中标供应商。采购人将于投标截止后召开评标会议选定1家中标单位，中标结果将在龙岗区应急管理局官网进行公示。</w:t>
      </w:r>
    </w:p>
    <w:p>
      <w:pPr>
        <w:overflowPunct w:val="0"/>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二、</w:t>
      </w:r>
      <w:r>
        <w:rPr>
          <w:rFonts w:hint="eastAsia" w:ascii="Times New Roman" w:hAnsi="Times New Roman" w:eastAsia="黑体" w:cs="黑体"/>
          <w:sz w:val="32"/>
          <w:szCs w:val="32"/>
        </w:rPr>
        <w:t>投标人要求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（一）资质要求</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1.具有独立法人资格或具有独立承担民事责任能力的</w:t>
      </w:r>
      <w:r>
        <w:rPr>
          <w:rFonts w:hint="eastAsia" w:ascii="仿宋_GB2312" w:hAnsi="仿宋_GB2312" w:eastAsia="仿宋_GB2312" w:cs="仿宋_GB2312"/>
          <w:sz w:val="32"/>
          <w:szCs w:val="32"/>
          <w:lang w:eastAsia="zh-CN"/>
        </w:rPr>
        <w:t>其他组织</w:t>
      </w:r>
      <w:r>
        <w:rPr>
          <w:rFonts w:hint="eastAsia" w:ascii="仿宋_GB2312" w:hAnsi="仿宋_GB2312" w:eastAsia="仿宋_GB2312" w:cs="仿宋_GB2312"/>
          <w:sz w:val="32"/>
          <w:szCs w:val="32"/>
        </w:rPr>
        <w:t>（提供营业执照或事业单位法人证书等法人证明扫描件，原件备查）。</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2.供应商在《政府采购投标及履约承诺函》中作出声明，符合声明中所承诺的事项。</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3.本项目不接受联合体招标。</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（注：“信用中国”“中国政府采购网”“深圳信用网”以及“深圳市政府采购监督网”为供应商信息的查询渠道，相关信息以开标当日查询结果为准。）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（二）经验要求</w:t>
      </w:r>
    </w:p>
    <w:p>
      <w:pPr>
        <w:adjustRightInd w:val="0"/>
        <w:snapToGrid w:val="0"/>
        <w:spacing w:line="560" w:lineRule="exact"/>
        <w:ind w:firstLine="640" w:firstLineChars="200"/>
        <w:rPr>
          <w:rFonts w:ascii="宋体"/>
        </w:rPr>
      </w:pPr>
      <w:r>
        <w:rPr>
          <w:rFonts w:hint="eastAsia" w:ascii="仿宋_GB2312" w:eastAsia="仿宋_GB2312"/>
          <w:color w:val="000000"/>
          <w:sz w:val="32"/>
          <w:szCs w:val="32"/>
        </w:rPr>
        <w:t>1.具有相关安全服务资质（质量管理体系认证证书、环境管理体系认证证书、职业健康安全管理体系认证证书等）；</w:t>
      </w:r>
    </w:p>
    <w:p>
      <w:pPr>
        <w:autoSpaceDE w:val="0"/>
        <w:adjustRightInd w:val="0"/>
        <w:snapToGrid w:val="0"/>
        <w:spacing w:line="560" w:lineRule="exact"/>
        <w:ind w:firstLine="640" w:firstLineChars="200"/>
        <w:rPr>
          <w:rFonts w:ascii="仿宋_GB2312" w:eastAsia="仿宋_GB2312"/>
          <w:b/>
          <w:bCs/>
          <w:sz w:val="32"/>
          <w:szCs w:val="32"/>
          <w:highlight w:val="none"/>
        </w:rPr>
      </w:pPr>
      <w:r>
        <w:rPr>
          <w:rFonts w:hint="eastAsia" w:ascii="仿宋_GB2312" w:eastAsia="仿宋_GB2312"/>
          <w:color w:val="000000"/>
          <w:sz w:val="32"/>
          <w:szCs w:val="32"/>
        </w:rPr>
        <w:t>2.</w:t>
      </w:r>
      <w:r>
        <w:rPr>
          <w:rFonts w:hint="eastAsia" w:ascii="仿宋_GB2312" w:eastAsia="仿宋_GB2312"/>
          <w:sz w:val="32"/>
          <w:szCs w:val="32"/>
          <w:highlight w:val="none"/>
        </w:rPr>
        <w:t>具有</w:t>
      </w:r>
      <w:r>
        <w:rPr>
          <w:rFonts w:hint="eastAsia" w:ascii="仿宋_GB2312" w:eastAsia="仿宋_GB2312"/>
          <w:sz w:val="32"/>
          <w:szCs w:val="32"/>
        </w:rPr>
        <w:t>专职</w:t>
      </w:r>
      <w:r>
        <w:rPr>
          <w:rFonts w:hint="eastAsia" w:ascii="仿宋_GB2312" w:eastAsia="仿宋_GB2312"/>
          <w:sz w:val="32"/>
          <w:szCs w:val="32"/>
          <w:highlight w:val="none"/>
        </w:rPr>
        <w:t>专家</w:t>
      </w:r>
      <w:r>
        <w:rPr>
          <w:rFonts w:hint="eastAsia" w:ascii="仿宋_GB2312" w:eastAsia="仿宋_GB2312"/>
          <w:sz w:val="32"/>
          <w:szCs w:val="32"/>
          <w:highlight w:val="none"/>
          <w:lang w:eastAsia="zh-CN"/>
        </w:rPr>
        <w:t>（</w:t>
      </w:r>
      <w:r>
        <w:rPr>
          <w:rFonts w:hint="eastAsia" w:ascii="仿宋_GB2312" w:eastAsia="仿宋_GB2312"/>
          <w:sz w:val="32"/>
          <w:szCs w:val="32"/>
        </w:rPr>
        <w:t>具有安全工程相关专业本科及以上学历或具有</w:t>
      </w:r>
      <w:r>
        <w:rPr>
          <w:rFonts w:hint="eastAsia" w:ascii="仿宋_GB2312" w:eastAsia="仿宋_GB2312"/>
          <w:sz w:val="32"/>
          <w:szCs w:val="32"/>
          <w:highlight w:val="none"/>
        </w:rPr>
        <w:t>中高级技术职称或注册安全工程师、注册消防工程师等相关专业资质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和相关专职工作人员；</w:t>
      </w:r>
    </w:p>
    <w:p>
      <w:pPr>
        <w:autoSpaceDE/>
        <w:adjustRightInd w:val="0"/>
        <w:snapToGrid w:val="0"/>
        <w:spacing w:line="560" w:lineRule="exact"/>
        <w:ind w:firstLine="640" w:firstLineChars="200"/>
        <w:rPr>
          <w:rFonts w:eastAsia="仿宋_GB2312"/>
          <w:b/>
          <w:bCs/>
          <w:highlight w:val="yellow"/>
        </w:rPr>
      </w:pPr>
      <w:r>
        <w:rPr>
          <w:rFonts w:hint="eastAsia" w:ascii="仿宋_GB2312" w:eastAsia="仿宋_GB2312"/>
          <w:sz w:val="32"/>
          <w:szCs w:val="32"/>
        </w:rPr>
        <w:t>3.近三年内承接过政府相关业绩经验。</w:t>
      </w:r>
    </w:p>
    <w:p>
      <w:pPr>
        <w:overflowPunct/>
        <w:autoSpaceDE w:val="0"/>
        <w:adjustRightInd w:val="0"/>
        <w:snapToGrid w:val="0"/>
        <w:spacing w:line="560" w:lineRule="exact"/>
        <w:ind w:firstLine="640" w:firstLineChars="200"/>
        <w:rPr>
          <w:rFonts w:ascii="Times New Roman" w:hAnsi="Times New Roman" w:eastAsia="黑体" w:cs="黑体"/>
          <w:sz w:val="32"/>
          <w:szCs w:val="32"/>
        </w:rPr>
      </w:pPr>
      <w:r>
        <w:rPr>
          <w:rFonts w:ascii="Times New Roman" w:hAnsi="Times New Roman" w:eastAsia="黑体" w:cs="黑体"/>
          <w:sz w:val="32"/>
          <w:szCs w:val="32"/>
        </w:rPr>
        <w:t>三、</w:t>
      </w:r>
      <w:r>
        <w:rPr>
          <w:rFonts w:hint="eastAsia" w:ascii="Times New Roman" w:hAnsi="Times New Roman" w:eastAsia="黑体" w:cs="黑体"/>
          <w:sz w:val="32"/>
          <w:szCs w:val="32"/>
        </w:rPr>
        <w:t>投标方式</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（一）投标资料</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1.投标文件封面需注明项目名称、投标人名称、投标人地址、投标人联系人及联系电话；</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2.单位简介，简要介绍单位情况；</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.营业执照、相关资质证书（提供复印件，并加盖单位公章）、法人授权书；</w:t>
      </w:r>
    </w:p>
    <w:p>
      <w:pPr>
        <w:overflowPunct w:val="0"/>
        <w:adjustRightInd w:val="0"/>
        <w:snapToGrid w:val="0"/>
        <w:spacing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u w:val="none"/>
          <w:lang w:val="en-US" w:eastAsia="zh-CN"/>
        </w:rPr>
        <w:t>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政府采购投标及履约承诺函》作出声明并提交</w:t>
      </w:r>
      <w:r>
        <w:rPr>
          <w:rFonts w:hint="eastAsia" w:ascii="仿宋_GB2312" w:hAnsi="仿宋_GB2312" w:eastAsia="仿宋_GB2312" w:cs="仿宋_GB2312"/>
          <w:sz w:val="32"/>
          <w:szCs w:val="32"/>
        </w:rPr>
        <w:t>；</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提供</w:t>
      </w:r>
      <w:r>
        <w:rPr>
          <w:rFonts w:ascii="仿宋_GB2312" w:hAnsi="仿宋_GB2312" w:eastAsia="仿宋_GB2312" w:cs="仿宋_GB2312"/>
          <w:sz w:val="32"/>
          <w:szCs w:val="32"/>
        </w:rPr>
        <w:t>《供应商基本情况表》</w:t>
      </w:r>
      <w:r>
        <w:rPr>
          <w:rFonts w:hint="eastAsia" w:ascii="仿宋_GB2312" w:hAnsi="仿宋_GB2312" w:eastAsia="仿宋_GB2312" w:cs="仿宋_GB2312"/>
          <w:sz w:val="32"/>
          <w:szCs w:val="32"/>
        </w:rPr>
        <w:t>；</w:t>
      </w:r>
    </w:p>
    <w:p>
      <w:pPr>
        <w:overflowPunct w:val="0"/>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报价总表及明细报价表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highlight w:val="none"/>
        </w:rPr>
        <w:t>附简要成本测算依据</w:t>
      </w:r>
      <w:r>
        <w:rPr>
          <w:rFonts w:hint="eastAsia" w:ascii="仿宋_GB2312" w:hAnsi="仿宋_GB2312" w:eastAsia="仿宋_GB2312" w:cs="仿宋_GB2312"/>
          <w:sz w:val="32"/>
          <w:szCs w:val="32"/>
        </w:rPr>
        <w:t>；</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highlight w:val="none"/>
        </w:rPr>
        <w:t>.服务方案</w:t>
      </w:r>
      <w:r>
        <w:rPr>
          <w:rFonts w:hint="eastAsia" w:ascii="仿宋_GB2312" w:hAnsi="仿宋_GB2312" w:eastAsia="仿宋_GB2312" w:cs="仿宋_GB2312"/>
          <w:sz w:val="32"/>
          <w:szCs w:val="32"/>
        </w:rPr>
        <w:t>，</w:t>
      </w:r>
      <w:r>
        <w:rPr>
          <w:rFonts w:hint="eastAsia" w:ascii="仿宋_GB2312" w:hAnsi="仿宋_GB2312" w:eastAsia="仿宋_GB2312" w:cs="仿宋_GB2312"/>
          <w:b w:val="0"/>
          <w:bCs/>
          <w:sz w:val="32"/>
          <w:szCs w:val="32"/>
          <w:highlight w:val="none"/>
        </w:rPr>
        <w:t>包含但不限于：</w:t>
      </w:r>
      <w:r>
        <w:rPr>
          <w:rFonts w:hint="eastAsia" w:ascii="仿宋_GB2312" w:hAnsi="仿宋_GB2312" w:eastAsia="仿宋_GB2312" w:cs="仿宋_GB2312"/>
          <w:bCs/>
          <w:sz w:val="32"/>
          <w:szCs w:val="32"/>
          <w:highlight w:val="none"/>
        </w:rPr>
        <w:t>背景意义、</w:t>
      </w:r>
      <w:r>
        <w:rPr>
          <w:rFonts w:hint="eastAsia" w:ascii="仿宋_GB2312" w:hAnsi="仿宋_GB2312" w:eastAsia="仿宋_GB2312" w:cs="仿宋_GB2312"/>
          <w:b w:val="0"/>
          <w:bCs/>
          <w:sz w:val="32"/>
          <w:szCs w:val="32"/>
          <w:highlight w:val="none"/>
        </w:rPr>
        <w:t>内容目标、技术路线、进度安排、项目成果、项目团队、质量保障</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rPr>
        <w:t>项目负责人、团队成员需与投标人存在隶属关系，提供近三个月社保证明材料，并提供人员学历、职称等证书扫描件；</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.业绩证明材料，需提供项目合同或委托书相关关键信息。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（二）投标时间、地点</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1.投标文件接收开始时间：20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00；</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2.投标文件接收截止时间：2</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下午</w:t>
      </w:r>
      <w:r>
        <w:rPr>
          <w:rFonts w:hint="default" w:ascii="仿宋_GB2312" w:hAnsi="仿宋_GB2312" w:eastAsia="仿宋_GB2312" w:cs="仿宋_GB2312"/>
          <w:sz w:val="32"/>
          <w:szCs w:val="32"/>
          <w:lang w:eastAsia="zh-CN"/>
        </w:rPr>
        <w:t>6</w:t>
      </w:r>
      <w:bookmarkStart w:id="0" w:name="_GoBack"/>
      <w:bookmarkEnd w:id="0"/>
      <w:r>
        <w:rPr>
          <w:rFonts w:hint="eastAsia"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.投标文件接收地点：深圳市龙岗区中心城愉龙路30号龙岗区应急管理708室（联系人：黄工，联系电话：0755-28949207）。</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（三）投标文件份数</w:t>
      </w:r>
    </w:p>
    <w:p>
      <w:pPr>
        <w:overflowPunct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投标文件一式三份，其中正本一份，副本两份（请密封在同一个文件袋中）。</w:t>
      </w:r>
    </w:p>
    <w:p>
      <w:pPr>
        <w:overflowPunct w:val="0"/>
        <w:adjustRightInd w:val="0"/>
        <w:snapToGrid w:val="0"/>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深圳市龙岗区应急管理局</w:t>
      </w: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日 </w:t>
      </w:r>
      <w:r>
        <w:rPr>
          <w:rFonts w:ascii="仿宋_GB2312" w:hAnsi="仿宋_GB2312" w:eastAsia="仿宋_GB2312" w:cs="仿宋_GB2312"/>
          <w:sz w:val="32"/>
          <w:szCs w:val="32"/>
        </w:rPr>
        <w:t xml:space="preserve">  </w:t>
      </w:r>
    </w:p>
    <w:p/>
    <w:p>
      <w:pPr>
        <w:pStyle w:val="11"/>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spacing w:line="560" w:lineRule="exact"/>
        <w:jc w:val="center"/>
        <w:rPr>
          <w:rFonts w:ascii="方正小标宋简体" w:hAnsi="方正小标宋简体" w:eastAsia="方正小标宋简体" w:cs="方正小标宋简体"/>
          <w:sz w:val="40"/>
          <w:szCs w:val="40"/>
        </w:rPr>
        <w:sectPr>
          <w:pgSz w:w="11906" w:h="16838"/>
          <w:pgMar w:top="1440" w:right="1800" w:bottom="1440" w:left="1800" w:header="851" w:footer="992" w:gutter="0"/>
          <w:cols w:space="425" w:num="1"/>
          <w:docGrid w:type="lines" w:linePitch="312" w:charSpace="0"/>
        </w:sectPr>
      </w:pP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参与政府采购活动及履约承诺函</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深圳市龙岗区应急</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我公司参与深圳市龙岗区应急</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局的XXX项目（以下简称本项目）政府采购活动，承诺：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1.我公司参与本项目所提供的货物或服务未侵犯知识产权。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3.我公司参与本项目政府采购活动前三年内，在经营活动中没有《中华人民共和国政府采购法实施条例》第十九条规定的重大违法记录。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4.我公司参与本项目政府采购活动时不存在被有关部门禁止参与政府采购活动且在有效期内的情况。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5.我公司具备《中华人民共和国政府采购法》第二十二条第一款规定的六项条件。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6.我公司未被列入失信被执行人、重大税收违法案件当事人名单、政府采购严重违法失信行为记录名单。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11.我公司承诺不非法转包、分包。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以上承诺，如有违反，愿依照国家相关法律法规处理，并承担由此给采购人带来的损失。</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供应商代表或授权代表签字：</w:t>
      </w:r>
    </w:p>
    <w:p>
      <w:pPr>
        <w:spacing w:line="560" w:lineRule="exact"/>
        <w:rPr>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日期：    年   月   日</w:t>
      </w:r>
    </w:p>
    <w:p>
      <w:pPr>
        <w:pStyle w:val="2"/>
        <w:spacing w:line="560" w:lineRule="exact"/>
        <w:rPr>
          <w:sz w:val="32"/>
          <w:szCs w:val="32"/>
        </w:rPr>
      </w:pPr>
    </w:p>
    <w:p>
      <w:pPr>
        <w:spacing w:line="560" w:lineRule="exact"/>
        <w:rPr>
          <w:sz w:val="32"/>
          <w:szCs w:val="32"/>
        </w:rPr>
      </w:pPr>
    </w:p>
    <w:p>
      <w:pPr>
        <w:pStyle w:val="2"/>
        <w:spacing w:line="560" w:lineRule="exact"/>
        <w:rPr>
          <w:sz w:val="32"/>
          <w:szCs w:val="32"/>
        </w:rPr>
      </w:pPr>
    </w:p>
    <w:p>
      <w:pPr>
        <w:pStyle w:val="9"/>
      </w:pPr>
    </w:p>
    <w:p>
      <w:pPr>
        <w:pStyle w:val="9"/>
        <w:sectPr>
          <w:pgSz w:w="11906" w:h="16838"/>
          <w:pgMar w:top="1440" w:right="1800" w:bottom="1440" w:left="1800" w:header="851" w:footer="992" w:gutter="0"/>
          <w:cols w:space="425" w:num="1"/>
          <w:docGrid w:type="lines" w:linePitch="312" w:charSpace="0"/>
        </w:sectPr>
      </w:pPr>
    </w:p>
    <w:p>
      <w:pPr>
        <w:pStyle w:val="10"/>
        <w:snapToGrid w:val="0"/>
        <w:spacing w:before="0" w:after="0"/>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w:t>
            </w:r>
          </w:p>
        </w:tc>
        <w:tc>
          <w:tcPr>
            <w:tcW w:w="2553" w:type="dxa"/>
            <w:gridSpan w:val="2"/>
            <w:vAlign w:val="center"/>
          </w:tcPr>
          <w:p>
            <w:pPr>
              <w:jc w:val="center"/>
              <w:rPr>
                <w:rFonts w:ascii="方正仿宋_GBK" w:hAnsi="方正仿宋_GBK" w:eastAsia="方正仿宋_GBK" w:cs="方正仿宋_GBK"/>
                <w:sz w:val="24"/>
                <w:szCs w:val="24"/>
              </w:rPr>
            </w:pPr>
          </w:p>
        </w:tc>
        <w:tc>
          <w:tcPr>
            <w:tcW w:w="1991" w:type="dxa"/>
            <w:gridSpan w:val="2"/>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2985" w:type="dxa"/>
            <w:gridSpan w:val="2"/>
            <w:vAlign w:val="center"/>
          </w:tcPr>
          <w:p>
            <w:pPr>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投标（响应）供应商</w:t>
            </w:r>
          </w:p>
        </w:tc>
        <w:tc>
          <w:tcPr>
            <w:tcW w:w="2553" w:type="dxa"/>
            <w:gridSpan w:val="2"/>
            <w:vAlign w:val="center"/>
          </w:tcPr>
          <w:p>
            <w:pPr>
              <w:jc w:val="center"/>
              <w:rPr>
                <w:rFonts w:ascii="方正仿宋_GBK" w:hAnsi="方正仿宋_GBK" w:eastAsia="方正仿宋_GBK" w:cs="方正仿宋_GBK"/>
                <w:sz w:val="24"/>
                <w:szCs w:val="24"/>
              </w:rPr>
            </w:pPr>
          </w:p>
        </w:tc>
        <w:tc>
          <w:tcPr>
            <w:tcW w:w="1991" w:type="dxa"/>
            <w:gridSpan w:val="2"/>
            <w:vAlign w:val="center"/>
          </w:tcPr>
          <w:p>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供应商统一社会信用代码</w:t>
            </w:r>
          </w:p>
        </w:tc>
        <w:tc>
          <w:tcPr>
            <w:tcW w:w="2985" w:type="dxa"/>
            <w:gridSpan w:val="2"/>
            <w:vAlign w:val="center"/>
          </w:tcPr>
          <w:p>
            <w:pPr>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vAlign w:val="center"/>
          </w:tcPr>
          <w:p>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282" w:type="dxa"/>
            <w:gridSpan w:val="2"/>
            <w:tcBorders>
              <w:bottom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职务</w:t>
            </w:r>
          </w:p>
        </w:tc>
        <w:tc>
          <w:tcPr>
            <w:tcW w:w="947" w:type="dxa"/>
            <w:tcBorders>
              <w:bottom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姓名</w:t>
            </w:r>
          </w:p>
        </w:tc>
        <w:tc>
          <w:tcPr>
            <w:tcW w:w="1991" w:type="dxa"/>
            <w:gridSpan w:val="2"/>
            <w:tcBorders>
              <w:bottom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p>
        </w:tc>
        <w:tc>
          <w:tcPr>
            <w:tcW w:w="1500" w:type="dxa"/>
            <w:tcBorders>
              <w:bottom w:val="single" w:color="auto" w:sz="4" w:space="0"/>
            </w:tcBorders>
            <w:vAlign w:val="center"/>
          </w:tcPr>
          <w:p>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劳动合同</w:t>
            </w:r>
          </w:p>
          <w:p>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关系单位</w:t>
            </w:r>
          </w:p>
        </w:tc>
        <w:tc>
          <w:tcPr>
            <w:tcW w:w="1485" w:type="dxa"/>
            <w:tcBorders>
              <w:bottom w:val="single" w:color="auto" w:sz="4" w:space="0"/>
            </w:tcBorders>
            <w:vAlign w:val="center"/>
          </w:tcPr>
          <w:p>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缴纳社会</w:t>
            </w:r>
          </w:p>
          <w:p>
            <w:pPr>
              <w:snapToGrid w:val="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947" w:type="dxa"/>
            <w:tcBorders>
              <w:top w:val="single" w:color="auto" w:sz="4" w:space="0"/>
            </w:tcBorders>
            <w:vAlign w:val="center"/>
          </w:tcPr>
          <w:p>
            <w:pPr>
              <w:jc w:val="center"/>
              <w:rPr>
                <w:rFonts w:ascii="方正仿宋_GBK" w:hAnsi="方正仿宋_GBK" w:eastAsia="方正仿宋_GBK" w:cs="方正仿宋_GBK"/>
                <w:sz w:val="24"/>
                <w:szCs w:val="24"/>
              </w:rPr>
            </w:pPr>
          </w:p>
        </w:tc>
        <w:tc>
          <w:tcPr>
            <w:tcW w:w="1991" w:type="dxa"/>
            <w:gridSpan w:val="2"/>
            <w:tcBorders>
              <w:top w:val="single" w:color="auto" w:sz="4" w:space="0"/>
            </w:tcBorders>
            <w:vAlign w:val="center"/>
          </w:tcPr>
          <w:p>
            <w:pPr>
              <w:jc w:val="center"/>
              <w:rPr>
                <w:rFonts w:ascii="方正仿宋_GBK" w:hAnsi="方正仿宋_GBK" w:eastAsia="方正仿宋_GBK" w:cs="方正仿宋_GBK"/>
                <w:sz w:val="24"/>
                <w:szCs w:val="24"/>
              </w:rPr>
            </w:pPr>
          </w:p>
        </w:tc>
        <w:tc>
          <w:tcPr>
            <w:tcW w:w="1500" w:type="dxa"/>
            <w:tcBorders>
              <w:top w:val="single" w:color="auto" w:sz="4" w:space="0"/>
            </w:tcBorders>
            <w:vAlign w:val="center"/>
          </w:tcPr>
          <w:p>
            <w:pPr>
              <w:jc w:val="center"/>
              <w:rPr>
                <w:rFonts w:ascii="方正仿宋_GBK" w:hAnsi="方正仿宋_GBK" w:eastAsia="方正仿宋_GBK" w:cs="方正仿宋_GBK"/>
                <w:sz w:val="24"/>
                <w:szCs w:val="24"/>
              </w:rPr>
            </w:pPr>
          </w:p>
        </w:tc>
        <w:tc>
          <w:tcPr>
            <w:tcW w:w="1485" w:type="dxa"/>
            <w:tcBorders>
              <w:top w:val="single" w:color="auto" w:sz="4" w:space="0"/>
            </w:tcBorders>
            <w:vAlign w:val="center"/>
          </w:tcPr>
          <w:p>
            <w:pPr>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4</w:t>
            </w:r>
          </w:p>
        </w:tc>
        <w:tc>
          <w:tcPr>
            <w:tcW w:w="2282" w:type="dxa"/>
            <w:gridSpan w:val="2"/>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主要技术人员</w:t>
            </w:r>
          </w:p>
        </w:tc>
        <w:tc>
          <w:tcPr>
            <w:tcW w:w="947" w:type="dxa"/>
            <w:vAlign w:val="center"/>
          </w:tcPr>
          <w:p>
            <w:pPr>
              <w:jc w:val="center"/>
              <w:rPr>
                <w:rFonts w:ascii="方正仿宋_GBK" w:hAnsi="方正仿宋_GBK" w:eastAsia="方正仿宋_GBK" w:cs="方正仿宋_GBK"/>
                <w:sz w:val="24"/>
                <w:szCs w:val="24"/>
              </w:rPr>
            </w:pPr>
          </w:p>
        </w:tc>
        <w:tc>
          <w:tcPr>
            <w:tcW w:w="1991" w:type="dxa"/>
            <w:gridSpan w:val="2"/>
            <w:vAlign w:val="center"/>
          </w:tcPr>
          <w:p>
            <w:pPr>
              <w:jc w:val="center"/>
              <w:rPr>
                <w:rFonts w:ascii="方正仿宋_GBK" w:hAnsi="方正仿宋_GBK" w:eastAsia="方正仿宋_GBK" w:cs="方正仿宋_GBK"/>
                <w:sz w:val="24"/>
                <w:szCs w:val="24"/>
              </w:rPr>
            </w:pPr>
          </w:p>
        </w:tc>
        <w:tc>
          <w:tcPr>
            <w:tcW w:w="1500" w:type="dxa"/>
            <w:vAlign w:val="center"/>
          </w:tcPr>
          <w:p>
            <w:pPr>
              <w:jc w:val="center"/>
              <w:rPr>
                <w:rFonts w:ascii="方正仿宋_GBK" w:hAnsi="方正仿宋_GBK" w:eastAsia="方正仿宋_GBK" w:cs="方正仿宋_GBK"/>
                <w:sz w:val="24"/>
                <w:szCs w:val="24"/>
              </w:rPr>
            </w:pPr>
          </w:p>
        </w:tc>
        <w:tc>
          <w:tcPr>
            <w:tcW w:w="1485" w:type="dxa"/>
            <w:vAlign w:val="center"/>
          </w:tcPr>
          <w:p>
            <w:pPr>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bidi="ar"/>
              </w:rPr>
              <w:t>5</w:t>
            </w:r>
          </w:p>
        </w:tc>
        <w:tc>
          <w:tcPr>
            <w:tcW w:w="2282" w:type="dxa"/>
            <w:gridSpan w:val="2"/>
            <w:vAlign w:val="center"/>
          </w:tcPr>
          <w:p>
            <w:pPr>
              <w:pStyle w:val="3"/>
              <w:snapToGrid w:val="0"/>
              <w:ind w:firstLine="0"/>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pPr>
              <w:jc w:val="center"/>
              <w:rPr>
                <w:rFonts w:ascii="方正仿宋_GBK" w:hAnsi="方正仿宋_GBK" w:eastAsia="方正仿宋_GBK" w:cs="方正仿宋_GBK"/>
                <w:sz w:val="24"/>
                <w:szCs w:val="24"/>
              </w:rPr>
            </w:pPr>
          </w:p>
        </w:tc>
        <w:tc>
          <w:tcPr>
            <w:tcW w:w="1991" w:type="dxa"/>
            <w:gridSpan w:val="2"/>
            <w:vAlign w:val="center"/>
          </w:tcPr>
          <w:p>
            <w:pPr>
              <w:jc w:val="center"/>
              <w:rPr>
                <w:rFonts w:ascii="方正仿宋_GBK" w:hAnsi="方正仿宋_GBK" w:eastAsia="方正仿宋_GBK" w:cs="方正仿宋_GBK"/>
                <w:sz w:val="24"/>
                <w:szCs w:val="24"/>
              </w:rPr>
            </w:pPr>
          </w:p>
        </w:tc>
        <w:tc>
          <w:tcPr>
            <w:tcW w:w="1500" w:type="dxa"/>
            <w:vAlign w:val="center"/>
          </w:tcPr>
          <w:p>
            <w:pPr>
              <w:jc w:val="center"/>
              <w:rPr>
                <w:rFonts w:ascii="方正仿宋_GBK" w:hAnsi="方正仿宋_GBK" w:eastAsia="方正仿宋_GBK" w:cs="方正仿宋_GBK"/>
                <w:sz w:val="24"/>
                <w:szCs w:val="24"/>
              </w:rPr>
            </w:pPr>
          </w:p>
        </w:tc>
        <w:tc>
          <w:tcPr>
            <w:tcW w:w="1485" w:type="dxa"/>
            <w:vAlign w:val="center"/>
          </w:tcPr>
          <w:p>
            <w:pPr>
              <w:jc w:val="center"/>
              <w:rPr>
                <w:rFonts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序号</w:t>
            </w:r>
          </w:p>
        </w:tc>
        <w:tc>
          <w:tcPr>
            <w:tcW w:w="2282" w:type="dxa"/>
            <w:gridSpan w:val="2"/>
            <w:tcBorders>
              <w:bottom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关联关系类型</w:t>
            </w:r>
          </w:p>
        </w:tc>
        <w:tc>
          <w:tcPr>
            <w:tcW w:w="1738" w:type="dxa"/>
            <w:gridSpan w:val="2"/>
            <w:tcBorders>
              <w:bottom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关联主体名称</w:t>
            </w:r>
          </w:p>
        </w:tc>
        <w:tc>
          <w:tcPr>
            <w:tcW w:w="4185" w:type="dxa"/>
            <w:gridSpan w:val="3"/>
            <w:tcBorders>
              <w:bottom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4"/>
                <w:szCs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说明：同一关联关系类型有多个主体的，应分行填写。</w:t>
            </w:r>
          </w:p>
        </w:tc>
      </w:tr>
    </w:tbl>
    <w:p/>
    <w:p>
      <w:pPr>
        <w:pStyle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DF446F"/>
    <w:rsid w:val="000015F0"/>
    <w:rsid w:val="00014FC3"/>
    <w:rsid w:val="000C7567"/>
    <w:rsid w:val="00142D18"/>
    <w:rsid w:val="001622DF"/>
    <w:rsid w:val="00204729"/>
    <w:rsid w:val="00393B57"/>
    <w:rsid w:val="003940AB"/>
    <w:rsid w:val="00406EF7"/>
    <w:rsid w:val="004B1A61"/>
    <w:rsid w:val="00511169"/>
    <w:rsid w:val="005421F4"/>
    <w:rsid w:val="005F44C0"/>
    <w:rsid w:val="00704C06"/>
    <w:rsid w:val="00750351"/>
    <w:rsid w:val="00846388"/>
    <w:rsid w:val="00892CC6"/>
    <w:rsid w:val="00BE10E8"/>
    <w:rsid w:val="00C228D1"/>
    <w:rsid w:val="00D21C39"/>
    <w:rsid w:val="00E67502"/>
    <w:rsid w:val="07160455"/>
    <w:rsid w:val="0B276753"/>
    <w:rsid w:val="240F7805"/>
    <w:rsid w:val="2C3C46D3"/>
    <w:rsid w:val="2EEB3364"/>
    <w:rsid w:val="3FA65759"/>
    <w:rsid w:val="42296738"/>
    <w:rsid w:val="58544804"/>
    <w:rsid w:val="5CDF446F"/>
    <w:rsid w:val="7EDFDE81"/>
    <w:rsid w:val="F7E7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Indent"/>
    <w:basedOn w:val="1"/>
    <w:next w:val="4"/>
    <w:unhideWhenUsed/>
    <w:qFormat/>
    <w:uiPriority w:val="99"/>
    <w:pPr>
      <w:ind w:firstLine="420"/>
    </w:pPr>
  </w:style>
  <w:style w:type="paragraph" w:styleId="4">
    <w:name w:val="Body Text"/>
    <w:basedOn w:val="1"/>
    <w:unhideWhenUsed/>
    <w:qFormat/>
    <w:uiPriority w:val="0"/>
    <w:pPr>
      <w:spacing w:after="120"/>
    </w:pPr>
    <w:rPr>
      <w:szCs w:val="24"/>
    </w:rPr>
  </w:style>
  <w:style w:type="paragraph" w:styleId="5">
    <w:name w:val="Body Text Indent"/>
    <w:basedOn w:val="1"/>
    <w:next w:val="6"/>
    <w:qFormat/>
    <w:uiPriority w:val="0"/>
    <w:pPr>
      <w:spacing w:line="548" w:lineRule="atLeast"/>
      <w:ind w:firstLine="640"/>
    </w:pPr>
    <w:rPr>
      <w:rFonts w:ascii="楷体_GB2312"/>
      <w:kern w:val="24"/>
    </w:rPr>
  </w:style>
  <w:style w:type="paragraph" w:styleId="6">
    <w:name w:val="envelope return"/>
    <w:basedOn w:val="1"/>
    <w:unhideWhenUsed/>
    <w:qFormat/>
    <w:uiPriority w:val="99"/>
    <w:pPr>
      <w:snapToGrid w:val="0"/>
    </w:pPr>
    <w:rPr>
      <w:rFonts w:ascii="Arial" w:hAnsi="Arial"/>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Body Text First Indent 2"/>
    <w:basedOn w:val="5"/>
    <w:next w:val="9"/>
    <w:qFormat/>
    <w:uiPriority w:val="0"/>
    <w:pPr>
      <w:ind w:firstLine="42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_Style 1"/>
    <w:basedOn w:val="1"/>
    <w:next w:val="1"/>
    <w:semiHidden/>
    <w:qFormat/>
    <w:uiPriority w:val="0"/>
    <w:pPr>
      <w:ind w:firstLine="420"/>
    </w:pPr>
  </w:style>
  <w:style w:type="character" w:customStyle="1" w:styleId="16">
    <w:name w:val="页眉 字符"/>
    <w:basedOn w:val="14"/>
    <w:link w:val="8"/>
    <w:qFormat/>
    <w:uiPriority w:val="0"/>
    <w:rPr>
      <w:rFonts w:ascii="Calibri" w:hAnsi="Calibri" w:eastAsia="宋体" w:cs="Times New Roman"/>
      <w:kern w:val="2"/>
      <w:sz w:val="18"/>
      <w:szCs w:val="18"/>
    </w:rPr>
  </w:style>
  <w:style w:type="character" w:customStyle="1" w:styleId="17">
    <w:name w:val="页脚 字符"/>
    <w:basedOn w:val="14"/>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3062</Words>
  <Characters>3151</Characters>
  <Lines>26</Lines>
  <Paragraphs>7</Paragraphs>
  <TotalTime>17</TotalTime>
  <ScaleCrop>false</ScaleCrop>
  <LinksUpToDate>false</LinksUpToDate>
  <CharactersWithSpaces>3246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2025-08-26T09:18:00Z</dcterms:created>
  <dc:creator>G</dc:creator>
  <cp:lastModifiedBy>陈文彬</cp:lastModifiedBy>
  <cp:lastPrinted>2025-08-26T08:07:00Z</cp:lastPrinted>
  <dcterms:modified xsi:type="dcterms:W3CDTF">2025-09-01T18:06:33Z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F77D002BC5C744A88B318FCDD91DC603_11</vt:lpwstr>
  </property>
  <property fmtid="{D5CDD505-2E9C-101B-9397-08002B2CF9AE}" pid="4" name="KSOTemplateDocerSaveRecord">
    <vt:lpwstr>eyJoZGlkIjoiYjJjMjVmYTVkOGJlZDRmNzRlYzRiZmU2YTYzOTE2YWIiLCJ1c2VySWQiOiIxNDAwNDAxNjcxIn0=</vt:lpwstr>
  </property>
</Properties>
</file>