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rPr>
      </w:pPr>
      <w:r>
        <w:rPr>
          <w:rFonts w:hint="eastAsia" w:ascii="宋体" w:hAnsi="宋体"/>
          <w:b/>
          <w:bCs/>
          <w:sz w:val="44"/>
        </w:rPr>
        <w:t>深圳市龙岗区第七人民医院</w:t>
      </w:r>
    </w:p>
    <w:p>
      <w:pPr>
        <w:jc w:val="center"/>
        <w:rPr>
          <w:rFonts w:ascii="宋体" w:hAnsi="宋体"/>
          <w:b/>
          <w:bCs/>
          <w:sz w:val="44"/>
        </w:rPr>
      </w:pPr>
      <w:r>
        <w:rPr>
          <w:rFonts w:hint="eastAsia" w:ascii="宋体" w:hAnsi="宋体"/>
          <w:b/>
          <w:bCs/>
          <w:sz w:val="44"/>
        </w:rPr>
        <w:t>院内采购标书</w:t>
      </w:r>
    </w:p>
    <w:p>
      <w:pPr>
        <w:jc w:val="both"/>
        <w:rPr>
          <w:rFonts w:hint="eastAsia" w:ascii="宋体" w:hAnsi="宋体" w:eastAsia="宋体"/>
          <w:b/>
          <w:bCs/>
          <w:sz w:val="44"/>
          <w:lang w:eastAsia="zh-CN"/>
        </w:rPr>
      </w:pPr>
    </w:p>
    <w:p>
      <w:pPr>
        <w:jc w:val="center"/>
        <w:rPr>
          <w:rFonts w:ascii="宋体" w:hAnsi="宋体"/>
          <w:b/>
          <w:bCs/>
          <w:sz w:val="44"/>
        </w:rPr>
      </w:pPr>
      <w:r>
        <w:rPr>
          <w:rFonts w:hint="eastAsia" w:ascii="宋体" w:hAnsi="宋体"/>
          <w:b/>
          <w:bCs/>
          <w:sz w:val="44"/>
        </w:rPr>
        <w:t>招标文件信息</w:t>
      </w:r>
    </w:p>
    <w:p>
      <w:pPr>
        <w:jc w:val="center"/>
        <w:rPr>
          <w:rFonts w:ascii="宋体" w:hAnsi="宋体"/>
          <w:b/>
          <w:bCs/>
          <w:sz w:val="44"/>
        </w:rPr>
      </w:pPr>
    </w:p>
    <w:p>
      <w:pPr>
        <w:pStyle w:val="8"/>
      </w:pPr>
    </w:p>
    <w:p>
      <w:pPr>
        <w:pStyle w:val="19"/>
        <w:numPr>
          <w:ilvl w:val="0"/>
          <w:numId w:val="0"/>
        </w:numPr>
        <w:spacing w:line="460" w:lineRule="exact"/>
        <w:rPr>
          <w:rFonts w:hint="default" w:ascii="仿宋_GB2312" w:hAnsi="仿宋_GB2312" w:eastAsia="仿宋_GB2312" w:cs="仿宋_GB2312"/>
          <w:kern w:val="2"/>
          <w:sz w:val="36"/>
          <w:szCs w:val="36"/>
          <w:lang w:val="en-US" w:eastAsia="zh-CN" w:bidi="ar-SA"/>
        </w:rPr>
      </w:pPr>
      <w:r>
        <w:rPr>
          <w:rFonts w:hint="eastAsia" w:ascii="仿宋_GB2312" w:hAnsi="仿宋_GB2312" w:eastAsia="仿宋_GB2312" w:cs="仿宋_GB2312"/>
          <w:b/>
          <w:bCs/>
          <w:sz w:val="36"/>
          <w:szCs w:val="36"/>
        </w:rPr>
        <w:t>采购项目：</w:t>
      </w:r>
      <w:r>
        <w:rPr>
          <w:rFonts w:hint="eastAsia" w:ascii="仿宋_GB2312" w:hAnsi="仿宋_GB2312" w:eastAsia="仿宋_GB2312" w:cs="仿宋_GB2312"/>
          <w:kern w:val="2"/>
          <w:sz w:val="36"/>
          <w:szCs w:val="36"/>
          <w:lang w:val="en-US" w:eastAsia="zh-CN" w:bidi="ar-SA"/>
        </w:rPr>
        <w:t>深圳市龙岗区第七人民医院医疗责任保险项目</w:t>
      </w:r>
    </w:p>
    <w:p>
      <w:pPr>
        <w:snapToGrid w:val="0"/>
        <w:spacing w:line="360" w:lineRule="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采购项目编号：</w:t>
      </w:r>
      <w:r>
        <w:rPr>
          <w:rFonts w:hint="eastAsia" w:ascii="仿宋_GB2312" w:hAnsi="仿宋_GB2312" w:eastAsia="仿宋_GB2312" w:cs="仿宋_GB2312"/>
          <w:kern w:val="2"/>
          <w:sz w:val="36"/>
          <w:szCs w:val="36"/>
          <w:lang w:val="en-US" w:eastAsia="zh-CN" w:bidi="ar-SA"/>
        </w:rPr>
        <w:t>深龙七医采[LGQY2025YW001]</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项目类型：</w:t>
      </w:r>
      <w:r>
        <w:rPr>
          <w:rFonts w:hint="eastAsia" w:ascii="仿宋_GB2312" w:hAnsi="仿宋_GB2312" w:eastAsia="仿宋_GB2312" w:cs="仿宋_GB2312"/>
          <w:sz w:val="36"/>
          <w:szCs w:val="36"/>
          <w:lang w:val="en-US" w:eastAsia="zh-CN"/>
        </w:rPr>
        <w:t>服务</w:t>
      </w:r>
      <w:r>
        <w:rPr>
          <w:rFonts w:hint="eastAsia" w:ascii="仿宋_GB2312" w:hAnsi="仿宋_GB2312" w:eastAsia="仿宋_GB2312" w:cs="仿宋_GB2312"/>
          <w:sz w:val="36"/>
          <w:szCs w:val="36"/>
        </w:rPr>
        <w:t>类</w:t>
      </w:r>
    </w:p>
    <w:p>
      <w:pPr>
        <w:snapToGrid w:val="0"/>
        <w:spacing w:line="360" w:lineRule="auto"/>
        <w:rPr>
          <w:rFonts w:eastAsia="仿宋_GB2312"/>
        </w:rPr>
      </w:pPr>
      <w:r>
        <w:rPr>
          <w:rFonts w:hint="eastAsia" w:ascii="仿宋_GB2312" w:hAnsi="仿宋_GB2312" w:eastAsia="仿宋_GB2312" w:cs="仿宋_GB2312"/>
          <w:b/>
          <w:bCs/>
          <w:sz w:val="36"/>
          <w:szCs w:val="36"/>
        </w:rPr>
        <w:t>采购数量：</w:t>
      </w:r>
      <w:r>
        <w:rPr>
          <w:rFonts w:hint="eastAsia" w:ascii="仿宋_GB2312" w:hAnsi="仿宋_GB2312" w:eastAsia="仿宋_GB2312" w:cs="仿宋_GB2312"/>
          <w:sz w:val="36"/>
          <w:szCs w:val="36"/>
        </w:rPr>
        <w:t>1项</w:t>
      </w:r>
    </w:p>
    <w:p>
      <w:pPr>
        <w:snapToGrid w:val="0"/>
        <w:spacing w:line="360" w:lineRule="auto"/>
        <w:jc w:val="left"/>
        <w:rPr>
          <w:rFonts w:ascii="仿宋_GB2312" w:hAnsi="仿宋_GB2312" w:eastAsia="仿宋_GB2312" w:cs="仿宋_GB2312"/>
          <w:sz w:val="36"/>
          <w:szCs w:val="36"/>
        </w:rPr>
      </w:pPr>
      <w:r>
        <w:rPr>
          <w:rFonts w:hint="eastAsia" w:ascii="仿宋_GB2312" w:hAnsi="仿宋_GB2312" w:eastAsia="仿宋_GB2312" w:cs="仿宋_GB2312"/>
          <w:b/>
          <w:bCs/>
          <w:sz w:val="36"/>
          <w:szCs w:val="36"/>
        </w:rPr>
        <w:t>预算总金额：</w:t>
      </w:r>
      <w:r>
        <w:rPr>
          <w:rFonts w:hint="eastAsia" w:ascii="仿宋_GB2312" w:hAnsi="仿宋_GB2312" w:eastAsia="仿宋_GB2312" w:cs="仿宋_GB2312"/>
          <w:sz w:val="36"/>
          <w:szCs w:val="36"/>
          <w:lang w:val="en-US" w:eastAsia="zh-CN"/>
        </w:rPr>
        <w:t>15万元</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采购方式：</w:t>
      </w:r>
      <w:r>
        <w:rPr>
          <w:rFonts w:hint="eastAsia" w:ascii="仿宋_GB2312" w:hAnsi="仿宋_GB2312" w:eastAsia="仿宋_GB2312" w:cs="仿宋_GB2312"/>
          <w:sz w:val="36"/>
          <w:szCs w:val="36"/>
        </w:rPr>
        <w:t>院内公开</w:t>
      </w:r>
      <w:r>
        <w:rPr>
          <w:rFonts w:hint="eastAsia" w:ascii="仿宋_GB2312" w:hAnsi="仿宋_GB2312" w:eastAsia="仿宋_GB2312" w:cs="仿宋_GB2312"/>
          <w:sz w:val="36"/>
          <w:szCs w:val="36"/>
          <w:lang w:val="en-US" w:eastAsia="zh-CN"/>
        </w:rPr>
        <w:t>招标</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评标方法：</w:t>
      </w:r>
      <w:r>
        <w:rPr>
          <w:rFonts w:hint="eastAsia" w:ascii="仿宋_GB2312" w:hAnsi="仿宋_GB2312" w:eastAsia="仿宋_GB2312" w:cs="仿宋_GB2312"/>
          <w:sz w:val="36"/>
          <w:szCs w:val="36"/>
        </w:rPr>
        <w:t>综合评分法</w:t>
      </w:r>
    </w:p>
    <w:p>
      <w:pPr>
        <w:snapToGrid w:val="0"/>
        <w:spacing w:line="360" w:lineRule="auto"/>
        <w:rPr>
          <w:rFonts w:ascii="仿宋_GB2312" w:hAnsi="仿宋_GB2312" w:eastAsia="仿宋_GB2312" w:cs="仿宋_GB2312"/>
          <w:sz w:val="36"/>
          <w:szCs w:val="36"/>
        </w:rPr>
      </w:pPr>
      <w:r>
        <w:rPr>
          <w:rFonts w:hint="eastAsia" w:ascii="仿宋_GB2312" w:hAnsi="仿宋_GB2312" w:eastAsia="仿宋_GB2312" w:cs="仿宋_GB2312"/>
          <w:b/>
          <w:bCs/>
          <w:sz w:val="36"/>
          <w:szCs w:val="36"/>
        </w:rPr>
        <w:t>投标货币</w:t>
      </w:r>
      <w:r>
        <w:rPr>
          <w:rFonts w:hint="eastAsia" w:ascii="仿宋_GB2312" w:hAnsi="仿宋_GB2312" w:eastAsia="仿宋_GB2312" w:cs="仿宋_GB2312"/>
          <w:sz w:val="36"/>
          <w:szCs w:val="36"/>
        </w:rPr>
        <w:t>：人民币</w:t>
      </w:r>
    </w:p>
    <w:p>
      <w:pPr>
        <w:pStyle w:val="9"/>
        <w:rPr>
          <w:rFonts w:hint="default"/>
        </w:rPr>
      </w:pPr>
    </w:p>
    <w:p>
      <w:pPr>
        <w:pStyle w:val="9"/>
        <w:rPr>
          <w:rFonts w:hint="default"/>
          <w:szCs w:val="20"/>
        </w:rPr>
      </w:pPr>
    </w:p>
    <w:p>
      <w:pPr>
        <w:pStyle w:val="5"/>
      </w:pPr>
    </w:p>
    <w:p/>
    <w:p>
      <w:pPr>
        <w:pStyle w:val="2"/>
      </w:pPr>
    </w:p>
    <w:p/>
    <w:p>
      <w:pPr>
        <w:pStyle w:val="2"/>
        <w:ind w:firstLine="1920" w:firstLineChars="600"/>
        <w:rPr>
          <w:rFonts w:cs="宋体"/>
          <w:sz w:val="40"/>
          <w:szCs w:val="40"/>
        </w:rPr>
      </w:pPr>
      <w:r>
        <w:rPr>
          <w:rFonts w:ascii="仿宋_GB2312" w:hAnsi="仿宋_GB2312" w:eastAsia="仿宋_GB2312" w:cs="仿宋_GB2312"/>
          <w:sz w:val="32"/>
          <w:szCs w:val="32"/>
        </w:rPr>
        <w:t>日期：     年    月    日</w:t>
      </w:r>
    </w:p>
    <w:p>
      <w:pPr>
        <w:spacing w:line="360" w:lineRule="auto"/>
        <w:rPr>
          <w:rFonts w:ascii="宋体" w:hAnsi="宋体" w:cs="宋体"/>
          <w:b/>
          <w:bCs/>
          <w:sz w:val="40"/>
          <w:szCs w:val="40"/>
        </w:rPr>
      </w:pPr>
    </w:p>
    <w:p>
      <w:pPr>
        <w:pStyle w:val="8"/>
      </w:pPr>
    </w:p>
    <w:p>
      <w:pPr>
        <w:spacing w:line="360" w:lineRule="auto"/>
        <w:jc w:val="center"/>
        <w:rPr>
          <w:rFonts w:ascii="仿宋_GB2312" w:hAnsi="仿宋_GB2312" w:eastAsia="仿宋_GB2312" w:cs="仿宋_GB2312"/>
          <w:b/>
          <w:bCs/>
          <w:sz w:val="36"/>
          <w:szCs w:val="36"/>
        </w:rPr>
      </w:pPr>
      <w:r>
        <w:rPr>
          <w:rFonts w:hint="eastAsia" w:ascii="宋体" w:hAnsi="宋体" w:cs="宋体"/>
          <w:b/>
          <w:bCs/>
          <w:sz w:val="40"/>
          <w:szCs w:val="40"/>
        </w:rPr>
        <w:t>第一章</w:t>
      </w:r>
    </w:p>
    <w:p>
      <w:pPr>
        <w:spacing w:line="480" w:lineRule="exact"/>
        <w:jc w:val="center"/>
        <w:rPr>
          <w:rFonts w:hint="eastAsia" w:ascii="宋体" w:hAnsi="宋体"/>
          <w:sz w:val="40"/>
          <w:szCs w:val="40"/>
          <w:lang w:val="en-US" w:eastAsia="zh-CN"/>
        </w:rPr>
      </w:pPr>
      <w:r>
        <w:rPr>
          <w:rFonts w:hint="eastAsia" w:ascii="宋体" w:hAnsi="宋体"/>
          <w:sz w:val="40"/>
          <w:szCs w:val="40"/>
        </w:rPr>
        <w:t>深圳市龙岗区第七人民医院关于</w:t>
      </w:r>
      <w:r>
        <w:rPr>
          <w:rFonts w:hint="eastAsia" w:ascii="宋体" w:hAnsi="宋体"/>
          <w:sz w:val="40"/>
          <w:szCs w:val="40"/>
          <w:lang w:val="en-US" w:eastAsia="zh-CN"/>
        </w:rPr>
        <w:t>医疗责任保险</w:t>
      </w:r>
    </w:p>
    <w:p>
      <w:pPr>
        <w:spacing w:line="480" w:lineRule="exact"/>
        <w:jc w:val="center"/>
        <w:rPr>
          <w:rFonts w:hint="eastAsia" w:ascii="宋体" w:hAnsi="宋体"/>
          <w:sz w:val="40"/>
          <w:szCs w:val="40"/>
        </w:rPr>
      </w:pPr>
      <w:r>
        <w:rPr>
          <w:rFonts w:hint="eastAsia" w:ascii="宋体" w:hAnsi="宋体"/>
          <w:sz w:val="40"/>
          <w:szCs w:val="40"/>
          <w:lang w:val="en-US" w:eastAsia="zh-CN"/>
        </w:rPr>
        <w:t>项目</w:t>
      </w:r>
      <w:r>
        <w:rPr>
          <w:rFonts w:hint="eastAsia" w:ascii="宋体" w:hAnsi="宋体"/>
          <w:sz w:val="40"/>
          <w:szCs w:val="40"/>
        </w:rPr>
        <w:t>院内公开采购的公告</w:t>
      </w:r>
    </w:p>
    <w:p>
      <w:pPr>
        <w:pStyle w:val="8"/>
      </w:pP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宋体" w:hAnsi="宋体" w:eastAsia="宋体" w:cs="宋体"/>
          <w:sz w:val="24"/>
          <w:szCs w:val="24"/>
          <w:lang w:eastAsia="zh-CN"/>
        </w:rPr>
      </w:pPr>
      <w:r>
        <w:rPr>
          <w:rFonts w:hint="eastAsia" w:ascii="仿宋_GB2312" w:hAnsi="仿宋_GB2312" w:eastAsia="仿宋_GB2312" w:cs="仿宋_GB2312"/>
          <w:kern w:val="2"/>
          <w:sz w:val="28"/>
          <w:szCs w:val="28"/>
          <w:lang w:val="en-US" w:eastAsia="zh-CN" w:bidi="ar-SA"/>
        </w:rPr>
        <w:t>为落实国家、省、市有关文件精神，建立完善医疗风险分担机制，多渠道化解医疗风险，保障患者及医院的合法权益，构建和谐医患关系，医院拟购买医疗机构医疗责任保险。诚邀符合条件的保险公司参加投标。</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一、采购项目</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（一）项目编号：</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（二）项目名称：深圳市龙岗区第七人民医院医疗责任保险项目</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（三）采购数量：1项</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（四）预算金额（最高限价）：15万元</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二、资质要求</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投标人必须是在中华人民共和国境内注册并合法运作的商业财产保险公司独立法人机构或法人分支机构、分支公司，具有独立法人资格或是具有独立承担民事责任能力的其它组织（提供营业执照或事业单位法人证书或其他证明材料扫描件，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上述资料原件备查）。</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（二）本项目的特定资格要求（须按本项目投标文件格式要求提供《投标及履约承诺函》加盖投标人公章）：</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1.参与本项目采购活动前三年内，在经营活动中没有重大违法记录；</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2.参与本项目采购活动时不存在被有关部门禁止参与政府采购活动且在有效期内的情况；</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3.除单一来源采购项目外，为采购项目提供整体设计、规范编制或者项目管理、监理、检测等服务的供应商，不得再参加该采购项目的其他采购活动；</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4.参与本项目采购活动不存在与其他采购参加人串通投标，隐瞒真实情况，提供虚假资料等违法违规情形；</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7.法律、行政法规和国家有关规定对供应商从事特定经营活动有资质、资格规定的，供应商应当具备的相应条件；</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8.本项目不接受联合体投标，不允许非法分包或转包。</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（三）投标人须具有经营保险业务资格，</w:t>
      </w:r>
      <w:r>
        <w:rPr>
          <w:rFonts w:hint="default" w:ascii="仿宋_GB2312" w:hAnsi="仿宋_GB2312" w:eastAsia="仿宋_GB2312" w:cs="仿宋_GB2312"/>
          <w:kern w:val="2"/>
          <w:sz w:val="28"/>
          <w:szCs w:val="28"/>
          <w:lang w:val="en-US" w:eastAsia="zh-CN" w:bidi="ar-SA"/>
        </w:rPr>
        <w:t>持有由国家金融监督管理总局或其派出机构核发的《保险许可证》，且其核准的业务范围包含</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责任保险</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的保险公司或其分支机构。总公司投标的须提供由国家金融监督管理总局（原中国银行保险监督管理委员会）或其派出机构核发的《保险许可证》，分支机构投标的须同时提供由国家金融监督管理总局（原中国银行保险监督管理委员会）或其派出机构核发的《保险许可证》以及总公司的《保险许可证》</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如投标人为分支机构且其《保险许可证》未体现具体业务范围的，需同步提供总公司对其经营范围的授权书（须提供许可证扫描件，原件备查）。</w:t>
      </w:r>
    </w:p>
    <w:p>
      <w:pPr>
        <w:pStyle w:val="20"/>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三</w:t>
      </w:r>
      <w:r>
        <w:rPr>
          <w:rFonts w:hint="eastAsia" w:ascii="仿宋_GB2312" w:hAnsi="仿宋_GB2312" w:eastAsia="仿宋_GB2312" w:cs="仿宋_GB2312"/>
          <w:kern w:val="2"/>
          <w:sz w:val="28"/>
          <w:szCs w:val="28"/>
          <w:lang w:val="en-US" w:eastAsia="zh-CN" w:bidi="ar-SA"/>
        </w:rPr>
        <w:t>、采购方式：院内公开招标</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四</w:t>
      </w:r>
      <w:r>
        <w:rPr>
          <w:rFonts w:hint="eastAsia" w:ascii="仿宋_GB2312" w:hAnsi="仿宋_GB2312" w:eastAsia="仿宋_GB2312" w:cs="仿宋_GB2312"/>
          <w:kern w:val="2"/>
          <w:sz w:val="28"/>
          <w:szCs w:val="28"/>
          <w:lang w:val="en-US" w:eastAsia="zh-CN" w:bidi="ar-SA"/>
        </w:rPr>
        <w:t>、评标方法：综合评分法</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五</w:t>
      </w:r>
      <w:r>
        <w:rPr>
          <w:rFonts w:hint="eastAsia" w:ascii="仿宋_GB2312" w:hAnsi="仿宋_GB2312" w:eastAsia="仿宋_GB2312" w:cs="仿宋_GB2312"/>
          <w:kern w:val="2"/>
          <w:sz w:val="28"/>
          <w:szCs w:val="28"/>
          <w:lang w:val="en-US" w:eastAsia="zh-CN" w:bidi="ar-SA"/>
        </w:rPr>
        <w:t>、投标人报名资料要求</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（一）院内采购报名表。</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（二）法定代表人参加的提供法定代表人资格证明书及个人身份证复印件；非法定代表人参加的须提供法定代表人资格证明书及法定代表人身份证复印件、法定代表人授权书及授权代表人身份证复印件。</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（三）供应商须提供具有独立承担民事责任能力的法人或其他组织或个体工商户的营业执照或法人证书等证明材料复印件或扫描件。</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（四）供应商基本情况表。</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（五）提供法定代表人、主要经营负责人、投标授权代表人、项目负责人（如有）、主要技术人员（如有）最近一个月的社保证明。</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（六）通过以下3个官网的信用信息查询记录网络截图件并加盖投标人公章：①信用中国②中国政府采购网③深圳市政府采购监管网。相关信息以开标当日的查询结果为准。</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（七）投标及履约承诺函。</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w:t>
      </w:r>
      <w:r>
        <w:rPr>
          <w:rFonts w:hint="default" w:ascii="仿宋_GB2312" w:hAnsi="仿宋_GB2312" w:eastAsia="仿宋_GB2312" w:cs="仿宋_GB2312"/>
          <w:kern w:val="2"/>
          <w:sz w:val="28"/>
          <w:szCs w:val="28"/>
          <w:lang w:val="en-US" w:eastAsia="zh-CN" w:bidi="ar-SA"/>
        </w:rPr>
        <w:t>总公司投标的须提供由国家金融监督管理总局（原中国银行保险监督管理委员会）或其派出机构核发的《保险许可证》，分支机构投标的须同时提供由国家金融监督管理总局（原中国银行保险监督管理委员会）或其派出机构核发的《保险许可证》以及总公司的《保险许可证》，业务范围须包含责任保险业务，如投标人为分支机构且其《保险许可证》未体现具体业务范围的，需同步提供总公司对其经营范围的授权书（须提供许可证扫描件，原件备查）。</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以上资料均需在有效期内并加盖投标方公章。本项目实行资格预审，投标人报名时将进行资格审查，未经审查或审查未通过的不能参与投标。</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六、报名截止时间及地点：2025年9月8日17:00，简竹护理院行政楼三楼招采办。</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七、递交投标文件及开标时间及地点：2025年9月9日10：00，深圳市龙岗区南湾街道吉厦社区简竹路12号简竹护理院行政楼五楼活动室（如有变动，另行通知）。</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八、联系人及联系电话：陈女士，0755-28740471。</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九、公告日期：自公告发布之日起5个工作日。</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w:t>
      </w:r>
    </w:p>
    <w:p>
      <w:pPr>
        <w:pStyle w:val="20"/>
        <w:keepNext w:val="0"/>
        <w:keepLines w:val="0"/>
        <w:pageBreakBefore w:val="0"/>
        <w:kinsoku/>
        <w:wordWrap/>
        <w:overflowPunct/>
        <w:topLinePunct w:val="0"/>
        <w:autoSpaceDE/>
        <w:autoSpaceDN/>
        <w:bidi w:val="0"/>
        <w:adjustRightInd/>
        <w:snapToGrid/>
        <w:spacing w:line="400" w:lineRule="exact"/>
        <w:ind w:left="0" w:leftChars="0" w:firstLine="56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1.深圳市龙岗区第七人民医院院内公开采购报名表</w:t>
      </w:r>
    </w:p>
    <w:p>
      <w:pPr>
        <w:pStyle w:val="19"/>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2.</w:t>
      </w:r>
      <w:r>
        <w:rPr>
          <w:rFonts w:hint="eastAsia" w:ascii="仿宋_GB2312" w:hAnsi="宋体" w:eastAsia="仿宋_GB2312" w:cs="黑体"/>
          <w:kern w:val="2"/>
          <w:sz w:val="28"/>
          <w:szCs w:val="28"/>
          <w:lang w:val="en-US" w:eastAsia="zh-CN" w:bidi="ar-SA"/>
        </w:rPr>
        <w:t>深圳市龙岗区第七人民医院医疗责任保险</w:t>
      </w:r>
      <w:r>
        <w:rPr>
          <w:rFonts w:hint="eastAsia" w:ascii="仿宋_GB2312" w:hAnsi="仿宋_GB2312" w:eastAsia="仿宋_GB2312" w:cs="仿宋_GB2312"/>
          <w:b w:val="0"/>
          <w:bCs w:val="0"/>
          <w:kern w:val="2"/>
          <w:sz w:val="28"/>
          <w:szCs w:val="28"/>
          <w:lang w:val="en-US" w:eastAsia="zh-CN"/>
        </w:rPr>
        <w:t>项目</w:t>
      </w:r>
      <w:r>
        <w:rPr>
          <w:rFonts w:hint="eastAsia" w:ascii="仿宋_GB2312" w:hAnsi="仿宋_GB2312" w:eastAsia="仿宋_GB2312" w:cs="仿宋_GB2312"/>
          <w:kern w:val="2"/>
          <w:sz w:val="28"/>
          <w:szCs w:val="28"/>
          <w:lang w:val="en-US" w:eastAsia="zh-CN" w:bidi="ar-SA"/>
        </w:rPr>
        <w:t>招标文件</w:t>
      </w:r>
    </w:p>
    <w:p>
      <w:pPr>
        <w:pStyle w:val="2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20"/>
        <w:keepNext w:val="0"/>
        <w:keepLines w:val="0"/>
        <w:pageBreakBefore w:val="0"/>
        <w:kinsoku/>
        <w:wordWrap/>
        <w:overflowPunct/>
        <w:topLinePunct w:val="0"/>
        <w:autoSpaceDE/>
        <w:autoSpaceDN/>
        <w:bidi w:val="0"/>
        <w:adjustRightInd/>
        <w:snapToGrid/>
        <w:spacing w:line="400" w:lineRule="exact"/>
        <w:ind w:left="0" w:leftChars="0" w:firstLine="0" w:firstLineChars="0"/>
        <w:jc w:val="both"/>
        <w:textAlignment w:val="auto"/>
        <w:rPr>
          <w:rFonts w:ascii="仿宋_GB2312" w:eastAsia="仿宋_GB2312"/>
          <w:sz w:val="28"/>
          <w:szCs w:val="28"/>
          <w:highlight w:val="none"/>
        </w:rPr>
      </w:pPr>
    </w:p>
    <w:p>
      <w:pPr>
        <w:pStyle w:val="20"/>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深圳市龙岗区第七人民医院</w:t>
      </w:r>
    </w:p>
    <w:p>
      <w:pPr>
        <w:pStyle w:val="20"/>
        <w:keepNext w:val="0"/>
        <w:keepLines w:val="0"/>
        <w:pageBreakBefore w:val="0"/>
        <w:kinsoku/>
        <w:wordWrap/>
        <w:overflowPunct/>
        <w:topLinePunct w:val="0"/>
        <w:autoSpaceDE/>
        <w:autoSpaceDN/>
        <w:bidi w:val="0"/>
        <w:adjustRightInd/>
        <w:snapToGrid/>
        <w:spacing w:line="400" w:lineRule="exact"/>
        <w:ind w:firstLine="56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    </w:t>
      </w:r>
      <w:r>
        <w:rPr>
          <w:rFonts w:hint="eastAsia" w:ascii="仿宋_GB2312" w:hAnsi="仿宋_GB2312" w:eastAsia="仿宋_GB2312" w:cs="仿宋_GB2312"/>
          <w:sz w:val="28"/>
          <w:szCs w:val="28"/>
          <w:highlight w:val="none"/>
          <w:lang w:val="en-US" w:eastAsia="zh-CN"/>
        </w:rPr>
        <w:t>2025年9月1日</w:t>
      </w:r>
    </w:p>
    <w:p>
      <w:pPr>
        <w:keepNext w:val="0"/>
        <w:keepLines w:val="0"/>
        <w:pageBreakBefore w:val="0"/>
        <w:kinsoku/>
        <w:wordWrap/>
        <w:overflowPunct/>
        <w:topLinePunct w:val="0"/>
        <w:bidi w:val="0"/>
        <w:snapToGrid/>
        <w:spacing w:line="400" w:lineRule="exact"/>
      </w:pPr>
    </w:p>
    <w:p>
      <w:pPr>
        <w:pStyle w:val="13"/>
        <w:keepNext w:val="0"/>
        <w:keepLines w:val="0"/>
        <w:pageBreakBefore w:val="0"/>
        <w:kinsoku/>
        <w:wordWrap/>
        <w:overflowPunct/>
        <w:topLinePunct w:val="0"/>
        <w:bidi w:val="0"/>
        <w:snapToGrid/>
        <w:spacing w:line="400" w:lineRule="exact"/>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院内公开采购项目需求</w:t>
      </w:r>
    </w:p>
    <w:p>
      <w:pPr>
        <w:keepNext w:val="0"/>
        <w:keepLines w:val="0"/>
        <w:pageBreakBefore w:val="0"/>
        <w:widowControl/>
        <w:kinsoku/>
        <w:wordWrap/>
        <w:overflowPunct/>
        <w:topLinePunct w:val="0"/>
        <w:bidi w:val="0"/>
        <w:snapToGrid/>
        <w:spacing w:line="400" w:lineRule="exact"/>
        <w:ind w:firstLine="560" w:firstLineChars="200"/>
        <w:jc w:val="left"/>
        <w:rPr>
          <w:rFonts w:ascii="仿宋_GB2312" w:hAnsi="仿宋_GB2312" w:eastAsia="仿宋_GB2312" w:cs="仿宋_GB2312"/>
          <w:sz w:val="28"/>
          <w:szCs w:val="28"/>
        </w:rPr>
      </w:pPr>
    </w:p>
    <w:p>
      <w:pPr>
        <w:keepNext w:val="0"/>
        <w:keepLines w:val="0"/>
        <w:pageBreakBefore w:val="0"/>
        <w:widowControl/>
        <w:numPr>
          <w:ilvl w:val="0"/>
          <w:numId w:val="2"/>
        </w:numPr>
        <w:tabs>
          <w:tab w:val="left" w:pos="-360"/>
        </w:tabs>
        <w:kinsoku/>
        <w:wordWrap/>
        <w:overflowPunct/>
        <w:topLinePunct w:val="0"/>
        <w:autoSpaceDE w:val="0"/>
        <w:autoSpaceDN w:val="0"/>
        <w:bidi w:val="0"/>
        <w:adjustRightInd/>
        <w:snapToGrid/>
        <w:spacing w:line="400" w:lineRule="exact"/>
        <w:ind w:right="-34" w:rightChars="0" w:firstLine="562" w:firstLineChars="200"/>
        <w:textAlignment w:val="bottom"/>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b/>
          <w:bCs/>
          <w:kern w:val="0"/>
          <w:sz w:val="28"/>
          <w:szCs w:val="28"/>
          <w:lang w:val="en-US" w:eastAsia="zh-CN" w:bidi="ar-SA"/>
        </w:rPr>
        <w:t>项目概况</w:t>
      </w:r>
      <w:r>
        <w:rPr>
          <w:rFonts w:hint="eastAsia" w:ascii="仿宋_GB2312" w:hAnsi="仿宋_GB2312" w:eastAsia="仿宋_GB2312" w:cs="仿宋_GB2312"/>
          <w:b/>
          <w:bCs/>
          <w:sz w:val="28"/>
          <w:szCs w:val="28"/>
        </w:rPr>
        <w:t>：</w:t>
      </w:r>
      <w:r>
        <w:rPr>
          <w:rFonts w:hint="eastAsia" w:ascii="仿宋_GB2312" w:hAnsi="仿宋_GB2312" w:eastAsia="仿宋_GB2312" w:cs="仿宋_GB2312"/>
          <w:kern w:val="2"/>
          <w:sz w:val="28"/>
          <w:szCs w:val="28"/>
          <w:lang w:val="en-US" w:eastAsia="zh-CN" w:bidi="ar-SA"/>
        </w:rPr>
        <w:t>为落实国家、省、市有关文件精神，建立完善医疗风险分担机制，多渠道化解医疗风险，保障患者及医院的合法权益，构建和谐医患关系，医院拟购买医疗机构医疗责任保险。通过第三方的保险保障机制的介入，多渠道模式化解医疗风险，保障患者及医院的合法权益，创建和谐医患关系，共建和谐医疗环境。</w:t>
      </w:r>
    </w:p>
    <w:p>
      <w:pPr>
        <w:pStyle w:val="2"/>
        <w:keepNext w:val="0"/>
        <w:keepLines w:val="0"/>
        <w:pageBreakBefore w:val="0"/>
        <w:kinsoku/>
        <w:wordWrap/>
        <w:overflowPunct/>
        <w:topLinePunct w:val="0"/>
        <w:bidi w:val="0"/>
        <w:adjustRightInd/>
        <w:snapToGrid/>
        <w:spacing w:line="400" w:lineRule="exact"/>
        <w:ind w:firstLine="562" w:firstLineChars="200"/>
        <w:textAlignment w:val="auto"/>
        <w:rPr>
          <w:rFonts w:hint="eastAsia" w:ascii="仿宋_GB2312" w:hAnsi="仿宋_GB2312" w:eastAsia="仿宋" w:cs="仿宋_GB2312"/>
          <w:sz w:val="28"/>
          <w:szCs w:val="28"/>
          <w:lang w:eastAsia="zh-CN"/>
        </w:rPr>
      </w:pPr>
      <w:r>
        <w:rPr>
          <w:rFonts w:hint="eastAsia" w:ascii="仿宋_GB2312" w:hAnsi="仿宋_GB2312" w:eastAsia="仿宋_GB2312" w:cs="仿宋_GB2312"/>
          <w:b/>
          <w:bCs/>
          <w:kern w:val="0"/>
          <w:sz w:val="28"/>
          <w:szCs w:val="28"/>
        </w:rPr>
        <w:t>二、预算价格：</w:t>
      </w:r>
      <w:r>
        <w:rPr>
          <w:rFonts w:hint="eastAsia" w:ascii="仿宋" w:hAnsi="仿宋" w:eastAsia="仿宋" w:cs="仿宋"/>
          <w:b w:val="0"/>
          <w:bCs w:val="0"/>
          <w:sz w:val="28"/>
          <w:szCs w:val="28"/>
        </w:rPr>
        <w:t>预算金额</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最高支付上限）</w:t>
      </w:r>
      <w:r>
        <w:rPr>
          <w:rFonts w:hint="eastAsia" w:ascii="仿宋" w:hAnsi="仿宋" w:eastAsia="仿宋" w:cs="仿宋"/>
          <w:b w:val="0"/>
          <w:bCs w:val="0"/>
          <w:sz w:val="28"/>
          <w:szCs w:val="28"/>
        </w:rPr>
        <w:t>为</w:t>
      </w:r>
      <w:r>
        <w:rPr>
          <w:rFonts w:hint="eastAsia" w:ascii="仿宋" w:hAnsi="仿宋" w:eastAsia="仿宋" w:cs="仿宋"/>
          <w:b w:val="0"/>
          <w:bCs w:val="0"/>
          <w:sz w:val="28"/>
          <w:szCs w:val="28"/>
          <w:lang w:val="en-US" w:eastAsia="zh-CN"/>
        </w:rPr>
        <w:t>15</w:t>
      </w:r>
      <w:r>
        <w:rPr>
          <w:rFonts w:hint="eastAsia" w:ascii="仿宋" w:hAnsi="仿宋" w:eastAsia="仿宋" w:cs="仿宋"/>
          <w:b w:val="0"/>
          <w:bCs w:val="0"/>
          <w:sz w:val="28"/>
          <w:szCs w:val="28"/>
        </w:rPr>
        <w:t>万元</w:t>
      </w:r>
      <w:r>
        <w:rPr>
          <w:rFonts w:hint="eastAsia" w:ascii="仿宋" w:hAnsi="仿宋" w:eastAsia="仿宋" w:cs="仿宋"/>
          <w:b w:val="0"/>
          <w:bCs w:val="0"/>
          <w:sz w:val="28"/>
          <w:szCs w:val="36"/>
          <w:lang w:eastAsia="zh-CN"/>
        </w:rPr>
        <w:t>，</w:t>
      </w:r>
      <w:r>
        <w:rPr>
          <w:rFonts w:hint="eastAsia" w:ascii="仿宋" w:hAnsi="仿宋" w:eastAsia="仿宋" w:cs="仿宋"/>
          <w:b w:val="0"/>
          <w:bCs w:val="0"/>
          <w:sz w:val="28"/>
          <w:szCs w:val="28"/>
        </w:rPr>
        <w:t>报价高于标的，本次投标视为无效投标</w:t>
      </w:r>
      <w:r>
        <w:rPr>
          <w:rFonts w:hint="eastAsia" w:ascii="仿宋" w:hAnsi="仿宋" w:eastAsia="仿宋" w:cs="仿宋"/>
          <w:b w:val="0"/>
          <w:bCs w:val="0"/>
          <w:sz w:val="28"/>
          <w:szCs w:val="28"/>
          <w:lang w:eastAsia="zh-CN"/>
        </w:rPr>
        <w:t>。</w:t>
      </w:r>
    </w:p>
    <w:p>
      <w:pPr>
        <w:pStyle w:val="19"/>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三、采购活动时间要求</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w:t>
      </w:r>
    </w:p>
    <w:p>
      <w:pPr>
        <w:pStyle w:val="19"/>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四、采购组织形式</w:t>
      </w:r>
      <w:r>
        <w:rPr>
          <w:rFonts w:hint="eastAsia" w:ascii="仿宋_GB2312" w:hAnsi="仿宋_GB2312" w:eastAsia="仿宋_GB2312" w:cs="仿宋_GB2312"/>
          <w:b/>
          <w:bCs/>
          <w:color w:val="auto"/>
          <w:sz w:val="28"/>
          <w:szCs w:val="28"/>
        </w:rPr>
        <w:t>（勾选）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政府集中采购□、院内集中采购☑、院内委托代理采购□、集团联合采购□、其他□。</w:t>
      </w:r>
    </w:p>
    <w:p>
      <w:pPr>
        <w:keepNext w:val="0"/>
        <w:keepLines w:val="0"/>
        <w:pageBreakBefore w:val="0"/>
        <w:kinsoku/>
        <w:wordWrap/>
        <w:overflowPunct/>
        <w:topLinePunct w:val="0"/>
        <w:autoSpaceDE/>
        <w:autoSpaceDN/>
        <w:bidi w:val="0"/>
        <w:adjustRightInd/>
        <w:snapToGrid/>
        <w:spacing w:line="400" w:lineRule="exact"/>
        <w:textAlignment w:val="auto"/>
      </w:pPr>
      <w:r>
        <w:rPr>
          <w:rFonts w:hint="eastAsia" w:ascii="仿宋_GB2312" w:hAnsi="仿宋_GB2312" w:eastAsia="仿宋_GB2312" w:cs="仿宋_GB2312"/>
          <w:b/>
          <w:bCs/>
          <w:sz w:val="28"/>
          <w:szCs w:val="28"/>
        </w:rPr>
        <w:t xml:space="preserve">    五、采购方</w:t>
      </w:r>
      <w:r>
        <w:rPr>
          <w:rFonts w:hint="eastAsia" w:ascii="仿宋_GB2312" w:hAnsi="仿宋_GB2312" w:eastAsia="仿宋_GB2312" w:cs="仿宋_GB2312"/>
          <w:b/>
          <w:bCs/>
          <w:color w:val="auto"/>
          <w:sz w:val="28"/>
          <w:szCs w:val="28"/>
        </w:rPr>
        <w:t>式（勾选）</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院内招标☑、院内竞价□、院内邀标□、院内询价□、竞争性磋商□、院内直接议价□、其他□。</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六、投标人资格要求</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投标人必须是在中华人民共和国境内注册并合法运作的商业财产保险公司独立法人机构或法人分支机构、分支公司，具有独立法人资格或是具有独立承担民事责任能力的其它组织（提供营业执照或事业单位法人证书或其他证明材料扫描件，如果参与投标的供应商为分公司则须提供分公司营业执照、其所属集团(或总公司)等具有独立法人资格的组织出具愿为其参与本项目投标以及履约行为承担民事责任的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（二）本项目的特定资格要求（须按本项目投标文件格式要求提供《投标及履约承诺函》加盖投标人公章）：</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1.参与本项目采购活动前三年内，在经营活动中没有重大违法记录；</w:t>
      </w:r>
    </w:p>
    <w:p>
      <w:pPr>
        <w:pStyle w:val="19"/>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2.参与本项目采购活动时不存在被有关部门禁止参与政府采购活动且在有效期内的情况；</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3.除单一来源采购项目外，为采购项目提供整体设计、规范编制或者项目管理、监理、检测等服务的供应商，不得再参加该采购项目的其他采购活动；</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4.参与本项目采购活动不存在与其他采购参加人串通投标，隐瞒真实情况，提供虚假资料等违法违规情形；</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单位负责人为同一人或者存在直接控股、管理关系的不同供应商，不得参加同一合同项下的政府采购活动；不同供应商的法定代表人、主要经营负责人、项目投标授权代表人、项目负责人、主要技术人员不得为同一人、属于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市政府采购监管网为投标人信用信息查询渠道，相关信息以开标当日的查询结果为准）；</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7.法律、行政法规和国家有关规定对供应商从事特定经营活动有资质、资格规定的，供应商应当具备的相应条件；</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8.本项目不接受联合体投标，不允许非法分包或转包。</w:t>
      </w:r>
    </w:p>
    <w:p>
      <w:pPr>
        <w:pStyle w:val="20"/>
        <w:keepNext w:val="0"/>
        <w:keepLines w:val="0"/>
        <w:pageBreakBefore w:val="0"/>
        <w:kinsoku/>
        <w:wordWrap/>
        <w:overflowPunct/>
        <w:topLinePunct w:val="0"/>
        <w:autoSpaceDE/>
        <w:autoSpaceDN/>
        <w:bidi w:val="0"/>
        <w:adjustRightInd/>
        <w:snapToGrid/>
        <w:spacing w:line="400" w:lineRule="exact"/>
        <w:ind w:firstLine="56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（三）投标人须具有经营保险业务资格，</w:t>
      </w:r>
      <w:r>
        <w:rPr>
          <w:rFonts w:hint="default" w:ascii="仿宋_GB2312" w:hAnsi="仿宋_GB2312" w:eastAsia="仿宋_GB2312" w:cs="仿宋_GB2312"/>
          <w:kern w:val="2"/>
          <w:sz w:val="28"/>
          <w:szCs w:val="28"/>
          <w:lang w:val="en-US" w:eastAsia="zh-CN" w:bidi="ar-SA"/>
        </w:rPr>
        <w:t>持有由国家金融监督管理总局或其派出机构核发的《保险许可证》，且其核准的业务范围包含</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责任保险</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的保险公司或其分支机构。</w:t>
      </w:r>
    </w:p>
    <w:p>
      <w:pPr>
        <w:pStyle w:val="20"/>
        <w:keepNext w:val="0"/>
        <w:keepLines w:val="0"/>
        <w:pageBreakBefore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所有资质文件均需在有效期内并加盖投标方公章。</w:t>
      </w:r>
    </w:p>
    <w:p>
      <w:pPr>
        <w:pStyle w:val="19"/>
        <w:keepNext w:val="0"/>
        <w:keepLines w:val="0"/>
        <w:pageBreakBefore w:val="0"/>
        <w:numPr>
          <w:ilvl w:val="0"/>
          <w:numId w:val="0"/>
        </w:numPr>
        <w:kinsoku/>
        <w:wordWrap/>
        <w:overflowPunct/>
        <w:topLinePunct w:val="0"/>
        <w:bidi w:val="0"/>
        <w:adjustRightInd/>
        <w:snapToGrid/>
        <w:spacing w:line="400" w:lineRule="exact"/>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0"/>
          <w:sz w:val="28"/>
          <w:szCs w:val="28"/>
          <w:lang w:val="en-US" w:eastAsia="zh-CN" w:bidi="ar-SA"/>
        </w:rPr>
        <w:t>七、</w:t>
      </w:r>
      <w:r>
        <w:rPr>
          <w:rFonts w:hint="eastAsia" w:ascii="仿宋_GB2312" w:hAnsi="仿宋_GB2312" w:eastAsia="仿宋_GB2312" w:cs="仿宋_GB2312"/>
          <w:b/>
          <w:bCs/>
          <w:sz w:val="28"/>
          <w:szCs w:val="28"/>
          <w:highlight w:val="none"/>
        </w:rPr>
        <w:t>服务内容及要求</w:t>
      </w:r>
    </w:p>
    <w:p>
      <w:pPr>
        <w:pStyle w:val="30"/>
        <w:keepNext w:val="0"/>
        <w:keepLines w:val="0"/>
        <w:pageBreakBefore w:val="0"/>
        <w:kinsoku/>
        <w:wordWrap/>
        <w:overflowPunct/>
        <w:topLinePunct w:val="0"/>
        <w:bidi w:val="0"/>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（一）技术要求</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保险对象：凡属深圳市龙岗区第七人民医院及简竹护理院、下属社康中心的工作人员（与院方有劳务合作关系的个人）以及来深圳市龙岗区第七人民医院及简竹护理院、下属社康中心就医、诊疗的个人，均为本保险的保险对象（保险期间内深圳市龙岗区第七人民医院和简竹护理院变更执业地址、新增诊疗科目及新增的社康中心（站）均纳入保险承保范围）。附加医疗机构场所责任保险，除本医院员工及与院方有劳务合作关系的个人外，均为本保险的保险对象。</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2.承保方案：</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（1）医疗损害责任事件年度累计赔偿：200万元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每次事故赔偿限额：50万元。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其中法律费用每次及年度累计赔偿限额：20万元。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死亡伤残案件中精神损害抚慰金属于赔偿项目范围，包括但不限于诉讼案件、仲裁案件、调解案件。</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（2）附加医疗机构场所责任的累计赔偿限额：20万元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每次事故赔偿限额：2万元。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每次事故每人赔偿限额：1万元。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（3）附加医务人员遭受伤害责任累计赔偿限额：40万元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每人赔偿限额：5万元。</w:t>
      </w:r>
    </w:p>
    <w:p>
      <w:pPr>
        <w:pStyle w:val="19"/>
        <w:keepNext w:val="0"/>
        <w:keepLines w:val="0"/>
        <w:pageBreakBefore w:val="0"/>
        <w:kinsoku/>
        <w:wordWrap/>
        <w:overflowPunct/>
        <w:topLinePunct w:val="0"/>
        <w:bidi w:val="0"/>
        <w:snapToGrid/>
        <w:spacing w:line="400" w:lineRule="exact"/>
        <w:ind w:firstLine="560" w:firstLineChars="200"/>
        <w:rPr>
          <w:rFonts w:hint="eastAsia" w:ascii="仿宋" w:hAnsi="仿宋" w:eastAsia="仿宋" w:cs="仿宋"/>
          <w:sz w:val="28"/>
          <w:szCs w:val="28"/>
        </w:rPr>
      </w:pPr>
      <w:r>
        <w:rPr>
          <w:rFonts w:hint="eastAsia" w:ascii="仿宋_GB2312" w:hAnsi="仿宋_GB2312" w:eastAsia="仿宋_GB2312" w:cs="仿宋_GB2312"/>
          <w:kern w:val="2"/>
          <w:sz w:val="28"/>
          <w:szCs w:val="28"/>
          <w:lang w:val="en-US" w:eastAsia="zh-CN" w:bidi="ar-SA"/>
        </w:rPr>
        <w:t>（4）保单绝对免赔：每次</w:t>
      </w:r>
      <w:r>
        <w:rPr>
          <w:rFonts w:hint="eastAsia" w:ascii="仿宋" w:hAnsi="仿宋" w:eastAsia="仿宋" w:cs="仿宋"/>
          <w:sz w:val="28"/>
          <w:szCs w:val="28"/>
        </w:rPr>
        <w:t>事故1000元或损失金额的5%，以高者为准。</w:t>
      </w:r>
    </w:p>
    <w:p>
      <w:pPr>
        <w:keepNext w:val="0"/>
        <w:keepLines w:val="0"/>
        <w:pageBreakBefore w:val="0"/>
        <w:kinsoku/>
        <w:wordWrap/>
        <w:overflowPunct/>
        <w:topLinePunct w:val="0"/>
        <w:bidi w:val="0"/>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保险追溯期：首年追溯期为0，以后连续续保追溯期限逐年增加但最长不超过2年。</w:t>
      </w:r>
    </w:p>
    <w:p>
      <w:pPr>
        <w:pStyle w:val="30"/>
        <w:keepNext w:val="0"/>
        <w:keepLines w:val="0"/>
        <w:pageBreakBefore w:val="0"/>
        <w:kinsoku/>
        <w:wordWrap/>
        <w:overflowPunct/>
        <w:topLinePunct w:val="0"/>
        <w:bidi w:val="0"/>
        <w:snapToGrid/>
        <w:spacing w:line="40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（6）保单承保方式：</w:t>
      </w:r>
      <w:r>
        <w:rPr>
          <w:rFonts w:hint="eastAsia" w:ascii="仿宋" w:hAnsi="仿宋" w:eastAsia="仿宋" w:cs="仿宋"/>
          <w:sz w:val="28"/>
          <w:szCs w:val="28"/>
        </w:rPr>
        <w:t>期内索赔制。</w:t>
      </w:r>
    </w:p>
    <w:p>
      <w:pPr>
        <w:keepNext w:val="0"/>
        <w:keepLines w:val="0"/>
        <w:pageBreakBefore w:val="0"/>
        <w:numPr>
          <w:ilvl w:val="0"/>
          <w:numId w:val="0"/>
        </w:numPr>
        <w:kinsoku/>
        <w:wordWrap/>
        <w:overflowPunct/>
        <w:topLinePunct w:val="0"/>
        <w:bidi w:val="0"/>
        <w:snapToGrid/>
        <w:spacing w:line="400"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期内索赔制是指凡在保险单中列明的保险期间或追溯期内，被保险人或其医务人员在从事与其资格相符的诊疗护理活动中造成患者人身损害，患者或其近亲属及代理人首次向被保险人提出索赔申请（包括患方首次投诉时间）在保险期限内的，本保险按照合同约定予以赔偿。即保险人承担保险责任的前提条件必须是同时满足以下两个条件：</w:t>
      </w:r>
    </w:p>
    <w:p>
      <w:pPr>
        <w:keepNext w:val="0"/>
        <w:keepLines w:val="0"/>
        <w:pageBreakBefore w:val="0"/>
        <w:numPr>
          <w:ilvl w:val="0"/>
          <w:numId w:val="0"/>
        </w:numPr>
        <w:kinsoku/>
        <w:wordWrap/>
        <w:overflowPunct/>
        <w:topLinePunct w:val="0"/>
        <w:bidi w:val="0"/>
        <w:snapToGrid/>
        <w:spacing w:line="400"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①患者接受诊疗护理活动及因此导致人身损害的时间必须发生在保险期限或追溯期内。</w:t>
      </w:r>
    </w:p>
    <w:p>
      <w:pPr>
        <w:keepNext w:val="0"/>
        <w:keepLines w:val="0"/>
        <w:pageBreakBefore w:val="0"/>
        <w:numPr>
          <w:ilvl w:val="0"/>
          <w:numId w:val="0"/>
        </w:numPr>
        <w:kinsoku/>
        <w:wordWrap/>
        <w:overflowPunct/>
        <w:topLinePunct w:val="0"/>
        <w:bidi w:val="0"/>
        <w:snapToGrid/>
        <w:spacing w:line="400" w:lineRule="exact"/>
        <w:ind w:firstLine="560"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kern w:val="2"/>
          <w:sz w:val="28"/>
          <w:szCs w:val="28"/>
          <w:lang w:val="en-US" w:eastAsia="zh-CN" w:bidi="ar-SA"/>
        </w:rPr>
        <w:t>②患者或其近亲属及代理人因上述人身损害首次向被保险人提出损害赔偿请求的时间（包括患方首次投诉时间）必须在保险期限内。首次投保合同生效之日前患者或其近亲属及代理人已经对同一事由提出过索赔申请（无论之前已提出的索赔申请是否采用书面形式或再次提出索赔申请的索赔金额或事故原因等情况是否与已提出的索赔申请一致）的，保险人不负责赔偿。</w:t>
      </w:r>
    </w:p>
    <w:p>
      <w:pPr>
        <w:pStyle w:val="30"/>
        <w:keepNext w:val="0"/>
        <w:keepLines w:val="0"/>
        <w:pageBreakBefore w:val="0"/>
        <w:numPr>
          <w:ilvl w:val="0"/>
          <w:numId w:val="0"/>
        </w:numPr>
        <w:kinsoku/>
        <w:wordWrap/>
        <w:overflowPunct/>
        <w:topLinePunct w:val="0"/>
        <w:bidi w:val="0"/>
        <w:snapToGrid/>
        <w:spacing w:line="400" w:lineRule="exact"/>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3.特别约定</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以下特别约定与主条款内容相悖之处，</w:t>
      </w:r>
      <w:r>
        <w:rPr>
          <w:rFonts w:hint="eastAsia" w:ascii="仿宋" w:hAnsi="仿宋" w:eastAsia="仿宋" w:cs="仿宋"/>
          <w:sz w:val="28"/>
          <w:szCs w:val="28"/>
          <w:lang w:eastAsia="zh-CN"/>
        </w:rPr>
        <w:t>以下</w:t>
      </w:r>
      <w:r>
        <w:rPr>
          <w:rFonts w:hint="eastAsia" w:ascii="仿宋" w:hAnsi="仿宋" w:eastAsia="仿宋" w:cs="仿宋"/>
          <w:sz w:val="28"/>
          <w:szCs w:val="28"/>
        </w:rPr>
        <w:t>特别约定为准；未尽之处，以主条款为准。</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（1）延长索赔有效期</w:t>
      </w:r>
      <w:r>
        <w:rPr>
          <w:rFonts w:hint="eastAsia" w:ascii="仿宋" w:hAnsi="仿宋" w:eastAsia="仿宋" w:cs="仿宋"/>
          <w:sz w:val="28"/>
          <w:szCs w:val="28"/>
          <w:lang w:eastAsia="zh-CN"/>
        </w:rPr>
        <w:t>：</w:t>
      </w:r>
      <w:r>
        <w:rPr>
          <w:rFonts w:hint="eastAsia" w:ascii="仿宋" w:hAnsi="仿宋" w:eastAsia="仿宋" w:cs="仿宋"/>
          <w:sz w:val="28"/>
          <w:szCs w:val="28"/>
        </w:rPr>
        <w:t>保险合同设置延长索赔有效期6个月，合同解除或终止后，对于发生在保险合同约定的保险期限内的保险事故，被保险人在延长索赔有效期内首次向保险人提出索赔要求，保险人仍然承担赔偿责任。但协议保险期限、保障范围及赔偿限额无变化。</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（2）经双方协商一致，保险人同意协议采用不记名方式投保，投保人按投保时实际在册医务人员人数投保，且自动承保保险期限内被保险人新增的医务人员。</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为体现和谐社会、和谐医院，充分保障医疗正常诊疗秩序，及时高效化解医疗纠纷问题，对于赔偿金额在人民币1万元以下（含1万元）的保险事故案件，医院可自行处理与患方达成和解，保险人应依据和解协议进行保险赔付。每个保单年度被保险人自行处理此类案件的</w:t>
      </w:r>
      <w:r>
        <w:rPr>
          <w:rFonts w:hint="eastAsia" w:ascii="仿宋" w:hAnsi="仿宋" w:eastAsia="仿宋" w:cs="仿宋"/>
          <w:sz w:val="28"/>
          <w:szCs w:val="28"/>
          <w:lang w:val="en-US" w:eastAsia="zh-CN"/>
        </w:rPr>
        <w:t>次数</w:t>
      </w:r>
      <w:r>
        <w:rPr>
          <w:rFonts w:hint="eastAsia" w:ascii="仿宋" w:hAnsi="仿宋" w:eastAsia="仿宋" w:cs="仿宋"/>
          <w:sz w:val="28"/>
          <w:szCs w:val="28"/>
        </w:rPr>
        <w:t>不得</w:t>
      </w:r>
      <w:r>
        <w:rPr>
          <w:rFonts w:hint="eastAsia" w:ascii="仿宋" w:hAnsi="仿宋" w:eastAsia="仿宋" w:cs="仿宋"/>
          <w:sz w:val="28"/>
          <w:szCs w:val="28"/>
          <w:lang w:val="en-US" w:eastAsia="zh-CN"/>
        </w:rPr>
        <w:t>超过2次（含2次）</w:t>
      </w:r>
      <w:r>
        <w:rPr>
          <w:rFonts w:hint="eastAsia" w:ascii="仿宋" w:hAnsi="仿宋" w:eastAsia="仿宋" w:cs="仿宋"/>
          <w:sz w:val="28"/>
          <w:szCs w:val="28"/>
        </w:rPr>
        <w:t>。</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在保险期限内发生的保险事故结案后，患方如因同一事故再次提起赔偿请求（包含但不限于请求赔偿后续治疗费、后续护理费等），经法院判决或者仲裁裁决的，对应由被保险人支付或者承担的赔偿金额及法律费用等，保险人应在保险赔偿限额范围内赔偿。</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）确定患方首次向被保险人提出损害赔偿请求的时间规则：</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①患者接受诊疗活动导致人身损害的时间、患方首次投诉时间和医疗机构报案时间在同一保险期间内的案件，以医疗机构报案时填写的时间为准。</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②患者接受诊疗活动导致人身损害的时间、患方首次投诉时间和医疗机构报案时间不在同一保险期内的案件，以下述材料记载时间中最早的日期为准：患方向医疗机构或者行政部门书面投诉材料日期</w:t>
      </w:r>
      <w:r>
        <w:rPr>
          <w:rFonts w:hint="eastAsia" w:ascii="仿宋" w:hAnsi="仿宋" w:eastAsia="仿宋" w:cs="仿宋"/>
          <w:sz w:val="28"/>
          <w:szCs w:val="28"/>
          <w:lang w:eastAsia="zh-CN"/>
        </w:rPr>
        <w:t>（</w:t>
      </w:r>
      <w:r>
        <w:rPr>
          <w:rFonts w:hint="eastAsia" w:ascii="仿宋" w:hAnsi="仿宋" w:eastAsia="仿宋" w:cs="仿宋"/>
          <w:sz w:val="28"/>
          <w:szCs w:val="28"/>
        </w:rPr>
        <w:t>患方或患方代理人签字）、司法鉴定（含尸检和医疗事故鉴定）的申请日期、人民调解申请日期、法院传票通知日期等与纠纷相</w:t>
      </w:r>
      <w:r>
        <w:rPr>
          <w:rFonts w:hint="eastAsia" w:ascii="仿宋" w:hAnsi="仿宋" w:eastAsia="仿宋" w:cs="仿宋"/>
          <w:sz w:val="28"/>
          <w:szCs w:val="28"/>
          <w:lang w:eastAsia="zh-CN"/>
        </w:rPr>
        <w:t>关的</w:t>
      </w:r>
      <w:r>
        <w:rPr>
          <w:rFonts w:hint="eastAsia" w:ascii="仿宋" w:hAnsi="仿宋" w:eastAsia="仿宋" w:cs="仿宋"/>
          <w:sz w:val="28"/>
          <w:szCs w:val="28"/>
        </w:rPr>
        <w:t>书面材料。</w:t>
      </w:r>
    </w:p>
    <w:p>
      <w:pPr>
        <w:pStyle w:val="7"/>
        <w:keepNext w:val="0"/>
        <w:keepLines w:val="0"/>
        <w:pageBreakBefore w:val="0"/>
        <w:widowControl/>
        <w:numPr>
          <w:ilvl w:val="0"/>
          <w:numId w:val="3"/>
        </w:numPr>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highlight w:val="none"/>
        </w:rPr>
      </w:pPr>
      <w:r>
        <w:rPr>
          <w:rFonts w:hint="eastAsia" w:ascii="仿宋" w:hAnsi="仿宋" w:eastAsia="仿宋" w:cs="仿宋"/>
          <w:sz w:val="28"/>
          <w:szCs w:val="28"/>
        </w:rPr>
        <w:t>被保险人的投保医务人员包括外请医务人员、进修医务人员、实习医务人员、劳务派遣方式用工的医务人员、在被保险人处学习的研究生及其他参加</w:t>
      </w:r>
      <w:r>
        <w:rPr>
          <w:rFonts w:hint="eastAsia" w:ascii="仿宋" w:hAnsi="仿宋" w:eastAsia="仿宋" w:cs="仿宋"/>
          <w:sz w:val="28"/>
          <w:szCs w:val="28"/>
          <w:highlight w:val="none"/>
        </w:rPr>
        <w:t>实习、进修、培训的人员。</w:t>
      </w:r>
    </w:p>
    <w:p>
      <w:pPr>
        <w:pStyle w:val="30"/>
        <w:keepNext w:val="0"/>
        <w:keepLines w:val="0"/>
        <w:pageBreakBefore w:val="0"/>
        <w:kinsoku/>
        <w:wordWrap/>
        <w:overflowPunct/>
        <w:topLinePunct w:val="0"/>
        <w:bidi w:val="0"/>
        <w:snapToGrid/>
        <w:spacing w:line="400" w:lineRule="exact"/>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rPr>
        <w:t>要求</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中标方在合同签署后，为便捷处理理赔，增强医院与保险公司双方沟通协调，保险公司安排理赔专员，与医院进行对接沟通，必要时到场服务。</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发生保险案件时，中标单位须做到2小时</w:t>
      </w:r>
      <w:r>
        <w:rPr>
          <w:rFonts w:hint="eastAsia" w:ascii="仿宋" w:hAnsi="仿宋" w:eastAsia="仿宋" w:cs="仿宋"/>
          <w:sz w:val="28"/>
          <w:szCs w:val="28"/>
          <w:lang w:val="en-US" w:eastAsia="zh-CN"/>
        </w:rPr>
        <w:t>内</w:t>
      </w:r>
      <w:r>
        <w:rPr>
          <w:rFonts w:hint="eastAsia" w:ascii="仿宋" w:hAnsi="仿宋" w:eastAsia="仿宋" w:cs="仿宋"/>
          <w:sz w:val="28"/>
          <w:szCs w:val="28"/>
        </w:rPr>
        <w:t>响应。</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中标单位受理案件后须协助配合采购人或保险经纪人收集案件相关资料。</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中标单位有义务协助保险经纪人或采购人进行案件处理、资料整理、保险理赔等工作。</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5.投标人在规定时限</w:t>
      </w:r>
      <w:r>
        <w:rPr>
          <w:rFonts w:hint="eastAsia" w:ascii="仿宋" w:hAnsi="仿宋" w:eastAsia="仿宋" w:cs="仿宋"/>
          <w:sz w:val="28"/>
          <w:szCs w:val="28"/>
        </w:rPr>
        <w:t>内完成保险合同签订，并完善商议部分内容。</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中标单位需提供保险期内日常保险咨询及防灾防损咨询服务。</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中标单位需</w:t>
      </w:r>
      <w:r>
        <w:rPr>
          <w:rFonts w:hint="eastAsia" w:ascii="仿宋" w:hAnsi="仿宋" w:eastAsia="仿宋" w:cs="仿宋"/>
          <w:sz w:val="28"/>
          <w:szCs w:val="28"/>
          <w:lang w:val="en-US" w:eastAsia="zh-CN"/>
        </w:rPr>
        <w:t>定期</w:t>
      </w:r>
      <w:r>
        <w:rPr>
          <w:rFonts w:hint="eastAsia" w:ascii="仿宋" w:hAnsi="仿宋" w:eastAsia="仿宋" w:cs="仿宋"/>
          <w:sz w:val="28"/>
          <w:szCs w:val="28"/>
        </w:rPr>
        <w:t>与采购人及保险经纪人召开保险业务会议，安排业务相关人员积极参加。</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采购人聘请北京容海保险经纪有限公司深圳分公司为本项目的保险经纪人，为采购人的医疗责任保险项目提供保险经纪服务。投标人及最终确定的承保人应尊重保险经纪人代表采购人所提涉保要求，尊重其所发挥的督促、协调作用。</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9.本项目接受</w:t>
      </w:r>
      <w:r>
        <w:rPr>
          <w:rFonts w:hint="eastAsia" w:ascii="仿宋" w:hAnsi="仿宋" w:eastAsia="仿宋" w:cs="仿宋"/>
          <w:sz w:val="28"/>
          <w:szCs w:val="28"/>
        </w:rPr>
        <w:t>北京容海保险经纪有限公司深圳分公司</w:t>
      </w:r>
      <w:r>
        <w:rPr>
          <w:rFonts w:hint="eastAsia" w:ascii="仿宋" w:hAnsi="仿宋" w:eastAsia="仿宋" w:cs="仿宋"/>
          <w:sz w:val="28"/>
          <w:szCs w:val="28"/>
          <w:lang w:val="en-US" w:eastAsia="zh-CN"/>
        </w:rPr>
        <w:t>按照</w:t>
      </w:r>
      <w:bookmarkStart w:id="6" w:name="_GoBack"/>
      <w:bookmarkEnd w:id="6"/>
      <w:r>
        <w:rPr>
          <w:rFonts w:hint="eastAsia" w:ascii="仿宋" w:hAnsi="仿宋" w:eastAsia="仿宋" w:cs="仿宋"/>
          <w:sz w:val="28"/>
          <w:szCs w:val="28"/>
          <w:lang w:val="en-US" w:eastAsia="zh-CN"/>
        </w:rPr>
        <w:t>《关于加强财产保险共保业务管理的通知》（保监发〔2006〕31号）</w:t>
      </w:r>
      <w:r>
        <w:rPr>
          <w:rFonts w:hint="eastAsia" w:ascii="仿宋" w:hAnsi="仿宋" w:eastAsia="仿宋" w:cs="仿宋"/>
          <w:sz w:val="28"/>
          <w:szCs w:val="28"/>
          <w:lang w:val="en-US" w:eastAsia="zh-CN"/>
        </w:rPr>
        <w:t>要求安排共保及再保，北京容海保险经纪有限公司</w:t>
      </w:r>
      <w:r>
        <w:rPr>
          <w:rFonts w:hint="eastAsia" w:ascii="仿宋" w:hAnsi="仿宋" w:eastAsia="仿宋" w:cs="仿宋"/>
          <w:sz w:val="28"/>
          <w:szCs w:val="28"/>
        </w:rPr>
        <w:t>深圳分公司</w:t>
      </w:r>
      <w:r>
        <w:rPr>
          <w:rFonts w:hint="eastAsia" w:ascii="仿宋" w:hAnsi="仿宋" w:eastAsia="仿宋" w:cs="仿宋"/>
          <w:sz w:val="28"/>
          <w:szCs w:val="28"/>
          <w:lang w:val="en-US" w:eastAsia="zh-CN"/>
        </w:rPr>
        <w:t>必须作为主承保人负责承保、理赔服务，不得将承保、理赔服务分配给其他参与共保公司服务。</w:t>
      </w:r>
    </w:p>
    <w:p>
      <w:pPr>
        <w:keepNext w:val="0"/>
        <w:keepLines w:val="0"/>
        <w:pageBreakBefore w:val="0"/>
        <w:widowControl/>
        <w:numPr>
          <w:ilvl w:val="-1"/>
          <w:numId w:val="0"/>
        </w:numPr>
        <w:kinsoku/>
        <w:wordWrap/>
        <w:overflowPunct/>
        <w:topLinePunct w:val="0"/>
        <w:bidi w:val="0"/>
        <w:adjustRightInd/>
        <w:snapToGrid/>
        <w:spacing w:line="400" w:lineRule="exact"/>
        <w:ind w:leftChars="0" w:firstLine="562"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、验收工作</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当满足以下条件时，甲方才向乙方签发验收报告：</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1.乙方已按照合同规定提供了全部技术资料；</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2.服务项目符合招标文件的服务要求。</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服务经过双方检验认可后，签署验收报告。</w:t>
      </w:r>
    </w:p>
    <w:p>
      <w:pPr>
        <w:pStyle w:val="7"/>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0" w:leftChars="0" w:firstLine="562"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color w:val="auto"/>
          <w:sz w:val="28"/>
          <w:szCs w:val="28"/>
          <w:highlight w:val="none"/>
          <w:lang w:val="en-US" w:eastAsia="zh-CN"/>
        </w:rPr>
        <w:t>九、服务（交货）期限：</w:t>
      </w:r>
      <w:r>
        <w:rPr>
          <w:rFonts w:hint="eastAsia" w:ascii="仿宋_GB2312" w:hAnsi="仿宋_GB2312" w:eastAsia="仿宋_GB2312" w:cs="仿宋_GB2312"/>
          <w:kern w:val="2"/>
          <w:sz w:val="28"/>
          <w:szCs w:val="28"/>
          <w:lang w:val="en-US" w:eastAsia="zh-CN" w:bidi="ar-SA"/>
        </w:rPr>
        <w:t>自合同签订之日起一年。本项目为长期服务项目，采购单位将根据第一年的项目执行情况授予第二年、第三年的服务合同，合同履行期限最长不超过三十六个月。</w:t>
      </w:r>
    </w:p>
    <w:p>
      <w:pPr>
        <w:pStyle w:val="7"/>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ind w:left="0" w:leftChars="0" w:firstLine="560" w:firstLineChars="200"/>
        <w:textAlignment w:val="baseline"/>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次年</w:t>
      </w:r>
      <w:r>
        <w:rPr>
          <w:rFonts w:hint="default" w:ascii="仿宋_GB2312" w:hAnsi="仿宋_GB2312" w:eastAsia="仿宋_GB2312" w:cs="仿宋_GB2312"/>
          <w:kern w:val="2"/>
          <w:sz w:val="28"/>
          <w:szCs w:val="28"/>
          <w:lang w:val="en-US" w:eastAsia="zh-CN" w:bidi="ar-SA"/>
        </w:rPr>
        <w:t>如需提高保费，中标人可与采购人协商，经采购人同意，保费可上调，但上调金额不得超过</w:t>
      </w:r>
      <w:r>
        <w:rPr>
          <w:rFonts w:hint="eastAsia" w:ascii="仿宋_GB2312" w:hAnsi="仿宋_GB2312" w:eastAsia="仿宋_GB2312" w:cs="仿宋_GB2312"/>
          <w:kern w:val="2"/>
          <w:sz w:val="28"/>
          <w:szCs w:val="28"/>
          <w:lang w:val="en-US" w:eastAsia="zh-CN" w:bidi="ar-SA"/>
        </w:rPr>
        <w:t>原</w:t>
      </w:r>
      <w:r>
        <w:rPr>
          <w:rFonts w:hint="default" w:ascii="仿宋_GB2312" w:hAnsi="仿宋_GB2312" w:eastAsia="仿宋_GB2312" w:cs="仿宋_GB2312"/>
          <w:kern w:val="2"/>
          <w:sz w:val="28"/>
          <w:szCs w:val="28"/>
          <w:lang w:val="en-US" w:eastAsia="zh-CN" w:bidi="ar-SA"/>
        </w:rPr>
        <w:t>保费</w:t>
      </w:r>
      <w:r>
        <w:rPr>
          <w:rFonts w:hint="eastAsia" w:ascii="仿宋_GB2312" w:hAnsi="仿宋_GB2312" w:eastAsia="仿宋_GB2312" w:cs="仿宋_GB2312"/>
          <w:kern w:val="2"/>
          <w:sz w:val="28"/>
          <w:szCs w:val="28"/>
          <w:lang w:val="en-US" w:eastAsia="zh-CN" w:bidi="ar-SA"/>
        </w:rPr>
        <w:t>金额</w:t>
      </w:r>
      <w:r>
        <w:rPr>
          <w:rFonts w:hint="default" w:ascii="仿宋_GB2312" w:hAnsi="仿宋_GB2312" w:eastAsia="仿宋_GB2312" w:cs="仿宋_GB2312"/>
          <w:kern w:val="2"/>
          <w:sz w:val="28"/>
          <w:szCs w:val="28"/>
          <w:lang w:val="en-US" w:eastAsia="zh-CN" w:bidi="ar-SA"/>
        </w:rPr>
        <w:t>的10%，否则采购人需重新对外进行公开招标</w:t>
      </w:r>
      <w:r>
        <w:rPr>
          <w:rFonts w:hint="eastAsia" w:ascii="仿宋_GB2312" w:hAnsi="仿宋_GB2312" w:eastAsia="仿宋_GB2312" w:cs="仿宋_GB2312"/>
          <w:kern w:val="2"/>
          <w:sz w:val="28"/>
          <w:szCs w:val="28"/>
          <w:lang w:val="en-US" w:eastAsia="zh-CN" w:bidi="ar-SA"/>
        </w:rPr>
        <w:t>。</w:t>
      </w:r>
    </w:p>
    <w:p>
      <w:pPr>
        <w:pStyle w:val="19"/>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十、报价要求</w:t>
      </w:r>
    </w:p>
    <w:p>
      <w:pPr>
        <w:pStyle w:val="29"/>
        <w:keepNext w:val="0"/>
        <w:keepLines w:val="0"/>
        <w:pageBreakBefore w:val="0"/>
        <w:kinsoku/>
        <w:wordWrap/>
        <w:overflowPunct/>
        <w:topLinePunct w:val="0"/>
        <w:bidi w:val="0"/>
        <w:snapToGrid/>
        <w:spacing w:line="40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（一）人民币报价：投标总价（人民币）须是完成该项目的一切费用总和，包括服务费、国家规定的各项税费等全部费用。</w:t>
      </w:r>
    </w:p>
    <w:p>
      <w:pPr>
        <w:pStyle w:val="7"/>
        <w:keepNext w:val="0"/>
        <w:keepLines w:val="0"/>
        <w:pageBreakBefore w:val="0"/>
        <w:widowControl/>
        <w:kinsoku/>
        <w:wordWrap/>
        <w:overflowPunct/>
        <w:topLinePunct w:val="0"/>
        <w:autoSpaceDE w:val="0"/>
        <w:autoSpaceDN w:val="0"/>
        <w:bidi w:val="0"/>
        <w:adjustRightInd w:val="0"/>
        <w:snapToGrid/>
        <w:spacing w:line="400" w:lineRule="exact"/>
        <w:ind w:left="0" w:leftChars="0" w:firstLine="560" w:firstLineChars="200"/>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（二）付款方式：合同签订后，中标方提供全额发票后10个工作日内，采购方向中标方一次性付款。</w:t>
      </w:r>
    </w:p>
    <w:p>
      <w:pPr>
        <w:pStyle w:val="19"/>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、项目地点：</w:t>
      </w:r>
      <w:r>
        <w:rPr>
          <w:rFonts w:hint="eastAsia" w:ascii="仿宋_GB2312" w:hAnsi="仿宋_GB2312" w:eastAsia="仿宋_GB2312" w:cs="仿宋_GB2312"/>
          <w:sz w:val="28"/>
          <w:szCs w:val="28"/>
        </w:rPr>
        <w:t>深圳市</w:t>
      </w:r>
      <w:r>
        <w:rPr>
          <w:rFonts w:hint="eastAsia" w:ascii="仿宋_GB2312" w:hAnsi="仿宋_GB2312" w:eastAsia="仿宋_GB2312" w:cs="仿宋_GB2312"/>
          <w:kern w:val="2"/>
          <w:sz w:val="28"/>
          <w:szCs w:val="28"/>
        </w:rPr>
        <w:t>龙岗区</w:t>
      </w:r>
      <w:r>
        <w:rPr>
          <w:rFonts w:hint="eastAsia" w:ascii="仿宋_GB2312" w:hAnsi="仿宋_GB2312" w:eastAsia="仿宋_GB2312" w:cs="仿宋_GB2312"/>
          <w:sz w:val="28"/>
          <w:szCs w:val="28"/>
        </w:rPr>
        <w:t>第七人民医院</w:t>
      </w:r>
      <w:r>
        <w:rPr>
          <w:rFonts w:hint="eastAsia" w:ascii="仿宋_GB2312" w:hAnsi="仿宋_GB2312" w:eastAsia="仿宋_GB2312" w:cs="仿宋_GB2312"/>
          <w:sz w:val="28"/>
          <w:szCs w:val="28"/>
          <w:lang w:val="en-US" w:eastAsia="zh-CN"/>
        </w:rPr>
        <w:t>指定地点</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十</w:t>
      </w:r>
      <w:r>
        <w:rPr>
          <w:rFonts w:hint="eastAsia" w:ascii="仿宋_GB2312" w:hAnsi="仿宋_GB2312" w:eastAsia="仿宋_GB2312" w:cs="仿宋_GB2312"/>
          <w:b/>
          <w:bCs/>
          <w:kern w:val="0"/>
          <w:sz w:val="28"/>
          <w:szCs w:val="28"/>
          <w:lang w:val="en-US" w:eastAsia="zh-CN"/>
        </w:rPr>
        <w:t>二</w:t>
      </w:r>
      <w:r>
        <w:rPr>
          <w:rFonts w:hint="eastAsia" w:ascii="仿宋_GB2312" w:hAnsi="仿宋_GB2312" w:eastAsia="仿宋_GB2312" w:cs="仿宋_GB2312"/>
          <w:b/>
          <w:bCs/>
          <w:kern w:val="0"/>
          <w:sz w:val="28"/>
          <w:szCs w:val="28"/>
        </w:rPr>
        <w:t>、评标标准</w:t>
      </w:r>
    </w:p>
    <w:tbl>
      <w:tblPr>
        <w:tblStyle w:val="15"/>
        <w:tblW w:w="9135" w:type="dxa"/>
        <w:jc w:val="center"/>
        <w:tblCellSpacing w:w="0" w:type="dxa"/>
        <w:tblLayout w:type="fixed"/>
        <w:tblCellMar>
          <w:top w:w="45" w:type="dxa"/>
          <w:left w:w="45" w:type="dxa"/>
          <w:bottom w:w="45" w:type="dxa"/>
          <w:right w:w="45" w:type="dxa"/>
        </w:tblCellMar>
      </w:tblPr>
      <w:tblGrid>
        <w:gridCol w:w="63"/>
        <w:gridCol w:w="613"/>
        <w:gridCol w:w="675"/>
        <w:gridCol w:w="1583"/>
        <w:gridCol w:w="990"/>
        <w:gridCol w:w="5148"/>
        <w:gridCol w:w="63"/>
      </w:tblGrid>
      <w:tr>
        <w:tblPrEx>
          <w:tblCellMar>
            <w:top w:w="45" w:type="dxa"/>
            <w:left w:w="45" w:type="dxa"/>
            <w:bottom w:w="45" w:type="dxa"/>
            <w:right w:w="45" w:type="dxa"/>
          </w:tblCellMar>
        </w:tblPrEx>
        <w:trPr>
          <w:gridBefore w:val="1"/>
          <w:wBefore w:w="63" w:type="dxa"/>
          <w:tblCellSpacing w:w="0" w:type="dxa"/>
          <w:jc w:val="center"/>
        </w:trPr>
        <w:tc>
          <w:tcPr>
            <w:tcW w:w="9072" w:type="dxa"/>
            <w:gridSpan w:val="6"/>
            <w:tcBorders>
              <w:top w:val="nil"/>
              <w:left w:val="nil"/>
              <w:bottom w:val="nil"/>
              <w:right w:val="nil"/>
            </w:tcBorders>
            <w:noWrap w:val="0"/>
            <w:vAlign w:val="center"/>
          </w:tcPr>
          <w:p>
            <w:pPr>
              <w:pStyle w:val="14"/>
              <w:spacing w:line="324" w:lineRule="auto"/>
              <w:ind w:firstLine="560" w:firstLineChars="200"/>
              <w:rPr>
                <w:sz w:val="21"/>
                <w:szCs w:val="21"/>
              </w:rPr>
            </w:pPr>
            <w:r>
              <w:rPr>
                <w:rFonts w:hint="eastAsia" w:ascii="仿宋_GB2312" w:hAnsi="仿宋_GB2312" w:eastAsia="仿宋_GB2312" w:cs="仿宋_GB2312"/>
                <w:kern w:val="2"/>
                <w:sz w:val="28"/>
                <w:szCs w:val="28"/>
                <w:lang w:val="en-US" w:eastAsia="zh-CN" w:bidi="ar-SA"/>
              </w:rPr>
              <w:t>评标方法：综合评分法。在满足招标文件全部实质性要求的前提下，按照招标文件中规定的各项因素进行量化打分，以评标总得分的平均分最高的投标人为中标候选供应商；采购人根据评标委员会评审结果确定中标候选供应商为中标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cs="宋体"/>
                <w:b/>
                <w:bCs/>
                <w:sz w:val="24"/>
              </w:rPr>
            </w:pPr>
            <w:r>
              <w:rPr>
                <w:b/>
                <w:bCs/>
              </w:rPr>
              <w:t>序号</w:t>
            </w:r>
          </w:p>
        </w:tc>
        <w:tc>
          <w:tcPr>
            <w:tcW w:w="3248"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cs="宋体"/>
                <w:b/>
                <w:bCs/>
                <w:sz w:val="24"/>
              </w:rPr>
            </w:pPr>
            <w:r>
              <w:rPr>
                <w:b/>
                <w:bCs/>
              </w:rPr>
              <w:t>评分项</w:t>
            </w:r>
          </w:p>
        </w:tc>
        <w:tc>
          <w:tcPr>
            <w:tcW w:w="5148"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ascii="宋体" w:hAnsi="宋体" w:cs="宋体"/>
                <w:b/>
                <w:bCs/>
                <w:sz w:val="24"/>
              </w:rPr>
            </w:pPr>
            <w:r>
              <w:rPr>
                <w:b/>
                <w:bCs/>
              </w:rPr>
              <w:t>权重</w:t>
            </w:r>
            <w:r>
              <w:rPr>
                <w:rFonts w:hint="eastAsia"/>
                <w:b/>
                <w:bCs/>
                <w:lang w:eastAsia="zh-CN"/>
              </w:rPr>
              <w:t>（</w:t>
            </w:r>
            <w:r>
              <w:rPr>
                <w:b/>
                <w:bCs/>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rHeight w:val="419" w:hRule="atLeast"/>
          <w:tblCellSpacing w:w="0" w:type="dxa"/>
          <w:jc w:val="center"/>
        </w:trPr>
        <w:tc>
          <w:tcPr>
            <w:tcW w:w="676" w:type="dxa"/>
            <w:gridSpan w:val="2"/>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1</w:t>
            </w:r>
          </w:p>
        </w:tc>
        <w:tc>
          <w:tcPr>
            <w:tcW w:w="3248"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szCs w:val="24"/>
              </w:rPr>
            </w:pPr>
            <w:r>
              <w:rPr>
                <w:b/>
                <w:bCs/>
                <w:color w:val="0000FF"/>
                <w:sz w:val="24"/>
                <w:szCs w:val="24"/>
              </w:rPr>
              <w:t>价格</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0000FF"/>
                <w:sz w:val="24"/>
                <w:szCs w:val="24"/>
                <w:lang w:eastAsia="zh-CN"/>
              </w:rPr>
            </w:pPr>
            <w:r>
              <w:rPr>
                <w:rFonts w:hint="eastAsia"/>
                <w:b/>
                <w:bCs/>
                <w:color w:val="0000FF"/>
                <w:sz w:val="24"/>
                <w:szCs w:val="24"/>
              </w:rPr>
              <w:t>1</w:t>
            </w:r>
            <w:r>
              <w:rPr>
                <w:rFonts w:hint="eastAsia"/>
                <w:b/>
                <w:bCs/>
                <w:color w:val="0000FF"/>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2</w:t>
            </w:r>
          </w:p>
        </w:tc>
        <w:tc>
          <w:tcPr>
            <w:tcW w:w="3248"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序号</w:t>
            </w:r>
          </w:p>
        </w:tc>
        <w:tc>
          <w:tcPr>
            <w:tcW w:w="158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评分因素</w:t>
            </w:r>
          </w:p>
        </w:tc>
        <w:tc>
          <w:tcPr>
            <w:tcW w:w="9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权重</w:t>
            </w:r>
            <w:r>
              <w:rPr>
                <w:rFonts w:hint="eastAsia"/>
                <w:szCs w:val="21"/>
                <w:lang w:eastAsia="zh-CN"/>
              </w:rPr>
              <w:t>（</w:t>
            </w:r>
            <w:r>
              <w:rPr>
                <w:szCs w:val="21"/>
              </w:rPr>
              <w:t>%)</w:t>
            </w:r>
          </w:p>
        </w:tc>
        <w:tc>
          <w:tcPr>
            <w:tcW w:w="514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ascii="宋体" w:hAnsi="宋体"/>
                <w:szCs w:val="21"/>
              </w:rPr>
              <w:t>1</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szCs w:val="21"/>
              </w:rPr>
              <w:t>实施方案</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szCs w:val="21"/>
              </w:rPr>
              <w:t>15</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default"/>
                <w:b/>
                <w:bCs/>
                <w:szCs w:val="21"/>
                <w:lang w:val="en-US" w:eastAsia="zh-CN"/>
              </w:rPr>
            </w:pPr>
            <w:r>
              <w:rPr>
                <w:rFonts w:hint="eastAsia"/>
                <w:b/>
                <w:bCs/>
                <w:szCs w:val="21"/>
                <w:lang w:val="en-US" w:eastAsia="zh-CN"/>
              </w:rPr>
              <w:t>（一）评分内容：</w:t>
            </w:r>
          </w:p>
          <w:p>
            <w:pPr>
              <w:jc w:val="left"/>
              <w:rPr>
                <w:rFonts w:hint="eastAsia"/>
                <w:szCs w:val="21"/>
                <w:lang w:val="en-US" w:eastAsia="zh-CN"/>
              </w:rPr>
            </w:pPr>
            <w:r>
              <w:rPr>
                <w:rFonts w:hint="eastAsia"/>
                <w:szCs w:val="21"/>
                <w:lang w:val="en-US" w:eastAsia="zh-CN"/>
              </w:rPr>
              <w:t>投标人按照招标需求，针对本项目提供项目实施方案，包括但不限于以下内容：</w:t>
            </w:r>
          </w:p>
          <w:p>
            <w:pPr>
              <w:jc w:val="left"/>
              <w:rPr>
                <w:rFonts w:hint="default"/>
                <w:szCs w:val="21"/>
                <w:lang w:val="en-US" w:eastAsia="zh-CN"/>
              </w:rPr>
            </w:pPr>
            <w:r>
              <w:rPr>
                <w:rFonts w:hint="eastAsia"/>
                <w:szCs w:val="21"/>
                <w:lang w:val="en-US" w:eastAsia="zh-CN"/>
              </w:rPr>
              <w:t>1.服务质量保障；</w:t>
            </w:r>
          </w:p>
          <w:p>
            <w:pPr>
              <w:jc w:val="left"/>
              <w:rPr>
                <w:rFonts w:hint="eastAsia" w:eastAsia="宋体"/>
                <w:szCs w:val="21"/>
                <w:lang w:val="en-US" w:eastAsia="zh-CN"/>
              </w:rPr>
            </w:pPr>
            <w:r>
              <w:rPr>
                <w:rFonts w:hint="eastAsia"/>
                <w:szCs w:val="21"/>
                <w:lang w:val="en-US" w:eastAsia="zh-CN"/>
              </w:rPr>
              <w:t>2.</w:t>
            </w:r>
            <w:r>
              <w:rPr>
                <w:rFonts w:hint="eastAsia"/>
                <w:szCs w:val="21"/>
              </w:rPr>
              <w:t>保险理赔报案及理赔流程</w:t>
            </w:r>
            <w:r>
              <w:rPr>
                <w:rFonts w:hint="eastAsia"/>
                <w:szCs w:val="21"/>
                <w:lang w:val="en-US" w:eastAsia="zh-CN"/>
              </w:rPr>
              <w:t>；</w:t>
            </w:r>
          </w:p>
          <w:p>
            <w:pPr>
              <w:jc w:val="left"/>
              <w:rPr>
                <w:rFonts w:hint="eastAsia" w:eastAsia="宋体"/>
                <w:szCs w:val="21"/>
                <w:lang w:val="en-US" w:eastAsia="zh-CN"/>
              </w:rPr>
            </w:pPr>
            <w:r>
              <w:rPr>
                <w:rFonts w:hint="eastAsia"/>
                <w:szCs w:val="21"/>
                <w:lang w:val="en-US" w:eastAsia="zh-CN"/>
              </w:rPr>
              <w:t>3.</w:t>
            </w:r>
            <w:r>
              <w:rPr>
                <w:rFonts w:hint="eastAsia"/>
                <w:szCs w:val="21"/>
              </w:rPr>
              <w:t>售后服务承诺</w:t>
            </w:r>
            <w:r>
              <w:rPr>
                <w:rFonts w:hint="eastAsia"/>
                <w:szCs w:val="21"/>
                <w:lang w:eastAsia="zh-CN"/>
              </w:rPr>
              <w:t>。</w:t>
            </w:r>
          </w:p>
          <w:p>
            <w:pPr>
              <w:spacing w:after="160"/>
              <w:jc w:val="left"/>
              <w:rPr>
                <w:rFonts w:hint="eastAsia" w:ascii="宋体" w:hAnsi="宋体"/>
                <w:b/>
                <w:bCs/>
                <w:szCs w:val="21"/>
                <w:lang w:val="en-US" w:eastAsia="zh-CN"/>
              </w:rPr>
            </w:pPr>
            <w:r>
              <w:rPr>
                <w:rFonts w:hint="eastAsia" w:ascii="宋体" w:hAnsi="宋体"/>
                <w:b/>
                <w:bCs/>
                <w:szCs w:val="21"/>
                <w:lang w:val="en-US" w:eastAsia="zh-CN"/>
              </w:rPr>
              <w:t>（二）评分依据：</w:t>
            </w:r>
          </w:p>
          <w:p>
            <w:pPr>
              <w:jc w:val="left"/>
              <w:rPr>
                <w:rFonts w:hint="eastAsia"/>
                <w:szCs w:val="21"/>
                <w:lang w:val="en-US" w:eastAsia="zh-CN"/>
              </w:rPr>
            </w:pPr>
            <w:r>
              <w:rPr>
                <w:rFonts w:hint="eastAsia"/>
                <w:szCs w:val="21"/>
                <w:lang w:val="en-US" w:eastAsia="zh-CN"/>
              </w:rPr>
              <w:t>1.满足以上三点得6分，满足任意两点得4分，满足任意一点得2分，未满足不得分。</w:t>
            </w:r>
          </w:p>
          <w:p>
            <w:pPr>
              <w:jc w:val="left"/>
              <w:rPr>
                <w:rFonts w:hint="eastAsia"/>
                <w:szCs w:val="21"/>
                <w:lang w:val="en-US" w:eastAsia="zh-CN"/>
              </w:rPr>
            </w:pPr>
            <w:r>
              <w:rPr>
                <w:rFonts w:hint="eastAsia"/>
                <w:szCs w:val="21"/>
                <w:lang w:val="en-US" w:eastAsia="zh-CN"/>
              </w:rPr>
              <w:t>2.在此基础上，按照下列要求进行加分：</w:t>
            </w:r>
          </w:p>
          <w:p>
            <w:pPr>
              <w:jc w:val="left"/>
              <w:rPr>
                <w:rFonts w:hint="eastAsia"/>
                <w:szCs w:val="21"/>
                <w:lang w:val="en-US" w:eastAsia="zh-CN"/>
              </w:rPr>
            </w:pPr>
            <w:r>
              <w:rPr>
                <w:rFonts w:hint="eastAsia"/>
                <w:szCs w:val="21"/>
                <w:lang w:val="en-US" w:eastAsia="zh-CN"/>
              </w:rPr>
              <w:t>（1）方案整体科学合理完整、针对性强、可操作性强，评审为优加9分；</w:t>
            </w:r>
          </w:p>
          <w:p>
            <w:pPr>
              <w:jc w:val="left"/>
              <w:rPr>
                <w:rFonts w:hint="eastAsia"/>
                <w:szCs w:val="21"/>
                <w:lang w:val="en-US" w:eastAsia="zh-CN"/>
              </w:rPr>
            </w:pPr>
            <w:r>
              <w:rPr>
                <w:rFonts w:hint="eastAsia"/>
                <w:szCs w:val="21"/>
                <w:lang w:val="en-US" w:eastAsia="zh-CN"/>
              </w:rPr>
              <w:t>（2）方案较合理完整、有一定针对性、可操作性，评审为良加5分；</w:t>
            </w:r>
          </w:p>
          <w:p>
            <w:pPr>
              <w:jc w:val="left"/>
              <w:rPr>
                <w:rFonts w:hint="eastAsia"/>
                <w:szCs w:val="21"/>
                <w:lang w:val="en-US" w:eastAsia="zh-CN"/>
              </w:rPr>
            </w:pPr>
            <w:r>
              <w:rPr>
                <w:rFonts w:hint="eastAsia"/>
                <w:szCs w:val="21"/>
                <w:lang w:val="en-US" w:eastAsia="zh-CN"/>
              </w:rPr>
              <w:t>（3）方案一般、针对性一般、可操作性一般，评审为中加1分；</w:t>
            </w:r>
          </w:p>
          <w:p>
            <w:pPr>
              <w:jc w:val="left"/>
              <w:rPr>
                <w:rFonts w:hint="eastAsia"/>
                <w:szCs w:val="21"/>
                <w:lang w:val="en-US" w:eastAsia="zh-CN"/>
              </w:rPr>
            </w:pPr>
            <w:r>
              <w:rPr>
                <w:rFonts w:hint="eastAsia"/>
                <w:szCs w:val="21"/>
                <w:lang w:val="en-US" w:eastAsia="zh-CN"/>
              </w:rPr>
              <w:t>（4）方案较差、无针对性、无可操作性，评审为差加0分。</w:t>
            </w:r>
          </w:p>
          <w:p>
            <w:pPr>
              <w:jc w:val="left"/>
              <w:rPr>
                <w:szCs w:val="21"/>
              </w:rPr>
            </w:pPr>
            <w:r>
              <w:rPr>
                <w:szCs w:val="21"/>
              </w:rPr>
              <w:t>如果评审为差，要求专家书面说明理由，并记录在档。</w:t>
            </w:r>
          </w:p>
          <w:p>
            <w:pPr>
              <w:pStyle w:val="6"/>
              <w:numPr>
                <w:ilvl w:val="0"/>
                <w:numId w:val="0"/>
              </w:numPr>
              <w:ind w:firstLine="0" w:firstLineChars="0"/>
            </w:pPr>
            <w:r>
              <w:rPr>
                <w:rFonts w:hint="eastAsia"/>
                <w:szCs w:val="21"/>
              </w:rPr>
              <w:t>要求投标人提供项目</w:t>
            </w:r>
            <w:r>
              <w:rPr>
                <w:rFonts w:hint="eastAsia"/>
                <w:szCs w:val="21"/>
                <w:lang w:val="en-US" w:eastAsia="zh-CN"/>
              </w:rPr>
              <w:t>实施</w:t>
            </w:r>
            <w:r>
              <w:rPr>
                <w:rFonts w:hint="eastAsia"/>
                <w:szCs w:val="21"/>
              </w:rPr>
              <w:t>方案（格式自定），未提供方案或方案未体现上述评分内容或不满足上述评分内容的，不得分。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lang w:eastAsia="zh-CN"/>
              </w:rPr>
            </w:pPr>
            <w:r>
              <w:rPr>
                <w:rFonts w:hint="eastAsia" w:ascii="宋体" w:hAnsi="宋体"/>
                <w:szCs w:val="21"/>
                <w:lang w:val="en-US" w:eastAsia="zh-CN"/>
              </w:rPr>
              <w:t>2</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szCs w:val="21"/>
              </w:rPr>
              <w:t>项目重点难点分析、应对措施及相关的合理化建议</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default"/>
                <w:b/>
                <w:bCs/>
                <w:szCs w:val="21"/>
                <w:lang w:val="en-US" w:eastAsia="zh-CN"/>
              </w:rPr>
            </w:pPr>
            <w:r>
              <w:rPr>
                <w:rFonts w:hint="eastAsia"/>
                <w:b/>
                <w:bCs/>
                <w:szCs w:val="21"/>
                <w:lang w:val="en-US" w:eastAsia="zh-CN"/>
              </w:rPr>
              <w:t>（一）评分内容：</w:t>
            </w:r>
          </w:p>
          <w:p>
            <w:pPr>
              <w:jc w:val="left"/>
              <w:rPr>
                <w:rFonts w:hint="eastAsia"/>
                <w:szCs w:val="21"/>
                <w:lang w:val="en-US" w:eastAsia="zh-CN"/>
              </w:rPr>
            </w:pPr>
            <w:r>
              <w:rPr>
                <w:rFonts w:hint="eastAsia"/>
                <w:szCs w:val="21"/>
                <w:lang w:val="en-US" w:eastAsia="zh-CN"/>
              </w:rPr>
              <w:t>投标人按照招标需求，针对本项目提供</w:t>
            </w:r>
            <w:r>
              <w:rPr>
                <w:rFonts w:hint="eastAsia" w:ascii="宋体" w:hAnsi="宋体"/>
                <w:szCs w:val="21"/>
              </w:rPr>
              <w:t>项目重点难点分析、应对措施及相关的合理化建议</w:t>
            </w:r>
            <w:r>
              <w:rPr>
                <w:rFonts w:hint="eastAsia"/>
                <w:szCs w:val="21"/>
                <w:lang w:val="en-US" w:eastAsia="zh-CN"/>
              </w:rPr>
              <w:t>，包括但不限于以下内容：</w:t>
            </w:r>
          </w:p>
          <w:p>
            <w:pPr>
              <w:jc w:val="left"/>
              <w:rPr>
                <w:rFonts w:hint="eastAsia" w:eastAsia="宋体"/>
                <w:szCs w:val="21"/>
                <w:lang w:val="en-US" w:eastAsia="zh-CN"/>
              </w:rPr>
            </w:pPr>
            <w:r>
              <w:rPr>
                <w:rFonts w:hint="eastAsia"/>
                <w:szCs w:val="21"/>
                <w:lang w:val="en-US" w:eastAsia="zh-CN"/>
              </w:rPr>
              <w:t>1.</w:t>
            </w:r>
            <w:r>
              <w:rPr>
                <w:rFonts w:hint="eastAsia"/>
                <w:szCs w:val="21"/>
              </w:rPr>
              <w:t>医疗责任保险项目实施过程中的重点难点分析</w:t>
            </w:r>
            <w:r>
              <w:rPr>
                <w:rFonts w:hint="eastAsia"/>
                <w:szCs w:val="21"/>
                <w:lang w:val="en-US" w:eastAsia="zh-CN"/>
              </w:rPr>
              <w:t>；</w:t>
            </w:r>
          </w:p>
          <w:p>
            <w:pPr>
              <w:jc w:val="left"/>
              <w:rPr>
                <w:rFonts w:hint="eastAsia" w:eastAsia="宋体"/>
                <w:szCs w:val="21"/>
                <w:lang w:val="en-US" w:eastAsia="zh-CN"/>
              </w:rPr>
            </w:pPr>
            <w:r>
              <w:rPr>
                <w:rFonts w:hint="eastAsia"/>
                <w:szCs w:val="21"/>
                <w:lang w:val="en-US" w:eastAsia="zh-CN"/>
              </w:rPr>
              <w:t>2.</w:t>
            </w:r>
            <w:r>
              <w:rPr>
                <w:rFonts w:hint="eastAsia"/>
                <w:szCs w:val="21"/>
              </w:rPr>
              <w:t>针对所提出的重点难点的合理化建议</w:t>
            </w:r>
            <w:r>
              <w:rPr>
                <w:rFonts w:hint="eastAsia"/>
                <w:szCs w:val="21"/>
                <w:lang w:val="en-US" w:eastAsia="zh-CN"/>
              </w:rPr>
              <w:t>；</w:t>
            </w:r>
          </w:p>
          <w:p>
            <w:pPr>
              <w:jc w:val="left"/>
              <w:rPr>
                <w:rFonts w:hint="eastAsia" w:eastAsia="宋体"/>
                <w:szCs w:val="21"/>
                <w:lang w:val="en-US" w:eastAsia="zh-CN"/>
              </w:rPr>
            </w:pPr>
            <w:r>
              <w:rPr>
                <w:rFonts w:hint="eastAsia"/>
                <w:szCs w:val="21"/>
                <w:lang w:val="en-US" w:eastAsia="zh-CN"/>
              </w:rPr>
              <w:t>3.</w:t>
            </w:r>
            <w:r>
              <w:rPr>
                <w:rFonts w:hint="eastAsia"/>
                <w:szCs w:val="21"/>
              </w:rPr>
              <w:t>针对所提出的重点难点的应对措施</w:t>
            </w:r>
            <w:r>
              <w:rPr>
                <w:rFonts w:hint="eastAsia"/>
                <w:szCs w:val="21"/>
                <w:lang w:eastAsia="zh-CN"/>
              </w:rPr>
              <w:t>。</w:t>
            </w:r>
          </w:p>
          <w:p>
            <w:pPr>
              <w:spacing w:after="160"/>
              <w:jc w:val="left"/>
              <w:rPr>
                <w:rFonts w:hint="eastAsia" w:ascii="宋体" w:hAnsi="宋体"/>
                <w:b/>
                <w:bCs/>
                <w:szCs w:val="21"/>
                <w:lang w:val="en-US" w:eastAsia="zh-CN"/>
              </w:rPr>
            </w:pPr>
            <w:r>
              <w:rPr>
                <w:rFonts w:hint="eastAsia" w:ascii="宋体" w:hAnsi="宋体"/>
                <w:b/>
                <w:bCs/>
                <w:szCs w:val="21"/>
                <w:lang w:val="en-US" w:eastAsia="zh-CN"/>
              </w:rPr>
              <w:t>（二）评分依据：</w:t>
            </w:r>
          </w:p>
          <w:p>
            <w:pPr>
              <w:jc w:val="left"/>
              <w:rPr>
                <w:rFonts w:hint="eastAsia"/>
                <w:szCs w:val="21"/>
                <w:lang w:val="en-US" w:eastAsia="zh-CN"/>
              </w:rPr>
            </w:pPr>
            <w:r>
              <w:rPr>
                <w:rFonts w:hint="eastAsia"/>
                <w:szCs w:val="21"/>
                <w:lang w:val="en-US" w:eastAsia="zh-CN"/>
              </w:rPr>
              <w:t>1.满足以上三点得6分，满足任意两点得3分，满足任意一点得1分，未满足不得分。</w:t>
            </w:r>
          </w:p>
          <w:p>
            <w:pPr>
              <w:jc w:val="left"/>
              <w:rPr>
                <w:rFonts w:hint="eastAsia"/>
                <w:szCs w:val="21"/>
                <w:lang w:val="en-US" w:eastAsia="zh-CN"/>
              </w:rPr>
            </w:pPr>
            <w:r>
              <w:rPr>
                <w:rFonts w:hint="eastAsia"/>
                <w:szCs w:val="21"/>
                <w:lang w:val="en-US" w:eastAsia="zh-CN"/>
              </w:rPr>
              <w:t>2.在此基础上，按照下列要求进行加分：</w:t>
            </w:r>
          </w:p>
          <w:p>
            <w:pPr>
              <w:jc w:val="left"/>
              <w:rPr>
                <w:rFonts w:hint="eastAsia"/>
                <w:szCs w:val="21"/>
                <w:lang w:val="en-US" w:eastAsia="zh-CN"/>
              </w:rPr>
            </w:pPr>
            <w:r>
              <w:rPr>
                <w:rFonts w:hint="eastAsia"/>
                <w:szCs w:val="21"/>
                <w:lang w:val="en-US" w:eastAsia="zh-CN"/>
              </w:rPr>
              <w:t>（1）方案整体科学合理完整、针对性强、可操作性强，评审为优加4分；</w:t>
            </w:r>
          </w:p>
          <w:p>
            <w:pPr>
              <w:jc w:val="left"/>
              <w:rPr>
                <w:rFonts w:hint="eastAsia"/>
                <w:szCs w:val="21"/>
                <w:lang w:val="en-US" w:eastAsia="zh-CN"/>
              </w:rPr>
            </w:pPr>
            <w:r>
              <w:rPr>
                <w:rFonts w:hint="eastAsia"/>
                <w:szCs w:val="21"/>
                <w:lang w:val="en-US" w:eastAsia="zh-CN"/>
              </w:rPr>
              <w:t>（2）方案较合理完整、有一定针对性、可操作性，评审为良加2分；</w:t>
            </w:r>
          </w:p>
          <w:p>
            <w:pPr>
              <w:jc w:val="left"/>
              <w:rPr>
                <w:rFonts w:hint="eastAsia"/>
                <w:szCs w:val="21"/>
                <w:lang w:val="en-US" w:eastAsia="zh-CN"/>
              </w:rPr>
            </w:pPr>
            <w:r>
              <w:rPr>
                <w:rFonts w:hint="eastAsia"/>
                <w:szCs w:val="21"/>
                <w:lang w:val="en-US" w:eastAsia="zh-CN"/>
              </w:rPr>
              <w:t>（3）方案一般、针对性一般、可操作性一般，评审为中加1分；</w:t>
            </w:r>
          </w:p>
          <w:p>
            <w:pPr>
              <w:jc w:val="left"/>
              <w:rPr>
                <w:rFonts w:hint="eastAsia"/>
                <w:szCs w:val="21"/>
                <w:lang w:val="en-US" w:eastAsia="zh-CN"/>
              </w:rPr>
            </w:pPr>
            <w:r>
              <w:rPr>
                <w:rFonts w:hint="eastAsia"/>
                <w:szCs w:val="21"/>
                <w:lang w:val="en-US" w:eastAsia="zh-CN"/>
              </w:rPr>
              <w:t>（4）方案较差、无针对性、无可操作性，评审为差加0分。</w:t>
            </w:r>
          </w:p>
          <w:p>
            <w:pPr>
              <w:jc w:val="left"/>
              <w:rPr>
                <w:rFonts w:hint="eastAsia"/>
                <w:szCs w:val="21"/>
                <w:lang w:val="en-US" w:eastAsia="zh-CN"/>
              </w:rPr>
            </w:pPr>
            <w:r>
              <w:rPr>
                <w:rFonts w:hint="eastAsia"/>
                <w:szCs w:val="21"/>
                <w:lang w:val="en-US" w:eastAsia="zh-CN"/>
              </w:rPr>
              <w:t>如果评审为差，要求专家书面说明理由，并记录在档。</w:t>
            </w:r>
          </w:p>
          <w:p>
            <w:pPr>
              <w:jc w:val="left"/>
            </w:pPr>
            <w:r>
              <w:rPr>
                <w:rFonts w:hint="eastAsia"/>
                <w:szCs w:val="21"/>
                <w:lang w:val="en-US" w:eastAsia="zh-CN"/>
              </w:rPr>
              <w:t>要求投标人提供项目重点难点分析、应对措施及相关的合理化建议（格式自定），未提供或未体现上述评分内容或不满足上述评分内容的，不得分。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szCs w:val="21"/>
                <w:lang w:eastAsia="zh-CN"/>
              </w:rPr>
            </w:pPr>
            <w:r>
              <w:rPr>
                <w:rFonts w:hint="eastAsia" w:ascii="宋体" w:hAnsi="宋体"/>
                <w:szCs w:val="21"/>
                <w:lang w:val="en-US" w:eastAsia="zh-CN"/>
              </w:rPr>
              <w:t>3</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eastAsia="Times New Roman" w:cs="宋体"/>
                <w:sz w:val="24"/>
                <w:szCs w:val="21"/>
              </w:rPr>
            </w:pPr>
            <w:r>
              <w:rPr>
                <w:rFonts w:hint="eastAsia" w:ascii="宋体" w:hAnsi="宋体"/>
                <w:szCs w:val="21"/>
              </w:rPr>
              <w:t>拟安排的项目负责人情况（仅限一人）</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color w:val="auto"/>
                <w:sz w:val="24"/>
                <w:szCs w:val="21"/>
                <w:lang w:eastAsia="zh-CN"/>
              </w:rPr>
            </w:pPr>
            <w:r>
              <w:rPr>
                <w:rFonts w:hint="eastAsia" w:ascii="宋体" w:hAnsi="宋体" w:eastAsia="宋体"/>
                <w:color w:val="auto"/>
                <w:szCs w:val="21"/>
                <w:lang w:val="en-US" w:eastAsia="zh-CN"/>
              </w:rPr>
              <w:t>5</w:t>
            </w:r>
          </w:p>
        </w:tc>
        <w:tc>
          <w:tcPr>
            <w:tcW w:w="514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rPr>
            </w:pPr>
            <w:r>
              <w:rPr>
                <w:rFonts w:hint="eastAsia"/>
                <w:b/>
                <w:bCs/>
                <w:color w:val="auto"/>
              </w:rPr>
              <w:t>（一）评分内容：</w:t>
            </w:r>
            <w:r>
              <w:rPr>
                <w:rFonts w:hint="eastAsia" w:ascii="宋体" w:hAnsi="宋体" w:eastAsia="宋体" w:cs="宋体"/>
                <w:color w:val="auto"/>
              </w:rPr>
              <w:t>拟安排</w:t>
            </w:r>
            <w:r>
              <w:rPr>
                <w:rFonts w:hint="eastAsia" w:ascii="宋体" w:hAnsi="宋体" w:eastAsia="宋体" w:cs="宋体"/>
                <w:color w:val="auto"/>
                <w:lang w:val="en-US" w:eastAsia="zh-CN"/>
              </w:rPr>
              <w:t>的</w:t>
            </w:r>
            <w:r>
              <w:rPr>
                <w:rFonts w:hint="eastAsia" w:ascii="宋体" w:hAnsi="宋体" w:eastAsia="宋体" w:cs="宋体"/>
                <w:color w:val="auto"/>
              </w:rPr>
              <w:t>项目负责人为投标单位员工（以社保为准），否则本项不得分。</w:t>
            </w:r>
          </w:p>
          <w:p>
            <w:pPr>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ascii="宋体" w:hAnsi="宋体" w:eastAsia="宋体" w:cs="宋体"/>
                <w:color w:val="auto"/>
              </w:rPr>
              <w:t>20</w:t>
            </w:r>
            <w:r>
              <w:rPr>
                <w:rFonts w:hint="eastAsia" w:ascii="宋体" w:hAnsi="宋体" w:eastAsia="宋体" w:cs="宋体"/>
                <w:color w:val="auto"/>
                <w:lang w:val="en-US" w:eastAsia="zh-CN"/>
              </w:rPr>
              <w:t>22</w:t>
            </w:r>
            <w:r>
              <w:rPr>
                <w:rFonts w:hint="eastAsia" w:ascii="宋体" w:hAnsi="宋体" w:eastAsia="宋体" w:cs="宋体"/>
                <w:color w:val="auto"/>
              </w:rPr>
              <w:t>年</w:t>
            </w:r>
            <w:r>
              <w:rPr>
                <w:rFonts w:hint="eastAsia" w:ascii="宋体" w:hAnsi="宋体" w:cs="宋体"/>
                <w:color w:val="auto"/>
                <w:lang w:val="en-US" w:eastAsia="zh-CN"/>
              </w:rPr>
              <w:t>8</w:t>
            </w:r>
            <w:r>
              <w:rPr>
                <w:rFonts w:hint="eastAsia" w:ascii="宋体" w:hAnsi="宋体" w:eastAsia="宋体" w:cs="宋体"/>
                <w:color w:val="auto"/>
              </w:rPr>
              <w:t>月1日至</w:t>
            </w:r>
            <w:r>
              <w:rPr>
                <w:rFonts w:hint="eastAsia" w:ascii="宋体" w:hAnsi="宋体" w:eastAsia="宋体" w:cs="宋体"/>
                <w:color w:val="auto"/>
                <w:lang w:val="en-US" w:eastAsia="zh-CN"/>
              </w:rPr>
              <w:t>本项目</w:t>
            </w:r>
            <w:r>
              <w:rPr>
                <w:rFonts w:hint="eastAsia" w:ascii="宋体" w:hAnsi="宋体" w:eastAsia="宋体" w:cs="宋体"/>
                <w:color w:val="auto"/>
              </w:rPr>
              <w:t>开标之日</w:t>
            </w:r>
            <w:r>
              <w:rPr>
                <w:rFonts w:hint="eastAsia" w:ascii="宋体" w:hAnsi="宋体" w:eastAsia="宋体" w:cs="宋体"/>
                <w:color w:val="auto"/>
                <w:lang w:val="en-US" w:eastAsia="zh-CN"/>
              </w:rPr>
              <w:t>前具有</w:t>
            </w:r>
            <w:r>
              <w:rPr>
                <w:rFonts w:hint="eastAsia" w:ascii="宋体" w:hAnsi="宋体" w:eastAsia="宋体" w:cs="宋体"/>
                <w:color w:val="auto"/>
              </w:rPr>
              <w:t>在医疗</w:t>
            </w:r>
            <w:r>
              <w:rPr>
                <w:rFonts w:hint="eastAsia" w:ascii="宋体" w:hAnsi="宋体" w:eastAsia="宋体" w:cs="宋体"/>
                <w:color w:val="auto"/>
                <w:lang w:val="en-US" w:eastAsia="zh-CN"/>
              </w:rPr>
              <w:t>责任</w:t>
            </w:r>
            <w:r>
              <w:rPr>
                <w:rFonts w:hint="eastAsia" w:ascii="宋体" w:hAnsi="宋体" w:eastAsia="宋体" w:cs="宋体"/>
                <w:color w:val="auto"/>
              </w:rPr>
              <w:t>保险项目中担任</w:t>
            </w:r>
            <w:r>
              <w:rPr>
                <w:rFonts w:hint="eastAsia" w:ascii="宋体" w:hAnsi="宋体" w:eastAsia="宋体" w:cs="宋体"/>
                <w:color w:val="auto"/>
                <w:lang w:val="en-US" w:eastAsia="zh-CN"/>
              </w:rPr>
              <w:t>项目</w:t>
            </w:r>
            <w:r>
              <w:rPr>
                <w:rFonts w:hint="eastAsia" w:ascii="宋体" w:hAnsi="宋体" w:eastAsia="宋体" w:cs="宋体"/>
                <w:color w:val="auto"/>
              </w:rPr>
              <w:t>负责人</w:t>
            </w:r>
            <w:r>
              <w:rPr>
                <w:rFonts w:hint="eastAsia" w:ascii="宋体" w:hAnsi="宋体" w:eastAsia="宋体" w:cs="宋体"/>
                <w:color w:val="auto"/>
                <w:lang w:val="en-US" w:eastAsia="zh-CN"/>
              </w:rPr>
              <w:t>工作经验</w:t>
            </w:r>
            <w:r>
              <w:rPr>
                <w:rFonts w:hint="eastAsia" w:ascii="宋体" w:hAnsi="宋体" w:eastAsia="宋体" w:cs="宋体"/>
                <w:color w:val="auto"/>
              </w:rPr>
              <w:t>的，得</w:t>
            </w:r>
            <w:r>
              <w:rPr>
                <w:rFonts w:hint="eastAsia" w:ascii="宋体" w:hAnsi="宋体" w:eastAsia="宋体" w:cs="宋体"/>
                <w:color w:val="auto"/>
                <w:lang w:val="en-US" w:eastAsia="zh-CN"/>
              </w:rPr>
              <w:t>3</w:t>
            </w:r>
            <w:r>
              <w:rPr>
                <w:rFonts w:hint="eastAsia" w:ascii="宋体" w:hAnsi="宋体" w:eastAsia="宋体" w:cs="宋体"/>
                <w:color w:val="auto"/>
              </w:rPr>
              <w:t xml:space="preserve">分； </w:t>
            </w:r>
          </w:p>
          <w:p>
            <w:pPr>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具有本科或以上学历的，得</w:t>
            </w:r>
            <w:r>
              <w:rPr>
                <w:rFonts w:hint="eastAsia" w:ascii="宋体" w:hAnsi="宋体" w:eastAsia="宋体" w:cs="宋体"/>
                <w:color w:val="auto"/>
                <w:lang w:val="en-US" w:eastAsia="zh-CN"/>
              </w:rPr>
              <w:t>2</w:t>
            </w:r>
            <w:r>
              <w:rPr>
                <w:rFonts w:hint="eastAsia" w:ascii="宋体" w:hAnsi="宋体" w:eastAsia="宋体" w:cs="宋体"/>
                <w:color w:val="auto"/>
              </w:rPr>
              <w:t>分。</w:t>
            </w:r>
          </w:p>
          <w:p>
            <w:pPr>
              <w:rPr>
                <w:b/>
                <w:bCs/>
                <w:color w:val="auto"/>
              </w:rPr>
            </w:pPr>
            <w:r>
              <w:rPr>
                <w:rFonts w:hint="eastAsia"/>
                <w:b/>
                <w:bCs/>
                <w:color w:val="auto"/>
              </w:rPr>
              <w:t>（二）评分依据：</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1.提供上述人员近一个月投标人为其购买的社保证明；如开标日上一个月的社保材料因社保部门或税务部门原因暂时无法取得，则可以往前顺延一个月；如投标方注册成立时间不足1个月的，可提供承诺函（格式自拟）。退休返聘人员提供相关人员退休证及劳动合同。</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2.提供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证书【或教育部留学服务中心网站（http://zwfw.cscse.edu.cn/）在线查询截图】也予以认可）。</w:t>
            </w: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t>3.涉及考察人员工作经验，要求提供劳动合同关键信息（需体现相应工作经验及时间）作为得分依据，通过合同关键信息无法判断是否得分的，可以提供其他证明文件（加盖公章或业务章）。</w:t>
            </w:r>
          </w:p>
          <w:p>
            <w:pPr>
              <w:rPr>
                <w:rFonts w:ascii="宋体" w:hAnsi="宋体" w:eastAsia="Times New Roman" w:cs="宋体"/>
                <w:color w:val="auto"/>
                <w:sz w:val="24"/>
                <w:szCs w:val="21"/>
              </w:rPr>
            </w:pPr>
            <w:r>
              <w:rPr>
                <w:rFonts w:hint="eastAsia" w:ascii="宋体" w:hAnsi="宋体" w:eastAsia="宋体" w:cs="宋体"/>
                <w:color w:val="auto"/>
                <w:lang w:val="en-US" w:eastAsia="zh-CN"/>
              </w:rPr>
              <w:t>以上证明文件原件备查，未按要求提供或提供不清晰、不完整导致专家无法判断的不得分。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lang w:eastAsia="zh-CN"/>
              </w:rPr>
            </w:pPr>
            <w:r>
              <w:rPr>
                <w:rFonts w:hint="eastAsia" w:ascii="宋体" w:hAnsi="宋体"/>
                <w:szCs w:val="21"/>
                <w:lang w:val="en-US" w:eastAsia="zh-CN"/>
              </w:rPr>
              <w:t>4</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eastAsia="Times New Roman" w:cs="宋体"/>
                <w:sz w:val="24"/>
                <w:szCs w:val="21"/>
              </w:rPr>
            </w:pPr>
            <w:r>
              <w:rPr>
                <w:rFonts w:hint="eastAsia" w:ascii="宋体" w:hAnsi="宋体"/>
                <w:szCs w:val="21"/>
              </w:rPr>
              <w:t>拟安排的项目主要团队成员（主要技术人员）情况（项目负责人除外）</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ascii="宋体" w:hAnsi="宋体" w:eastAsia="宋体" w:cs="宋体"/>
                <w:sz w:val="24"/>
                <w:szCs w:val="21"/>
                <w:lang w:val="en-US" w:eastAsia="zh-CN"/>
              </w:rPr>
            </w:pPr>
            <w:r>
              <w:rPr>
                <w:rFonts w:hint="eastAsia" w:ascii="宋体" w:hAnsi="宋体" w:eastAsia="宋体"/>
                <w:szCs w:val="21"/>
                <w:lang w:val="en-US" w:eastAsia="zh-CN"/>
              </w:rPr>
              <w:t>10</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rPr>
                <w:rFonts w:hint="eastAsia"/>
              </w:rPr>
            </w:pPr>
            <w:r>
              <w:rPr>
                <w:rFonts w:hint="eastAsia"/>
                <w:b/>
                <w:bCs/>
              </w:rPr>
              <w:t>（一）评分内容：</w:t>
            </w:r>
            <w:r>
              <w:rPr>
                <w:rFonts w:hint="eastAsia"/>
              </w:rPr>
              <w:t>拟安排项目主要团队成员为投标单位员工（以社保为准），否则该人员情况不计分。</w:t>
            </w:r>
          </w:p>
          <w:p>
            <w:pPr>
              <w:rPr>
                <w:rFonts w:hint="eastAsia"/>
              </w:rPr>
            </w:pPr>
            <w:r>
              <w:rPr>
                <w:rFonts w:hint="eastAsia"/>
              </w:rPr>
              <w:t>①拟安排项目主要团队成员</w:t>
            </w:r>
            <w:r>
              <w:rPr>
                <w:rFonts w:hint="eastAsia"/>
                <w:lang w:val="en-US" w:eastAsia="zh-CN"/>
              </w:rPr>
              <w:t>5人或以上的，</w:t>
            </w:r>
            <w:r>
              <w:rPr>
                <w:rFonts w:hint="eastAsia"/>
              </w:rPr>
              <w:t>得</w:t>
            </w:r>
            <w:r>
              <w:rPr>
                <w:rFonts w:hint="eastAsia"/>
                <w:lang w:val="en-US" w:eastAsia="zh-CN"/>
              </w:rPr>
              <w:t>1</w:t>
            </w:r>
            <w:r>
              <w:rPr>
                <w:rFonts w:hint="eastAsia"/>
              </w:rPr>
              <w:t>分；</w:t>
            </w:r>
          </w:p>
          <w:p>
            <w:pPr>
              <w:rPr>
                <w:rFonts w:hint="eastAsia"/>
              </w:rPr>
            </w:pPr>
            <w:r>
              <w:rPr>
                <w:rFonts w:hint="eastAsia"/>
                <w:lang w:eastAsia="zh-CN"/>
              </w:rPr>
              <w:t>②</w:t>
            </w:r>
            <w:r>
              <w:rPr>
                <w:rFonts w:hint="eastAsia"/>
              </w:rPr>
              <w:t>拟安排项目主要团队成员</w:t>
            </w:r>
            <w:r>
              <w:rPr>
                <w:rFonts w:hint="eastAsia"/>
                <w:lang w:val="en-US" w:eastAsia="zh-CN"/>
              </w:rPr>
              <w:t>中</w:t>
            </w:r>
            <w:r>
              <w:rPr>
                <w:rFonts w:hint="eastAsia"/>
              </w:rPr>
              <w:t>在20</w:t>
            </w:r>
            <w:r>
              <w:rPr>
                <w:rFonts w:hint="eastAsia"/>
                <w:lang w:val="en-US" w:eastAsia="zh-CN"/>
              </w:rPr>
              <w:t>22</w:t>
            </w:r>
            <w:r>
              <w:rPr>
                <w:rFonts w:hint="eastAsia"/>
              </w:rPr>
              <w:t>年</w:t>
            </w:r>
            <w:r>
              <w:rPr>
                <w:rFonts w:hint="eastAsia"/>
                <w:lang w:val="en-US" w:eastAsia="zh-CN"/>
              </w:rPr>
              <w:t>8</w:t>
            </w:r>
            <w:r>
              <w:rPr>
                <w:rFonts w:hint="eastAsia"/>
              </w:rPr>
              <w:t>月1日至本项目开标之日前有</w:t>
            </w:r>
            <w:r>
              <w:rPr>
                <w:rFonts w:hint="eastAsia" w:ascii="宋体" w:hAnsi="宋体" w:eastAsia="宋体" w:cs="宋体"/>
                <w:color w:val="auto"/>
              </w:rPr>
              <w:t>在医疗</w:t>
            </w:r>
            <w:r>
              <w:rPr>
                <w:rFonts w:hint="eastAsia" w:ascii="宋体" w:hAnsi="宋体" w:eastAsia="宋体" w:cs="宋体"/>
                <w:color w:val="auto"/>
                <w:lang w:val="en-US" w:eastAsia="zh-CN"/>
              </w:rPr>
              <w:t>责任</w:t>
            </w:r>
            <w:r>
              <w:rPr>
                <w:rFonts w:hint="eastAsia" w:ascii="宋体" w:hAnsi="宋体" w:eastAsia="宋体" w:cs="宋体"/>
                <w:color w:val="auto"/>
              </w:rPr>
              <w:t>保险项目中</w:t>
            </w:r>
            <w:r>
              <w:rPr>
                <w:rFonts w:hint="eastAsia"/>
              </w:rPr>
              <w:t>担任项目成员</w:t>
            </w:r>
            <w:r>
              <w:rPr>
                <w:rFonts w:hint="eastAsia"/>
                <w:lang w:val="en-US" w:eastAsia="zh-CN"/>
              </w:rPr>
              <w:t>工作经验</w:t>
            </w:r>
            <w:r>
              <w:rPr>
                <w:rFonts w:hint="eastAsia"/>
              </w:rPr>
              <w:t>的，每提供一人得</w:t>
            </w:r>
            <w:r>
              <w:rPr>
                <w:rFonts w:hint="eastAsia"/>
                <w:lang w:val="en-US" w:eastAsia="zh-CN"/>
              </w:rPr>
              <w:t>1.5</w:t>
            </w:r>
            <w:r>
              <w:rPr>
                <w:rFonts w:hint="eastAsia"/>
              </w:rPr>
              <w:t>分；最高得</w:t>
            </w:r>
            <w:r>
              <w:rPr>
                <w:rFonts w:hint="eastAsia"/>
                <w:lang w:val="en-US" w:eastAsia="zh-CN"/>
              </w:rPr>
              <w:t>4.5</w:t>
            </w:r>
            <w:r>
              <w:rPr>
                <w:rFonts w:hint="eastAsia"/>
              </w:rPr>
              <w:t>分；</w:t>
            </w:r>
          </w:p>
          <w:p>
            <w:pPr>
              <w:rPr>
                <w:rFonts w:hint="eastAsia"/>
                <w:lang w:eastAsia="zh-CN"/>
              </w:rPr>
            </w:pPr>
            <w:r>
              <w:rPr>
                <w:rFonts w:hint="eastAsia"/>
                <w:lang w:eastAsia="zh-CN"/>
              </w:rPr>
              <w:t>③</w:t>
            </w:r>
            <w:r>
              <w:rPr>
                <w:rFonts w:hint="eastAsia"/>
              </w:rPr>
              <w:t>拟安排项目主要团队成员</w:t>
            </w:r>
            <w:r>
              <w:rPr>
                <w:rFonts w:hint="eastAsia"/>
                <w:lang w:val="en-US" w:eastAsia="zh-CN"/>
              </w:rPr>
              <w:t>中</w:t>
            </w:r>
            <w:r>
              <w:rPr>
                <w:rFonts w:hint="eastAsia"/>
              </w:rPr>
              <w:t>具有法学或医学或保险专业本科及以上学历的，每提供一人得</w:t>
            </w:r>
            <w:r>
              <w:rPr>
                <w:rFonts w:hint="eastAsia"/>
                <w:lang w:val="en-US" w:eastAsia="zh-CN"/>
              </w:rPr>
              <w:t>1.5</w:t>
            </w:r>
            <w:r>
              <w:rPr>
                <w:rFonts w:hint="eastAsia"/>
              </w:rPr>
              <w:t>分，最高得</w:t>
            </w:r>
            <w:r>
              <w:rPr>
                <w:rFonts w:hint="eastAsia"/>
                <w:lang w:val="en-US" w:eastAsia="zh-CN"/>
              </w:rPr>
              <w:t>4.5</w:t>
            </w:r>
            <w:r>
              <w:rPr>
                <w:rFonts w:hint="eastAsia"/>
              </w:rPr>
              <w:t>分</w:t>
            </w:r>
            <w:r>
              <w:rPr>
                <w:rFonts w:hint="eastAsia"/>
                <w:lang w:eastAsia="zh-CN"/>
              </w:rPr>
              <w:t>。</w:t>
            </w:r>
          </w:p>
          <w:p>
            <w:pPr>
              <w:rPr>
                <w:rFonts w:hint="eastAsia"/>
              </w:rPr>
            </w:pPr>
            <w:r>
              <w:rPr>
                <w:rFonts w:hint="eastAsia"/>
                <w:lang w:val="en-US" w:eastAsia="zh-CN"/>
              </w:rPr>
              <w:t>以上</w:t>
            </w:r>
            <w:r>
              <w:rPr>
                <w:rFonts w:hint="eastAsia"/>
              </w:rPr>
              <w:t>①</w:t>
            </w:r>
            <w:r>
              <w:rPr>
                <w:rFonts w:hint="eastAsia"/>
                <w:lang w:val="en-US" w:eastAsia="zh-CN"/>
              </w:rPr>
              <w:t>-</w:t>
            </w:r>
            <w:r>
              <w:rPr>
                <w:rFonts w:hint="eastAsia"/>
                <w:lang w:eastAsia="zh-CN"/>
              </w:rPr>
              <w:t>③</w:t>
            </w:r>
            <w:r>
              <w:rPr>
                <w:rFonts w:hint="eastAsia"/>
                <w:lang w:val="en-US" w:eastAsia="zh-CN"/>
              </w:rPr>
              <w:t>项累计得分，合计最高得10分。</w:t>
            </w:r>
          </w:p>
          <w:p>
            <w:pPr>
              <w:spacing w:after="160" w:line="240" w:lineRule="auto"/>
              <w:jc w:val="left"/>
              <w:rPr>
                <w:b/>
                <w:bCs/>
              </w:rPr>
            </w:pPr>
            <w:r>
              <w:rPr>
                <w:rFonts w:hint="eastAsia"/>
                <w:b/>
                <w:bCs/>
              </w:rPr>
              <w:t>（二）评分依据：</w:t>
            </w:r>
          </w:p>
          <w:p>
            <w:r>
              <w:rPr>
                <w:rFonts w:hint="eastAsia"/>
              </w:rPr>
              <w:t>1.</w:t>
            </w:r>
            <w:r>
              <w:rPr>
                <w:rFonts w:hint="eastAsia" w:ascii="宋体" w:hAnsi="宋体" w:eastAsia="宋体" w:cs="宋体"/>
                <w:color w:val="auto"/>
                <w:lang w:val="en-US" w:eastAsia="zh-CN"/>
              </w:rPr>
              <w:t>提供上述人员近一个月投标人为其购买的社保证明；如开标日上一个月的社保材料因社保部门或税务部门原因暂时无法取得，则可以往前顺延一个月；如投标方注册成立时间不足1个月的，可提供承诺函（格式自拟）。退休返聘人员提供相关人员退休证及劳动合同。</w:t>
            </w:r>
          </w:p>
          <w:p>
            <w:pPr>
              <w:spacing w:after="160" w:line="240" w:lineRule="auto"/>
              <w:jc w:val="left"/>
            </w:pPr>
            <w:r>
              <w:t>2.</w:t>
            </w:r>
            <w:r>
              <w:rPr>
                <w:rFonts w:hint="eastAsia" w:ascii="宋体" w:hAnsi="宋体" w:eastAsia="宋体" w:cs="宋体"/>
                <w:color w:val="auto"/>
                <w:lang w:val="en-US" w:eastAsia="zh-CN"/>
              </w:rPr>
              <w:t>提供学历证书以及学信网查询记录；学信网无法查询的，可提供其他佐证材料：如毕业院校、人社部门等颁发机构或监管机构等单位出具的证明，留学归国人员如无法提供学信网查询记录截图，提供国（境）外学历证书（以及中文翻译件）和教育部留学服务中心出具的国外学历学位认证证书【或教育部留学服务中心网站（http://zwfw.cscse.edu.cn/）在线查询截图】也予以认可）。</w:t>
            </w:r>
          </w:p>
          <w:p>
            <w:pPr>
              <w:spacing w:after="160" w:line="240" w:lineRule="auto"/>
              <w:jc w:val="left"/>
              <w:rPr>
                <w:rFonts w:hint="eastAsia" w:ascii="宋体" w:hAnsi="宋体" w:eastAsia="宋体" w:cs="宋体"/>
                <w:color w:val="auto"/>
                <w:lang w:val="en-US" w:eastAsia="zh-CN"/>
              </w:rPr>
            </w:pPr>
            <w:r>
              <w:rPr>
                <w:rFonts w:hint="eastAsia"/>
                <w:lang w:val="en-US" w:eastAsia="zh-CN"/>
              </w:rPr>
              <w:t>3</w:t>
            </w:r>
            <w:r>
              <w:rPr>
                <w:rFonts w:hint="eastAsia"/>
              </w:rPr>
              <w:t>.</w:t>
            </w:r>
            <w:r>
              <w:rPr>
                <w:rFonts w:hint="eastAsia" w:ascii="宋体" w:hAnsi="宋体" w:eastAsia="宋体" w:cs="宋体"/>
                <w:color w:val="auto"/>
                <w:lang w:val="en-US" w:eastAsia="zh-CN"/>
              </w:rPr>
              <w:t>涉及考察人员工作经验，要求提供劳动合同关键信息（需体现相应工作经验及时间）作为得分依据，通过合同关键信息无法判断是否得分的，可以提供其他证明文件（加盖公章或业务章）。</w:t>
            </w:r>
          </w:p>
          <w:p>
            <w:pPr>
              <w:spacing w:after="160" w:line="240" w:lineRule="auto"/>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以上证明文件原件备查，未按要求提供或提供不清晰、不完整导致专家无法判断的不得分。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3</w:t>
            </w:r>
          </w:p>
        </w:tc>
        <w:tc>
          <w:tcPr>
            <w:tcW w:w="3248"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ascii="宋体" w:hAnsi="宋体" w:cs="宋体"/>
                <w:b/>
                <w:bCs/>
                <w:color w:val="0000FF"/>
                <w:sz w:val="24"/>
              </w:rPr>
            </w:pPr>
            <w:r>
              <w:rPr>
                <w:b/>
                <w:bCs/>
                <w:color w:val="0000FF"/>
              </w:rPr>
              <w:t>综合实力</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宋体" w:hAnsi="宋体" w:eastAsia="宋体" w:cs="宋体"/>
                <w:b/>
                <w:bCs/>
                <w:color w:val="0000FF"/>
                <w:sz w:val="24"/>
                <w:lang w:val="en-US" w:eastAsia="zh-CN"/>
              </w:rPr>
            </w:pPr>
            <w:r>
              <w:rPr>
                <w:rFonts w:hint="eastAsia" w:ascii="宋体" w:hAnsi="宋体"/>
                <w:b w:val="0"/>
                <w:bCs w:val="0"/>
                <w:color w:val="0000FF"/>
                <w:szCs w:val="21"/>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序号</w:t>
            </w:r>
          </w:p>
        </w:tc>
        <w:tc>
          <w:tcPr>
            <w:tcW w:w="158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评分因素</w:t>
            </w:r>
          </w:p>
        </w:tc>
        <w:tc>
          <w:tcPr>
            <w:tcW w:w="9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权重</w:t>
            </w:r>
            <w:r>
              <w:rPr>
                <w:rFonts w:hint="eastAsia"/>
                <w:szCs w:val="21"/>
                <w:lang w:eastAsia="zh-CN"/>
              </w:rPr>
              <w:t>（</w:t>
            </w:r>
            <w:r>
              <w:rPr>
                <w:szCs w:val="21"/>
              </w:rPr>
              <w:t>%)</w:t>
            </w:r>
          </w:p>
        </w:tc>
        <w:tc>
          <w:tcPr>
            <w:tcW w:w="514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ascii="宋体" w:hAnsi="宋体"/>
                <w:szCs w:val="21"/>
              </w:rPr>
              <w:t>1</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szCs w:val="21"/>
              </w:rPr>
              <w:t>供应商综合偿付能力充足率情况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default" w:ascii="宋体" w:hAnsi="宋体" w:eastAsia="宋体" w:cs="宋体"/>
                <w:szCs w:val="21"/>
                <w:lang w:val="en-US" w:eastAsia="zh-CN"/>
              </w:rPr>
            </w:pPr>
            <w:r>
              <w:rPr>
                <w:rFonts w:hint="eastAsia" w:ascii="宋体" w:hAnsi="宋体"/>
                <w:szCs w:val="21"/>
                <w:lang w:val="en-US" w:eastAsia="zh-CN"/>
              </w:rPr>
              <w:t>10</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spacing w:after="160" w:line="240" w:lineRule="auto"/>
              <w:jc w:val="left"/>
              <w:rPr>
                <w:b/>
                <w:bCs/>
                <w:color w:val="auto"/>
                <w:szCs w:val="21"/>
              </w:rPr>
            </w:pPr>
            <w:r>
              <w:rPr>
                <w:rFonts w:hint="eastAsia"/>
                <w:b/>
                <w:bCs/>
                <w:szCs w:val="21"/>
              </w:rPr>
              <w:t>（</w:t>
            </w:r>
            <w:r>
              <w:rPr>
                <w:rFonts w:hint="eastAsia"/>
                <w:b/>
                <w:bCs/>
                <w:color w:val="auto"/>
                <w:szCs w:val="21"/>
              </w:rPr>
              <w:t>一）评分内容：</w:t>
            </w:r>
          </w:p>
          <w:p>
            <w:pPr>
              <w:spacing w:after="160" w:line="240" w:lineRule="auto"/>
              <w:jc w:val="left"/>
              <w:rPr>
                <w:color w:val="auto"/>
                <w:szCs w:val="21"/>
              </w:rPr>
            </w:pPr>
            <w:r>
              <w:rPr>
                <w:rFonts w:hint="eastAsia"/>
                <w:color w:val="auto"/>
                <w:szCs w:val="21"/>
              </w:rPr>
              <w:t>考察投标人总公司202</w:t>
            </w:r>
            <w:r>
              <w:rPr>
                <w:rFonts w:hint="eastAsia"/>
                <w:color w:val="auto"/>
                <w:szCs w:val="21"/>
                <w:lang w:val="en-US" w:eastAsia="zh-CN"/>
              </w:rPr>
              <w:t>5</w:t>
            </w:r>
            <w:r>
              <w:rPr>
                <w:rFonts w:hint="eastAsia"/>
                <w:color w:val="auto"/>
                <w:szCs w:val="21"/>
              </w:rPr>
              <w:t>年第</w:t>
            </w:r>
            <w:r>
              <w:rPr>
                <w:rFonts w:hint="eastAsia"/>
                <w:color w:val="auto"/>
                <w:szCs w:val="21"/>
                <w:lang w:val="en-US" w:eastAsia="zh-CN"/>
              </w:rPr>
              <w:t>二</w:t>
            </w:r>
            <w:r>
              <w:rPr>
                <w:rFonts w:hint="eastAsia"/>
                <w:color w:val="auto"/>
                <w:szCs w:val="21"/>
              </w:rPr>
              <w:t>季度综合偿付能力充足率情况：</w:t>
            </w:r>
          </w:p>
          <w:p>
            <w:pPr>
              <w:spacing w:after="160" w:line="240" w:lineRule="auto"/>
              <w:jc w:val="left"/>
              <w:rPr>
                <w:color w:val="auto"/>
                <w:szCs w:val="21"/>
              </w:rPr>
            </w:pPr>
            <w:r>
              <w:rPr>
                <w:rFonts w:hint="eastAsia"/>
                <w:color w:val="auto"/>
                <w:szCs w:val="21"/>
              </w:rPr>
              <w:t>（1）综合偿付能力充足率≥2</w:t>
            </w:r>
            <w:r>
              <w:rPr>
                <w:rFonts w:hint="eastAsia"/>
                <w:color w:val="auto"/>
                <w:szCs w:val="21"/>
                <w:lang w:val="en-US" w:eastAsia="zh-CN"/>
              </w:rPr>
              <w:t>0</w:t>
            </w:r>
            <w:r>
              <w:rPr>
                <w:rFonts w:hint="eastAsia"/>
                <w:color w:val="auto"/>
                <w:szCs w:val="21"/>
              </w:rPr>
              <w:t>0%的，得100%</w:t>
            </w:r>
            <w:r>
              <w:rPr>
                <w:rFonts w:hint="eastAsia"/>
                <w:color w:val="auto"/>
                <w:szCs w:val="21"/>
                <w:lang w:val="en-US" w:eastAsia="zh-CN"/>
              </w:rPr>
              <w:t>分</w:t>
            </w:r>
            <w:r>
              <w:rPr>
                <w:rFonts w:hint="eastAsia"/>
                <w:color w:val="auto"/>
                <w:szCs w:val="21"/>
              </w:rPr>
              <w:t>；</w:t>
            </w:r>
          </w:p>
          <w:p>
            <w:pPr>
              <w:spacing w:after="160" w:line="240" w:lineRule="auto"/>
              <w:jc w:val="left"/>
              <w:rPr>
                <w:color w:val="auto"/>
                <w:szCs w:val="21"/>
              </w:rPr>
            </w:pPr>
            <w:r>
              <w:rPr>
                <w:rFonts w:hint="eastAsia"/>
                <w:color w:val="auto"/>
                <w:szCs w:val="21"/>
              </w:rPr>
              <w:t>（2）1</w:t>
            </w:r>
            <w:r>
              <w:rPr>
                <w:rFonts w:hint="eastAsia"/>
                <w:color w:val="auto"/>
                <w:szCs w:val="21"/>
                <w:lang w:val="en-US" w:eastAsia="zh-CN"/>
              </w:rPr>
              <w:t>5</w:t>
            </w:r>
            <w:r>
              <w:rPr>
                <w:rFonts w:hint="eastAsia"/>
                <w:color w:val="auto"/>
                <w:szCs w:val="21"/>
              </w:rPr>
              <w:t>0%≤综合偿付能力充足率＜2</w:t>
            </w:r>
            <w:r>
              <w:rPr>
                <w:rFonts w:hint="eastAsia"/>
                <w:color w:val="auto"/>
                <w:szCs w:val="21"/>
                <w:lang w:val="en-US" w:eastAsia="zh-CN"/>
              </w:rPr>
              <w:t>0</w:t>
            </w:r>
            <w:r>
              <w:rPr>
                <w:rFonts w:hint="eastAsia"/>
                <w:color w:val="auto"/>
                <w:szCs w:val="21"/>
              </w:rPr>
              <w:t>0%</w:t>
            </w:r>
            <w:r>
              <w:rPr>
                <w:rFonts w:hint="eastAsia"/>
                <w:color w:val="auto"/>
                <w:szCs w:val="21"/>
                <w:lang w:eastAsia="zh-CN"/>
              </w:rPr>
              <w:t>，</w:t>
            </w:r>
            <w:r>
              <w:rPr>
                <w:rFonts w:hint="eastAsia"/>
                <w:color w:val="auto"/>
                <w:szCs w:val="21"/>
              </w:rPr>
              <w:t>得</w:t>
            </w:r>
            <w:r>
              <w:rPr>
                <w:rFonts w:hint="eastAsia"/>
                <w:color w:val="auto"/>
                <w:szCs w:val="21"/>
                <w:lang w:val="en-US" w:eastAsia="zh-CN"/>
              </w:rPr>
              <w:t>8</w:t>
            </w:r>
            <w:r>
              <w:rPr>
                <w:rFonts w:hint="eastAsia"/>
                <w:color w:val="auto"/>
                <w:szCs w:val="21"/>
              </w:rPr>
              <w:t>0%</w:t>
            </w:r>
            <w:r>
              <w:rPr>
                <w:rFonts w:hint="eastAsia"/>
                <w:color w:val="auto"/>
                <w:szCs w:val="21"/>
                <w:lang w:val="en-US" w:eastAsia="zh-CN"/>
              </w:rPr>
              <w:t>分</w:t>
            </w:r>
            <w:r>
              <w:rPr>
                <w:rFonts w:hint="eastAsia"/>
                <w:color w:val="auto"/>
                <w:szCs w:val="21"/>
              </w:rPr>
              <w:t>；</w:t>
            </w:r>
          </w:p>
          <w:p>
            <w:pPr>
              <w:numPr>
                <w:ilvl w:val="0"/>
                <w:numId w:val="4"/>
              </w:numPr>
              <w:spacing w:after="160" w:line="240" w:lineRule="auto"/>
              <w:jc w:val="left"/>
              <w:rPr>
                <w:color w:val="auto"/>
              </w:rPr>
            </w:pPr>
            <w:r>
              <w:rPr>
                <w:rFonts w:hint="eastAsia"/>
                <w:color w:val="auto"/>
                <w:szCs w:val="21"/>
              </w:rPr>
              <w:t>1</w:t>
            </w:r>
            <w:r>
              <w:rPr>
                <w:rFonts w:hint="eastAsia"/>
                <w:color w:val="auto"/>
                <w:szCs w:val="21"/>
                <w:lang w:val="en-US" w:eastAsia="zh-CN"/>
              </w:rPr>
              <w:t>0</w:t>
            </w:r>
            <w:r>
              <w:rPr>
                <w:rFonts w:hint="eastAsia"/>
                <w:color w:val="auto"/>
                <w:szCs w:val="21"/>
              </w:rPr>
              <w:t>0%≤综合偿付能力充足率＜</w:t>
            </w:r>
            <w:r>
              <w:rPr>
                <w:rFonts w:hint="eastAsia"/>
                <w:color w:val="auto"/>
                <w:szCs w:val="21"/>
                <w:lang w:val="en-US" w:eastAsia="zh-CN"/>
              </w:rPr>
              <w:t>1</w:t>
            </w:r>
            <w:r>
              <w:rPr>
                <w:rFonts w:hint="eastAsia"/>
                <w:color w:val="auto"/>
                <w:szCs w:val="21"/>
              </w:rPr>
              <w:t>50%</w:t>
            </w:r>
            <w:r>
              <w:rPr>
                <w:rFonts w:hint="eastAsia"/>
                <w:color w:val="auto"/>
                <w:szCs w:val="21"/>
                <w:lang w:eastAsia="zh-CN"/>
              </w:rPr>
              <w:t>，</w:t>
            </w:r>
            <w:r>
              <w:rPr>
                <w:rFonts w:hint="eastAsia"/>
                <w:color w:val="auto"/>
                <w:szCs w:val="21"/>
              </w:rPr>
              <w:t>得</w:t>
            </w:r>
            <w:r>
              <w:rPr>
                <w:rFonts w:hint="eastAsia"/>
                <w:color w:val="auto"/>
                <w:szCs w:val="21"/>
                <w:lang w:val="en-US" w:eastAsia="zh-CN"/>
              </w:rPr>
              <w:t>5</w:t>
            </w:r>
            <w:r>
              <w:rPr>
                <w:rFonts w:hint="eastAsia"/>
                <w:color w:val="auto"/>
                <w:szCs w:val="21"/>
              </w:rPr>
              <w:t>0%</w:t>
            </w:r>
            <w:r>
              <w:rPr>
                <w:rFonts w:hint="eastAsia"/>
                <w:color w:val="auto"/>
                <w:szCs w:val="21"/>
                <w:lang w:val="en-US" w:eastAsia="zh-CN"/>
              </w:rPr>
              <w:t>分</w:t>
            </w:r>
            <w:r>
              <w:rPr>
                <w:rFonts w:hint="eastAsia"/>
                <w:color w:val="auto"/>
                <w:szCs w:val="21"/>
              </w:rPr>
              <w:t>。</w:t>
            </w:r>
          </w:p>
          <w:p>
            <w:pPr>
              <w:pStyle w:val="6"/>
              <w:spacing w:line="240" w:lineRule="auto"/>
              <w:ind w:left="0" w:leftChars="0" w:firstLine="0" w:firstLineChars="0"/>
              <w:rPr>
                <w:rFonts w:hint="eastAsia" w:eastAsia="宋体"/>
                <w:color w:val="auto"/>
                <w:lang w:val="en-US" w:eastAsia="zh-CN"/>
              </w:rPr>
            </w:pPr>
            <w:r>
              <w:rPr>
                <w:rFonts w:hint="eastAsia"/>
                <w:color w:val="auto"/>
                <w:szCs w:val="21"/>
                <w:lang w:eastAsia="zh-CN"/>
              </w:rPr>
              <w:t>（</w:t>
            </w:r>
            <w:r>
              <w:rPr>
                <w:rFonts w:hint="eastAsia"/>
                <w:color w:val="auto"/>
                <w:szCs w:val="21"/>
                <w:lang w:val="en-US" w:eastAsia="zh-CN"/>
              </w:rPr>
              <w:t>4</w:t>
            </w:r>
            <w:r>
              <w:rPr>
                <w:rFonts w:hint="eastAsia"/>
                <w:color w:val="auto"/>
                <w:szCs w:val="21"/>
                <w:lang w:eastAsia="zh-CN"/>
              </w:rPr>
              <w:t>）</w:t>
            </w:r>
            <w:r>
              <w:rPr>
                <w:rFonts w:hint="eastAsia"/>
                <w:color w:val="auto"/>
                <w:szCs w:val="21"/>
              </w:rPr>
              <w:t>综合偿付能力充足率＜</w:t>
            </w:r>
            <w:r>
              <w:rPr>
                <w:rFonts w:hint="eastAsia"/>
                <w:color w:val="auto"/>
                <w:szCs w:val="21"/>
                <w:lang w:val="en-US" w:eastAsia="zh-CN"/>
              </w:rPr>
              <w:t>10</w:t>
            </w:r>
            <w:r>
              <w:rPr>
                <w:rFonts w:hint="eastAsia"/>
                <w:color w:val="auto"/>
                <w:szCs w:val="21"/>
              </w:rPr>
              <w:t>0%</w:t>
            </w:r>
            <w:r>
              <w:rPr>
                <w:rFonts w:hint="eastAsia"/>
                <w:color w:val="auto"/>
                <w:szCs w:val="21"/>
                <w:lang w:eastAsia="zh-CN"/>
              </w:rPr>
              <w:t>，</w:t>
            </w:r>
            <w:r>
              <w:rPr>
                <w:rFonts w:hint="eastAsia"/>
                <w:color w:val="auto"/>
                <w:szCs w:val="21"/>
                <w:lang w:val="en-US" w:eastAsia="zh-CN"/>
              </w:rPr>
              <w:t>不得分。</w:t>
            </w:r>
          </w:p>
          <w:p>
            <w:pPr>
              <w:spacing w:after="160" w:line="240" w:lineRule="auto"/>
              <w:jc w:val="left"/>
              <w:rPr>
                <w:b/>
                <w:bCs/>
                <w:color w:val="auto"/>
                <w:szCs w:val="21"/>
              </w:rPr>
            </w:pPr>
            <w:r>
              <w:rPr>
                <w:rFonts w:hint="eastAsia"/>
                <w:b/>
                <w:bCs/>
                <w:color w:val="auto"/>
                <w:szCs w:val="21"/>
              </w:rPr>
              <w:t>（二）评分依据：</w:t>
            </w:r>
          </w:p>
          <w:p>
            <w:pPr>
              <w:spacing w:after="160" w:line="240" w:lineRule="auto"/>
              <w:jc w:val="both"/>
              <w:rPr>
                <w:rFonts w:hint="eastAsia"/>
                <w:color w:val="auto"/>
                <w:szCs w:val="21"/>
                <w:lang w:val="en-US" w:eastAsia="zh-CN"/>
              </w:rPr>
            </w:pPr>
            <w:r>
              <w:rPr>
                <w:rFonts w:hint="eastAsia"/>
                <w:color w:val="auto"/>
                <w:szCs w:val="21"/>
                <w:lang w:val="en-US" w:eastAsia="zh-CN"/>
              </w:rPr>
              <w:t>1.提供“中国保险行业协会”—“信息披露”栏目—“偿付能力信息披露”页面下载对应保险公司偿付能力报告（2025年第二季度）扫描件，仅需提供首页、综合偿付能力充足率页等关键部分相关截图，并加盖投标人公章。</w:t>
            </w:r>
          </w:p>
          <w:p>
            <w:pPr>
              <w:jc w:val="left"/>
              <w:rPr>
                <w:szCs w:val="21"/>
              </w:rPr>
            </w:pPr>
            <w:r>
              <w:rPr>
                <w:rFonts w:hint="eastAsia"/>
                <w:color w:val="auto"/>
                <w:szCs w:val="21"/>
                <w:lang w:val="en-US" w:eastAsia="zh-CN"/>
              </w:rPr>
              <w:t>2.</w:t>
            </w:r>
            <w:r>
              <w:rPr>
                <w:rFonts w:hint="eastAsia"/>
                <w:color w:val="auto"/>
              </w:rPr>
              <w:t>以上资料均要求提供扫描件（或官方网站截图），原件备查。</w:t>
            </w:r>
            <w:r>
              <w:rPr>
                <w:rFonts w:hint="eastAsia"/>
                <w:color w:val="auto"/>
                <w:szCs w:val="21"/>
              </w:rPr>
              <w:t>未提供或未按要求提供或提供的扫描件不清晰导致专家无法判断的不得分。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szCs w:val="21"/>
              </w:rPr>
              <w:t>2</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rFonts w:hint="eastAsia" w:ascii="宋体" w:hAnsi="宋体"/>
                <w:szCs w:val="21"/>
              </w:rPr>
              <w:t>供应商同类项目业绩情况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hint="eastAsia" w:ascii="宋体" w:hAnsi="宋体" w:eastAsia="宋体" w:cs="宋体"/>
                <w:szCs w:val="21"/>
                <w:lang w:eastAsia="zh-CN"/>
              </w:rPr>
            </w:pPr>
            <w:r>
              <w:rPr>
                <w:rFonts w:ascii="宋体" w:hAnsi="宋体"/>
                <w:szCs w:val="21"/>
              </w:rPr>
              <w:t>1</w:t>
            </w:r>
            <w:r>
              <w:rPr>
                <w:rFonts w:hint="eastAsia" w:ascii="宋体" w:hAnsi="宋体" w:eastAsia="宋体"/>
                <w:szCs w:val="21"/>
                <w:lang w:val="en-US" w:eastAsia="zh-CN"/>
              </w:rPr>
              <w:t>2</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spacing w:after="160"/>
              <w:jc w:val="left"/>
              <w:rPr>
                <w:b/>
                <w:bCs/>
              </w:rPr>
            </w:pPr>
            <w:r>
              <w:rPr>
                <w:rFonts w:hint="eastAsia"/>
                <w:b/>
                <w:bCs/>
              </w:rPr>
              <w:t>（一）评分内容：</w:t>
            </w:r>
          </w:p>
          <w:p>
            <w:pPr>
              <w:spacing w:after="160"/>
              <w:ind w:firstLine="420" w:firstLineChars="200"/>
              <w:jc w:val="left"/>
            </w:pPr>
            <w:r>
              <w:t>根据投标人提供</w:t>
            </w:r>
            <w:r>
              <w:rPr>
                <w:rFonts w:hint="eastAsia"/>
                <w:lang w:val="en-US" w:eastAsia="zh-CN"/>
              </w:rPr>
              <w:t>自</w:t>
            </w:r>
            <w:r>
              <w:t>20</w:t>
            </w:r>
            <w:r>
              <w:rPr>
                <w:rFonts w:hint="eastAsia"/>
                <w:lang w:val="en-US" w:eastAsia="zh-CN"/>
              </w:rPr>
              <w:t>22</w:t>
            </w:r>
            <w:r>
              <w:t>年</w:t>
            </w:r>
            <w:r>
              <w:rPr>
                <w:rFonts w:hint="eastAsia"/>
                <w:lang w:val="en-US" w:eastAsia="zh-CN"/>
              </w:rPr>
              <w:t>8</w:t>
            </w:r>
            <w:r>
              <w:t>月1日至本项目开标之日</w:t>
            </w:r>
            <w:r>
              <w:rPr>
                <w:rFonts w:hint="eastAsia"/>
                <w:lang w:val="en-US" w:eastAsia="zh-CN"/>
              </w:rPr>
              <w:t>前</w:t>
            </w:r>
            <w:r>
              <w:t>（</w:t>
            </w:r>
            <w:r>
              <w:rPr>
                <w:rFonts w:hint="eastAsia"/>
                <w:lang w:eastAsia="zh-CN"/>
              </w:rPr>
              <w:t>以合同签订日期为准</w:t>
            </w:r>
            <w:r>
              <w:t>）承保医疗机构医疗责任保险</w:t>
            </w:r>
            <w:r>
              <w:rPr>
                <w:rFonts w:hint="eastAsia"/>
                <w:lang w:val="en-US" w:eastAsia="zh-CN"/>
              </w:rPr>
              <w:t>业绩</w:t>
            </w:r>
            <w:r>
              <w:t>，每提供一个符合要求的业绩的证明材料，</w:t>
            </w:r>
            <w:r>
              <w:rPr>
                <w:rFonts w:hint="eastAsia" w:ascii="Calibri" w:hAnsi="Calibri" w:eastAsia="宋体" w:cs="黑体"/>
                <w:color w:val="auto"/>
                <w:kern w:val="2"/>
                <w:sz w:val="21"/>
                <w:szCs w:val="21"/>
                <w:lang w:val="en-US" w:eastAsia="zh-CN" w:bidi="ar-SA"/>
              </w:rPr>
              <w:t>得2分，</w:t>
            </w:r>
            <w:r>
              <w:t>本项满分</w:t>
            </w:r>
            <w:r>
              <w:rPr>
                <w:rFonts w:hint="eastAsia"/>
                <w:lang w:val="en-US" w:eastAsia="zh-CN"/>
              </w:rPr>
              <w:t>12</w:t>
            </w:r>
            <w:r>
              <w:t>分。</w:t>
            </w:r>
          </w:p>
          <w:p>
            <w:pPr>
              <w:spacing w:after="160"/>
              <w:jc w:val="left"/>
              <w:rPr>
                <w:b/>
                <w:bCs/>
              </w:rPr>
            </w:pPr>
            <w:r>
              <w:rPr>
                <w:rFonts w:hint="eastAsia"/>
                <w:b/>
                <w:bCs/>
              </w:rPr>
              <w:t>（二）评分依据：</w:t>
            </w:r>
          </w:p>
          <w:p>
            <w:pPr>
              <w:spacing w:after="160"/>
              <w:jc w:val="left"/>
            </w:pPr>
            <w:r>
              <w:rPr>
                <w:rFonts w:hint="eastAsia" w:eastAsia="宋体"/>
              </w:rPr>
              <w:t>投标人须提供项目合同关键页</w:t>
            </w:r>
            <w:r>
              <w:rPr>
                <w:rFonts w:hint="default" w:eastAsia="宋体"/>
              </w:rPr>
              <w:t>（含签订合同双方的单位名称、合同项目名称、签订合同双方的落款盖章、签订日期</w:t>
            </w:r>
            <w:r>
              <w:rPr>
                <w:rFonts w:hint="eastAsia" w:eastAsia="宋体"/>
                <w:lang w:val="en-US" w:eastAsia="zh-CN"/>
              </w:rPr>
              <w:t>等</w:t>
            </w:r>
            <w:r>
              <w:rPr>
                <w:rFonts w:hint="default" w:eastAsia="宋体"/>
              </w:rPr>
              <w:t>）</w:t>
            </w:r>
            <w:r>
              <w:rPr>
                <w:rFonts w:hint="eastAsia" w:eastAsia="宋体"/>
              </w:rPr>
              <w:t>原件扫描件，原件备查。</w:t>
            </w:r>
            <w:r>
              <w:rPr>
                <w:rFonts w:hint="eastAsia" w:eastAsia="宋体"/>
                <w:lang w:val="en-US" w:eastAsia="zh-CN"/>
              </w:rPr>
              <w:t>通过合同关键信息无法判断是否得分的，可提供其他证明文件（加盖公章或业务章）。</w:t>
            </w:r>
            <w:r>
              <w:rPr>
                <w:rFonts w:eastAsia="宋体"/>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szCs w:val="21"/>
              </w:rPr>
            </w:pPr>
            <w:r>
              <w:rPr>
                <w:rFonts w:hint="eastAsia" w:ascii="宋体" w:hAnsi="宋体"/>
                <w:szCs w:val="21"/>
              </w:rPr>
              <w:t>3</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szCs w:val="21"/>
              </w:rPr>
            </w:pPr>
            <w:r>
              <w:rPr>
                <w:rFonts w:hint="eastAsia"/>
                <w:szCs w:val="21"/>
              </w:rPr>
              <w:t>履约评价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szCs w:val="21"/>
              </w:rPr>
            </w:pPr>
            <w:r>
              <w:rPr>
                <w:rFonts w:hint="eastAsia" w:ascii="宋体" w:hAnsi="宋体"/>
                <w:szCs w:val="21"/>
              </w:rPr>
              <w:t>12</w:t>
            </w:r>
          </w:p>
        </w:tc>
        <w:tc>
          <w:tcPr>
            <w:tcW w:w="5148" w:type="dxa"/>
            <w:tcBorders>
              <w:top w:val="single" w:color="auto" w:sz="4" w:space="0"/>
              <w:left w:val="single" w:color="auto" w:sz="4" w:space="0"/>
              <w:bottom w:val="single" w:color="auto" w:sz="4" w:space="0"/>
              <w:right w:val="single" w:color="auto" w:sz="4" w:space="0"/>
            </w:tcBorders>
            <w:noWrap w:val="0"/>
            <w:vAlign w:val="top"/>
          </w:tcPr>
          <w:p>
            <w:pPr>
              <w:spacing w:after="160"/>
              <w:jc w:val="left"/>
              <w:rPr>
                <w:rFonts w:ascii="宋体" w:hAnsi="宋体"/>
                <w:b/>
                <w:bCs/>
                <w:color w:val="auto"/>
                <w:szCs w:val="21"/>
              </w:rPr>
            </w:pPr>
            <w:r>
              <w:rPr>
                <w:rFonts w:hint="eastAsia" w:ascii="宋体" w:hAnsi="宋体"/>
                <w:b/>
                <w:bCs/>
                <w:color w:val="auto"/>
                <w:szCs w:val="21"/>
              </w:rPr>
              <w:t>（一）评分内容：</w:t>
            </w:r>
          </w:p>
          <w:p>
            <w:pPr>
              <w:pStyle w:val="7"/>
              <w:spacing w:line="300" w:lineRule="exact"/>
              <w:rPr>
                <w:color w:val="auto"/>
                <w:szCs w:val="21"/>
              </w:rPr>
            </w:pPr>
            <w:r>
              <w:rPr>
                <w:rFonts w:hint="eastAsia"/>
                <w:color w:val="auto"/>
                <w:szCs w:val="21"/>
              </w:rPr>
              <w:t>提供20</w:t>
            </w:r>
            <w:r>
              <w:rPr>
                <w:rFonts w:hint="eastAsia"/>
                <w:color w:val="auto"/>
                <w:szCs w:val="21"/>
                <w:lang w:val="en-US" w:eastAsia="zh-CN"/>
              </w:rPr>
              <w:t>22</w:t>
            </w:r>
            <w:r>
              <w:rPr>
                <w:rFonts w:hint="eastAsia"/>
                <w:color w:val="auto"/>
                <w:szCs w:val="21"/>
              </w:rPr>
              <w:t>年</w:t>
            </w:r>
            <w:r>
              <w:rPr>
                <w:rFonts w:hint="eastAsia"/>
                <w:color w:val="auto"/>
                <w:szCs w:val="21"/>
                <w:lang w:val="en-US" w:eastAsia="zh-CN"/>
              </w:rPr>
              <w:t>8</w:t>
            </w:r>
            <w:r>
              <w:rPr>
                <w:rFonts w:hint="eastAsia"/>
                <w:color w:val="auto"/>
                <w:szCs w:val="21"/>
              </w:rPr>
              <w:t>月1日至</w:t>
            </w:r>
            <w:r>
              <w:rPr>
                <w:rFonts w:hint="eastAsia"/>
                <w:color w:val="auto"/>
              </w:rPr>
              <w:t>本项目开标之日</w:t>
            </w:r>
            <w:r>
              <w:rPr>
                <w:rFonts w:hint="eastAsia"/>
                <w:color w:val="auto"/>
                <w:lang w:val="en-US" w:eastAsia="zh-CN"/>
              </w:rPr>
              <w:t>前</w:t>
            </w:r>
            <w:r>
              <w:rPr>
                <w:rFonts w:hint="eastAsia"/>
                <w:color w:val="auto"/>
                <w:szCs w:val="21"/>
              </w:rPr>
              <w:t>医疗机构出具的医责险项目履约评价，评价为优</w:t>
            </w:r>
            <w:r>
              <w:rPr>
                <w:rFonts w:hint="eastAsia" w:eastAsia="宋体"/>
                <w:color w:val="auto"/>
                <w:szCs w:val="21"/>
              </w:rPr>
              <w:t>（或满意等最高等次评价），每提供一项符合要</w:t>
            </w:r>
            <w:r>
              <w:rPr>
                <w:rFonts w:hint="eastAsia"/>
                <w:color w:val="auto"/>
                <w:szCs w:val="21"/>
              </w:rPr>
              <w:t>求的证明资料得</w:t>
            </w:r>
            <w:r>
              <w:rPr>
                <w:rFonts w:hint="eastAsia"/>
                <w:color w:val="auto"/>
                <w:szCs w:val="21"/>
                <w:lang w:val="en-US" w:eastAsia="zh-CN"/>
              </w:rPr>
              <w:t>2分</w:t>
            </w:r>
            <w:r>
              <w:rPr>
                <w:rFonts w:hint="eastAsia"/>
                <w:color w:val="auto"/>
                <w:szCs w:val="21"/>
              </w:rPr>
              <w:t>，满分</w:t>
            </w:r>
            <w:r>
              <w:rPr>
                <w:rFonts w:hint="eastAsia"/>
                <w:color w:val="auto"/>
                <w:szCs w:val="21"/>
                <w:lang w:val="en-US" w:eastAsia="zh-CN"/>
              </w:rPr>
              <w:t>12分</w:t>
            </w:r>
            <w:r>
              <w:rPr>
                <w:rFonts w:hint="eastAsia"/>
                <w:color w:val="auto"/>
                <w:szCs w:val="21"/>
              </w:rPr>
              <w:t>。</w:t>
            </w:r>
          </w:p>
          <w:p>
            <w:pPr>
              <w:spacing w:after="160"/>
              <w:jc w:val="left"/>
              <w:rPr>
                <w:rFonts w:ascii="宋体" w:hAnsi="宋体"/>
                <w:b/>
                <w:bCs/>
                <w:color w:val="auto"/>
                <w:szCs w:val="21"/>
              </w:rPr>
            </w:pPr>
            <w:r>
              <w:rPr>
                <w:rFonts w:hint="eastAsia" w:ascii="宋体" w:hAnsi="宋体"/>
                <w:b/>
                <w:bCs/>
                <w:color w:val="auto"/>
                <w:szCs w:val="21"/>
              </w:rPr>
              <w:t>（二）评分依据：</w:t>
            </w:r>
          </w:p>
          <w:p>
            <w:pPr>
              <w:jc w:val="left"/>
              <w:rPr>
                <w:rFonts w:hint="eastAsia" w:ascii="宋体" w:hAnsi="宋体" w:eastAsia="宋体"/>
                <w:color w:val="auto"/>
                <w:szCs w:val="21"/>
                <w:lang w:val="en-US" w:eastAsia="zh-CN"/>
              </w:rPr>
            </w:pPr>
            <w:r>
              <w:rPr>
                <w:rFonts w:hint="eastAsia"/>
                <w:color w:val="auto"/>
                <w:szCs w:val="21"/>
              </w:rPr>
              <w:t>投标人提供用户出具的履约评价</w:t>
            </w:r>
            <w:r>
              <w:rPr>
                <w:rFonts w:hint="eastAsia"/>
                <w:color w:val="auto"/>
                <w:szCs w:val="21"/>
                <w:lang w:val="en-US" w:eastAsia="zh-CN"/>
              </w:rPr>
              <w:t>原件</w:t>
            </w:r>
            <w:r>
              <w:rPr>
                <w:rFonts w:hint="eastAsia"/>
                <w:color w:val="auto"/>
                <w:szCs w:val="21"/>
              </w:rPr>
              <w:t>扫描件，且项目履约评价证明文件需要加盖医疗机构公章（或医疗机构业务章</w:t>
            </w:r>
            <w:r>
              <w:rPr>
                <w:rFonts w:hint="eastAsia"/>
                <w:color w:val="auto"/>
                <w:szCs w:val="21"/>
                <w:lang w:val="en-US" w:eastAsia="zh-CN"/>
              </w:rPr>
              <w:t>或部门章</w:t>
            </w:r>
            <w:r>
              <w:rPr>
                <w:rFonts w:hint="eastAsia"/>
                <w:color w:val="auto"/>
                <w:szCs w:val="21"/>
              </w:rPr>
              <w:t>），原件备查，未提供或未按要求提供或提供的扫描件不清晰导致专家无法判断的不得分</w:t>
            </w:r>
            <w:r>
              <w:rPr>
                <w:rFonts w:hint="eastAsia"/>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s="宋体"/>
                <w:szCs w:val="21"/>
              </w:rPr>
            </w:pPr>
            <w:r>
              <w:rPr>
                <w:rFonts w:hint="eastAsia" w:ascii="宋体" w:hAnsi="宋体"/>
                <w:szCs w:val="21"/>
              </w:rPr>
              <w:t>4</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ascii="宋体" w:hAnsi="宋体" w:cs="宋体"/>
                <w:szCs w:val="21"/>
              </w:rPr>
            </w:pPr>
            <w:r>
              <w:rPr>
                <w:rFonts w:hint="eastAsia" w:ascii="宋体" w:hAnsi="宋体"/>
                <w:szCs w:val="21"/>
              </w:rPr>
              <w:t>服务网点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ordWrap w:val="0"/>
              <w:jc w:val="center"/>
              <w:rPr>
                <w:rFonts w:hint="eastAsia" w:ascii="宋体" w:hAnsi="宋体" w:eastAsia="宋体" w:cs="宋体"/>
                <w:szCs w:val="21"/>
                <w:lang w:eastAsia="zh-CN"/>
              </w:rPr>
            </w:pPr>
            <w:r>
              <w:rPr>
                <w:rFonts w:hint="eastAsia" w:ascii="宋体" w:hAnsi="宋体"/>
                <w:szCs w:val="21"/>
                <w:lang w:val="en-US" w:eastAsia="zh-CN"/>
              </w:rPr>
              <w:t>6</w:t>
            </w:r>
          </w:p>
        </w:tc>
        <w:tc>
          <w:tcPr>
            <w:tcW w:w="5148" w:type="dxa"/>
            <w:tcBorders>
              <w:top w:val="single" w:color="auto" w:sz="4" w:space="0"/>
              <w:left w:val="single" w:color="auto" w:sz="4" w:space="0"/>
              <w:bottom w:val="single" w:color="auto" w:sz="4" w:space="0"/>
              <w:right w:val="single" w:color="auto" w:sz="4" w:space="0"/>
            </w:tcBorders>
            <w:noWrap w:val="0"/>
            <w:vAlign w:val="top"/>
          </w:tcPr>
          <w:p>
            <w:pPr>
              <w:jc w:val="left"/>
              <w:rPr>
                <w:color w:val="auto"/>
              </w:rPr>
            </w:pPr>
            <w:r>
              <w:rPr>
                <w:rFonts w:hint="eastAsia"/>
                <w:color w:val="auto"/>
                <w:lang w:eastAsia="zh-CN"/>
              </w:rPr>
              <w:t>1.</w:t>
            </w:r>
            <w:r>
              <w:rPr>
                <w:color w:val="auto"/>
              </w:rPr>
              <w:t>深圳供应商，或非深圳供应商但在深圳有合法注册的分公司</w:t>
            </w:r>
            <w:r>
              <w:rPr>
                <w:rFonts w:hint="eastAsia"/>
                <w:color w:val="auto"/>
              </w:rPr>
              <w:t>（或售后机构）</w:t>
            </w:r>
            <w:r>
              <w:rPr>
                <w:color w:val="auto"/>
              </w:rPr>
              <w:t>（</w:t>
            </w:r>
            <w:r>
              <w:rPr>
                <w:rFonts w:hint="eastAsia"/>
                <w:color w:val="auto"/>
              </w:rPr>
              <w:t>分公司的</w:t>
            </w:r>
            <w:r>
              <w:rPr>
                <w:color w:val="auto"/>
              </w:rPr>
              <w:t>必须提供分公司营业执照扫描件</w:t>
            </w:r>
            <w:r>
              <w:rPr>
                <w:rFonts w:hint="eastAsia"/>
                <w:color w:val="auto"/>
              </w:rPr>
              <w:t>，售后机构必须同时提供售后服务合作合同及售后机构营业执照扫描件作为得分依据</w:t>
            </w:r>
            <w:r>
              <w:rPr>
                <w:color w:val="auto"/>
              </w:rPr>
              <w:t>，原件备查）的，得</w:t>
            </w:r>
            <w:r>
              <w:rPr>
                <w:rFonts w:hint="eastAsia"/>
                <w:color w:val="auto"/>
                <w:lang w:val="en-US" w:eastAsia="zh-CN"/>
              </w:rPr>
              <w:t>6</w:t>
            </w:r>
            <w:r>
              <w:rPr>
                <w:color w:val="auto"/>
              </w:rPr>
              <w:t>分；否则不得分</w:t>
            </w:r>
            <w:r>
              <w:rPr>
                <w:rFonts w:hint="eastAsia"/>
                <w:color w:val="auto"/>
              </w:rPr>
              <w:t>。</w:t>
            </w:r>
          </w:p>
          <w:p>
            <w:pPr>
              <w:jc w:val="left"/>
              <w:rPr>
                <w:color w:val="auto"/>
              </w:rPr>
            </w:pPr>
            <w:r>
              <w:rPr>
                <w:rFonts w:hint="eastAsia"/>
                <w:color w:val="auto"/>
                <w:lang w:eastAsia="zh-CN"/>
              </w:rPr>
              <w:t>2.</w:t>
            </w:r>
            <w:r>
              <w:rPr>
                <w:rFonts w:hint="eastAsia"/>
                <w:color w:val="auto"/>
              </w:rPr>
              <w:t>外地供应商</w:t>
            </w:r>
            <w:r>
              <w:rPr>
                <w:rFonts w:hint="eastAsia"/>
                <w:color w:val="auto"/>
                <w:lang w:eastAsia="zh-CN"/>
              </w:rPr>
              <w:t>，</w:t>
            </w:r>
            <w:r>
              <w:rPr>
                <w:rFonts w:hint="eastAsia"/>
                <w:color w:val="auto"/>
                <w:lang w:val="en-US" w:eastAsia="zh-CN"/>
              </w:rPr>
              <w:t>承诺</w:t>
            </w:r>
            <w:r>
              <w:rPr>
                <w:rFonts w:hint="eastAsia"/>
                <w:color w:val="auto"/>
              </w:rPr>
              <w:t>中标后设立本地经营（服务）网点的，提供承诺文件（格式自定）的，得</w:t>
            </w:r>
            <w:r>
              <w:rPr>
                <w:rFonts w:hint="eastAsia"/>
                <w:color w:val="auto"/>
                <w:lang w:val="en-US" w:eastAsia="zh-CN"/>
              </w:rPr>
              <w:t>6</w:t>
            </w:r>
            <w:r>
              <w:rPr>
                <w:rFonts w:hint="eastAsia"/>
                <w:color w:val="auto"/>
              </w:rPr>
              <w:t>分；未提供承诺或承诺内容不满足要求均不得分。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tcBorders>
              <w:top w:val="single" w:color="000000" w:sz="8" w:space="0"/>
              <w:left w:val="single" w:color="000000" w:sz="8" w:space="0"/>
              <w:bottom w:val="single" w:color="auto" w:sz="4" w:space="0"/>
              <w:right w:val="single" w:color="000000" w:sz="8" w:space="0"/>
            </w:tcBorders>
            <w:noWrap w:val="0"/>
            <w:vAlign w:val="top"/>
          </w:tcPr>
          <w:p>
            <w:pPr>
              <w:wordWrap w:val="0"/>
              <w:jc w:val="center"/>
              <w:rPr>
                <w:rFonts w:ascii="宋体" w:hAnsi="宋体" w:cs="宋体"/>
                <w:b/>
                <w:bCs/>
                <w:color w:val="0000FF"/>
                <w:sz w:val="24"/>
              </w:rPr>
            </w:pPr>
            <w:r>
              <w:rPr>
                <w:rFonts w:hint="eastAsia"/>
                <w:b/>
                <w:bCs/>
                <w:color w:val="0000FF"/>
              </w:rPr>
              <w:t>4</w:t>
            </w:r>
          </w:p>
        </w:tc>
        <w:tc>
          <w:tcPr>
            <w:tcW w:w="3248" w:type="dxa"/>
            <w:gridSpan w:val="3"/>
            <w:tcBorders>
              <w:top w:val="single" w:color="000000" w:sz="8" w:space="0"/>
              <w:left w:val="single" w:color="000000" w:sz="8" w:space="0"/>
              <w:bottom w:val="single" w:color="auto" w:sz="4" w:space="0"/>
              <w:right w:val="single" w:color="000000" w:sz="8" w:space="0"/>
            </w:tcBorders>
            <w:noWrap w:val="0"/>
            <w:vAlign w:val="top"/>
          </w:tcPr>
          <w:p>
            <w:pPr>
              <w:wordWrap w:val="0"/>
              <w:jc w:val="center"/>
              <w:rPr>
                <w:rFonts w:ascii="宋体" w:hAnsi="宋体" w:cs="宋体"/>
                <w:b/>
                <w:bCs/>
                <w:color w:val="0000FF"/>
                <w:sz w:val="24"/>
              </w:rPr>
            </w:pPr>
            <w:r>
              <w:rPr>
                <w:b/>
                <w:bCs/>
                <w:color w:val="0000FF"/>
              </w:rPr>
              <w:t>诚信情况</w:t>
            </w:r>
          </w:p>
        </w:tc>
        <w:tc>
          <w:tcPr>
            <w:tcW w:w="5148" w:type="dxa"/>
            <w:tcBorders>
              <w:top w:val="single" w:color="000000" w:sz="8" w:space="0"/>
              <w:left w:val="single" w:color="000000" w:sz="8" w:space="0"/>
              <w:bottom w:val="single" w:color="auto" w:sz="4" w:space="0"/>
              <w:right w:val="single" w:color="000000" w:sz="8" w:space="0"/>
            </w:tcBorders>
            <w:noWrap w:val="0"/>
            <w:vAlign w:val="top"/>
          </w:tcPr>
          <w:p>
            <w:pPr>
              <w:wordWrap w:val="0"/>
              <w:jc w:val="center"/>
              <w:rPr>
                <w:rFonts w:ascii="宋体" w:hAnsi="宋体" w:cs="宋体"/>
                <w:b/>
                <w:bCs/>
                <w:color w:val="0000FF"/>
                <w:sz w:val="24"/>
              </w:rPr>
            </w:pPr>
            <w:r>
              <w:rPr>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restart"/>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ascii="宋体" w:hAnsi="宋体" w:cs="宋体"/>
                <w:b/>
                <w:bCs/>
                <w:color w:val="0000FF"/>
                <w:sz w:val="24"/>
              </w:rPr>
            </w:pPr>
          </w:p>
        </w:tc>
        <w:tc>
          <w:tcPr>
            <w:tcW w:w="67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序号</w:t>
            </w:r>
          </w:p>
        </w:tc>
        <w:tc>
          <w:tcPr>
            <w:tcW w:w="1583"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评分因素</w:t>
            </w:r>
          </w:p>
        </w:tc>
        <w:tc>
          <w:tcPr>
            <w:tcW w:w="99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权重</w:t>
            </w:r>
            <w:r>
              <w:rPr>
                <w:rFonts w:hint="eastAsia"/>
                <w:szCs w:val="21"/>
                <w:lang w:eastAsia="zh-CN"/>
              </w:rPr>
              <w:t>（</w:t>
            </w:r>
            <w:r>
              <w:rPr>
                <w:szCs w:val="21"/>
              </w:rPr>
              <w:t>%)</w:t>
            </w:r>
          </w:p>
        </w:tc>
        <w:tc>
          <w:tcPr>
            <w:tcW w:w="514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After w:val="1"/>
          <w:wAfter w:w="63" w:type="dxa"/>
          <w:tblCellSpacing w:w="0" w:type="dxa"/>
          <w:jc w:val="center"/>
        </w:trPr>
        <w:tc>
          <w:tcPr>
            <w:tcW w:w="676"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pPr>
              <w:rPr>
                <w:rFonts w:ascii="宋体" w:hAnsi="宋体" w:cs="宋体"/>
                <w:b/>
                <w:bCs/>
                <w:color w:val="0000FF"/>
                <w:sz w:val="24"/>
              </w:rPr>
            </w:pPr>
          </w:p>
        </w:tc>
        <w:tc>
          <w:tcPr>
            <w:tcW w:w="675"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szCs w:val="21"/>
              </w:rPr>
            </w:pPr>
            <w:r>
              <w:rPr>
                <w:rFonts w:ascii="宋体" w:hAnsi="宋体"/>
                <w:szCs w:val="21"/>
              </w:rPr>
              <w:t>1</w:t>
            </w:r>
          </w:p>
        </w:tc>
        <w:tc>
          <w:tcPr>
            <w:tcW w:w="1583" w:type="dxa"/>
            <w:tcBorders>
              <w:top w:val="single" w:color="000000" w:sz="8" w:space="0"/>
              <w:left w:val="single" w:color="000000" w:sz="8" w:space="0"/>
              <w:bottom w:val="single" w:color="000000" w:sz="8" w:space="0"/>
              <w:right w:val="single" w:color="000000" w:sz="8" w:space="0"/>
            </w:tcBorders>
            <w:noWrap w:val="0"/>
            <w:vAlign w:val="center"/>
          </w:tcPr>
          <w:p>
            <w:pPr>
              <w:wordWrap w:val="0"/>
              <w:ind w:firstLine="210" w:firstLineChars="100"/>
              <w:rPr>
                <w:rFonts w:ascii="宋体" w:hAnsi="宋体"/>
                <w:szCs w:val="21"/>
              </w:rPr>
            </w:pPr>
            <w:r>
              <w:rPr>
                <w:rFonts w:ascii="宋体" w:hAnsi="宋体"/>
                <w:szCs w:val="21"/>
              </w:rPr>
              <w:t>诚信情况</w:t>
            </w:r>
          </w:p>
        </w:tc>
        <w:tc>
          <w:tcPr>
            <w:tcW w:w="990" w:type="dxa"/>
            <w:tcBorders>
              <w:top w:val="single" w:color="000000" w:sz="8" w:space="0"/>
              <w:left w:val="single" w:color="000000" w:sz="8" w:space="0"/>
              <w:bottom w:val="single" w:color="000000" w:sz="8" w:space="0"/>
              <w:right w:val="single" w:color="000000" w:sz="8" w:space="0"/>
            </w:tcBorders>
            <w:noWrap w:val="0"/>
            <w:vAlign w:val="center"/>
          </w:tcPr>
          <w:p>
            <w:pPr>
              <w:wordWrap w:val="0"/>
              <w:jc w:val="center"/>
              <w:rPr>
                <w:rFonts w:ascii="宋体" w:hAnsi="宋体" w:cs="宋体"/>
                <w:szCs w:val="21"/>
              </w:rPr>
            </w:pPr>
            <w:r>
              <w:rPr>
                <w:szCs w:val="21"/>
              </w:rPr>
              <w:t>5</w:t>
            </w:r>
          </w:p>
        </w:tc>
        <w:tc>
          <w:tcPr>
            <w:tcW w:w="5148" w:type="dxa"/>
            <w:tcBorders>
              <w:top w:val="single" w:color="000000" w:sz="8" w:space="0"/>
              <w:left w:val="single" w:color="000000" w:sz="8" w:space="0"/>
              <w:bottom w:val="single" w:color="000000" w:sz="8" w:space="0"/>
              <w:right w:val="single" w:color="000000" w:sz="8" w:space="0"/>
            </w:tcBorders>
            <w:noWrap w:val="0"/>
            <w:vAlign w:val="top"/>
          </w:tcPr>
          <w:p>
            <w:pPr>
              <w:jc w:val="left"/>
              <w:rPr>
                <w:rFonts w:hint="eastAsia"/>
                <w:color w:val="auto"/>
                <w:lang w:val="en-US" w:eastAsia="zh-CN"/>
              </w:rPr>
            </w:pPr>
            <w:r>
              <w:rPr>
                <w:rFonts w:hint="eastAsia"/>
                <w:color w:val="auto"/>
                <w:lang w:val="en-US" w:eastAsia="zh-CN"/>
              </w:rPr>
              <w:t>投标人存在《深圳市财政局政府采购供应商信用信息管理办法》（深财规〔2023〕3号）列明的一般行政处罚信息、一般违法失信记录信息的，本项不得分，不存在上述情形的本项得5分。</w:t>
            </w:r>
          </w:p>
          <w:p>
            <w:pPr>
              <w:jc w:val="left"/>
              <w:rPr>
                <w:rFonts w:ascii="宋体" w:hAnsi="宋体" w:cs="宋体"/>
                <w:szCs w:val="21"/>
              </w:rPr>
            </w:pPr>
            <w:r>
              <w:rPr>
                <w:rFonts w:hint="eastAsia"/>
                <w:color w:val="auto"/>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both"/>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r>
        <w:rPr>
          <w:rFonts w:ascii="仿宋_GB2312" w:hAnsi="仿宋_GB2312" w:eastAsia="仿宋_GB2312" w:cs="仿宋_GB2312"/>
          <w:b/>
          <w:bCs/>
          <w:sz w:val="36"/>
          <w:szCs w:val="36"/>
        </w:rPr>
        <w:t>第三章</w:t>
      </w: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投标文件初审表</w:t>
      </w:r>
    </w:p>
    <w:p>
      <w:pPr>
        <w:jc w:val="center"/>
        <w:rPr>
          <w:rFonts w:asciiTheme="majorEastAsia" w:hAnsiTheme="majorEastAsia" w:eastAsiaTheme="majorEastAsia"/>
          <w:sz w:val="30"/>
          <w:szCs w:val="30"/>
        </w:rPr>
      </w:pPr>
      <w:r>
        <w:rPr>
          <w:rFonts w:hint="eastAsia" w:ascii="仿宋" w:hAnsi="仿宋" w:eastAsia="仿宋" w:cs="仿宋"/>
          <w:b/>
          <w:sz w:val="22"/>
          <w:szCs w:val="28"/>
        </w:rPr>
        <w:t>（凡未满足下列情形的，投标文件无效，投标作废标处理）</w:t>
      </w:r>
    </w:p>
    <w:p>
      <w:pPr>
        <w:pStyle w:val="2"/>
        <w:ind w:left="-420" w:leftChars="-200" w:firstLine="4"/>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（一）资格性审查表</w:t>
      </w:r>
    </w:p>
    <w:p>
      <w:pPr>
        <w:pStyle w:val="2"/>
        <w:spacing w:line="400" w:lineRule="exact"/>
        <w:jc w:val="both"/>
        <w:rPr>
          <w:rFonts w:ascii="宋体" w:hAnsi="宋体" w:cs="宋体"/>
          <w:b/>
          <w:bCs/>
          <w:sz w:val="28"/>
          <w:szCs w:val="28"/>
        </w:rPr>
      </w:pPr>
      <w:bookmarkStart w:id="0" w:name="_Toc15975"/>
    </w:p>
    <w:tbl>
      <w:tblPr>
        <w:tblStyle w:val="15"/>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86" w:type="dxa"/>
            <w:noWrap w:val="0"/>
            <w:vAlign w:val="center"/>
          </w:tcPr>
          <w:p>
            <w:pPr>
              <w:jc w:val="center"/>
              <w:rPr>
                <w:rFonts w:ascii="宋体" w:cs="宋体"/>
                <w:b/>
              </w:rPr>
            </w:pPr>
            <w:r>
              <w:rPr>
                <w:rFonts w:hint="eastAsia" w:ascii="宋体" w:cs="宋体"/>
                <w:b/>
              </w:rPr>
              <w:t>序号</w:t>
            </w:r>
          </w:p>
        </w:tc>
        <w:tc>
          <w:tcPr>
            <w:tcW w:w="8014" w:type="dxa"/>
            <w:noWrap w:val="0"/>
            <w:vAlign w:val="center"/>
          </w:tcPr>
          <w:p>
            <w:pPr>
              <w:jc w:val="center"/>
              <w:rPr>
                <w:rFonts w:ascii="宋体" w:cs="宋体"/>
                <w:b/>
              </w:rPr>
            </w:pPr>
            <w:r>
              <w:rPr>
                <w:rFonts w:hint="eastAsia" w:ascii="宋体" w:hAnsi="宋体" w:cs="宋体"/>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noWrap w:val="0"/>
            <w:vAlign w:val="center"/>
          </w:tcPr>
          <w:p>
            <w:pPr>
              <w:numPr>
                <w:ilvl w:val="0"/>
                <w:numId w:val="5"/>
              </w:numPr>
              <w:tabs>
                <w:tab w:val="left" w:pos="176"/>
                <w:tab w:val="left" w:pos="612"/>
              </w:tabs>
              <w:ind w:left="342"/>
              <w:jc w:val="center"/>
              <w:rPr>
                <w:rFonts w:ascii="宋体" w:hAnsi="宋体" w:cs="宋体"/>
              </w:rPr>
            </w:pPr>
          </w:p>
        </w:tc>
        <w:tc>
          <w:tcPr>
            <w:tcW w:w="8014" w:type="dxa"/>
            <w:noWrap w:val="0"/>
            <w:vAlign w:val="center"/>
          </w:tcPr>
          <w:p>
            <w:pPr>
              <w:rPr>
                <w:rFonts w:ascii="宋体" w:hAnsi="宋体" w:cs="宋体"/>
                <w:color w:val="000000"/>
                <w:sz w:val="22"/>
                <w:szCs w:val="22"/>
              </w:rPr>
            </w:pPr>
            <w:r>
              <w:rPr>
                <w:rFonts w:hint="eastAsia" w:ascii="宋体" w:hAnsi="宋体" w:cs="宋体"/>
                <w:color w:val="000000"/>
                <w:sz w:val="22"/>
                <w:szCs w:val="22"/>
              </w:rPr>
              <w:t>具备招标文件中规定要求的资格，且资格证明文件齐全。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noWrap w:val="0"/>
            <w:vAlign w:val="center"/>
          </w:tcPr>
          <w:p>
            <w:pPr>
              <w:numPr>
                <w:ilvl w:val="0"/>
                <w:numId w:val="5"/>
              </w:numPr>
              <w:tabs>
                <w:tab w:val="left" w:pos="176"/>
                <w:tab w:val="left" w:pos="612"/>
              </w:tabs>
              <w:ind w:left="342"/>
              <w:jc w:val="center"/>
              <w:rPr>
                <w:rFonts w:ascii="宋体" w:hAnsi="宋体" w:cs="宋体"/>
              </w:rPr>
            </w:pPr>
          </w:p>
        </w:tc>
        <w:tc>
          <w:tcPr>
            <w:tcW w:w="8014" w:type="dxa"/>
            <w:noWrap w:val="0"/>
            <w:vAlign w:val="center"/>
          </w:tcPr>
          <w:p>
            <w:pPr>
              <w:rPr>
                <w:rFonts w:ascii="宋体" w:hAnsi="宋体" w:cs="宋体"/>
                <w:color w:val="000000"/>
                <w:sz w:val="22"/>
                <w:szCs w:val="22"/>
              </w:rPr>
            </w:pPr>
            <w:r>
              <w:rPr>
                <w:rFonts w:hint="eastAsia" w:ascii="宋体" w:hAnsi="宋体" w:cs="宋体"/>
                <w:color w:val="000000"/>
                <w:sz w:val="22"/>
                <w:szCs w:val="22"/>
              </w:rPr>
              <w:t>投标及履约承诺函已提交并符合招标文件要求的。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noWrap w:val="0"/>
            <w:vAlign w:val="center"/>
          </w:tcPr>
          <w:p>
            <w:pPr>
              <w:numPr>
                <w:ilvl w:val="0"/>
                <w:numId w:val="5"/>
              </w:numPr>
              <w:tabs>
                <w:tab w:val="left" w:pos="176"/>
                <w:tab w:val="left" w:pos="612"/>
              </w:tabs>
              <w:ind w:left="342"/>
              <w:jc w:val="center"/>
              <w:rPr>
                <w:rFonts w:ascii="宋体" w:hAnsi="宋体" w:cs="宋体"/>
              </w:rPr>
            </w:pPr>
          </w:p>
        </w:tc>
        <w:tc>
          <w:tcPr>
            <w:tcW w:w="8014" w:type="dxa"/>
            <w:noWrap w:val="0"/>
            <w:vAlign w:val="center"/>
          </w:tcPr>
          <w:p>
            <w:pPr>
              <w:rPr>
                <w:rFonts w:ascii="宋体" w:hAnsi="宋体" w:cs="宋体"/>
                <w:color w:val="000000"/>
                <w:sz w:val="22"/>
                <w:szCs w:val="22"/>
              </w:rPr>
            </w:pPr>
            <w:r>
              <w:rPr>
                <w:rFonts w:hint="eastAsia" w:ascii="宋体" w:hAnsi="宋体" w:cs="宋体"/>
                <w:color w:val="000000"/>
                <w:sz w:val="22"/>
                <w:szCs w:val="22"/>
              </w:rPr>
              <w:t>供应商基本情况表已提交，提供法定代表人、主要经营负责人、项目投标授权代表人、项目负责人（如有）、主要技术人员（如有）最近一个月的社会保险证明。</w:t>
            </w:r>
          </w:p>
          <w:p>
            <w:pPr>
              <w:rPr>
                <w:rFonts w:ascii="宋体" w:hAnsi="宋体" w:cs="宋体"/>
                <w:color w:val="000000"/>
                <w:sz w:val="22"/>
                <w:szCs w:val="22"/>
              </w:rPr>
            </w:pPr>
            <w:r>
              <w:rPr>
                <w:rFonts w:hint="eastAsia" w:ascii="宋体" w:hAnsi="宋体" w:cs="宋体"/>
                <w:color w:val="000000"/>
                <w:sz w:val="22"/>
                <w:szCs w:val="22"/>
              </w:rPr>
              <w:t>备注：</w:t>
            </w:r>
          </w:p>
          <w:p>
            <w:pPr>
              <w:rPr>
                <w:rFonts w:ascii="宋体" w:hAnsi="宋体" w:cs="宋体"/>
                <w:color w:val="000000"/>
                <w:sz w:val="22"/>
                <w:szCs w:val="22"/>
              </w:rPr>
            </w:pPr>
            <w:r>
              <w:rPr>
                <w:rFonts w:hint="eastAsia" w:ascii="宋体" w:hAnsi="宋体" w:cs="宋体"/>
                <w:color w:val="000000"/>
                <w:sz w:val="22"/>
                <w:szCs w:val="22"/>
              </w:rPr>
              <w:t>1.法定代表人、主要经营负责人、项目投标授权代表人的社会保险未由投标人单位缴纳，亦须提供相应单位为其缴纳的社会保险证明。</w:t>
            </w:r>
          </w:p>
          <w:p>
            <w:pPr>
              <w:rPr>
                <w:rFonts w:ascii="宋体" w:hAnsi="宋体" w:cs="宋体"/>
                <w:color w:val="000000"/>
                <w:sz w:val="22"/>
                <w:szCs w:val="22"/>
              </w:rPr>
            </w:pPr>
            <w:r>
              <w:rPr>
                <w:rFonts w:hint="eastAsia" w:ascii="宋体" w:hAnsi="宋体" w:cs="宋体"/>
                <w:color w:val="000000"/>
                <w:sz w:val="22"/>
                <w:szCs w:val="22"/>
              </w:rPr>
              <w:t>2.项目负责人和主要技术人员的社会保险须由投标人单位缴纳。</w:t>
            </w:r>
          </w:p>
          <w:p>
            <w:pPr>
              <w:rPr>
                <w:rFonts w:ascii="宋体" w:hAnsi="宋体" w:cs="宋体"/>
                <w:color w:val="000000"/>
                <w:sz w:val="22"/>
                <w:szCs w:val="22"/>
              </w:rPr>
            </w:pPr>
            <w:r>
              <w:rPr>
                <w:rFonts w:hint="eastAsia" w:ascii="宋体" w:hAnsi="宋体" w:cs="宋体"/>
                <w:color w:val="000000"/>
                <w:sz w:val="22"/>
                <w:szCs w:val="22"/>
              </w:rPr>
              <w:t>3.投标人为新成立企业且成立时间不足一个月可提供加盖投标人公章的情况说明或者证明材料亦视为符合。</w:t>
            </w:r>
          </w:p>
          <w:p>
            <w:pPr>
              <w:rPr>
                <w:rFonts w:ascii="宋体" w:hAnsi="宋体" w:cs="宋体"/>
                <w:color w:val="000000"/>
                <w:sz w:val="22"/>
                <w:szCs w:val="22"/>
              </w:rPr>
            </w:pPr>
            <w:r>
              <w:rPr>
                <w:rFonts w:hint="eastAsia" w:ascii="宋体" w:hAnsi="宋体" w:cs="宋体"/>
                <w:color w:val="000000"/>
                <w:sz w:val="22"/>
                <w:szCs w:val="22"/>
              </w:rPr>
              <w:t>4.若为退休人员，提供退休证明。如依法不需要缴纳社会保险的，应提供相应文件证明。</w:t>
            </w:r>
          </w:p>
          <w:p>
            <w:pPr>
              <w:rPr>
                <w:rFonts w:ascii="宋体" w:hAnsi="宋体" w:cs="宋体"/>
                <w:color w:val="000000"/>
                <w:sz w:val="22"/>
                <w:szCs w:val="22"/>
              </w:rPr>
            </w:pPr>
            <w:r>
              <w:rPr>
                <w:rFonts w:hint="eastAsia" w:ascii="宋体" w:hAnsi="宋体" w:cs="宋体"/>
                <w:color w:val="000000"/>
                <w:sz w:val="22"/>
                <w:szCs w:val="22"/>
              </w:rPr>
              <w:t>5.若因社保部门原因无法提供的，需提供劳动合同及社保部门官方通知证明（或官网公告截图）。</w:t>
            </w:r>
          </w:p>
          <w:p>
            <w:pPr>
              <w:rPr>
                <w:rFonts w:ascii="宋体" w:hAnsi="宋体" w:cs="宋体"/>
                <w:color w:val="000000"/>
                <w:sz w:val="22"/>
                <w:szCs w:val="22"/>
              </w:rPr>
            </w:pPr>
            <w:r>
              <w:rPr>
                <w:rFonts w:hint="eastAsia" w:ascii="宋体" w:hAnsi="宋体" w:cs="宋体"/>
                <w:color w:val="000000"/>
                <w:sz w:val="22"/>
                <w:szCs w:val="22"/>
              </w:rPr>
              <w:t>6.如本项目未安排项目负责人、主要技术人员的，无需提供项目负责人、主要技术人员的社保。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noWrap w:val="0"/>
            <w:vAlign w:val="center"/>
          </w:tcPr>
          <w:p>
            <w:pPr>
              <w:numPr>
                <w:ilvl w:val="0"/>
                <w:numId w:val="5"/>
              </w:numPr>
              <w:tabs>
                <w:tab w:val="left" w:pos="176"/>
                <w:tab w:val="left" w:pos="612"/>
              </w:tabs>
              <w:ind w:left="342"/>
              <w:jc w:val="center"/>
              <w:rPr>
                <w:rFonts w:ascii="宋体" w:hAnsi="宋体" w:cs="宋体"/>
              </w:rPr>
            </w:pPr>
          </w:p>
        </w:tc>
        <w:tc>
          <w:tcPr>
            <w:tcW w:w="8014" w:type="dxa"/>
            <w:noWrap w:val="0"/>
            <w:vAlign w:val="center"/>
          </w:tcPr>
          <w:p>
            <w:pPr>
              <w:rPr>
                <w:rFonts w:ascii="宋体" w:hAnsi="宋体" w:cs="宋体"/>
                <w:color w:val="000000"/>
                <w:sz w:val="22"/>
                <w:szCs w:val="22"/>
              </w:rPr>
            </w:pPr>
            <w:r>
              <w:rPr>
                <w:rFonts w:hint="eastAsia" w:ascii="宋体" w:hAnsi="宋体" w:cs="宋体"/>
                <w:color w:val="000000"/>
                <w:sz w:val="22"/>
                <w:szCs w:val="22"/>
              </w:rPr>
              <w:t>不同供应商的法定代表人、主要经营负责人、项目投标授权代表人、项目负责人（如有）、主要技术人员（如有）不存在为同一人或在同一单位缴纳社会保险；或者不存在直接控股、管理关系；不存在因违法行为而被禁止参加政府采购活动等情形。</w:t>
            </w:r>
          </w:p>
        </w:tc>
      </w:tr>
    </w:tbl>
    <w:p>
      <w:pPr>
        <w:adjustRightInd w:val="0"/>
        <w:snapToGrid w:val="0"/>
        <w:spacing w:line="360" w:lineRule="auto"/>
        <w:jc w:val="left"/>
        <w:rPr>
          <w:rFonts w:ascii="宋体" w:hAnsi="宋体" w:cs="宋体"/>
        </w:rPr>
      </w:pPr>
    </w:p>
    <w:bookmarkEnd w:id="0"/>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2"/>
        <w:spacing w:line="400" w:lineRule="exact"/>
        <w:jc w:val="center"/>
        <w:rPr>
          <w:rFonts w:ascii="宋体" w:hAnsi="宋体" w:cs="宋体"/>
          <w:b/>
          <w:bCs/>
          <w:sz w:val="28"/>
          <w:szCs w:val="28"/>
        </w:rPr>
      </w:pPr>
      <w:r>
        <w:rPr>
          <w:rFonts w:hint="eastAsia" w:ascii="宋体" w:hAnsi="宋体" w:cs="宋体"/>
          <w:b/>
          <w:bCs/>
          <w:sz w:val="28"/>
          <w:szCs w:val="28"/>
        </w:rPr>
        <w:t>（二）符合性检查表</w:t>
      </w:r>
    </w:p>
    <w:tbl>
      <w:tblPr>
        <w:tblStyle w:val="1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95" w:type="dxa"/>
            <w:noWrap/>
            <w:vAlign w:val="center"/>
          </w:tcPr>
          <w:p>
            <w:pPr>
              <w:jc w:val="center"/>
              <w:rPr>
                <w:rFonts w:ascii="宋体" w:hAnsi="宋体" w:cs="宋体"/>
                <w:b/>
              </w:rPr>
            </w:pPr>
            <w:r>
              <w:rPr>
                <w:rFonts w:hint="eastAsia" w:ascii="宋体" w:hAnsi="宋体" w:cs="宋体"/>
                <w:b/>
              </w:rPr>
              <w:t>序号</w:t>
            </w:r>
          </w:p>
        </w:tc>
        <w:tc>
          <w:tcPr>
            <w:tcW w:w="7929" w:type="dxa"/>
            <w:noWrap/>
            <w:vAlign w:val="center"/>
          </w:tcPr>
          <w:p>
            <w:pPr>
              <w:jc w:val="center"/>
              <w:rPr>
                <w:rFonts w:ascii="宋体" w:hAnsi="宋体" w:cs="宋体"/>
                <w:b/>
              </w:rPr>
            </w:pPr>
            <w:r>
              <w:rPr>
                <w:rFonts w:hint="eastAsia" w:ascii="宋体" w:hAnsi="宋体" w:cs="宋体"/>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w:t>
            </w:r>
          </w:p>
        </w:tc>
        <w:tc>
          <w:tcPr>
            <w:tcW w:w="7929" w:type="dxa"/>
            <w:noWrap/>
            <w:vAlign w:val="center"/>
          </w:tcPr>
          <w:p>
            <w:pPr>
              <w:rPr>
                <w:rFonts w:ascii="宋体" w:hAnsi="宋体" w:cs="宋体"/>
                <w:bCs/>
                <w:sz w:val="22"/>
                <w:szCs w:val="22"/>
              </w:rPr>
            </w:pPr>
            <w:r>
              <w:rPr>
                <w:rFonts w:hint="eastAsia"/>
              </w:rPr>
              <w:t>未</w:t>
            </w:r>
            <w:r>
              <w:rPr>
                <w:rFonts w:hint="eastAsia" w:ascii="宋体" w:hAnsi="宋体" w:cs="宋体"/>
                <w:bCs/>
                <w:sz w:val="22"/>
                <w:szCs w:val="22"/>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2</w:t>
            </w:r>
          </w:p>
        </w:tc>
        <w:tc>
          <w:tcPr>
            <w:tcW w:w="7929" w:type="dxa"/>
            <w:noWrap/>
            <w:vAlign w:val="center"/>
          </w:tcPr>
          <w:p>
            <w:pPr>
              <w:rPr>
                <w:rFonts w:ascii="宋体" w:hAnsi="宋体" w:cs="宋体"/>
                <w:bCs/>
                <w:sz w:val="22"/>
                <w:szCs w:val="22"/>
              </w:rPr>
            </w:pPr>
            <w:r>
              <w:rPr>
                <w:rFonts w:hint="eastAsia" w:ascii="宋体" w:hAnsi="宋体" w:cs="宋体"/>
                <w:bCs/>
                <w:sz w:val="22"/>
                <w:szCs w:val="22"/>
              </w:rPr>
              <w:t>招标文件未规定允许有替代方案时，对同一货物投标时，</w:t>
            </w:r>
            <w:r>
              <w:rPr>
                <w:rFonts w:hint="eastAsia"/>
              </w:rPr>
              <w:t>未</w:t>
            </w:r>
            <w:r>
              <w:rPr>
                <w:rFonts w:hint="eastAsia" w:ascii="宋体" w:hAnsi="宋体" w:cs="宋体"/>
                <w:bCs/>
                <w:sz w:val="22"/>
                <w:szCs w:val="22"/>
              </w:rPr>
              <w:t>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3</w:t>
            </w:r>
          </w:p>
        </w:tc>
        <w:tc>
          <w:tcPr>
            <w:tcW w:w="7929" w:type="dxa"/>
            <w:noWrap/>
            <w:vAlign w:val="center"/>
          </w:tcPr>
          <w:p>
            <w:pPr>
              <w:rPr>
                <w:rFonts w:ascii="宋体" w:hAnsi="宋体" w:cs="宋体"/>
                <w:bCs/>
                <w:sz w:val="22"/>
                <w:szCs w:val="22"/>
              </w:rPr>
            </w:pPr>
            <w:r>
              <w:rPr>
                <w:rFonts w:hint="eastAsia" w:ascii="宋体" w:hAnsi="宋体" w:cs="宋体"/>
                <w:color w:val="000000"/>
                <w:szCs w:val="21"/>
              </w:rPr>
              <w:t>投标报价按照招标文件要求进行报价，</w:t>
            </w:r>
            <w:r>
              <w:rPr>
                <w:rFonts w:hint="eastAsia" w:ascii="宋体" w:hAnsi="宋体" w:cs="宋体"/>
                <w:bCs/>
                <w:sz w:val="22"/>
                <w:szCs w:val="22"/>
              </w:rPr>
              <w:t>投标总价或分项报价</w:t>
            </w:r>
            <w:r>
              <w:rPr>
                <w:rFonts w:hint="eastAsia"/>
              </w:rPr>
              <w:t>未</w:t>
            </w:r>
            <w:r>
              <w:rPr>
                <w:rFonts w:hint="eastAsia" w:ascii="宋体" w:hAnsi="宋体" w:cs="宋体"/>
                <w:bCs/>
                <w:sz w:val="22"/>
                <w:szCs w:val="22"/>
              </w:rPr>
              <w:t>高于项目预算限额。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4</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人的报价未明显低于其他通过符合性审查投标人的报价，不会影响产品质量或者诚信履约。评委会有权要求投标供应商在规定时间内提供书面说明以及必要的证明材料，投标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5</w:t>
            </w:r>
          </w:p>
        </w:tc>
        <w:tc>
          <w:tcPr>
            <w:tcW w:w="7929" w:type="dxa"/>
            <w:noWrap/>
            <w:vAlign w:val="center"/>
          </w:tcPr>
          <w:p>
            <w:pPr>
              <w:rPr>
                <w:rFonts w:ascii="宋体" w:hAnsi="宋体" w:cs="宋体"/>
                <w:bCs/>
                <w:sz w:val="22"/>
                <w:szCs w:val="22"/>
              </w:rPr>
            </w:pPr>
            <w:r>
              <w:rPr>
                <w:rFonts w:hint="eastAsia" w:ascii="宋体" w:hAnsi="宋体" w:cs="宋体"/>
                <w:bCs/>
                <w:sz w:val="22"/>
                <w:szCs w:val="22"/>
              </w:rPr>
              <w:t>同一项目未出现两个或以上报价、单价汇总与总价不符的情况。评委会有权要求投标供应商在规定时间内进行书面澄清说明，投标供应商不能及时进行澄清说明的，评标委员会应当将其作为无效投标处理。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6</w:t>
            </w:r>
          </w:p>
        </w:tc>
        <w:tc>
          <w:tcPr>
            <w:tcW w:w="7929" w:type="dxa"/>
            <w:noWrap/>
            <w:vAlign w:val="center"/>
          </w:tcPr>
          <w:p>
            <w:pPr>
              <w:rPr>
                <w:rFonts w:ascii="宋体" w:hAnsi="宋体" w:cs="宋体"/>
                <w:bCs/>
                <w:sz w:val="22"/>
                <w:szCs w:val="22"/>
              </w:rPr>
            </w:pPr>
            <w:r>
              <w:rPr>
                <w:rFonts w:hint="eastAsia" w:ascii="宋体" w:hAnsi="宋体" w:cs="宋体"/>
                <w:bCs/>
                <w:sz w:val="22"/>
                <w:szCs w:val="22"/>
              </w:rPr>
              <w:t>投标报价无缺漏项目或未对采购文件规定的服务清单项目及数量进行修改。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7</w:t>
            </w:r>
          </w:p>
        </w:tc>
        <w:tc>
          <w:tcPr>
            <w:tcW w:w="7929" w:type="dxa"/>
            <w:noWrap/>
            <w:vAlign w:val="center"/>
          </w:tcPr>
          <w:p>
            <w:pPr>
              <w:rPr>
                <w:rFonts w:ascii="宋体" w:hAnsi="宋体" w:cs="宋体"/>
                <w:bCs/>
                <w:sz w:val="22"/>
                <w:szCs w:val="22"/>
              </w:rPr>
            </w:pPr>
            <w:r>
              <w:rPr>
                <w:rFonts w:hint="eastAsia" w:ascii="宋体" w:hAnsi="宋体" w:cs="宋体"/>
                <w:bCs/>
                <w:sz w:val="22"/>
                <w:szCs w:val="22"/>
              </w:rPr>
              <w:t>所投产品、工程、服务在质量、技术、方案等方面实质性满足采购文件要求，本项目实质性条款以标注“★”条款为准（是否实质性满足招标文件要求，由评审委员会根据《实质性条款响应情况表》作出评判）。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8</w:t>
            </w:r>
          </w:p>
        </w:tc>
        <w:tc>
          <w:tcPr>
            <w:tcW w:w="7929" w:type="dxa"/>
            <w:noWrap/>
            <w:vAlign w:val="center"/>
          </w:tcPr>
          <w:p>
            <w:pPr>
              <w:rPr>
                <w:rFonts w:ascii="宋体" w:hAnsi="宋体" w:cs="宋体"/>
                <w:bCs/>
                <w:sz w:val="22"/>
                <w:szCs w:val="22"/>
              </w:rPr>
            </w:pPr>
            <w:r>
              <w:rPr>
                <w:rFonts w:hint="eastAsia" w:ascii="宋体" w:hAnsi="宋体" w:cs="宋体"/>
                <w:bCs/>
                <w:sz w:val="22"/>
                <w:szCs w:val="22"/>
              </w:rPr>
              <w:t>《开标一览表》《投标及履约承诺函》按采购文件规定的格式和内容响应；按采购文件对投标文件组成的要求提供投标文件的（投标文件组成完整）；按照招标文件要求提供密封投标文件；投标文件的数量、密封、签字盖章符合采购文件要求，提供投标文件电子文档；按照采购文件规定的样式及要求填写“法定代表人资格证明书”或“</w:t>
            </w:r>
            <w:r>
              <w:rPr>
                <w:rFonts w:hint="eastAsia" w:ascii="宋体" w:hAnsi="宋体" w:cs="宋体"/>
                <w:bCs/>
                <w:sz w:val="22"/>
                <w:szCs w:val="22"/>
                <w:lang w:bidi="ar"/>
              </w:rPr>
              <w:t>法定代表人授权书</w:t>
            </w:r>
            <w:r>
              <w:rPr>
                <w:rFonts w:hint="eastAsia" w:ascii="宋体" w:hAnsi="宋体" w:cs="宋体"/>
                <w:bCs/>
                <w:sz w:val="22"/>
                <w:szCs w:val="22"/>
              </w:rPr>
              <w:t>”或“分项报价表”。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9</w:t>
            </w:r>
          </w:p>
        </w:tc>
        <w:tc>
          <w:tcPr>
            <w:tcW w:w="7929" w:type="dxa"/>
            <w:noWrap/>
            <w:vAlign w:val="center"/>
          </w:tcPr>
          <w:p>
            <w:pPr>
              <w:rPr>
                <w:rFonts w:ascii="宋体" w:hAnsi="宋体" w:cs="宋体"/>
                <w:bCs/>
                <w:sz w:val="22"/>
                <w:szCs w:val="22"/>
              </w:rPr>
            </w:pPr>
            <w:r>
              <w:rPr>
                <w:rFonts w:hint="eastAsia" w:ascii="宋体" w:hAnsi="宋体" w:cs="宋体"/>
                <w:bCs/>
                <w:sz w:val="22"/>
                <w:szCs w:val="22"/>
              </w:rPr>
              <w:t>与其他投标供应商的投标文件未存在异常雷同现象的。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10</w:t>
            </w:r>
          </w:p>
        </w:tc>
        <w:tc>
          <w:tcPr>
            <w:tcW w:w="7929" w:type="dxa"/>
            <w:noWrap/>
            <w:vAlign w:val="center"/>
          </w:tcPr>
          <w:p>
            <w:pPr>
              <w:rPr>
                <w:rFonts w:ascii="宋体" w:hAnsi="宋体" w:cs="宋体"/>
                <w:bCs/>
                <w:sz w:val="22"/>
                <w:szCs w:val="22"/>
              </w:rPr>
            </w:pPr>
            <w:r>
              <w:rPr>
                <w:rFonts w:hint="eastAsia" w:ascii="宋体" w:hAnsi="宋体" w:cs="宋体"/>
                <w:bCs/>
                <w:sz w:val="22"/>
                <w:szCs w:val="22"/>
              </w:rPr>
              <w:t>未存在招标文件规定的其他投标无效情形。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5" w:type="dxa"/>
            <w:noWrap/>
            <w:vAlign w:val="center"/>
          </w:tcPr>
          <w:p>
            <w:pPr>
              <w:jc w:val="center"/>
              <w:rPr>
                <w:rFonts w:ascii="宋体" w:hAnsi="宋体" w:cs="宋体"/>
                <w:sz w:val="20"/>
                <w:szCs w:val="20"/>
              </w:rPr>
            </w:pPr>
            <w:r>
              <w:rPr>
                <w:rFonts w:hint="eastAsia" w:ascii="宋体" w:hAnsi="宋体" w:cs="宋体"/>
                <w:sz w:val="20"/>
                <w:szCs w:val="20"/>
              </w:rPr>
              <w:t>11</w:t>
            </w:r>
          </w:p>
        </w:tc>
        <w:tc>
          <w:tcPr>
            <w:tcW w:w="7929" w:type="dxa"/>
            <w:noWrap/>
            <w:vAlign w:val="center"/>
          </w:tcPr>
          <w:p>
            <w:pPr>
              <w:rPr>
                <w:rFonts w:ascii="宋体" w:hAnsi="宋体" w:cs="宋体"/>
                <w:bCs/>
                <w:sz w:val="22"/>
                <w:szCs w:val="22"/>
              </w:rPr>
            </w:pPr>
            <w:r>
              <w:rPr>
                <w:rFonts w:hint="eastAsia" w:ascii="宋体" w:hAnsi="宋体" w:cs="宋体"/>
                <w:bCs/>
                <w:sz w:val="22"/>
                <w:szCs w:val="22"/>
              </w:rPr>
              <w:t>法律、法规规定的其他情形。</w:t>
            </w:r>
          </w:p>
        </w:tc>
      </w:tr>
    </w:tbl>
    <w:p>
      <w:pPr>
        <w:adjustRightInd w:val="0"/>
        <w:snapToGrid w:val="0"/>
        <w:spacing w:line="360" w:lineRule="auto"/>
        <w:jc w:val="left"/>
        <w:rPr>
          <w:rFonts w:ascii="宋体" w:hAnsi="宋体" w:cs="宋体"/>
        </w:rPr>
      </w:pPr>
    </w:p>
    <w:p>
      <w:pPr>
        <w:adjustRightInd w:val="0"/>
        <w:snapToGrid w:val="0"/>
        <w:spacing w:line="360" w:lineRule="auto"/>
        <w:jc w:val="left"/>
        <w:rPr>
          <w:rFonts w:ascii="宋体" w:cs="宋体"/>
          <w:szCs w:val="21"/>
        </w:rPr>
      </w:pPr>
      <w:r>
        <w:rPr>
          <w:rFonts w:hint="eastAsia" w:ascii="宋体" w:hAnsi="宋体" w:cs="宋体"/>
        </w:rPr>
        <w:t>说明：</w:t>
      </w:r>
      <w:r>
        <w:rPr>
          <w:rFonts w:hint="eastAsia" w:ascii="宋体" w:hAnsi="宋体"/>
        </w:rPr>
        <w:t>投标人必须严格按照《资格性审查表》《符合性检查表》的评审内容的要求如实提供材料</w:t>
      </w:r>
      <w:r>
        <w:rPr>
          <w:rFonts w:hint="eastAsia" w:ascii="宋体" w:hAnsi="宋体"/>
          <w:bCs/>
        </w:rPr>
        <w:t>并应加盖投标人公章，</w:t>
      </w:r>
      <w:r>
        <w:rPr>
          <w:rFonts w:hint="eastAsia" w:ascii="宋体" w:hAnsi="宋体"/>
        </w:rPr>
        <w:t>对缺漏或不符合项将直接导致无效投标</w:t>
      </w:r>
      <w:r>
        <w:rPr>
          <w:rFonts w:hint="eastAsia" w:ascii="宋体" w:cs="宋体"/>
          <w:szCs w:val="21"/>
        </w:rPr>
        <w:t>。</w:t>
      </w:r>
    </w:p>
    <w:p>
      <w:pPr>
        <w:adjustRightInd w:val="0"/>
        <w:snapToGrid w:val="0"/>
        <w:spacing w:line="360" w:lineRule="auto"/>
        <w:jc w:val="left"/>
        <w:rPr>
          <w:rFonts w:ascii="宋体" w:cs="宋体"/>
          <w:szCs w:val="21"/>
        </w:rPr>
      </w:pPr>
    </w:p>
    <w:p>
      <w:pPr>
        <w:pStyle w:val="2"/>
      </w:pPr>
    </w:p>
    <w:p>
      <w:pPr>
        <w:pStyle w:val="4"/>
      </w:pPr>
    </w:p>
    <w:p/>
    <w:p/>
    <w:p/>
    <w:p/>
    <w:p>
      <w:pPr>
        <w:pStyle w:val="22"/>
        <w:ind w:firstLine="0" w:firstLineChars="0"/>
      </w:pPr>
    </w:p>
    <w:p>
      <w:pPr>
        <w:jc w:val="center"/>
        <w:rPr>
          <w:rFonts w:hint="eastAsia" w:ascii="仿宋_GB2312" w:hAnsi="仿宋_GB2312" w:eastAsia="仿宋_GB2312" w:cs="仿宋_GB2312"/>
          <w:b/>
          <w:bCs/>
          <w:sz w:val="36"/>
          <w:szCs w:val="36"/>
        </w:rPr>
      </w:pPr>
      <w:r>
        <w:rPr>
          <w:rFonts w:ascii="仿宋_GB2312" w:hAnsi="仿宋_GB2312" w:eastAsia="仿宋_GB2312" w:cs="仿宋_GB2312"/>
          <w:b/>
          <w:bCs/>
          <w:sz w:val="36"/>
          <w:szCs w:val="36"/>
        </w:rPr>
        <w:t>第四章</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投标须知</w:t>
      </w:r>
    </w:p>
    <w:p>
      <w:pPr>
        <w:pStyle w:val="2"/>
      </w:pP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一、为充分体现公平、公正、公开原则，择优选择供应商，参加投标的单位必须满足本项目投标供应商的资质要求。</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（一）本项目的潜在供应商应在递交投标文件截止日之前到医院招采办报名投标。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b/>
          <w:bCs/>
          <w:sz w:val="28"/>
          <w:szCs w:val="28"/>
        </w:rPr>
      </w:pPr>
      <w:r>
        <w:rPr>
          <w:rFonts w:hint="eastAsia" w:ascii="仿宋" w:hAnsi="仿宋" w:eastAsia="仿宋" w:cs="仿宋"/>
          <w:sz w:val="28"/>
          <w:szCs w:val="28"/>
        </w:rPr>
        <w:t>（二）符合条件的供应商严格按照采购单位提供的招标文件，认真填写投标资料，并在规定时间内将</w:t>
      </w:r>
      <w:r>
        <w:rPr>
          <w:rFonts w:hint="eastAsia" w:ascii="仿宋" w:hAnsi="仿宋" w:eastAsia="仿宋" w:cs="仿宋"/>
          <w:b/>
          <w:bCs/>
          <w:sz w:val="28"/>
          <w:szCs w:val="28"/>
        </w:rPr>
        <w:t>投标文件密封</w:t>
      </w:r>
      <w:r>
        <w:rPr>
          <w:rFonts w:hint="eastAsia" w:ascii="仿宋" w:hAnsi="仿宋" w:eastAsia="仿宋" w:cs="仿宋"/>
          <w:sz w:val="28"/>
          <w:szCs w:val="28"/>
        </w:rPr>
        <w:t>送达指定地点。投标单位法定代表人或授权代表人在规定的时间内未递交投标资料的，视为自动放弃。</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（三）院内公开招标有效投标的供应商不足三家，不得开标。</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（四）存在下列情形的，应予废标：</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1.符合专业条件的供应商或者对招标文件作实质性响应的供应商不足三家的；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3.投标人的报价均超过采购预算或最高限价，采购人不能支付的；</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kern w:val="0"/>
          <w:sz w:val="28"/>
          <w:szCs w:val="28"/>
        </w:rPr>
      </w:pPr>
      <w:r>
        <w:rPr>
          <w:rFonts w:hint="eastAsia" w:ascii="仿宋" w:hAnsi="仿宋" w:eastAsia="仿宋" w:cs="仿宋"/>
          <w:sz w:val="28"/>
          <w:szCs w:val="28"/>
        </w:rPr>
        <w:t>4.因重大变故，采购任务取消的。</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（五）投标文件有效期</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1.在递交投标文件截止日期之后的60天内有效；</w:t>
      </w:r>
    </w:p>
    <w:p>
      <w:pPr>
        <w:keepNext w:val="0"/>
        <w:keepLines w:val="0"/>
        <w:pageBreakBefore w:val="0"/>
        <w:widowControl w:val="0"/>
        <w:kinsoku/>
        <w:wordWrap/>
        <w:overflowPunct/>
        <w:topLinePunct w:val="0"/>
        <w:autoSpaceDE/>
        <w:autoSpaceDN/>
        <w:bidi w:val="0"/>
        <w:adjustRightInd/>
        <w:snapToGrid w:val="0"/>
        <w:spacing w:line="400" w:lineRule="exact"/>
        <w:ind w:firstLine="638" w:firstLineChars="228"/>
        <w:textAlignment w:val="auto"/>
        <w:rPr>
          <w:rFonts w:ascii="仿宋" w:hAnsi="仿宋" w:eastAsia="仿宋" w:cs="仿宋"/>
          <w:sz w:val="28"/>
          <w:szCs w:val="28"/>
        </w:rPr>
      </w:pPr>
      <w:r>
        <w:rPr>
          <w:rFonts w:hint="eastAsia" w:ascii="仿宋" w:hAnsi="仿宋" w:eastAsia="仿宋" w:cs="仿宋"/>
          <w:sz w:val="28"/>
          <w:szCs w:val="28"/>
        </w:rPr>
        <w:t>2.在原定投标文件有效期满之前，如果出现特殊情况，招采办可以书面形式向供应商提出延长投标文件有效期的要求。</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二、需提供资料及标准</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（一）投标文件的规定。投标文件</w:t>
      </w:r>
      <w:r>
        <w:rPr>
          <w:rFonts w:hint="eastAsia" w:ascii="仿宋_GB2312" w:hAnsi="仿宋_GB2312" w:eastAsia="仿宋_GB2312" w:cs="仿宋_GB2312"/>
          <w:b/>
          <w:bCs/>
          <w:sz w:val="28"/>
          <w:szCs w:val="36"/>
        </w:rPr>
        <w:t>须密封装袋</w:t>
      </w:r>
      <w:r>
        <w:rPr>
          <w:rFonts w:hint="eastAsia" w:ascii="仿宋_GB2312" w:hAnsi="仿宋_GB2312" w:eastAsia="仿宋_GB2312" w:cs="仿宋_GB2312"/>
          <w:sz w:val="28"/>
          <w:szCs w:val="36"/>
        </w:rPr>
        <w:t>，制作</w:t>
      </w:r>
      <w:r>
        <w:rPr>
          <w:rFonts w:hint="eastAsia" w:ascii="仿宋_GB2312" w:hAnsi="仿宋_GB2312" w:eastAsia="仿宋_GB2312" w:cs="仿宋_GB2312"/>
          <w:b/>
          <w:bCs/>
          <w:sz w:val="28"/>
          <w:szCs w:val="36"/>
        </w:rPr>
        <w:t>一本正本，</w:t>
      </w:r>
      <w:r>
        <w:rPr>
          <w:rFonts w:hint="eastAsia" w:ascii="仿宋_GB2312" w:hAnsi="仿宋_GB2312" w:eastAsia="仿宋_GB2312" w:cs="仿宋_GB2312"/>
          <w:b/>
          <w:bCs/>
          <w:sz w:val="28"/>
          <w:szCs w:val="36"/>
          <w:lang w:val="en-US" w:eastAsia="zh-CN"/>
        </w:rPr>
        <w:t>4</w:t>
      </w:r>
      <w:r>
        <w:rPr>
          <w:rFonts w:hint="eastAsia" w:ascii="仿宋_GB2312" w:hAnsi="仿宋_GB2312" w:eastAsia="仿宋_GB2312" w:cs="仿宋_GB2312"/>
          <w:b/>
          <w:bCs/>
          <w:sz w:val="28"/>
          <w:szCs w:val="36"/>
        </w:rPr>
        <w:t>本副本（另：提交一本电子投标文件，用U盘拷贝，U盘不退还，并标明项目名称和公司名称）</w:t>
      </w:r>
      <w:r>
        <w:rPr>
          <w:rFonts w:hint="eastAsia" w:ascii="仿宋_GB2312" w:hAnsi="仿宋_GB2312" w:eastAsia="仿宋_GB2312" w:cs="仿宋_GB2312"/>
          <w:sz w:val="28"/>
          <w:szCs w:val="36"/>
        </w:rPr>
        <w:t>，每份投标文件必须装订且须在封面上清楚标明“</w:t>
      </w:r>
      <w:r>
        <w:rPr>
          <w:rFonts w:hint="eastAsia" w:ascii="仿宋_GB2312" w:hAnsi="仿宋_GB2312" w:eastAsia="仿宋_GB2312" w:cs="仿宋_GB2312"/>
          <w:b/>
          <w:bCs/>
          <w:sz w:val="28"/>
          <w:szCs w:val="36"/>
        </w:rPr>
        <w:t>正本</w:t>
      </w:r>
      <w:r>
        <w:rPr>
          <w:rFonts w:hint="eastAsia" w:ascii="仿宋_GB2312" w:hAnsi="仿宋_GB2312" w:eastAsia="仿宋_GB2312" w:cs="仿宋_GB2312"/>
          <w:sz w:val="28"/>
          <w:szCs w:val="36"/>
        </w:rPr>
        <w:t>”或“</w:t>
      </w:r>
      <w:r>
        <w:rPr>
          <w:rFonts w:hint="eastAsia" w:ascii="仿宋_GB2312" w:hAnsi="仿宋_GB2312" w:eastAsia="仿宋_GB2312" w:cs="仿宋_GB2312"/>
          <w:b/>
          <w:bCs/>
          <w:sz w:val="28"/>
          <w:szCs w:val="36"/>
        </w:rPr>
        <w:t>副本</w:t>
      </w:r>
      <w:r>
        <w:rPr>
          <w:rFonts w:hint="eastAsia" w:ascii="仿宋_GB2312" w:hAnsi="仿宋_GB2312" w:eastAsia="仿宋_GB2312" w:cs="仿宋_GB2312"/>
          <w:sz w:val="28"/>
          <w:szCs w:val="36"/>
        </w:rPr>
        <w:t>”字样。一旦正本与副本不符，以正本为准。 投标文件不得涂改和增删，如要修改错漏处，必须由同一签署人</w:t>
      </w:r>
      <w:r>
        <w:rPr>
          <w:rFonts w:hint="eastAsia" w:ascii="仿宋_GB2312" w:hAnsi="仿宋_GB2312" w:eastAsia="仿宋_GB2312" w:cs="仿宋_GB2312"/>
          <w:b/>
          <w:bCs/>
          <w:sz w:val="28"/>
          <w:szCs w:val="36"/>
        </w:rPr>
        <w:t>在修改处签字或盖章</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（二）提供本项目开标一览表一份，开标一览表须加盖公章并单独密封，供应商须在开标一览表上签名确认。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（三）资料封面注有公司名称、地址、联系人、手机号码、办公电话和邮箱地址。</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1.所有资料要有封面、目录、页码、装订成册。</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2.所有资料</w:t>
      </w:r>
      <w:r>
        <w:rPr>
          <w:rFonts w:hint="eastAsia" w:ascii="仿宋_GB2312" w:hAnsi="仿宋_GB2312" w:eastAsia="仿宋_GB2312" w:cs="仿宋_GB2312"/>
          <w:b/>
          <w:bCs/>
          <w:snapToGrid w:val="0"/>
          <w:kern w:val="144"/>
          <w:sz w:val="28"/>
          <w:szCs w:val="28"/>
        </w:rPr>
        <w:t>每页须加盖公章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400" w:lineRule="exact"/>
        <w:ind w:left="-5" w:firstLine="560" w:firstLineChars="200"/>
        <w:jc w:val="left"/>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3.所有资料须</w:t>
      </w:r>
      <w:r>
        <w:rPr>
          <w:rFonts w:hint="eastAsia" w:ascii="仿宋_GB2312" w:hAnsi="仿宋_GB2312" w:eastAsia="仿宋_GB2312" w:cs="仿宋_GB2312"/>
          <w:b/>
          <w:bCs/>
          <w:snapToGrid w:val="0"/>
          <w:kern w:val="144"/>
          <w:sz w:val="28"/>
          <w:szCs w:val="28"/>
        </w:rPr>
        <w:t>密封并加盖公章</w:t>
      </w:r>
      <w:r>
        <w:rPr>
          <w:rFonts w:hint="eastAsia" w:ascii="仿宋_GB2312" w:hAnsi="仿宋_GB2312" w:eastAsia="仿宋_GB2312" w:cs="仿宋_GB2312"/>
          <w:snapToGrid w:val="0"/>
          <w:kern w:val="144"/>
          <w:sz w:val="28"/>
          <w:szCs w:val="28"/>
        </w:rPr>
        <w:t>。</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（四）携带完整资料到招采办报名登记好公司名称、业务代表姓名、联系电话及提供的产品项目。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napToGrid w:val="0"/>
          <w:kern w:val="144"/>
          <w:sz w:val="28"/>
          <w:szCs w:val="28"/>
        </w:rPr>
      </w:pPr>
      <w:r>
        <w:rPr>
          <w:rFonts w:hint="eastAsia" w:ascii="仿宋_GB2312" w:hAnsi="仿宋_GB2312" w:eastAsia="仿宋_GB2312" w:cs="仿宋_GB2312"/>
          <w:snapToGrid w:val="0"/>
          <w:kern w:val="144"/>
          <w:sz w:val="28"/>
          <w:szCs w:val="28"/>
        </w:rPr>
        <w:t>（五）经取得院内公开采购的项目在验收时，其实际质量与其参加院内公开采购时提供的条件不符或在规定时间内拒签合同以及不按合同条款执行合同者均视为不履行合约，我院将其供应商列入我院黑名单及上报有关部门，在一年内不允许该公司参加我院内公开采购活动。</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sz w:val="28"/>
          <w:szCs w:val="36"/>
        </w:rPr>
      </w:pPr>
      <w:r>
        <w:rPr>
          <w:rFonts w:hint="eastAsia" w:ascii="仿宋_GB2312" w:hAnsi="仿宋_GB2312" w:eastAsia="仿宋_GB2312" w:cs="仿宋_GB2312"/>
          <w:sz w:val="28"/>
          <w:szCs w:val="36"/>
        </w:rPr>
        <w:t>（六）投标人的产品质量及服务承诺书不能严重低于招标文件中的服务要求标准作出响应，允许出现负偏差，但不得出现严重负偏差。</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_GB2312" w:hAnsi="仿宋_GB2312" w:eastAsia="仿宋_GB2312" w:cs="仿宋_GB2312"/>
          <w:b/>
          <w:bCs/>
          <w:sz w:val="28"/>
          <w:szCs w:val="28"/>
        </w:rPr>
      </w:pPr>
      <w:r>
        <w:rPr>
          <w:rFonts w:hint="eastAsia" w:ascii="仿宋_GB2312" w:hAnsi="仿宋_GB2312" w:eastAsia="仿宋_GB2312" w:cs="仿宋_GB2312"/>
          <w:sz w:val="28"/>
          <w:szCs w:val="36"/>
        </w:rPr>
        <w:t>（七）评审结束，中标结果公示3天，中标供应商须在收到我院中标通知书后</w:t>
      </w:r>
      <w:r>
        <w:rPr>
          <w:rFonts w:hint="eastAsia" w:ascii="仿宋_GB2312" w:hAnsi="仿宋_GB2312" w:eastAsia="仿宋_GB2312" w:cs="仿宋_GB2312"/>
          <w:b/>
          <w:bCs/>
          <w:sz w:val="28"/>
          <w:szCs w:val="36"/>
        </w:rPr>
        <w:t>10个工作日内</w:t>
      </w:r>
      <w:r>
        <w:rPr>
          <w:rFonts w:hint="eastAsia" w:ascii="仿宋_GB2312" w:hAnsi="仿宋_GB2312" w:eastAsia="仿宋_GB2312" w:cs="仿宋_GB2312"/>
          <w:sz w:val="28"/>
          <w:szCs w:val="36"/>
        </w:rPr>
        <w:t>到我院签署合同，超过</w:t>
      </w:r>
      <w:r>
        <w:rPr>
          <w:rFonts w:hint="eastAsia" w:ascii="仿宋_GB2312" w:hAnsi="仿宋_GB2312" w:eastAsia="仿宋_GB2312" w:cs="仿宋_GB2312"/>
          <w:b/>
          <w:bCs/>
          <w:sz w:val="28"/>
          <w:szCs w:val="36"/>
        </w:rPr>
        <w:t>10个工作日</w:t>
      </w:r>
      <w:r>
        <w:rPr>
          <w:rFonts w:hint="eastAsia" w:ascii="仿宋_GB2312" w:hAnsi="仿宋_GB2312" w:eastAsia="仿宋_GB2312" w:cs="仿宋_GB2312"/>
          <w:sz w:val="28"/>
          <w:szCs w:val="36"/>
        </w:rPr>
        <w:t>未前来签合同的，我院有权宣布本次采购结果作废，重新确定供应商。</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三、招标文件的澄清</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1.投标人在收到招标文件后，可以对已发出的招标文件进行必要的澄清或者修改。澄清或者修改应当在原公告发布媒体上发布澄清（更正/变更）公告。</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无论出于何种原因，采购人可以主动地或在解答投标人提出的疑问时对已发出的招标文件进行必要的澄清或修改（更正）的，于投标截止时间前在指定媒体上发布公告，并通知所有报名及购买招标文件的投标人，报名招标文件的投标人在收到澄清或修改（更正）通知后应按要求以书面形式（传真有效）予以确认，如在24小时之内无书面回函则视为同意修改内容，并有责任履行相应的义务。</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3.采购人发出的澄清或修改（更正/变更）的内容为招标文件的组成部分，并对供应商具有约束力。</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对招标文件中描述有歧义或前后不一致的地方，评标委员会有权进行评判，但对同一条款的评判应适用于每个投标人。</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四、招标文件的补充和修正</w:t>
      </w:r>
    </w:p>
    <w:p>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采购人可以对已发出的招标文件进行必要的澄清或者修改。澄清或者修改应当在原公告发布媒体上发布澄清（更正/变更）公告。</w:t>
      </w:r>
    </w:p>
    <w:p>
      <w:pPr>
        <w:pStyle w:val="2"/>
        <w:keepNext w:val="0"/>
        <w:keepLines w:val="0"/>
        <w:pageBreakBefore w:val="0"/>
        <w:widowControl w:val="0"/>
        <w:kinsoku/>
        <w:wordWrap/>
        <w:overflowPunct/>
        <w:topLinePunct w:val="0"/>
        <w:autoSpaceDE/>
        <w:autoSpaceDN/>
        <w:bidi w:val="0"/>
        <w:adjustRightInd/>
        <w:spacing w:line="400" w:lineRule="exact"/>
        <w:ind w:firstLine="560" w:firstLineChars="200"/>
        <w:textAlignment w:val="auto"/>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val="en-US" w:eastAsia="zh-CN"/>
        </w:rPr>
        <w:t>.</w:t>
      </w:r>
      <w:r>
        <w:rPr>
          <w:rFonts w:ascii="仿宋" w:hAnsi="仿宋" w:eastAsia="仿宋" w:cs="仿宋"/>
          <w:sz w:val="28"/>
          <w:szCs w:val="28"/>
        </w:rPr>
        <w:t>采购人对招标文件的补充和修正，将以电子文件等方式发给所有获得招标文件的供应商，补充通知作为招标文件的组成部分，对同意参与招标单位起约束作用。</w:t>
      </w:r>
    </w:p>
    <w:p>
      <w:pPr>
        <w:keepNext w:val="0"/>
        <w:keepLines w:val="0"/>
        <w:pageBreakBefore w:val="0"/>
        <w:widowControl w:val="0"/>
        <w:kinsoku/>
        <w:wordWrap/>
        <w:overflowPunct/>
        <w:topLinePunct w:val="0"/>
        <w:autoSpaceDE/>
        <w:autoSpaceDN/>
        <w:bidi w:val="0"/>
        <w:adjustRightInd/>
        <w:snapToGrid w:val="0"/>
        <w:spacing w:line="4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五、投标文件有效期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在递交投标文件截止日期之后的60天内有效。</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在原定投标文件有效期满之前，如果出现特殊情况，招采办可以书面形式向投标人提出延长投标文件有效期的要求。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质疑期限：凡对招标文件有任何质疑的（包括认为招标文件的技术指标或参数存在排他性或歧视性条款），请于开标之日前提出疑问，逾期不予处理。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560" w:firstLineChars="200"/>
        <w:textAlignment w:val="auto"/>
        <w:sectPr>
          <w:footerReference r:id="rId3" w:type="default"/>
          <w:pgSz w:w="11906" w:h="16838"/>
          <w:pgMar w:top="1440" w:right="1576" w:bottom="1440" w:left="1576" w:header="851" w:footer="992" w:gutter="0"/>
          <w:cols w:space="425" w:num="1"/>
          <w:docGrid w:type="lines" w:linePitch="312" w:charSpace="0"/>
        </w:sectPr>
      </w:pPr>
      <w:r>
        <w:rPr>
          <w:rFonts w:hint="eastAsia" w:ascii="仿宋" w:hAnsi="仿宋" w:eastAsia="仿宋" w:cs="仿宋"/>
          <w:sz w:val="28"/>
          <w:szCs w:val="28"/>
          <w:lang w:val="en-US" w:eastAsia="zh-CN"/>
        </w:rPr>
        <w:t>4.</w:t>
      </w:r>
      <w:r>
        <w:rPr>
          <w:rFonts w:hint="eastAsia" w:ascii="仿宋" w:hAnsi="仿宋" w:eastAsia="仿宋" w:cs="仿宋"/>
          <w:sz w:val="28"/>
          <w:szCs w:val="28"/>
        </w:rPr>
        <w:t>招采办将作出澄清和解答，逾期未提交质疑文件的视同无问题。</w:t>
      </w:r>
    </w:p>
    <w:p>
      <w:pPr>
        <w:spacing w:line="560" w:lineRule="exact"/>
        <w:ind w:left="2882"/>
      </w:pPr>
      <w:r>
        <w:rPr>
          <w:rFonts w:hint="eastAsia" w:ascii="仿宋" w:hAnsi="仿宋" w:eastAsia="仿宋" w:cs="仿宋"/>
          <w:sz w:val="44"/>
          <w:szCs w:val="44"/>
        </w:rPr>
        <w:t xml:space="preserve">第五章 </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供应商标书</w:t>
      </w:r>
    </w:p>
    <w:tbl>
      <w:tblPr>
        <w:tblStyle w:val="15"/>
        <w:tblW w:w="88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8820" w:type="dxa"/>
            <w:noWrap/>
            <w:vAlign w:val="center"/>
          </w:tcPr>
          <w:p>
            <w:pPr>
              <w:jc w:val="center"/>
              <w:rPr>
                <w:rFonts w:ascii="仿宋" w:hAnsi="仿宋" w:eastAsia="仿宋" w:cs="仿宋"/>
                <w:b/>
                <w:bCs/>
                <w:sz w:val="96"/>
                <w:szCs w:val="96"/>
              </w:rPr>
            </w:pPr>
          </w:p>
          <w:p>
            <w:pPr>
              <w:jc w:val="center"/>
              <w:rPr>
                <w:rFonts w:ascii="仿宋" w:hAnsi="仿宋" w:eastAsia="仿宋" w:cs="仿宋"/>
                <w:sz w:val="72"/>
                <w:szCs w:val="72"/>
              </w:rPr>
            </w:pPr>
            <w:r>
              <w:rPr>
                <w:rFonts w:hint="eastAsia" w:ascii="仿宋" w:hAnsi="仿宋" w:eastAsia="仿宋" w:cs="仿宋"/>
                <w:b/>
                <w:bCs/>
                <w:sz w:val="96"/>
                <w:szCs w:val="96"/>
              </w:rPr>
              <w:t>投标书</w:t>
            </w:r>
          </w:p>
          <w:p>
            <w:pPr>
              <w:rPr>
                <w:rFonts w:ascii="仿宋" w:hAnsi="仿宋" w:eastAsia="仿宋" w:cs="仿宋"/>
                <w:sz w:val="72"/>
                <w:szCs w:val="72"/>
              </w:rPr>
            </w:pPr>
          </w:p>
          <w:p>
            <w:pPr>
              <w:pStyle w:val="19"/>
              <w:spacing w:line="460" w:lineRule="exact"/>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rPr>
              <w:t>项目名称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深圳市龙岗区第七人民医院医疗</w:t>
            </w:r>
          </w:p>
          <w:p>
            <w:pPr>
              <w:pStyle w:val="19"/>
              <w:spacing w:line="46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lang w:val="en-US" w:eastAsia="zh-CN"/>
              </w:rPr>
              <w:t>责任保险项目</w:t>
            </w:r>
          </w:p>
          <w:p>
            <w:pPr>
              <w:snapToGrid w:val="0"/>
              <w:spacing w:line="360" w:lineRule="auto"/>
              <w:rPr>
                <w:rFonts w:ascii="仿宋_GB2312" w:hAnsi="仿宋_GB2312" w:eastAsia="仿宋_GB2312" w:cs="仿宋_GB2312"/>
                <w:sz w:val="44"/>
                <w:szCs w:val="44"/>
              </w:rPr>
            </w:pPr>
          </w:p>
          <w:p>
            <w:pPr>
              <w:pStyle w:val="26"/>
              <w:spacing w:line="480" w:lineRule="exact"/>
              <w:ind w:firstLine="0" w:firstLineChars="0"/>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w:t>
            </w:r>
            <w:r>
              <w:rPr>
                <w:rFonts w:hint="eastAsia" w:ascii="仿宋_GB2312" w:hAnsi="仿宋_GB2312" w:eastAsia="仿宋_GB2312" w:cs="仿宋_GB2312"/>
                <w:kern w:val="2"/>
                <w:sz w:val="36"/>
                <w:szCs w:val="36"/>
                <w:lang w:val="en-US" w:eastAsia="zh-CN" w:bidi="ar-SA"/>
              </w:rPr>
              <w:t>深龙七医采[LGQY2025YW001]</w:t>
            </w:r>
            <w:r>
              <w:rPr>
                <w:rFonts w:hint="eastAsia" w:ascii="仿宋_GB2312" w:hAnsi="仿宋_GB2312" w:eastAsia="仿宋_GB2312" w:cs="仿宋_GB2312"/>
                <w:sz w:val="44"/>
                <w:szCs w:val="44"/>
              </w:rPr>
              <w:t>）</w:t>
            </w:r>
          </w:p>
          <w:p>
            <w:pPr>
              <w:pStyle w:val="26"/>
              <w:spacing w:line="480" w:lineRule="exact"/>
              <w:ind w:firstLine="0" w:firstLineChars="0"/>
              <w:jc w:val="center"/>
              <w:rPr>
                <w:rFonts w:ascii="仿宋_GB2312" w:hAnsi="仿宋_GB2312" w:eastAsia="仿宋_GB2312" w:cs="仿宋_GB2312"/>
                <w:sz w:val="44"/>
                <w:szCs w:val="44"/>
              </w:rPr>
            </w:pP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采购单位：深圳市龙岗区第七人民医院</w:t>
            </w:r>
          </w:p>
          <w:p>
            <w:pPr>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w:t>
            </w:r>
            <w:r>
              <w:rPr>
                <w:rFonts w:hint="eastAsia" w:ascii="仿宋_GB2312" w:hAnsi="仿宋_GB2312" w:eastAsia="仿宋_GB2312" w:cs="仿宋_GB2312"/>
                <w:sz w:val="44"/>
                <w:szCs w:val="44"/>
              </w:rPr>
              <w:t>2025年</w:t>
            </w:r>
            <w:r>
              <w:rPr>
                <w:rFonts w:hint="eastAsia" w:ascii="仿宋_GB2312" w:hAnsi="仿宋_GB2312" w:eastAsia="仿宋_GB2312" w:cs="仿宋_GB2312"/>
                <w:b/>
                <w:sz w:val="44"/>
                <w:szCs w:val="44"/>
              </w:rPr>
              <w:t>）</w:t>
            </w:r>
          </w:p>
          <w:p>
            <w:pPr>
              <w:rPr>
                <w:rFonts w:ascii="仿宋" w:hAnsi="仿宋" w:eastAsia="仿宋" w:cs="仿宋"/>
                <w:b/>
                <w:sz w:val="36"/>
                <w:szCs w:val="36"/>
              </w:rPr>
            </w:pPr>
          </w:p>
          <w:p>
            <w:pPr>
              <w:jc w:val="left"/>
              <w:rPr>
                <w:rFonts w:ascii="仿宋" w:hAnsi="仿宋" w:eastAsia="仿宋" w:cs="仿宋"/>
                <w:b/>
                <w:sz w:val="40"/>
                <w:szCs w:val="40"/>
              </w:rPr>
            </w:pPr>
            <w:r>
              <w:rPr>
                <w:rFonts w:hint="eastAsia" w:ascii="仿宋" w:hAnsi="仿宋" w:eastAsia="仿宋" w:cs="仿宋"/>
                <w:b/>
                <w:sz w:val="40"/>
                <w:szCs w:val="40"/>
              </w:rPr>
              <w:t>投标人：</w:t>
            </w:r>
          </w:p>
          <w:p>
            <w:pPr>
              <w:jc w:val="left"/>
              <w:rPr>
                <w:rFonts w:ascii="仿宋" w:hAnsi="仿宋" w:eastAsia="仿宋" w:cs="仿宋"/>
                <w:b/>
                <w:sz w:val="40"/>
                <w:szCs w:val="40"/>
              </w:rPr>
            </w:pPr>
            <w:r>
              <w:rPr>
                <w:rFonts w:hint="eastAsia" w:ascii="仿宋" w:hAnsi="仿宋" w:eastAsia="仿宋" w:cs="仿宋"/>
                <w:b/>
                <w:sz w:val="40"/>
                <w:szCs w:val="40"/>
              </w:rPr>
              <w:t>地  址：</w:t>
            </w:r>
          </w:p>
          <w:p>
            <w:pPr>
              <w:jc w:val="left"/>
              <w:rPr>
                <w:rFonts w:ascii="仿宋" w:hAnsi="仿宋" w:eastAsia="仿宋" w:cs="仿宋"/>
                <w:b/>
                <w:sz w:val="40"/>
                <w:szCs w:val="40"/>
              </w:rPr>
            </w:pPr>
            <w:r>
              <w:rPr>
                <w:rFonts w:hint="eastAsia" w:ascii="仿宋" w:hAnsi="仿宋" w:eastAsia="仿宋" w:cs="仿宋"/>
                <w:b/>
                <w:sz w:val="40"/>
                <w:szCs w:val="40"/>
              </w:rPr>
              <w:t>联系人：</w:t>
            </w:r>
          </w:p>
          <w:p>
            <w:pPr>
              <w:jc w:val="left"/>
              <w:rPr>
                <w:rFonts w:ascii="仿宋" w:hAnsi="仿宋" w:eastAsia="仿宋" w:cs="仿宋"/>
                <w:b/>
                <w:sz w:val="40"/>
                <w:szCs w:val="40"/>
              </w:rPr>
            </w:pPr>
            <w:r>
              <w:rPr>
                <w:rFonts w:hint="eastAsia" w:ascii="仿宋" w:hAnsi="仿宋" w:eastAsia="仿宋" w:cs="仿宋"/>
                <w:b/>
                <w:sz w:val="40"/>
                <w:szCs w:val="40"/>
              </w:rPr>
              <w:t>电  话：</w:t>
            </w:r>
          </w:p>
          <w:p>
            <w:pPr>
              <w:jc w:val="left"/>
              <w:rPr>
                <w:rFonts w:ascii="仿宋" w:hAnsi="仿宋" w:eastAsia="仿宋" w:cs="仿宋"/>
                <w:sz w:val="28"/>
              </w:rPr>
            </w:pPr>
            <w:r>
              <w:rPr>
                <w:rFonts w:hint="eastAsia" w:ascii="仿宋" w:hAnsi="仿宋" w:eastAsia="仿宋" w:cs="仿宋"/>
                <w:b/>
                <w:sz w:val="40"/>
                <w:szCs w:val="40"/>
              </w:rPr>
              <w:t>邮  箱：</w:t>
            </w:r>
          </w:p>
        </w:tc>
      </w:tr>
    </w:tbl>
    <w:p>
      <w:pPr>
        <w:jc w:val="both"/>
        <w:rPr>
          <w:rFonts w:ascii="宋体" w:hAnsi="宋体" w:cs="宋体"/>
          <w:b/>
          <w:bCs/>
          <w:sz w:val="44"/>
          <w:szCs w:val="44"/>
        </w:rPr>
      </w:pPr>
    </w:p>
    <w:p>
      <w:pPr>
        <w:jc w:val="center"/>
        <w:rPr>
          <w:rFonts w:hint="eastAsia" w:ascii="仿宋_GB2312" w:hAnsi="仿宋_GB2312" w:eastAsia="仿宋_GB2312" w:cs="仿宋_GB2312"/>
          <w:sz w:val="28"/>
          <w:szCs w:val="28"/>
        </w:rPr>
      </w:pPr>
      <w:r>
        <w:rPr>
          <w:rFonts w:hint="eastAsia" w:ascii="宋体" w:hAnsi="宋体" w:cs="宋体"/>
          <w:b/>
          <w:bCs/>
          <w:sz w:val="44"/>
          <w:szCs w:val="44"/>
        </w:rPr>
        <w:t>目录</w:t>
      </w:r>
      <w:r>
        <w:rPr>
          <w:rFonts w:hint="eastAsia" w:ascii="宋体" w:hAnsi="宋体" w:cs="宋体"/>
          <w:b/>
          <w:bCs/>
          <w:sz w:val="44"/>
          <w:szCs w:val="44"/>
          <w:lang w:eastAsia="zh-CN"/>
        </w:rPr>
        <w:t>（</w:t>
      </w:r>
      <w:r>
        <w:rPr>
          <w:rFonts w:hint="eastAsia" w:ascii="宋体" w:hAnsi="宋体" w:cs="宋体"/>
          <w:b/>
          <w:bCs/>
          <w:sz w:val="44"/>
          <w:szCs w:val="44"/>
          <w:lang w:val="en-US" w:eastAsia="zh-CN"/>
        </w:rPr>
        <w:t>附页码</w:t>
      </w:r>
      <w:r>
        <w:rPr>
          <w:rFonts w:hint="eastAsia" w:ascii="宋体" w:hAnsi="宋体" w:cs="宋体"/>
          <w:b/>
          <w:bCs/>
          <w:sz w:val="44"/>
          <w:szCs w:val="44"/>
          <w:lang w:eastAsia="zh-CN"/>
        </w:rPr>
        <w:t>）</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1.封面</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2.目录</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rPr>
        <w:t>3.法定代表人资格证明书及身份证复印件</w:t>
      </w:r>
    </w:p>
    <w:p>
      <w:pPr>
        <w:widowControl/>
        <w:tabs>
          <w:tab w:val="left" w:pos="630"/>
          <w:tab w:val="left" w:pos="840"/>
        </w:tabs>
        <w:spacing w:line="500" w:lineRule="exact"/>
        <w:ind w:left="4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bidi="ar"/>
        </w:rPr>
        <w:t>法定代表人授权书</w:t>
      </w:r>
      <w:r>
        <w:rPr>
          <w:rFonts w:hint="eastAsia" w:ascii="仿宋_GB2312" w:hAnsi="仿宋_GB2312" w:eastAsia="仿宋_GB2312" w:cs="仿宋_GB2312"/>
          <w:sz w:val="28"/>
          <w:szCs w:val="28"/>
        </w:rPr>
        <w:t>及授权代表人身份证复印件（如有）</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5.独立承担民事责任能力的法人或其他组织或个体工商户的营业执照</w:t>
      </w:r>
    </w:p>
    <w:p>
      <w:pPr>
        <w:tabs>
          <w:tab w:val="left" w:pos="630"/>
          <w:tab w:val="left" w:pos="840"/>
        </w:tabs>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或法人证书等证明材料复印件</w:t>
      </w:r>
    </w:p>
    <w:p>
      <w:pPr>
        <w:numPr>
          <w:ilvl w:val="0"/>
          <w:numId w:val="0"/>
        </w:numPr>
        <w:tabs>
          <w:tab w:val="left" w:pos="630"/>
          <w:tab w:val="left" w:pos="840"/>
        </w:tabs>
        <w:spacing w:line="500" w:lineRule="exact"/>
        <w:ind w:left="420" w:leftChars="0"/>
        <w:rPr>
          <w:rFonts w:hint="default" w:ascii="仿宋_GB2312" w:hAnsi="仿宋_GB2312" w:eastAsia="仿宋_GB2312" w:cs="仿宋_GB2312"/>
          <w:kern w:val="2"/>
          <w:sz w:val="28"/>
          <w:szCs w:val="28"/>
          <w:highlight w:val="yellow"/>
          <w:lang w:val="en-US" w:eastAsia="zh-CN" w:bidi="ar-SA"/>
        </w:rPr>
      </w:pPr>
      <w:r>
        <w:rPr>
          <w:rFonts w:hint="default" w:ascii="仿宋_GB2312" w:hAnsi="仿宋_GB2312" w:eastAsia="仿宋_GB2312" w:cs="仿宋_GB2312"/>
          <w:kern w:val="2"/>
          <w:sz w:val="28"/>
          <w:szCs w:val="28"/>
          <w:lang w:val="en-US" w:eastAsia="zh-CN" w:bidi="ar-SA"/>
        </w:rPr>
        <w:t>6.</w:t>
      </w:r>
      <w:r>
        <w:rPr>
          <w:rFonts w:hint="default" w:ascii="仿宋_GB2312" w:hAnsi="仿宋_GB2312" w:eastAsia="仿宋_GB2312" w:cs="仿宋_GB2312"/>
          <w:sz w:val="28"/>
          <w:szCs w:val="28"/>
          <w:lang w:val="en-US" w:eastAsia="zh-CN"/>
        </w:rPr>
        <w:t>保险许可证</w:t>
      </w:r>
    </w:p>
    <w:p>
      <w:pPr>
        <w:numPr>
          <w:ilvl w:val="0"/>
          <w:numId w:val="0"/>
        </w:numPr>
        <w:tabs>
          <w:tab w:val="left" w:pos="630"/>
          <w:tab w:val="left" w:pos="840"/>
        </w:tabs>
        <w:spacing w:line="500" w:lineRule="exact"/>
        <w:ind w:left="420" w:leftChars="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投标文件初审表</w:t>
      </w:r>
    </w:p>
    <w:p>
      <w:pPr>
        <w:tabs>
          <w:tab w:val="left" w:pos="630"/>
          <w:tab w:val="left" w:pos="840"/>
        </w:tabs>
        <w:spacing w:line="500" w:lineRule="exact"/>
        <w:ind w:left="42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.投标及履约承诺函</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.供应商基本情况表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10.社会保险证明</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11.开标一览表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服务条款偏离表</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.实施方案</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.项目重点难点分析、应对措施及相关的合理化建议</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.拟安排的项目负责人情况（仅限一人）</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.拟安排的项目主要团队成员（主要技术人员）情况（项目负责人除外）</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供应商综合偿付能力充足率情况</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.供应商同类项目业绩情况</w:t>
      </w:r>
    </w:p>
    <w:p>
      <w:pPr>
        <w:tabs>
          <w:tab w:val="left" w:pos="630"/>
          <w:tab w:val="left" w:pos="840"/>
        </w:tabs>
        <w:spacing w:line="500" w:lineRule="exact"/>
        <w:ind w:left="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.履约评价</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20.服务网点</w:t>
      </w:r>
    </w:p>
    <w:p>
      <w:pPr>
        <w:tabs>
          <w:tab w:val="left" w:pos="630"/>
          <w:tab w:val="left" w:pos="840"/>
        </w:tabs>
        <w:spacing w:line="500" w:lineRule="exact"/>
        <w:ind w:left="42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中小企业声明函</w:t>
      </w:r>
    </w:p>
    <w:p>
      <w:pPr>
        <w:tabs>
          <w:tab w:val="left" w:pos="630"/>
          <w:tab w:val="left" w:pos="840"/>
        </w:tabs>
        <w:spacing w:line="500" w:lineRule="exact"/>
        <w:ind w:left="420"/>
        <w:rPr>
          <w:rFonts w:ascii="宋体" w:hAnsi="宋体" w:cs="宋体"/>
          <w:b/>
          <w:bCs/>
          <w:sz w:val="44"/>
          <w:szCs w:val="44"/>
        </w:rPr>
      </w:pP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其他证明材料</w:t>
      </w:r>
    </w:p>
    <w:p>
      <w:pPr>
        <w:jc w:val="center"/>
        <w:rPr>
          <w:rFonts w:ascii="宋体" w:hAnsi="宋体" w:cs="宋体"/>
          <w:b/>
          <w:bCs/>
          <w:sz w:val="44"/>
          <w:szCs w:val="44"/>
        </w:rPr>
      </w:pPr>
      <w:r>
        <w:rPr>
          <w:rFonts w:hint="eastAsia" w:ascii="宋体" w:hAnsi="宋体" w:cs="宋体"/>
          <w:b/>
          <w:bCs/>
          <w:sz w:val="44"/>
          <w:szCs w:val="44"/>
        </w:rPr>
        <w:t>投标函</w:t>
      </w:r>
    </w:p>
    <w:p>
      <w:pPr>
        <w:spacing w:line="560" w:lineRule="exact"/>
        <w:jc w:val="center"/>
        <w:rPr>
          <w:rFonts w:ascii="仿宋" w:hAnsi="仿宋" w:eastAsia="仿宋" w:cs="仿宋"/>
          <w:b/>
          <w:bCs/>
          <w:sz w:val="36"/>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深圳市龙岗区第七人民医院：</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我司已经认真仔细阅读了贵单位关于</w:t>
      </w:r>
      <w:r>
        <w:rPr>
          <w:rFonts w:hint="eastAsia" w:ascii="仿宋_GB2312" w:hAnsi="仿宋_GB2312" w:eastAsia="仿宋_GB2312" w:cs="仿宋_GB2312"/>
          <w:sz w:val="32"/>
          <w:szCs w:val="32"/>
          <w:u w:val="single"/>
          <w:lang w:val="en-US" w:eastAsia="zh-CN"/>
        </w:rPr>
        <w:t>医疗责任保险</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项目的招标文件，完全同意招标文件中的所有条款，愿意按招标文件要求，决定以投标报价：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元提供与招标文件中描述相一致的产品与服务，并许以如下承诺：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1.我方愿意向招标人提供与本次招标的相关资料，并对其真实性、合法性、有效性负责。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2.我方将严格履行本投标文件中的全部承诺和责任，并遵守招标文件中对投标人的所有规定。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3.我方完全理解招标人有保留在授标之前，任何时候根据评标委员会的意见接受或拒绝任何投标的权利，并完全理解招标人对此无解释的义务。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4.我方完全理解招标人不保证投标价最低的投标人中标。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5.我方承诺在此次招标过程中涉及的一切应当保密的事项，不向任何第三方泄露，否则承担一切法律责任。</w:t>
      </w:r>
    </w:p>
    <w:p>
      <w:pPr>
        <w:pStyle w:val="8"/>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法定代表人或其授权代表人（签字）：</w:t>
      </w:r>
    </w:p>
    <w:p>
      <w:pPr>
        <w:rPr>
          <w:rFonts w:ascii="宋体" w:hAnsi="宋体" w:cs="宋体"/>
          <w:b/>
          <w:bCs/>
          <w:sz w:val="44"/>
          <w:szCs w:val="44"/>
        </w:rPr>
      </w:pPr>
      <w:r>
        <w:rPr>
          <w:rFonts w:hint="eastAsia" w:ascii="仿宋_GB2312" w:hAnsi="仿宋_GB2312" w:eastAsia="仿宋_GB2312" w:cs="仿宋_GB2312"/>
          <w:sz w:val="32"/>
          <w:szCs w:val="32"/>
        </w:rPr>
        <w:t xml:space="preserve">                投标单位全称（加盖公章）：</w:t>
      </w: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60" w:lineRule="exact"/>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440" w:lineRule="exact"/>
        <w:jc w:val="center"/>
        <w:rPr>
          <w:rFonts w:ascii="宋体" w:hAnsi="宋体" w:cs="宋体"/>
          <w:b/>
          <w:bCs/>
          <w:sz w:val="44"/>
          <w:szCs w:val="44"/>
        </w:rPr>
      </w:pPr>
      <w:r>
        <w:rPr>
          <w:rFonts w:hint="eastAsia" w:ascii="宋体" w:hAnsi="宋体" w:cs="宋体"/>
          <w:b/>
          <w:bCs/>
          <w:sz w:val="44"/>
          <w:szCs w:val="44"/>
        </w:rPr>
        <w:t>投标及履约承诺函</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深圳市龙岗区第七人民医院：</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我公司参与项目，编号：（以下简称“本项目”）院内采购活动，承诺：</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公司参与本项目所提供的货物或服务未侵犯知识产权。我公司具备《中华人民共和国政府采购法》第二十二条第一款规定的六项条件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录；法律、行政法规规定的其他条件。包括法律、行政法规和国家有关规定对供应商从事特定经营活动有资质、资格规定的，本公司具备相应条件。</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2.我公司参与本项目政府采购活动前三年内，在经营活动中没有《中华人民共和国政府采购法实施条例》第十九条规定的重大违法记录。</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3.我公司参与本项目政府采购活动时不存在被有关部门禁止参与政府采购活动且在有效期内的情况。</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4.除单一来源采购项目外，为采购项目提供整体设计、规范编制或者项目管理、监理、检测等服务的供应商，不得再参加该采购项目的其他采购活动。</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我公司参与本项目政府采购活动，严格遵守政府采购相关法律，做到诚实，不造假，不围标、串标、陪标。参与本项目采购活动不存在与其他采购参加人串通投标，隐瞒真实情况，提供虚假资料等违法违规情形，不存在《深圳市财政局政府采购供应商信用信息管理办法》（深财规〔2023〕3号）列明的严重违法失信行为；我公司已清楚，如违反上述要求，将作无效响应处理，被列入不良记录名单并在网上曝光，同时将被提请政府采购监督管理部门给予一定年限内禁止参与政府采购活动或其他处罚。</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我公司参加本项目的政府采购活动时，不存在《中华人民共和国政府采购法实施条例》第十八条规定的与参加同一项目的其他供应商“单位负责人为同一人或者存在直接控股、管理关系”的情形；不存在《深圳经济特区政府采购条例实施细则》第七十五条规定的与参加同一项目的其他供应商“法定代表人、主要经营负责人、项目投标授权代表人、项目负责人、主要技术人员为同一人、</w:t>
      </w:r>
      <w:r>
        <w:rPr>
          <w:rFonts w:hint="eastAsia" w:ascii="仿宋_GB2312" w:hAnsi="仿宋_GB2312" w:eastAsia="仿宋_GB2312" w:cs="仿宋_GB2312"/>
          <w:sz w:val="28"/>
          <w:szCs w:val="28"/>
          <w:lang w:eastAsia="zh-CN"/>
        </w:rPr>
        <w:t>属于</w:t>
      </w:r>
      <w:r>
        <w:rPr>
          <w:rFonts w:hint="eastAsia" w:ascii="仿宋_GB2312" w:hAnsi="仿宋_GB2312" w:eastAsia="仿宋_GB2312" w:cs="仿宋_GB2312"/>
          <w:sz w:val="28"/>
          <w:szCs w:val="28"/>
        </w:rPr>
        <w:t>同一单位或者在同一单位缴纳社会保险，参加同一项目的不同供应商之间不存在直接控股或管理关系”的情形。并按本项目投标文件格式要求提供《供应商基本情况表》相关信息。</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公司未被列入失信被执行人、重大税收违法案件当事人名单、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8.我公司符合法律、行政法规和国家有关规定对本项目从事特定经营活动有资质、资格规定的，供应商应当具备相应条件的要求。</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9.我公司承诺不存在联合体投标，不非法分包、转包。</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widowControl/>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widowControl/>
        <w:spacing w:line="560" w:lineRule="exact"/>
        <w:ind w:firstLine="560" w:firstLineChars="200"/>
        <w:jc w:val="left"/>
        <w:rPr>
          <w:rFonts w:ascii="仿宋_GB2312" w:hAnsi="仿宋_GB2312" w:eastAsia="仿宋_GB2312" w:cs="仿宋_GB2312"/>
          <w:sz w:val="28"/>
          <w:szCs w:val="28"/>
        </w:rPr>
      </w:pPr>
    </w:p>
    <w:p>
      <w:pPr>
        <w:widowControl/>
        <w:spacing w:line="560" w:lineRule="exact"/>
        <w:ind w:firstLine="560" w:firstLineChars="200"/>
        <w:jc w:val="left"/>
        <w:rPr>
          <w:rFonts w:ascii="仿宋_GB2312" w:hAnsi="仿宋_GB2312" w:eastAsia="仿宋_GB2312" w:cs="仿宋_GB2312"/>
          <w:sz w:val="28"/>
          <w:szCs w:val="28"/>
        </w:rPr>
      </w:pPr>
    </w:p>
    <w:p>
      <w:pPr>
        <w:widowControl/>
        <w:spacing w:line="560" w:lineRule="exact"/>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投标人（公章）：</w:t>
      </w:r>
    </w:p>
    <w:p>
      <w:pPr>
        <w:widowControl/>
        <w:spacing w:line="560" w:lineRule="exact"/>
        <w:ind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法定代表人或其授权代表签名：</w:t>
      </w:r>
    </w:p>
    <w:p>
      <w:pPr>
        <w:widowControl/>
        <w:spacing w:line="560" w:lineRule="exact"/>
        <w:ind w:firstLine="56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日期：      年    月    日</w:t>
      </w:r>
    </w:p>
    <w:p>
      <w:pPr>
        <w:widowControl/>
        <w:jc w:val="both"/>
        <w:textAlignment w:val="center"/>
        <w:rPr>
          <w:rFonts w:ascii="宋体" w:hAnsi="宋体" w:cs="宋体"/>
          <w:color w:val="000000"/>
          <w:kern w:val="0"/>
          <w:sz w:val="44"/>
          <w:szCs w:val="44"/>
          <w:lang w:bidi="ar"/>
        </w:rPr>
      </w:pPr>
      <w:bookmarkStart w:id="1" w:name="_Toc24111"/>
    </w:p>
    <w:p>
      <w:pPr>
        <w:widowControl/>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法定代表人证明书</w:t>
      </w:r>
    </w:p>
    <w:p>
      <w:pPr>
        <w:rPr>
          <w:rFonts w:ascii="仿宋" w:hAnsi="仿宋" w:eastAsia="仿宋" w:cs="仿宋"/>
          <w:color w:val="000000"/>
          <w:sz w:val="28"/>
          <w:szCs w:val="28"/>
        </w:rPr>
      </w:pPr>
    </w:p>
    <w:p>
      <w:pPr>
        <w:spacing w:line="56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先生/小姐，现任我单位</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职务，为法定代表人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负责人）</w:t>
      </w:r>
      <w:r>
        <w:rPr>
          <w:rFonts w:hint="eastAsia" w:ascii="仿宋" w:hAnsi="仿宋" w:eastAsia="仿宋" w:cs="仿宋"/>
          <w:color w:val="000000"/>
          <w:sz w:val="32"/>
          <w:szCs w:val="32"/>
        </w:rPr>
        <w:t>，特此证明。</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有效日期：               签发日期：  </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单位：                   （盖章）</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代表人性别：        年龄：       身份证号码：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营业执照号码：                   经济性质：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进口物品经营许可证号码：</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主营（产）：</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兼营（产）：</w:t>
      </w:r>
    </w:p>
    <w:p>
      <w:pPr>
        <w:spacing w:line="560" w:lineRule="exact"/>
        <w:ind w:firstLine="640" w:firstLineChars="200"/>
        <w:rPr>
          <w:rFonts w:ascii="仿宋" w:hAnsi="仿宋" w:eastAsia="仿宋" w:cs="仿宋"/>
          <w:color w:val="000000"/>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5460" w:type="dxa"/>
            <w:noWrap/>
          </w:tcPr>
          <w:p/>
          <w:p/>
          <w:p>
            <w:pPr>
              <w:pStyle w:val="8"/>
            </w:pPr>
          </w:p>
          <w:p>
            <w:pPr>
              <w:ind w:firstLine="2100" w:firstLineChars="1000"/>
            </w:pPr>
            <w:r>
              <w:rPr>
                <w:rFonts w:hint="eastAsia"/>
              </w:rPr>
              <w:t>正反面</w:t>
            </w:r>
          </w:p>
        </w:tc>
      </w:tr>
    </w:tbl>
    <w:p>
      <w:pPr>
        <w:widowControl/>
        <w:spacing w:line="440" w:lineRule="exact"/>
        <w:jc w:val="center"/>
        <w:textAlignment w:val="center"/>
        <w:rPr>
          <w:rFonts w:ascii="宋体" w:hAnsi="宋体" w:cs="宋体"/>
          <w:color w:val="000000"/>
          <w:kern w:val="0"/>
          <w:sz w:val="44"/>
          <w:szCs w:val="44"/>
          <w:lang w:bidi="ar"/>
        </w:r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法定代表人授权书</w:t>
      </w:r>
    </w:p>
    <w:p>
      <w:pPr>
        <w:spacing w:line="440" w:lineRule="exact"/>
        <w:rPr>
          <w:color w:val="000000"/>
        </w:rPr>
      </w:pPr>
    </w:p>
    <w:p>
      <w:pPr>
        <w:spacing w:line="4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本授权书声明：注册于</w:t>
      </w:r>
      <w:r>
        <w:rPr>
          <w:rFonts w:hint="eastAsia" w:ascii="仿宋" w:hAnsi="仿宋" w:eastAsia="仿宋" w:cs="仿宋"/>
          <w:color w:val="000000"/>
          <w:sz w:val="32"/>
          <w:szCs w:val="32"/>
          <w:u w:val="single"/>
        </w:rPr>
        <w:t>（国家或地区的名称）</w:t>
      </w:r>
      <w:r>
        <w:rPr>
          <w:rFonts w:hint="eastAsia" w:ascii="仿宋" w:hAnsi="仿宋" w:eastAsia="仿宋" w:cs="仿宋"/>
          <w:color w:val="000000"/>
          <w:sz w:val="32"/>
          <w:szCs w:val="32"/>
        </w:rPr>
        <w:t>的</w:t>
      </w:r>
      <w:r>
        <w:rPr>
          <w:rFonts w:hint="eastAsia" w:ascii="仿宋" w:hAnsi="仿宋" w:eastAsia="仿宋" w:cs="仿宋"/>
          <w:color w:val="000000"/>
          <w:sz w:val="32"/>
          <w:szCs w:val="32"/>
          <w:u w:val="single"/>
        </w:rPr>
        <w:t>（公司名称）</w:t>
      </w:r>
      <w:r>
        <w:rPr>
          <w:rFonts w:hint="eastAsia" w:ascii="仿宋" w:hAnsi="仿宋" w:eastAsia="仿宋" w:cs="仿宋"/>
          <w:color w:val="000000"/>
          <w:sz w:val="32"/>
          <w:szCs w:val="32"/>
        </w:rPr>
        <w:t>的在下面签字的</w:t>
      </w:r>
      <w:r>
        <w:rPr>
          <w:rFonts w:hint="eastAsia" w:ascii="仿宋" w:hAnsi="仿宋" w:eastAsia="仿宋" w:cs="仿宋"/>
          <w:color w:val="000000"/>
          <w:sz w:val="32"/>
          <w:szCs w:val="32"/>
          <w:u w:val="single"/>
        </w:rPr>
        <w:t>（法定代表人</w:t>
      </w:r>
      <w:r>
        <w:rPr>
          <w:rFonts w:hint="eastAsia" w:ascii="仿宋" w:hAnsi="仿宋" w:eastAsia="仿宋" w:cs="仿宋"/>
          <w:color w:val="000000"/>
          <w:sz w:val="32"/>
          <w:szCs w:val="32"/>
          <w:u w:val="single"/>
          <w:lang w:eastAsia="zh-CN"/>
        </w:rPr>
        <w:t>（</w:t>
      </w:r>
      <w:r>
        <w:rPr>
          <w:rFonts w:hint="eastAsia" w:ascii="仿宋" w:hAnsi="仿宋" w:eastAsia="仿宋" w:cs="仿宋"/>
          <w:color w:val="000000"/>
          <w:sz w:val="32"/>
          <w:szCs w:val="32"/>
          <w:u w:val="single"/>
          <w:lang w:val="en-US" w:eastAsia="zh-CN"/>
        </w:rPr>
        <w:t>负责人）</w:t>
      </w:r>
      <w:r>
        <w:rPr>
          <w:rFonts w:hint="eastAsia" w:ascii="仿宋" w:hAnsi="仿宋" w:eastAsia="仿宋" w:cs="仿宋"/>
          <w:color w:val="000000"/>
          <w:sz w:val="32"/>
          <w:szCs w:val="32"/>
          <w:u w:val="single"/>
        </w:rPr>
        <w:t>姓名、职务）</w:t>
      </w:r>
      <w:r>
        <w:rPr>
          <w:rFonts w:hint="eastAsia" w:ascii="仿宋" w:hAnsi="仿宋" w:eastAsia="仿宋" w:cs="仿宋"/>
          <w:color w:val="000000"/>
          <w:sz w:val="32"/>
          <w:szCs w:val="32"/>
        </w:rPr>
        <w:t>代表本公司授权</w:t>
      </w:r>
      <w:r>
        <w:rPr>
          <w:rFonts w:hint="eastAsia" w:ascii="仿宋" w:hAnsi="仿宋" w:eastAsia="仿宋" w:cs="仿宋"/>
          <w:color w:val="000000"/>
          <w:sz w:val="32"/>
          <w:szCs w:val="32"/>
          <w:u w:val="single"/>
        </w:rPr>
        <w:t>（单位名称）</w:t>
      </w:r>
      <w:r>
        <w:rPr>
          <w:rFonts w:hint="eastAsia" w:ascii="仿宋" w:hAnsi="仿宋" w:eastAsia="仿宋" w:cs="仿宋"/>
          <w:color w:val="000000"/>
          <w:sz w:val="32"/>
          <w:szCs w:val="32"/>
        </w:rPr>
        <w:t>的在下面签字的</w:t>
      </w:r>
      <w:r>
        <w:rPr>
          <w:rFonts w:hint="eastAsia" w:ascii="仿宋" w:hAnsi="仿宋" w:eastAsia="仿宋" w:cs="仿宋"/>
          <w:color w:val="000000"/>
          <w:sz w:val="32"/>
          <w:szCs w:val="32"/>
          <w:u w:val="single"/>
        </w:rPr>
        <w:t>（被授权人的姓名、职务）</w:t>
      </w:r>
      <w:r>
        <w:rPr>
          <w:rFonts w:hint="eastAsia" w:ascii="仿宋" w:hAnsi="仿宋" w:eastAsia="仿宋" w:cs="仿宋"/>
          <w:color w:val="000000"/>
          <w:sz w:val="32"/>
          <w:szCs w:val="32"/>
        </w:rPr>
        <w:t>为本公司的合法代理人，就</w:t>
      </w:r>
      <w:r>
        <w:rPr>
          <w:rFonts w:hint="eastAsia" w:ascii="仿宋" w:hAnsi="仿宋" w:eastAsia="仿宋" w:cs="仿宋"/>
          <w:color w:val="000000"/>
          <w:sz w:val="32"/>
          <w:szCs w:val="32"/>
          <w:u w:val="single"/>
        </w:rPr>
        <w:t>（项目名称）</w:t>
      </w:r>
      <w:r>
        <w:rPr>
          <w:rFonts w:hint="eastAsia" w:ascii="仿宋" w:hAnsi="仿宋" w:eastAsia="仿宋" w:cs="仿宋"/>
          <w:color w:val="000000"/>
          <w:sz w:val="32"/>
          <w:szCs w:val="32"/>
        </w:rPr>
        <w:t>投标及参加项目谈判，以本公司名义处理一切与之有关的事务。</w:t>
      </w:r>
    </w:p>
    <w:p>
      <w:pPr>
        <w:spacing w:line="440" w:lineRule="exact"/>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本授权书于</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w:t>
      </w:r>
      <w:r>
        <w:rPr>
          <w:rFonts w:hint="eastAsia" w:ascii="仿宋" w:hAnsi="仿宋" w:eastAsia="仿宋" w:cs="仿宋"/>
          <w:color w:val="000000"/>
          <w:sz w:val="32"/>
          <w:szCs w:val="32"/>
        </w:rPr>
        <w:t>日签字生效，有效期至</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none"/>
          <w:lang w:val="en-US" w:eastAsia="zh-CN"/>
        </w:rPr>
        <w:t>。</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特此声明。</w:t>
      </w:r>
    </w:p>
    <w:p>
      <w:pPr>
        <w:spacing w:line="440" w:lineRule="exact"/>
        <w:ind w:firstLine="480" w:firstLineChars="200"/>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负责人）</w:t>
      </w:r>
      <w:r>
        <w:rPr>
          <w:rFonts w:hint="eastAsia" w:ascii="仿宋" w:hAnsi="仿宋" w:eastAsia="仿宋" w:cs="仿宋"/>
          <w:color w:val="000000"/>
          <w:sz w:val="32"/>
          <w:szCs w:val="32"/>
        </w:rPr>
        <w:t xml:space="preserve">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被授权人签字：　</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单位盖章：　</w:t>
      </w:r>
    </w:p>
    <w:p>
      <w:pPr>
        <w:spacing w:line="440" w:lineRule="exact"/>
        <w:rPr>
          <w:rFonts w:ascii="仿宋" w:hAnsi="仿宋" w:eastAsia="仿宋" w:cs="仿宋"/>
          <w:color w:val="000000"/>
          <w:sz w:val="24"/>
          <w:szCs w:val="32"/>
        </w:rPr>
      </w:pP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附：</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被授权人姓名：                       身份证号：</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职务：</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详细通信地址：</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邮政编码：</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联系电话：</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移动电话：</w:t>
      </w:r>
    </w:p>
    <w:p>
      <w:pPr>
        <w:spacing w:line="440" w:lineRule="exact"/>
        <w:rPr>
          <w:rFonts w:ascii="仿宋" w:hAnsi="仿宋" w:eastAsia="仿宋" w:cs="仿宋"/>
          <w:color w:val="000000"/>
          <w:sz w:val="24"/>
          <w:szCs w:val="32"/>
        </w:rPr>
      </w:pPr>
      <w:r>
        <w:rPr>
          <w:rFonts w:hint="eastAsia" w:ascii="仿宋" w:hAnsi="仿宋" w:eastAsia="仿宋" w:cs="仿宋"/>
          <w:color w:val="000000"/>
          <w:sz w:val="32"/>
          <w:szCs w:val="32"/>
        </w:rPr>
        <w:t>传真：</w:t>
      </w:r>
    </w:p>
    <w:p>
      <w:pPr>
        <w:spacing w:line="440" w:lineRule="exact"/>
        <w:rPr>
          <w:rFonts w:ascii="仿宋" w:hAnsi="仿宋" w:eastAsia="仿宋" w:cs="仿宋"/>
          <w:color w:val="000000"/>
          <w:sz w:val="32"/>
          <w:szCs w:val="32"/>
        </w:rPr>
      </w:pPr>
      <w:r>
        <w:rPr>
          <w:rFonts w:hint="eastAsia" w:ascii="仿宋" w:hAnsi="仿宋" w:eastAsia="仿宋" w:cs="仿宋"/>
          <w:color w:val="000000"/>
          <w:sz w:val="32"/>
          <w:szCs w:val="32"/>
        </w:rPr>
        <w:t>身份证复印件：</w:t>
      </w:r>
    </w:p>
    <w:tbl>
      <w:tblPr>
        <w:tblStyle w:val="1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580" w:type="dxa"/>
            <w:noWrap/>
          </w:tcPr>
          <w:p/>
          <w:p/>
          <w:p>
            <w:pPr>
              <w:ind w:firstLine="2310" w:firstLineChars="1100"/>
            </w:pPr>
          </w:p>
          <w:p>
            <w:pPr>
              <w:ind w:firstLine="2310" w:firstLineChars="1100"/>
            </w:pPr>
            <w:r>
              <w:rPr>
                <w:rFonts w:hint="eastAsia"/>
              </w:rPr>
              <w:t>正反面</w:t>
            </w:r>
          </w:p>
        </w:tc>
      </w:tr>
    </w:tbl>
    <w:p>
      <w:pPr>
        <w:pStyle w:val="2"/>
        <w:ind w:left="420" w:hanging="420"/>
        <w:jc w:val="center"/>
        <w:rPr>
          <w:rFonts w:ascii="宋体" w:hAnsi="宋体" w:cs="宋体"/>
          <w:b/>
          <w:bCs/>
          <w:sz w:val="44"/>
          <w:szCs w:val="44"/>
        </w:rPr>
      </w:pPr>
    </w:p>
    <w:p>
      <w:pPr>
        <w:pStyle w:val="2"/>
        <w:ind w:left="420" w:hanging="420"/>
        <w:jc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供应商基本情况表</w:t>
      </w:r>
      <w:bookmarkEnd w:id="1"/>
    </w:p>
    <w:p>
      <w:pPr>
        <w:rPr>
          <w:u w:val="single"/>
        </w:rPr>
      </w:pPr>
      <w:r>
        <w:rPr>
          <w:rFonts w:hint="eastAsia"/>
        </w:rPr>
        <w:t>填表单位：</w:t>
      </w:r>
      <w:r>
        <w:rPr>
          <w:rFonts w:hint="eastAsia"/>
          <w:u w:val="single"/>
        </w:rPr>
        <w:t xml:space="preserve">           </w:t>
      </w:r>
      <w:r>
        <w:rPr>
          <w:rFonts w:hint="eastAsia"/>
        </w:rPr>
        <w:t xml:space="preserve"> （加盖单位公章）                       填表日期：      年  月  日</w:t>
      </w:r>
    </w:p>
    <w:tbl>
      <w:tblPr>
        <w:tblStyle w:val="1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957"/>
        <w:gridCol w:w="1429"/>
        <w:gridCol w:w="1583"/>
        <w:gridCol w:w="1583"/>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362" w:type="dxa"/>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rPr>
              <w:t>采购</w:t>
            </w:r>
            <w:r>
              <w:rPr>
                <w:rFonts w:hint="eastAsia" w:ascii="宋体" w:hAnsi="宋体" w:cs="宋体"/>
                <w:szCs w:val="21"/>
                <w:lang w:val="en-US" w:eastAsia="zh-CN"/>
              </w:rPr>
              <w:t>单位</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投标（响应）供应商</w:t>
            </w:r>
          </w:p>
        </w:tc>
        <w:tc>
          <w:tcPr>
            <w:tcW w:w="3386" w:type="dxa"/>
            <w:gridSpan w:val="2"/>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供应商统一社会信用代码</w:t>
            </w: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职务</w:t>
            </w:r>
          </w:p>
        </w:tc>
        <w:tc>
          <w:tcPr>
            <w:tcW w:w="142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身份证号码</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劳动合同</w:t>
            </w:r>
          </w:p>
          <w:p>
            <w:pPr>
              <w:spacing w:line="360" w:lineRule="auto"/>
              <w:jc w:val="center"/>
              <w:rPr>
                <w:rFonts w:ascii="宋体" w:hAnsi="宋体" w:cs="宋体"/>
                <w:szCs w:val="21"/>
              </w:rPr>
            </w:pPr>
            <w:r>
              <w:rPr>
                <w:rFonts w:hint="eastAsia" w:ascii="宋体" w:hAnsi="宋体" w:cs="宋体"/>
                <w:szCs w:val="21"/>
              </w:rPr>
              <w:t>关系单位</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缴纳社会</w:t>
            </w:r>
          </w:p>
          <w:p>
            <w:pPr>
              <w:spacing w:line="360" w:lineRule="auto"/>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cs="宋体"/>
                <w:szCs w:val="21"/>
                <w:lang w:val="en-US" w:eastAsia="zh-CN"/>
              </w:rPr>
              <w:t>负责人）</w:t>
            </w:r>
            <w:r>
              <w:rPr>
                <w:rFonts w:hint="eastAsia" w:ascii="宋体" w:hAnsi="宋体" w:cs="宋体"/>
                <w:szCs w:val="21"/>
              </w:rPr>
              <w:t>/单位负责人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主要经营负责人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项目投标授权代表人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项目负责人</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主要技术人员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957" w:type="dxa"/>
            <w:vAlign w:val="center"/>
          </w:tcPr>
          <w:p>
            <w:pPr>
              <w:spacing w:line="360" w:lineRule="auto"/>
              <w:jc w:val="center"/>
              <w:rPr>
                <w:rFonts w:ascii="宋体" w:hAnsi="宋体" w:cs="宋体"/>
                <w:szCs w:val="21"/>
              </w:rPr>
            </w:pPr>
            <w:r>
              <w:rPr>
                <w:rFonts w:hint="eastAsia" w:ascii="宋体" w:hAnsi="宋体" w:cs="宋体"/>
                <w:szCs w:val="21"/>
              </w:rPr>
              <w:t>投标文件编制人员</w:t>
            </w:r>
          </w:p>
        </w:tc>
        <w:tc>
          <w:tcPr>
            <w:tcW w:w="1429"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c>
          <w:tcPr>
            <w:tcW w:w="158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97" w:type="dxa"/>
            <w:gridSpan w:val="6"/>
            <w:vAlign w:val="center"/>
          </w:tcPr>
          <w:p>
            <w:pPr>
              <w:spacing w:line="360" w:lineRule="auto"/>
              <w:jc w:val="center"/>
              <w:rPr>
                <w:rFonts w:ascii="宋体" w:hAnsi="宋体" w:cs="宋体"/>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关联关系类型</w:t>
            </w:r>
          </w:p>
        </w:tc>
        <w:tc>
          <w:tcPr>
            <w:tcW w:w="1583" w:type="dxa"/>
            <w:vAlign w:val="center"/>
          </w:tcPr>
          <w:p>
            <w:pPr>
              <w:spacing w:line="360" w:lineRule="auto"/>
              <w:jc w:val="center"/>
              <w:rPr>
                <w:rFonts w:ascii="宋体" w:hAnsi="宋体" w:cs="宋体"/>
                <w:szCs w:val="21"/>
              </w:rPr>
            </w:pPr>
            <w:r>
              <w:rPr>
                <w:rFonts w:hint="eastAsia" w:ascii="宋体" w:hAnsi="宋体" w:cs="宋体"/>
                <w:szCs w:val="21"/>
              </w:rPr>
              <w:t>关联主体名称</w:t>
            </w: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1</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控股股东</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2" w:type="dxa"/>
            <w:vAlign w:val="center"/>
          </w:tcPr>
          <w:p>
            <w:pPr>
              <w:spacing w:line="360" w:lineRule="auto"/>
              <w:jc w:val="center"/>
              <w:rPr>
                <w:rFonts w:ascii="宋体" w:hAnsi="宋体" w:cs="宋体"/>
                <w:szCs w:val="21"/>
              </w:rPr>
            </w:pPr>
            <w:r>
              <w:rPr>
                <w:rFonts w:hint="eastAsia" w:ascii="宋体" w:hAnsi="宋体" w:cs="宋体"/>
                <w:szCs w:val="21"/>
              </w:rPr>
              <w:t>2</w:t>
            </w:r>
          </w:p>
        </w:tc>
        <w:tc>
          <w:tcPr>
            <w:tcW w:w="3386" w:type="dxa"/>
            <w:gridSpan w:val="2"/>
            <w:vAlign w:val="center"/>
          </w:tcPr>
          <w:p>
            <w:pPr>
              <w:spacing w:line="360" w:lineRule="auto"/>
              <w:jc w:val="center"/>
              <w:rPr>
                <w:rFonts w:ascii="宋体" w:hAnsi="宋体" w:cs="宋体"/>
                <w:szCs w:val="21"/>
              </w:rPr>
            </w:pPr>
            <w:r>
              <w:rPr>
                <w:rFonts w:hint="eastAsia" w:ascii="宋体" w:hAnsi="宋体" w:cs="宋体"/>
                <w:szCs w:val="21"/>
              </w:rPr>
              <w:t>管理关系</w:t>
            </w:r>
          </w:p>
        </w:tc>
        <w:tc>
          <w:tcPr>
            <w:tcW w:w="1583" w:type="dxa"/>
            <w:vAlign w:val="center"/>
          </w:tcPr>
          <w:p>
            <w:pPr>
              <w:spacing w:line="360" w:lineRule="auto"/>
              <w:jc w:val="center"/>
              <w:rPr>
                <w:rFonts w:ascii="宋体" w:hAnsi="宋体" w:cs="宋体"/>
                <w:szCs w:val="21"/>
              </w:rPr>
            </w:pPr>
          </w:p>
        </w:tc>
        <w:tc>
          <w:tcPr>
            <w:tcW w:w="3166" w:type="dxa"/>
            <w:gridSpan w:val="2"/>
            <w:vAlign w:val="center"/>
          </w:tcPr>
          <w:p>
            <w:pPr>
              <w:spacing w:line="360" w:lineRule="auto"/>
              <w:jc w:val="center"/>
              <w:rPr>
                <w:rFonts w:ascii="宋体" w:hAnsi="宋体" w:cs="宋体"/>
                <w:szCs w:val="21"/>
              </w:rPr>
            </w:pPr>
            <w:r>
              <w:rPr>
                <w:rFonts w:hint="eastAsia" w:ascii="宋体" w:hAnsi="宋体" w:cs="宋体"/>
                <w:szCs w:val="21"/>
              </w:rPr>
              <w:t xml:space="preserve">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 </w:t>
            </w:r>
          </w:p>
          <w:p>
            <w:pPr>
              <w:spacing w:line="360" w:lineRule="auto"/>
              <w:rPr>
                <w:rFonts w:ascii="宋体" w:hAnsi="宋体" w:cs="宋体"/>
                <w:szCs w:val="21"/>
              </w:rPr>
            </w:pPr>
            <w:r>
              <w:rPr>
                <w:rFonts w:hint="eastAsia" w:ascii="宋体" w:hAnsi="宋体" w:cs="宋体"/>
                <w:szCs w:val="21"/>
              </w:rPr>
              <w:t>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497" w:type="dxa"/>
            <w:gridSpan w:val="6"/>
            <w:vAlign w:val="center"/>
          </w:tcPr>
          <w:p>
            <w:pPr>
              <w:spacing w:line="360" w:lineRule="auto"/>
              <w:jc w:val="left"/>
              <w:rPr>
                <w:rFonts w:ascii="宋体" w:hAnsi="宋体" w:cs="宋体"/>
                <w:szCs w:val="21"/>
              </w:rPr>
            </w:pPr>
            <w:r>
              <w:rPr>
                <w:rFonts w:hint="eastAsia" w:ascii="宋体" w:hAnsi="宋体" w:cs="宋体"/>
                <w:b/>
                <w:bCs/>
                <w:szCs w:val="21"/>
              </w:rPr>
              <w:t>说明：同一关联关系类型有多个主体的，应分行填写。</w:t>
            </w:r>
          </w:p>
        </w:tc>
      </w:tr>
    </w:tbl>
    <w:p/>
    <w:p>
      <w:pPr>
        <w:rPr>
          <w:rFonts w:ascii="宋体" w:hAnsi="宋体" w:cs="宋体"/>
          <w:sz w:val="30"/>
          <w:szCs w:val="30"/>
        </w:rPr>
      </w:pPr>
      <w:r>
        <w:rPr>
          <w:rFonts w:hint="eastAsia" w:ascii="宋体" w:hAnsi="宋体" w:cs="宋体"/>
          <w:sz w:val="30"/>
          <w:szCs w:val="30"/>
        </w:rPr>
        <w:br w:type="page"/>
      </w:r>
    </w:p>
    <w:p>
      <w:pPr>
        <w:pStyle w:val="2"/>
        <w:ind w:left="420" w:hanging="420"/>
        <w:jc w:val="center"/>
        <w:rPr>
          <w:rFonts w:ascii="宋体" w:hAnsi="宋体" w:cs="宋体"/>
          <w:color w:val="000000"/>
          <w:kern w:val="0"/>
          <w:sz w:val="44"/>
          <w:szCs w:val="44"/>
          <w:lang w:bidi="ar"/>
        </w:rPr>
      </w:pPr>
      <w:bookmarkStart w:id="2" w:name="_Toc17532"/>
      <w:bookmarkStart w:id="3" w:name="_Toc14311"/>
      <w:r>
        <w:rPr>
          <w:rFonts w:hint="eastAsia" w:ascii="宋体" w:hAnsi="宋体" w:cs="宋体"/>
          <w:color w:val="000000"/>
          <w:kern w:val="0"/>
          <w:sz w:val="44"/>
          <w:szCs w:val="44"/>
          <w:lang w:bidi="ar"/>
        </w:rPr>
        <w:t>提供社会保险证明</w:t>
      </w:r>
      <w:bookmarkEnd w:id="2"/>
      <w:bookmarkEnd w:id="3"/>
    </w:p>
    <w:p>
      <w:pPr>
        <w:pStyle w:val="27"/>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提供主要经营负责人最近一个月的社保证明：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项目投标授权代表人最近一个月的社保证明：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提供项目负责人最近一个月的社保证明（如有）：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提供主要技术人员最近一个月的社保证明（如有）：</w:t>
      </w:r>
    </w:p>
    <w:p>
      <w:pPr>
        <w:spacing w:line="500" w:lineRule="exact"/>
        <w:rPr>
          <w:rFonts w:ascii="宋体" w:hAnsi="宋体"/>
        </w:rPr>
      </w:pPr>
    </w:p>
    <w:p>
      <w:pPr>
        <w:pStyle w:val="8"/>
        <w:ind w:firstLine="640" w:firstLineChars="200"/>
      </w:pPr>
      <w:r>
        <w:rPr>
          <w:rFonts w:hint="eastAsia"/>
        </w:rPr>
        <w:t>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、主要经营负责人、项目投标授权代表人的社会保险未由投标人单位缴纳，亦须提供相应单位为其缴纳的社会保险证明。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2.项目负责人和主要技术人员的社会保险须由投标人单位缴纳。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3.投标人为新成立企业且成立时间不足一个月可提供加盖投标人公章的情况说明或者证明材料亦视为符合。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4.由于社保部门或税务部门的原因最近一个月的社保证明无法提供的可往前顺延一个月。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5.如依法不需要缴纳社会保险的，应提供相应文件证明；如为退休返聘人员提供退休证明和聘用合同。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6.若因社保部门原因无法提供的，需提供劳动合同及社保部门官方通知证明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或官网公告截图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7.如本项目未安排项目负责人、主要技术人员的，无需提供项目负责人、主要技术人员的社会保险证明。</w:t>
      </w:r>
    </w:p>
    <w:p>
      <w:pPr>
        <w:rPr>
          <w:rFonts w:ascii="仿宋_GB2312" w:hAnsi="仿宋_GB2312" w:eastAsia="仿宋_GB2312" w:cs="仿宋_GB2312"/>
          <w:sz w:val="32"/>
          <w:szCs w:val="32"/>
        </w:rPr>
      </w:pPr>
    </w:p>
    <w:p>
      <w:pPr>
        <w:pStyle w:val="4"/>
      </w:pPr>
    </w:p>
    <w:p>
      <w:pPr>
        <w:jc w:val="center"/>
        <w:rPr>
          <w:rFonts w:ascii="仿宋" w:hAnsi="仿宋" w:eastAsia="仿宋" w:cs="仿宋"/>
          <w:b/>
          <w:bCs/>
          <w:sz w:val="28"/>
          <w:szCs w:val="36"/>
        </w:rPr>
      </w:pPr>
      <w:r>
        <w:rPr>
          <w:rFonts w:hint="eastAsia" w:ascii="宋体" w:hAnsi="宋体" w:cs="宋体"/>
          <w:b/>
          <w:bCs/>
          <w:sz w:val="44"/>
          <w:szCs w:val="44"/>
        </w:rPr>
        <w:t>政府采购优惠政策（根据实际情况提供）</w:t>
      </w:r>
    </w:p>
    <w:p>
      <w:pPr>
        <w:pStyle w:val="3"/>
        <w:spacing w:beforeAutospacing="0" w:afterAutospacing="0" w:line="500" w:lineRule="exact"/>
        <w:jc w:val="center"/>
        <w:rPr>
          <w:rFonts w:hint="default" w:ascii="黑体"/>
          <w:sz w:val="32"/>
          <w:szCs w:val="32"/>
        </w:rPr>
      </w:pPr>
    </w:p>
    <w:p>
      <w:pPr>
        <w:pStyle w:val="3"/>
        <w:spacing w:beforeAutospacing="0" w:afterAutospacing="0" w:line="500" w:lineRule="exact"/>
        <w:ind w:firstLine="640" w:firstLineChars="200"/>
        <w:jc w:val="both"/>
        <w:rPr>
          <w:rFonts w:hint="default" w:ascii="黑体" w:hAnsi="黑体" w:eastAsia="黑体" w:cs="黑体"/>
          <w:bCs/>
          <w:sz w:val="32"/>
          <w:szCs w:val="32"/>
        </w:rPr>
      </w:pPr>
      <w:r>
        <w:rPr>
          <w:rFonts w:ascii="黑体" w:hAnsi="黑体" w:eastAsia="黑体" w:cs="黑体"/>
          <w:sz w:val="32"/>
          <w:szCs w:val="32"/>
        </w:rPr>
        <w:t>一、投标人情况及资格证明文件</w:t>
      </w:r>
      <w:bookmarkStart w:id="4" w:name="_Hlk72257590"/>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（一）投标人资格证明文件</w:t>
      </w:r>
    </w:p>
    <w:p>
      <w:pPr>
        <w:spacing w:line="500" w:lineRule="exact"/>
        <w:ind w:firstLine="640" w:firstLineChars="200"/>
        <w:rPr>
          <w:rFonts w:hint="eastAsia" w:eastAsia="仿宋_GB2312"/>
          <w:b/>
          <w:bCs/>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特别提示：投标人须按本招标文件第一册第一章招标公告“申请人的资格要求”（即投标人资格要求）提供相关的资格证明资料，未提供或提供不完整、不符合要求的，将作投标无效处理</w:t>
      </w:r>
      <w:r>
        <w:rPr>
          <w:rFonts w:hint="eastAsia" w:ascii="仿宋_GB2312" w:hAnsi="仿宋_GB2312" w:eastAsia="仿宋_GB2312" w:cs="仿宋_GB2312"/>
          <w:sz w:val="32"/>
          <w:szCs w:val="32"/>
          <w:lang w:val="en-US" w:eastAsia="zh-CN"/>
        </w:rPr>
        <w:t>]</w:t>
      </w:r>
    </w:p>
    <w:p>
      <w:pPr>
        <w:spacing w:line="500" w:lineRule="exact"/>
        <w:ind w:firstLine="640" w:firstLineChars="200"/>
        <w:jc w:val="left"/>
        <w:outlineLvl w:val="3"/>
        <w:rPr>
          <w:rFonts w:ascii="楷体" w:hAnsi="楷体" w:eastAsia="楷体" w:cs="楷体"/>
          <w:bCs/>
          <w:sz w:val="32"/>
          <w:szCs w:val="32"/>
        </w:rPr>
      </w:pPr>
      <w:r>
        <w:rPr>
          <w:rFonts w:hint="eastAsia" w:ascii="楷体" w:hAnsi="楷体" w:eastAsia="楷体" w:cs="楷体"/>
          <w:bCs/>
          <w:sz w:val="32"/>
          <w:szCs w:val="32"/>
        </w:rPr>
        <w:t>（二）中小企业声明函、残疾人福利性单位声明函及监狱企业声明函</w:t>
      </w:r>
      <w:bookmarkEnd w:id="4"/>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填写指引：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2.该部分内容填写需要参考的相关文件：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财政部《政府采购促进中小企业发展管理办法》（财库〔2020〕46号）；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bookmarkStart w:id="5" w:name="_Hlk71925120"/>
      <w:r>
        <w:rPr>
          <w:rFonts w:hint="eastAsia" w:ascii="仿宋_GB2312" w:hAnsi="仿宋_GB2312" w:eastAsia="仿宋_GB2312" w:cs="仿宋_GB2312"/>
          <w:sz w:val="32"/>
          <w:szCs w:val="32"/>
        </w:rPr>
        <w:t>《工业和信息化部、国家统计局、国家发展和改革委员会、财政部关于印发中小企业划型标准规定的通知》（工信部联企业〔2011〕300号</w:t>
      </w:r>
      <w:bookmarkEnd w:id="5"/>
      <w:r>
        <w:rPr>
          <w:rFonts w:hint="eastAsia" w:ascii="仿宋_GB2312" w:hAnsi="仿宋_GB2312" w:eastAsia="仿宋_GB2312" w:cs="仿宋_GB2312"/>
          <w:sz w:val="32"/>
          <w:szCs w:val="32"/>
        </w:rPr>
        <w:t>，以下简称300号文）；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《政府采购促进中小企业发展管理办法》（财库〔2020〕46号）；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《关于印发中小企业划型标准规定的通知》（工信部联企业〔2011〕300号）；</w:t>
      </w:r>
    </w:p>
    <w:p>
      <w:pPr>
        <w:spacing w:line="500" w:lineRule="exact"/>
        <w:ind w:firstLine="640" w:firstLineChars="200"/>
        <w:jc w:val="left"/>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《统计上大中小微型企业划分办法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》（国统字〔2017〕213号）；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《关于促进残疾人就业政府采购政策的通知》（财库〔2017〕141号）；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《关于政府采购支持监狱企业发展有关问题的通知》（财库〔2014〕68号）。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请依照提供的格式和内容填写声明函，不要随意变更格式；声明函不需要盖章或签字；满足多项优惠政策的投标人，不重复享受多项价格扣除政策。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声明函具体填写要求：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（1）声明是中小企业须填写《中小企业声明函》的以下内容：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第一处，在“单位名称”下划线处如实填写采购人名称（深圳公共资源交易中心不是本项目的采购人，而是组织实施机构）；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第二处，在“项目名称”下划线处如实填写采购项目名称；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第三处，在“标的名称”下划线处填写所采购货物（标的）的具体名称；如果涉及多项货物（标的）为同一企业制造，“标的名称”下划线处可以如实填写多项货物；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第四处，在“招标文件中明确的所属行业”下划线处填写采购标的对应的中小企业划分标准所属行业；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（2）声明：残疾人福利性单位须填写《残疾人福利性单位声明函》的相关内容，具体参照以上《中小企业声明函》填写要求执行。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（3）声明：监狱企业须填写《监狱企业声明函》的三项内容（填写位置的字体已加粗），具体参照以上《中小企业声明函》填写要求执行。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声明函的有效性最终由评审委员会判定；如评审委员会判定声明函无效，相关供应商不享受价格扣除（但不作投标无效处理）。</w:t>
      </w:r>
    </w:p>
    <w:p>
      <w:pPr>
        <w:pStyle w:val="3"/>
        <w:spacing w:beforeAutospacing="0" w:afterAutospacing="0" w:line="500" w:lineRule="exact"/>
        <w:ind w:firstLine="640" w:firstLineChars="200"/>
        <w:jc w:val="both"/>
        <w:rPr>
          <w:rFonts w:hint="default"/>
          <w:b/>
          <w:sz w:val="36"/>
          <w:szCs w:val="36"/>
        </w:rPr>
      </w:pPr>
      <w:r>
        <w:rPr>
          <w:rFonts w:ascii="黑体" w:hAnsi="黑体" w:eastAsia="黑体" w:cs="黑体"/>
          <w:sz w:val="32"/>
          <w:szCs w:val="32"/>
        </w:rPr>
        <w:t>二、相关模板</w:t>
      </w: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spacing w:line="500" w:lineRule="exact"/>
        <w:jc w:val="center"/>
        <w:rPr>
          <w:b/>
          <w:sz w:val="36"/>
          <w:szCs w:val="36"/>
        </w:rPr>
      </w:pPr>
    </w:p>
    <w:p>
      <w:pPr>
        <w:pStyle w:val="8"/>
        <w:rPr>
          <w:b/>
          <w:sz w:val="36"/>
          <w:szCs w:val="36"/>
        </w:rPr>
      </w:pPr>
    </w:p>
    <w:p>
      <w:pPr>
        <w:rPr>
          <w:b/>
          <w:sz w:val="36"/>
          <w:szCs w:val="36"/>
        </w:rPr>
      </w:pPr>
    </w:p>
    <w:p>
      <w:pPr>
        <w:pStyle w:val="8"/>
        <w:rPr>
          <w:b/>
          <w:sz w:val="36"/>
          <w:szCs w:val="36"/>
        </w:rPr>
      </w:pPr>
    </w:p>
    <w:p>
      <w:pPr>
        <w:rPr>
          <w:b/>
          <w:sz w:val="36"/>
          <w:szCs w:val="36"/>
        </w:rPr>
      </w:pPr>
    </w:p>
    <w:p>
      <w:pPr>
        <w:pStyle w:val="22"/>
        <w:ind w:firstLine="723"/>
        <w:rPr>
          <w:b/>
          <w:sz w:val="36"/>
          <w:szCs w:val="36"/>
        </w:rPr>
      </w:pPr>
    </w:p>
    <w:p>
      <w:pPr>
        <w:rPr>
          <w:b/>
          <w:sz w:val="36"/>
          <w:szCs w:val="36"/>
        </w:rPr>
      </w:pPr>
    </w:p>
    <w:p>
      <w:pPr>
        <w:pStyle w:val="8"/>
      </w:pPr>
    </w:p>
    <w:p/>
    <w:p>
      <w:pPr>
        <w:spacing w:line="500" w:lineRule="exact"/>
        <w:rPr>
          <w:b/>
          <w:sz w:val="36"/>
          <w:szCs w:val="36"/>
        </w:rPr>
      </w:pPr>
    </w:p>
    <w:p>
      <w:pPr>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6"/>
          <w:szCs w:val="36"/>
        </w:rPr>
        <w:t>（一）中小企业声明函</w:t>
      </w:r>
    </w:p>
    <w:p>
      <w:pPr>
        <w:spacing w:line="400" w:lineRule="exact"/>
        <w:ind w:firstLine="640" w:firstLineChars="200"/>
        <w:rPr>
          <w:rFonts w:ascii="仿宋_GB2312" w:hAnsi="仿宋_GB2312" w:eastAsia="仿宋_GB2312" w:cs="仿宋_GB2312"/>
          <w:sz w:val="32"/>
          <w:szCs w:val="32"/>
        </w:rPr>
      </w:pP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已知悉《政府采购促进中小企业发展管理办法》（财库〔2020〕46号）、《中小企业划型》（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中华人民共和国政府采购法》等政府采购有关法律法规规定追究相应责任。</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本公司（联合体）郑重声明，根据《政府采购促进中小企业发展管理办法》（财库〔2020〕46号）的规定，本公司（联合体）参加</w:t>
      </w:r>
      <w:r>
        <w:rPr>
          <w:rFonts w:hint="eastAsia" w:ascii="仿宋_GB2312" w:hAnsi="仿宋_GB2312" w:eastAsia="仿宋_GB2312" w:cs="仿宋_GB2312"/>
          <w:sz w:val="32"/>
          <w:szCs w:val="32"/>
          <w:u w:val="single"/>
        </w:rPr>
        <w:t>（单位名称）</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采购活动，提供的货物全部由符合政策要求的中小企业制造。相关企业（含联合体中的中小企业、签订分包意向协议的中小企业）的具体情况如下：</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（标的名称）</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u w:val="single"/>
        </w:rPr>
        <w:t>（采购文件中明确的所属行业）</w:t>
      </w:r>
      <w:r>
        <w:rPr>
          <w:rFonts w:hint="eastAsia" w:ascii="仿宋_GB2312" w:hAnsi="仿宋_GB2312" w:eastAsia="仿宋_GB2312" w:cs="仿宋_GB2312"/>
          <w:sz w:val="32"/>
          <w:szCs w:val="32"/>
        </w:rPr>
        <w:t>行业；制造商为</w:t>
      </w:r>
      <w:r>
        <w:rPr>
          <w:rFonts w:hint="eastAsia" w:ascii="仿宋_GB2312" w:hAnsi="仿宋_GB2312" w:eastAsia="仿宋_GB2312" w:cs="仿宋_GB2312"/>
          <w:sz w:val="32"/>
          <w:szCs w:val="32"/>
          <w:u w:val="single"/>
        </w:rPr>
        <w:t>（企业名称）</w:t>
      </w:r>
      <w:r>
        <w:rPr>
          <w:rFonts w:hint="eastAsia" w:ascii="仿宋_GB2312" w:hAnsi="仿宋_GB2312" w:eastAsia="仿宋_GB2312" w:cs="仿宋_GB2312"/>
          <w:sz w:val="32"/>
          <w:szCs w:val="32"/>
        </w:rPr>
        <w:t>，从业人员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人，营业收入为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万元，资产总额为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万元，属于</w:t>
      </w:r>
      <w:r>
        <w:rPr>
          <w:rFonts w:hint="eastAsia" w:ascii="仿宋_GB2312" w:hAnsi="仿宋_GB2312" w:eastAsia="仿宋_GB2312" w:cs="仿宋_GB2312"/>
          <w:sz w:val="32"/>
          <w:szCs w:val="32"/>
          <w:u w:val="single"/>
        </w:rPr>
        <w:t>（中型企业、小型企业、微型企业）</w:t>
      </w: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以上企业，不属于大企业的分支机构，不存在控股股东为大企业的情形，也不存在与大企业的负责人为同一人的情形。</w:t>
      </w:r>
    </w:p>
    <w:p>
      <w:pPr>
        <w:spacing w:line="4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本企业对上述声明内容的真实性负责。如有虚假，将依法承担相应责任。</w:t>
      </w:r>
    </w:p>
    <w:p>
      <w:pPr>
        <w:pStyle w:val="8"/>
      </w:pPr>
    </w:p>
    <w:p>
      <w:pPr>
        <w:spacing w:line="44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企业名称（盖章）：</w:t>
      </w:r>
    </w:p>
    <w:p>
      <w:pPr>
        <w:spacing w:line="440" w:lineRule="exact"/>
        <w:ind w:firstLine="640" w:firstLineChars="200"/>
        <w:rPr>
          <w:b/>
          <w:sz w:val="36"/>
          <w:szCs w:val="36"/>
        </w:rPr>
      </w:pPr>
      <w:r>
        <w:rPr>
          <w:rFonts w:hint="eastAsia" w:ascii="仿宋_GB2312" w:hAnsi="仿宋_GB2312" w:eastAsia="仿宋_GB2312" w:cs="仿宋_GB2312"/>
          <w:sz w:val="32"/>
          <w:szCs w:val="32"/>
        </w:rPr>
        <w:t xml:space="preserve">                       日期： </w:t>
      </w:r>
    </w:p>
    <w:p>
      <w:pPr>
        <w:spacing w:line="500" w:lineRule="exact"/>
        <w:jc w:val="center"/>
        <w:rPr>
          <w:b/>
          <w:sz w:val="36"/>
          <w:szCs w:val="36"/>
        </w:rPr>
      </w:pPr>
    </w:p>
    <w:p>
      <w:pPr>
        <w:spacing w:line="500" w:lineRule="exact"/>
        <w:jc w:val="center"/>
        <w:rPr>
          <w:b/>
          <w:sz w:val="36"/>
          <w:szCs w:val="36"/>
        </w:rPr>
      </w:pPr>
    </w:p>
    <w:p>
      <w:pPr>
        <w:pStyle w:val="8"/>
        <w:rPr>
          <w:b/>
          <w:sz w:val="36"/>
          <w:szCs w:val="36"/>
        </w:rPr>
      </w:pPr>
    </w:p>
    <w:p>
      <w:pPr>
        <w:rPr>
          <w:b/>
          <w:sz w:val="36"/>
          <w:szCs w:val="36"/>
        </w:rPr>
      </w:pPr>
    </w:p>
    <w:p>
      <w:pPr>
        <w:pStyle w:val="8"/>
      </w:pPr>
    </w:p>
    <w:p>
      <w:pPr>
        <w:spacing w:line="500" w:lineRule="exact"/>
        <w:jc w:val="center"/>
        <w:rPr>
          <w:b/>
          <w:sz w:val="36"/>
          <w:szCs w:val="36"/>
        </w:rPr>
      </w:pPr>
      <w:r>
        <w:rPr>
          <w:rFonts w:hint="eastAsia"/>
          <w:b/>
          <w:sz w:val="36"/>
          <w:szCs w:val="36"/>
        </w:rPr>
        <w:t>（二）残疾人福利性单位声明函</w:t>
      </w:r>
    </w:p>
    <w:p>
      <w:pPr>
        <w:spacing w:line="50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本单位知悉《促进残疾人就业政府采购政策的通知》（财库〔2017〕141号）的规定，承诺提供的声明函内容是真实的，如提供声明函内容不实，则依法追究相关法律责任。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pStyle w:val="8"/>
        <w:tabs>
          <w:tab w:val="left" w:pos="562"/>
          <w:tab w:val="left" w:pos="3372"/>
          <w:tab w:val="left" w:pos="3653"/>
        </w:tabs>
        <w:spacing w:line="560" w:lineRule="exact"/>
        <w:rPr>
          <w:rFonts w:ascii="仿宋_GB2312" w:hAnsi="仿宋_GB2312" w:eastAsia="仿宋_GB2312" w:cs="仿宋_GB2312"/>
        </w:rPr>
      </w:pPr>
    </w:p>
    <w:p>
      <w:pPr>
        <w:spacing w:line="560" w:lineRule="exact"/>
      </w:pP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日  期：</w:t>
      </w:r>
    </w:p>
    <w:p>
      <w:pPr>
        <w:pStyle w:val="8"/>
        <w:rPr>
          <w:rFonts w:ascii="仿宋_GB2312" w:hAnsi="仿宋_GB2312" w:eastAsia="仿宋_GB2312" w:cs="仿宋_GB2312"/>
        </w:rPr>
      </w:pPr>
    </w:p>
    <w:p>
      <w:pPr>
        <w:pStyle w:val="8"/>
        <w:rPr>
          <w:rFonts w:ascii="仿宋_GB2312" w:hAnsi="仿宋_GB2312" w:eastAsia="仿宋_GB2312" w:cs="仿宋_GB2312"/>
        </w:rPr>
      </w:pPr>
    </w:p>
    <w:p>
      <w:pPr>
        <w:rPr>
          <w:rFonts w:ascii="仿宋_GB2312" w:hAnsi="仿宋_GB2312" w:eastAsia="仿宋_GB2312" w:cs="仿宋_GB2312"/>
          <w:sz w:val="32"/>
          <w:szCs w:val="32"/>
        </w:rPr>
      </w:pPr>
    </w:p>
    <w:p>
      <w:pPr>
        <w:pStyle w:val="22"/>
      </w:pPr>
    </w:p>
    <w:p/>
    <w:p/>
    <w:p/>
    <w:p>
      <w:pPr>
        <w:numPr>
          <w:ilvl w:val="0"/>
          <w:numId w:val="6"/>
        </w:numPr>
        <w:spacing w:line="500" w:lineRule="exact"/>
        <w:jc w:val="center"/>
        <w:rPr>
          <w:b/>
          <w:sz w:val="36"/>
          <w:szCs w:val="36"/>
        </w:rPr>
      </w:pPr>
      <w:r>
        <w:rPr>
          <w:rFonts w:hint="eastAsia"/>
          <w:b/>
          <w:sz w:val="36"/>
          <w:szCs w:val="36"/>
        </w:rPr>
        <w:t>监狱企业声明函</w:t>
      </w:r>
    </w:p>
    <w:p>
      <w:pPr>
        <w:pStyle w:val="8"/>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本单位郑重声明，根据《财政部司法部关于政府采购支持监狱企业发展有关问题的通知》（财库〔2014〕68号）的规定，本单位为符合条件的监狱企业，且本单位参加（采购单位名称） 单位的（采购项目名称）项目采购活动，并提供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□本单位制造的货物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□由本单位承担的工程、提供服务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□提供其他监狱企业制造的货物（承诺人在□处打√）。本条所称货物是指单一产品采购项目中的货物，或者非单一产品采购项目中的核心产品（货物）。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附：省级以上监狱管理局、戒毒管理局（含新疆生产建设兵团）出具的监狱企业证明文件。</w:t>
      </w:r>
    </w:p>
    <w:p>
      <w:pPr>
        <w:spacing w:line="560" w:lineRule="exact"/>
        <w:ind w:firstLine="640" w:firstLineChars="200"/>
        <w:jc w:val="left"/>
        <w:rPr>
          <w:rFonts w:ascii="仿宋_GB2312" w:hAnsi="仿宋_GB2312" w:eastAsia="仿宋_GB2312" w:cs="仿宋_GB2312"/>
          <w:sz w:val="32"/>
          <w:szCs w:val="32"/>
        </w:rPr>
      </w:pPr>
    </w:p>
    <w:p>
      <w:pPr>
        <w:pStyle w:val="8"/>
      </w:pPr>
    </w:p>
    <w:p>
      <w:pPr>
        <w:spacing w:line="560" w:lineRule="exact"/>
        <w:ind w:firstLine="5120" w:firstLineChars="1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spacing w:line="560" w:lineRule="exact"/>
        <w:ind w:firstLine="5120" w:firstLineChars="1600"/>
        <w:jc w:val="left"/>
        <w:rPr>
          <w:b/>
          <w:sz w:val="32"/>
          <w:szCs w:val="32"/>
        </w:rPr>
      </w:pPr>
      <w:r>
        <w:rPr>
          <w:rFonts w:hint="eastAsia" w:ascii="仿宋_GB2312" w:hAnsi="仿宋_GB2312" w:eastAsia="仿宋_GB2312" w:cs="仿宋_GB2312"/>
          <w:sz w:val="32"/>
          <w:szCs w:val="32"/>
        </w:rPr>
        <w:t>日  期：</w:t>
      </w:r>
    </w:p>
    <w:p>
      <w:pPr>
        <w:pStyle w:val="3"/>
        <w:spacing w:beforeAutospacing="0" w:afterAutospacing="0" w:line="500" w:lineRule="exact"/>
        <w:ind w:firstLine="643" w:firstLineChars="200"/>
        <w:jc w:val="both"/>
        <w:rPr>
          <w:rFonts w:hint="default" w:ascii="Calibri" w:hAnsi="Calibri" w:cs="黑体"/>
          <w:b/>
          <w:kern w:val="2"/>
          <w:sz w:val="32"/>
          <w:szCs w:val="32"/>
        </w:rPr>
      </w:pPr>
    </w:p>
    <w:p>
      <w:pPr>
        <w:pStyle w:val="3"/>
        <w:spacing w:beforeAutospacing="0" w:afterAutospacing="0" w:line="500" w:lineRule="exact"/>
        <w:ind w:firstLine="643" w:firstLineChars="200"/>
        <w:jc w:val="both"/>
        <w:rPr>
          <w:rFonts w:hint="default" w:ascii="Calibri" w:hAnsi="Calibri" w:cs="黑体"/>
          <w:b/>
          <w:kern w:val="2"/>
          <w:sz w:val="32"/>
          <w:szCs w:val="32"/>
        </w:rPr>
      </w:pPr>
    </w:p>
    <w:p>
      <w:pPr>
        <w:sectPr>
          <w:headerReference r:id="rId4" w:type="default"/>
          <w:footerReference r:id="rId5" w:type="default"/>
          <w:pgSz w:w="11906" w:h="16838"/>
          <w:pgMar w:top="1644" w:right="1587" w:bottom="1531" w:left="1474" w:header="31" w:footer="1587" w:gutter="0"/>
          <w:pgNumType w:fmt="numberInDash"/>
          <w:cols w:space="720" w:num="1"/>
          <w:docGrid w:type="lines" w:linePitch="312" w:charSpace="0"/>
        </w:sectPr>
      </w:pPr>
    </w:p>
    <w:tbl>
      <w:tblPr>
        <w:tblStyle w:val="15"/>
        <w:tblW w:w="13061" w:type="dxa"/>
        <w:tblInd w:w="0" w:type="dxa"/>
        <w:tblLayout w:type="fixed"/>
        <w:tblCellMar>
          <w:top w:w="15" w:type="dxa"/>
          <w:left w:w="15" w:type="dxa"/>
          <w:bottom w:w="15" w:type="dxa"/>
          <w:right w:w="15" w:type="dxa"/>
        </w:tblCellMar>
      </w:tblPr>
      <w:tblGrid>
        <w:gridCol w:w="6581"/>
        <w:gridCol w:w="4949"/>
        <w:gridCol w:w="1531"/>
      </w:tblGrid>
      <w:tr>
        <w:tblPrEx>
          <w:tblCellMar>
            <w:top w:w="15" w:type="dxa"/>
            <w:left w:w="15" w:type="dxa"/>
            <w:bottom w:w="15" w:type="dxa"/>
            <w:right w:w="15" w:type="dxa"/>
          </w:tblCellMar>
        </w:tblPrEx>
        <w:trPr>
          <w:trHeight w:val="705" w:hRule="atLeast"/>
        </w:trPr>
        <w:tc>
          <w:tcPr>
            <w:tcW w:w="13061" w:type="dxa"/>
            <w:gridSpan w:val="3"/>
            <w:noWrap/>
            <w:vAlign w:val="center"/>
          </w:tcPr>
          <w:p>
            <w:pPr>
              <w:widowControl/>
              <w:jc w:val="center"/>
              <w:textAlignment w:val="center"/>
              <w:rPr>
                <w:rFonts w:ascii="仿宋" w:hAnsi="仿宋" w:eastAsia="仿宋" w:cs="仿宋"/>
                <w:b/>
                <w:color w:val="000000"/>
                <w:sz w:val="44"/>
                <w:szCs w:val="44"/>
              </w:rPr>
            </w:pPr>
            <w:r>
              <w:rPr>
                <w:rFonts w:hint="eastAsia" w:ascii="仿宋" w:hAnsi="仿宋" w:eastAsia="仿宋" w:cs="仿宋"/>
                <w:b/>
                <w:color w:val="000000"/>
                <w:kern w:val="0"/>
                <w:sz w:val="44"/>
                <w:szCs w:val="44"/>
              </w:rPr>
              <w:t>开标一览表</w:t>
            </w:r>
          </w:p>
        </w:tc>
      </w:tr>
      <w:tr>
        <w:tblPrEx>
          <w:tblCellMar>
            <w:top w:w="15" w:type="dxa"/>
            <w:left w:w="15" w:type="dxa"/>
            <w:bottom w:w="15" w:type="dxa"/>
            <w:right w:w="15" w:type="dxa"/>
          </w:tblCellMar>
        </w:tblPrEx>
        <w:trPr>
          <w:trHeight w:val="585" w:hRule="atLeast"/>
        </w:trPr>
        <w:tc>
          <w:tcPr>
            <w:tcW w:w="13061"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8"/>
                <w:szCs w:val="28"/>
              </w:rPr>
              <w:t>投标人名称：　</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8"/>
                <w:szCs w:val="28"/>
              </w:rPr>
              <w:t xml:space="preserve">            采购项目编号</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深龙七医采[LGQY2025YW001]</w:t>
            </w:r>
          </w:p>
        </w:tc>
      </w:tr>
      <w:tr>
        <w:tblPrEx>
          <w:tblCellMar>
            <w:top w:w="15" w:type="dxa"/>
            <w:left w:w="15" w:type="dxa"/>
            <w:bottom w:w="15" w:type="dxa"/>
            <w:right w:w="15" w:type="dxa"/>
          </w:tblCellMar>
        </w:tblPrEx>
        <w:trPr>
          <w:trHeight w:val="759"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49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投标报价</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tblPrEx>
          <w:tblCellMar>
            <w:top w:w="15" w:type="dxa"/>
            <w:left w:w="15" w:type="dxa"/>
            <w:bottom w:w="15" w:type="dxa"/>
            <w:right w:w="15" w:type="dxa"/>
          </w:tblCellMar>
        </w:tblPrEx>
        <w:trPr>
          <w:trHeight w:val="655" w:hRule="atLeast"/>
        </w:trPr>
        <w:tc>
          <w:tcPr>
            <w:tcW w:w="65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2"/>
                <w:szCs w:val="22"/>
              </w:rPr>
            </w:pPr>
          </w:p>
          <w:p>
            <w:pPr>
              <w:pStyle w:val="12"/>
              <w:rPr>
                <w:rFonts w:ascii="仿宋" w:hAnsi="仿宋" w:eastAsia="仿宋" w:cs="仿宋"/>
                <w:color w:val="000000"/>
                <w:sz w:val="22"/>
                <w:szCs w:val="22"/>
              </w:rPr>
            </w:pPr>
          </w:p>
          <w:p/>
        </w:tc>
        <w:tc>
          <w:tcPr>
            <w:tcW w:w="4949"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大写：</w:t>
            </w:r>
          </w:p>
          <w:p>
            <w:pPr>
              <w:pStyle w:val="8"/>
            </w:pPr>
            <w:r>
              <w:rPr>
                <w:rFonts w:hint="eastAsia" w:ascii="仿宋" w:hAnsi="仿宋" w:eastAsia="仿宋" w:cs="仿宋"/>
                <w:color w:val="000000"/>
                <w:sz w:val="22"/>
                <w:szCs w:val="22"/>
              </w:rPr>
              <w:t>小写</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lang w:val="en-US" w:eastAsia="zh-CN"/>
              </w:rPr>
              <w:t>元</w:t>
            </w:r>
            <w:r>
              <w:rPr>
                <w:rFonts w:hint="eastAsia" w:ascii="仿宋" w:hAnsi="仿宋" w:eastAsia="仿宋" w:cs="仿宋"/>
                <w:color w:val="000000"/>
                <w:sz w:val="22"/>
                <w:szCs w:val="22"/>
                <w:lang w:eastAsia="zh-CN"/>
              </w:rPr>
              <w:t>）</w:t>
            </w:r>
            <w:r>
              <w:rPr>
                <w:rFonts w:hint="eastAsia" w:ascii="仿宋" w:hAnsi="仿宋" w:eastAsia="仿宋" w:cs="仿宋"/>
                <w:color w:val="000000"/>
                <w:sz w:val="22"/>
                <w:szCs w:val="22"/>
              </w:rPr>
              <w:t>：</w:t>
            </w:r>
          </w:p>
        </w:tc>
        <w:tc>
          <w:tcPr>
            <w:tcW w:w="1531"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color w:val="000000"/>
                <w:sz w:val="22"/>
                <w:szCs w:val="22"/>
              </w:rPr>
            </w:pPr>
          </w:p>
        </w:tc>
      </w:tr>
    </w:tbl>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开标一览表格式不得自行改动。</w:t>
      </w:r>
    </w:p>
    <w:p>
      <w:pPr>
        <w:numPr>
          <w:ilvl w:val="0"/>
          <w:numId w:val="7"/>
        </w:numPr>
        <w:spacing w:line="500" w:lineRule="exact"/>
        <w:jc w:val="left"/>
        <w:rPr>
          <w:rFonts w:ascii="仿宋" w:hAnsi="仿宋" w:eastAsia="仿宋" w:cs="仿宋"/>
          <w:sz w:val="28"/>
          <w:szCs w:val="28"/>
        </w:rPr>
      </w:pPr>
      <w:r>
        <w:rPr>
          <w:rFonts w:hint="eastAsia" w:ascii="仿宋" w:hAnsi="仿宋" w:eastAsia="仿宋" w:cs="仿宋"/>
          <w:sz w:val="28"/>
          <w:szCs w:val="28"/>
        </w:rPr>
        <w:t>价格条件为能否满足标书要求的投标报价。</w:t>
      </w:r>
    </w:p>
    <w:p>
      <w:pPr>
        <w:numPr>
          <w:ilvl w:val="0"/>
          <w:numId w:val="7"/>
        </w:numPr>
        <w:spacing w:line="500" w:lineRule="exact"/>
        <w:jc w:val="left"/>
        <w:rPr>
          <w:rFonts w:ascii="仿宋" w:hAnsi="仿宋" w:eastAsia="仿宋" w:cs="仿宋"/>
          <w:sz w:val="28"/>
          <w:szCs w:val="36"/>
        </w:rPr>
      </w:pPr>
      <w:r>
        <w:rPr>
          <w:rFonts w:hint="eastAsia" w:ascii="仿宋" w:hAnsi="仿宋" w:eastAsia="仿宋" w:cs="仿宋"/>
          <w:sz w:val="28"/>
          <w:szCs w:val="28"/>
        </w:rPr>
        <w:t>无内容空格填“</w:t>
      </w:r>
      <w:r>
        <w:rPr>
          <w:rFonts w:hint="eastAsia" w:ascii="仿宋" w:hAnsi="仿宋" w:eastAsia="仿宋" w:cs="仿宋"/>
          <w:sz w:val="28"/>
          <w:szCs w:val="28"/>
          <w:lang w:eastAsia="zh-CN"/>
        </w:rPr>
        <w:t>－</w:t>
      </w:r>
      <w:r>
        <w:rPr>
          <w:rFonts w:hint="eastAsia" w:ascii="仿宋" w:hAnsi="仿宋" w:eastAsia="仿宋" w:cs="仿宋"/>
          <w:sz w:val="28"/>
          <w:szCs w:val="28"/>
        </w:rPr>
        <w:t>”。</w:t>
      </w:r>
    </w:p>
    <w:p>
      <w:pPr>
        <w:rPr>
          <w:rFonts w:ascii="仿宋" w:hAnsi="仿宋" w:eastAsia="仿宋" w:cs="仿宋"/>
          <w:sz w:val="28"/>
          <w:szCs w:val="28"/>
        </w:rPr>
      </w:pPr>
    </w:p>
    <w:p>
      <w:pPr>
        <w:ind w:firstLine="280" w:firstLineChars="100"/>
        <w:rPr>
          <w:rFonts w:ascii="仿宋" w:hAnsi="仿宋" w:eastAsia="仿宋" w:cs="仿宋"/>
          <w:sz w:val="28"/>
          <w:szCs w:val="28"/>
        </w:rPr>
      </w:pPr>
      <w:r>
        <w:rPr>
          <w:rFonts w:hint="eastAsia" w:ascii="仿宋" w:hAnsi="仿宋" w:eastAsia="仿宋" w:cs="仿宋"/>
          <w:sz w:val="28"/>
          <w:szCs w:val="28"/>
        </w:rPr>
        <w:t>法定代表人或其授权代表人（签字）：</w:t>
      </w:r>
    </w:p>
    <w:p>
      <w:pPr>
        <w:rPr>
          <w:rFonts w:hint="eastAsia" w:ascii="仿宋" w:hAnsi="仿宋" w:eastAsia="仿宋" w:cs="仿宋"/>
          <w:sz w:val="28"/>
          <w:szCs w:val="28"/>
        </w:rPr>
      </w:pPr>
      <w:r>
        <w:rPr>
          <w:rFonts w:hint="eastAsia" w:ascii="仿宋" w:hAnsi="仿宋" w:eastAsia="仿宋" w:cs="仿宋"/>
          <w:sz w:val="28"/>
          <w:szCs w:val="28"/>
        </w:rPr>
        <w:t xml:space="preserve">  投标单位全称（加盖公章）：</w:t>
      </w:r>
    </w:p>
    <w:p>
      <w:pPr>
        <w:rPr>
          <w:rFonts w:hint="eastAsia" w:ascii="仿宋" w:hAnsi="仿宋" w:eastAsia="仿宋" w:cs="仿宋"/>
          <w:sz w:val="28"/>
          <w:szCs w:val="28"/>
        </w:rPr>
      </w:pPr>
    </w:p>
    <w:p>
      <w:pPr>
        <w:rPr>
          <w:rFonts w:hint="eastAsia" w:ascii="仿宋" w:hAnsi="仿宋" w:eastAsia="仿宋" w:cs="仿宋"/>
          <w:sz w:val="28"/>
          <w:szCs w:val="28"/>
        </w:rPr>
      </w:pPr>
    </w:p>
    <w:p>
      <w:pPr>
        <w:pStyle w:val="8"/>
      </w:pPr>
    </w:p>
    <w:p>
      <w:pPr>
        <w:widowControl/>
        <w:jc w:val="center"/>
        <w:textAlignment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服务条款偏离表</w:t>
      </w:r>
    </w:p>
    <w:tbl>
      <w:tblPr>
        <w:tblStyle w:val="15"/>
        <w:tblW w:w="5102" w:type="pct"/>
        <w:jc w:val="center"/>
        <w:tblLayout w:type="autofit"/>
        <w:tblCellMar>
          <w:top w:w="0" w:type="dxa"/>
          <w:left w:w="108" w:type="dxa"/>
          <w:bottom w:w="0" w:type="dxa"/>
          <w:right w:w="108" w:type="dxa"/>
        </w:tblCellMar>
      </w:tblPr>
      <w:tblGrid>
        <w:gridCol w:w="914"/>
        <w:gridCol w:w="4805"/>
        <w:gridCol w:w="3324"/>
        <w:gridCol w:w="2705"/>
        <w:gridCol w:w="1489"/>
      </w:tblGrid>
      <w:tr>
        <w:tblPrEx>
          <w:tblCellMar>
            <w:top w:w="0" w:type="dxa"/>
            <w:left w:w="108" w:type="dxa"/>
            <w:bottom w:w="0" w:type="dxa"/>
            <w:right w:w="108" w:type="dxa"/>
          </w:tblCellMar>
        </w:tblPrEx>
        <w:trPr>
          <w:trHeight w:val="510" w:hRule="atLeast"/>
          <w:jc w:val="center"/>
        </w:trPr>
        <w:tc>
          <w:tcPr>
            <w:tcW w:w="345"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spacing w:line="360" w:lineRule="auto"/>
              <w:jc w:val="center"/>
              <w:rPr>
                <w:rFonts w:ascii="宋体" w:hAnsi="宋体" w:cs="宋体"/>
                <w:b/>
                <w:bCs/>
                <w:kern w:val="0"/>
                <w:sz w:val="22"/>
              </w:rPr>
            </w:pPr>
            <w:r>
              <w:rPr>
                <w:rFonts w:hint="eastAsia" w:ascii="宋体" w:hAnsi="宋体" w:cs="宋体"/>
                <w:b/>
                <w:bCs/>
                <w:kern w:val="0"/>
                <w:sz w:val="22"/>
              </w:rPr>
              <w:t>序号</w:t>
            </w:r>
          </w:p>
        </w:tc>
        <w:tc>
          <w:tcPr>
            <w:tcW w:w="1814" w:type="pct"/>
            <w:tcBorders>
              <w:top w:val="single" w:color="auto" w:sz="8" w:space="0"/>
              <w:left w:val="single" w:color="auto" w:sz="8" w:space="0"/>
              <w:bottom w:val="single" w:color="auto" w:sz="8" w:space="0"/>
              <w:right w:val="single" w:color="auto" w:sz="8" w:space="0"/>
            </w:tcBorders>
            <w:noWrap w:val="0"/>
            <w:vAlign w:val="center"/>
          </w:tcPr>
          <w:p>
            <w:pPr>
              <w:widowControl/>
              <w:adjustRightInd w:val="0"/>
              <w:snapToGrid w:val="0"/>
              <w:spacing w:line="360" w:lineRule="auto"/>
              <w:ind w:firstLine="442" w:firstLineChars="200"/>
              <w:jc w:val="center"/>
              <w:rPr>
                <w:rFonts w:ascii="宋体" w:hAnsi="宋体" w:cs="宋体"/>
                <w:b/>
                <w:bCs/>
                <w:kern w:val="0"/>
                <w:sz w:val="22"/>
              </w:rPr>
            </w:pPr>
            <w:r>
              <w:rPr>
                <w:rFonts w:hint="eastAsia" w:ascii="宋体" w:hAnsi="宋体" w:cs="宋体"/>
                <w:b/>
                <w:bCs/>
                <w:kern w:val="0"/>
                <w:sz w:val="22"/>
              </w:rPr>
              <w:t>招标技术服务条款</w:t>
            </w:r>
          </w:p>
        </w:tc>
        <w:tc>
          <w:tcPr>
            <w:tcW w:w="1255" w:type="pct"/>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360" w:lineRule="auto"/>
              <w:ind w:firstLine="422" w:firstLineChars="200"/>
              <w:jc w:val="center"/>
              <w:rPr>
                <w:rFonts w:ascii="宋体" w:hAnsi="宋体" w:cs="宋体"/>
                <w:b/>
                <w:szCs w:val="21"/>
              </w:rPr>
            </w:pPr>
            <w:r>
              <w:rPr>
                <w:rFonts w:hint="eastAsia" w:ascii="宋体" w:hAnsi="宋体" w:cs="宋体"/>
                <w:b/>
                <w:szCs w:val="21"/>
              </w:rPr>
              <w:t>投标响应</w:t>
            </w:r>
          </w:p>
        </w:tc>
        <w:tc>
          <w:tcPr>
            <w:tcW w:w="1021" w:type="pct"/>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360" w:lineRule="auto"/>
              <w:ind w:firstLine="422" w:firstLineChars="200"/>
              <w:jc w:val="center"/>
              <w:rPr>
                <w:rFonts w:ascii="宋体" w:hAnsi="宋体" w:cs="宋体"/>
                <w:b/>
                <w:szCs w:val="21"/>
              </w:rPr>
            </w:pPr>
            <w:r>
              <w:rPr>
                <w:rFonts w:hint="eastAsia" w:ascii="宋体" w:hAnsi="宋体" w:cs="宋体"/>
                <w:b/>
                <w:szCs w:val="21"/>
              </w:rPr>
              <w:t>偏离情况</w:t>
            </w:r>
          </w:p>
        </w:tc>
        <w:tc>
          <w:tcPr>
            <w:tcW w:w="562" w:type="pct"/>
            <w:tcBorders>
              <w:top w:val="single" w:color="auto" w:sz="8" w:space="0"/>
              <w:left w:val="single" w:color="auto" w:sz="8" w:space="0"/>
              <w:bottom w:val="single" w:color="auto" w:sz="8" w:space="0"/>
              <w:right w:val="single" w:color="auto" w:sz="8" w:space="0"/>
            </w:tcBorders>
            <w:noWrap w:val="0"/>
            <w:vAlign w:val="center"/>
          </w:tcPr>
          <w:p>
            <w:pPr>
              <w:adjustRightInd w:val="0"/>
              <w:snapToGrid w:val="0"/>
              <w:spacing w:line="360" w:lineRule="auto"/>
              <w:ind w:firstLine="422" w:firstLineChars="200"/>
              <w:jc w:val="center"/>
              <w:rPr>
                <w:rFonts w:ascii="宋体" w:hAnsi="宋体" w:cs="宋体"/>
                <w:b/>
                <w:szCs w:val="21"/>
              </w:rPr>
            </w:pPr>
            <w:r>
              <w:rPr>
                <w:rFonts w:hint="eastAsia" w:ascii="宋体" w:hAnsi="宋体" w:cs="宋体"/>
                <w:b/>
                <w:szCs w:val="21"/>
              </w:rPr>
              <w:t>说明或佐证材料页码</w:t>
            </w: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1814" w:type="pct"/>
            <w:tcBorders>
              <w:top w:val="single" w:color="auto" w:sz="8" w:space="0"/>
              <w:left w:val="nil"/>
              <w:bottom w:val="single" w:color="auto" w:sz="8" w:space="0"/>
              <w:right w:val="single" w:color="auto" w:sz="8" w:space="0"/>
            </w:tcBorders>
            <w:noWrap w:val="0"/>
            <w:vAlign w:val="center"/>
          </w:tcPr>
          <w:p>
            <w:pPr>
              <w:pStyle w:val="19"/>
              <w:spacing w:line="400" w:lineRule="exact"/>
              <w:rPr>
                <w:rFonts w:ascii="仿宋" w:hAnsi="仿宋" w:eastAsia="仿宋" w:cs="仿宋"/>
                <w:sz w:val="24"/>
                <w:szCs w:val="24"/>
              </w:rPr>
            </w:pPr>
            <w:r>
              <w:rPr>
                <w:rFonts w:hint="eastAsia" w:ascii="仿宋" w:hAnsi="仿宋" w:eastAsia="仿宋" w:cs="仿宋"/>
                <w:sz w:val="24"/>
                <w:szCs w:val="24"/>
              </w:rPr>
              <w:t>招标文件第</w:t>
            </w:r>
            <w:r>
              <w:rPr>
                <w:rFonts w:hint="eastAsia" w:ascii="仿宋" w:hAnsi="仿宋" w:eastAsia="仿宋" w:cs="仿宋"/>
                <w:sz w:val="24"/>
                <w:szCs w:val="24"/>
                <w:lang w:val="en-US" w:eastAsia="zh-CN"/>
              </w:rPr>
              <w:t>二</w:t>
            </w:r>
            <w:r>
              <w:rPr>
                <w:rFonts w:hint="eastAsia" w:ascii="仿宋" w:hAnsi="仿宋" w:eastAsia="仿宋" w:cs="仿宋"/>
                <w:sz w:val="24"/>
                <w:szCs w:val="24"/>
              </w:rPr>
              <w:t>章院内公开采购项目需求中“</w:t>
            </w:r>
            <w:r>
              <w:rPr>
                <w:rFonts w:hint="eastAsia" w:ascii="仿宋" w:hAnsi="仿宋" w:eastAsia="仿宋" w:cs="仿宋"/>
                <w:sz w:val="24"/>
                <w:szCs w:val="24"/>
                <w:lang w:val="en-US" w:eastAsia="zh-CN"/>
              </w:rPr>
              <w:t>七</w:t>
            </w:r>
            <w:r>
              <w:rPr>
                <w:rFonts w:hint="eastAsia" w:ascii="仿宋" w:hAnsi="仿宋" w:eastAsia="仿宋" w:cs="仿宋"/>
                <w:kern w:val="2"/>
                <w:sz w:val="24"/>
                <w:szCs w:val="24"/>
              </w:rPr>
              <w:t>、服务内容及要求</w:t>
            </w:r>
            <w:r>
              <w:rPr>
                <w:rFonts w:hint="eastAsia" w:ascii="仿宋" w:hAnsi="仿宋" w:eastAsia="仿宋" w:cs="仿宋"/>
                <w:sz w:val="24"/>
                <w:szCs w:val="24"/>
              </w:rPr>
              <w:t>”</w:t>
            </w:r>
          </w:p>
        </w:tc>
        <w:tc>
          <w:tcPr>
            <w:tcW w:w="1255"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r>
              <w:rPr>
                <w:rFonts w:hint="eastAsia" w:ascii="仿宋" w:hAnsi="仿宋" w:eastAsia="仿宋" w:cs="仿宋"/>
                <w:sz w:val="24"/>
              </w:rPr>
              <w:t>填写“完全满足”或“存在负偏离的内容：”或“完全满足招标项目需求全部内容”</w:t>
            </w:r>
          </w:p>
        </w:tc>
        <w:tc>
          <w:tcPr>
            <w:tcW w:w="1021"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r>
              <w:rPr>
                <w:rFonts w:hint="eastAsia" w:ascii="仿宋" w:hAnsi="仿宋" w:eastAsia="仿宋" w:cs="仿宋"/>
                <w:sz w:val="24"/>
              </w:rPr>
              <w:t>填“无偏离”</w:t>
            </w:r>
          </w:p>
          <w:p>
            <w:pPr>
              <w:spacing w:line="500" w:lineRule="exact"/>
              <w:jc w:val="left"/>
              <w:rPr>
                <w:rFonts w:ascii="仿宋" w:hAnsi="仿宋" w:eastAsia="仿宋" w:cs="仿宋"/>
                <w:sz w:val="24"/>
              </w:rPr>
            </w:pPr>
            <w:r>
              <w:rPr>
                <w:rFonts w:hint="eastAsia" w:ascii="仿宋" w:hAnsi="仿宋" w:eastAsia="仿宋" w:cs="仿宋"/>
                <w:sz w:val="24"/>
              </w:rPr>
              <w:t>或“正偏离”</w:t>
            </w:r>
          </w:p>
          <w:p>
            <w:pPr>
              <w:spacing w:line="500" w:lineRule="exact"/>
              <w:jc w:val="left"/>
              <w:rPr>
                <w:rFonts w:ascii="仿宋" w:hAnsi="仿宋" w:eastAsia="仿宋" w:cs="仿宋"/>
                <w:sz w:val="24"/>
              </w:rPr>
            </w:pPr>
            <w:r>
              <w:rPr>
                <w:rFonts w:hint="eastAsia" w:ascii="仿宋" w:hAnsi="仿宋" w:eastAsia="仿宋" w:cs="仿宋"/>
                <w:sz w:val="24"/>
              </w:rPr>
              <w:t>或“负偏离”</w:t>
            </w:r>
          </w:p>
        </w:tc>
        <w:tc>
          <w:tcPr>
            <w:tcW w:w="562"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1814"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1255"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1021"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562"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1814"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1255"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1021"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562"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r>
      <w:tr>
        <w:tblPrEx>
          <w:tblCellMar>
            <w:top w:w="0" w:type="dxa"/>
            <w:left w:w="108" w:type="dxa"/>
            <w:bottom w:w="0" w:type="dxa"/>
            <w:right w:w="108" w:type="dxa"/>
          </w:tblCellMar>
        </w:tblPrEx>
        <w:trPr>
          <w:trHeight w:val="397" w:hRule="atLeast"/>
          <w:jc w:val="center"/>
        </w:trPr>
        <w:tc>
          <w:tcPr>
            <w:tcW w:w="345" w:type="pct"/>
            <w:tcBorders>
              <w:top w:val="single" w:color="auto" w:sz="8" w:space="0"/>
              <w:left w:val="single" w:color="auto" w:sz="8" w:space="0"/>
              <w:bottom w:val="single" w:color="auto" w:sz="8" w:space="0"/>
              <w:right w:val="single" w:color="auto" w:sz="8" w:space="0"/>
            </w:tcBorders>
            <w:noWrap w:val="0"/>
            <w:vAlign w:val="center"/>
          </w:tcPr>
          <w:p>
            <w:pPr>
              <w:spacing w:line="500" w:lineRule="exact"/>
              <w:jc w:val="center"/>
              <w:rPr>
                <w:rFonts w:ascii="仿宋" w:hAnsi="仿宋" w:eastAsia="仿宋" w:cs="仿宋"/>
                <w:sz w:val="24"/>
              </w:rPr>
            </w:pPr>
            <w:r>
              <w:rPr>
                <w:rFonts w:hint="eastAsia" w:ascii="仿宋" w:hAnsi="仿宋" w:eastAsia="仿宋" w:cs="仿宋"/>
                <w:sz w:val="24"/>
              </w:rPr>
              <w:t>...</w:t>
            </w:r>
          </w:p>
        </w:tc>
        <w:tc>
          <w:tcPr>
            <w:tcW w:w="1814"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1255"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1021"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c>
          <w:tcPr>
            <w:tcW w:w="562" w:type="pct"/>
            <w:tcBorders>
              <w:top w:val="single" w:color="auto" w:sz="8" w:space="0"/>
              <w:left w:val="nil"/>
              <w:bottom w:val="single" w:color="auto" w:sz="8" w:space="0"/>
              <w:right w:val="single" w:color="auto" w:sz="8" w:space="0"/>
            </w:tcBorders>
            <w:noWrap w:val="0"/>
            <w:vAlign w:val="center"/>
          </w:tcPr>
          <w:p>
            <w:pPr>
              <w:spacing w:line="500" w:lineRule="exact"/>
              <w:jc w:val="left"/>
              <w:rPr>
                <w:rFonts w:ascii="仿宋" w:hAnsi="仿宋" w:eastAsia="仿宋" w:cs="仿宋"/>
                <w:sz w:val="24"/>
              </w:rPr>
            </w:pPr>
          </w:p>
        </w:tc>
      </w:tr>
    </w:tbl>
    <w:p>
      <w:pPr>
        <w:adjustRightInd w:val="0"/>
        <w:snapToGrid w:val="0"/>
        <w:spacing w:line="360" w:lineRule="auto"/>
        <w:ind w:firstLine="422" w:firstLineChars="200"/>
        <w:jc w:val="left"/>
        <w:rPr>
          <w:rFonts w:ascii="宋体" w:hAnsi="宋体" w:cs="宋体"/>
          <w:b/>
          <w:szCs w:val="21"/>
        </w:rPr>
      </w:pPr>
    </w:p>
    <w:p>
      <w:pPr>
        <w:adjustRightInd w:val="0"/>
        <w:snapToGrid w:val="0"/>
        <w:spacing w:line="360" w:lineRule="auto"/>
        <w:ind w:firstLine="422" w:firstLineChars="200"/>
        <w:jc w:val="left"/>
        <w:rPr>
          <w:rFonts w:ascii="宋体" w:hAnsi="宋体" w:cs="宋体"/>
          <w:bCs/>
          <w:szCs w:val="21"/>
        </w:rPr>
      </w:pPr>
      <w:r>
        <w:rPr>
          <w:rFonts w:hint="eastAsia" w:ascii="宋体" w:hAnsi="宋体" w:cs="宋体"/>
          <w:b/>
          <w:szCs w:val="21"/>
        </w:rPr>
        <w:t>注：</w:t>
      </w:r>
      <w:r>
        <w:rPr>
          <w:rFonts w:hint="eastAsia" w:ascii="宋体" w:hAnsi="宋体" w:cs="宋体"/>
          <w:bCs/>
          <w:szCs w:val="21"/>
        </w:rPr>
        <w:t>1、投标人须根据招标文件第三章院内公开采购项目需求中“五、服务内容及要求”要求填写此表，作为投标文件重要的组成部分。</w:t>
      </w:r>
    </w:p>
    <w:p>
      <w:pPr>
        <w:adjustRightInd w:val="0"/>
        <w:snapToGrid w:val="0"/>
        <w:spacing w:line="360" w:lineRule="auto"/>
        <w:ind w:firstLine="420" w:firstLineChars="200"/>
        <w:jc w:val="left"/>
        <w:rPr>
          <w:rFonts w:ascii="宋体" w:hAnsi="宋体" w:cs="宋体"/>
          <w:bCs/>
          <w:szCs w:val="21"/>
        </w:rPr>
      </w:pPr>
      <w:r>
        <w:rPr>
          <w:rFonts w:hint="eastAsia" w:ascii="宋体" w:hAnsi="宋体" w:cs="宋体"/>
          <w:bCs/>
          <w:szCs w:val="21"/>
        </w:rPr>
        <w:t>2.投标人递交的投标文件中对招标文件第三章院内公开采购项目需求中“五、服务内容及要求”的要求存在负偏离时，</w:t>
      </w:r>
      <w:r>
        <w:rPr>
          <w:rFonts w:hint="eastAsia" w:ascii="宋体" w:hAnsi="宋体" w:cs="宋体"/>
          <w:b/>
          <w:szCs w:val="21"/>
        </w:rPr>
        <w:t>应将负偏离内容逐条列在“投标响应”</w:t>
      </w:r>
      <w:r>
        <w:rPr>
          <w:rFonts w:hint="eastAsia" w:ascii="宋体" w:hAnsi="宋体" w:cs="宋体"/>
          <w:bCs/>
          <w:szCs w:val="21"/>
        </w:rPr>
        <w:t>栏中；如投标文件响应情况完全相符或高于此部分要求，在“</w:t>
      </w:r>
      <w:r>
        <w:rPr>
          <w:rFonts w:hint="eastAsia" w:ascii="宋体" w:hAnsi="宋体" w:cs="宋体"/>
          <w:b/>
          <w:szCs w:val="21"/>
        </w:rPr>
        <w:t>投标响应栏”</w:t>
      </w:r>
      <w:r>
        <w:rPr>
          <w:rFonts w:hint="eastAsia" w:ascii="宋体" w:hAnsi="宋体" w:cs="宋体"/>
          <w:bCs/>
          <w:szCs w:val="21"/>
        </w:rPr>
        <w:t>中</w:t>
      </w:r>
      <w:r>
        <w:rPr>
          <w:rFonts w:hint="eastAsia" w:ascii="宋体" w:hAnsi="宋体" w:cs="宋体"/>
          <w:b/>
          <w:szCs w:val="21"/>
        </w:rPr>
        <w:t>响应“完全满足”，“偏离情况”栏中</w:t>
      </w:r>
      <w:r>
        <w:rPr>
          <w:rFonts w:hint="eastAsia" w:ascii="宋体" w:hAnsi="宋体" w:cs="宋体"/>
          <w:bCs/>
          <w:szCs w:val="21"/>
        </w:rPr>
        <w:t>根据响应情况填写，完全与技术服务要求相符的填“无偏离”，高于技术服务要求的填“正偏离”，没有达到技术服务要求的填“负偏离”，有其他事项请在“说明”栏中补充。</w:t>
      </w:r>
    </w:p>
    <w:p>
      <w:pPr>
        <w:adjustRightInd w:val="0"/>
        <w:snapToGrid w:val="0"/>
        <w:spacing w:line="360" w:lineRule="auto"/>
        <w:ind w:firstLine="420" w:firstLineChars="200"/>
        <w:jc w:val="left"/>
        <w:rPr>
          <w:rFonts w:ascii="宋体" w:hAnsi="宋体" w:cs="宋体"/>
          <w:bCs/>
          <w:szCs w:val="21"/>
        </w:rPr>
      </w:pPr>
      <w:r>
        <w:rPr>
          <w:rFonts w:hint="eastAsia" w:ascii="宋体" w:hAnsi="宋体" w:cs="宋体"/>
          <w:szCs w:val="21"/>
        </w:rPr>
        <w:t>若完全响应招标文件“招标项目需求”全部技术服务内容，可在</w:t>
      </w:r>
      <w:r>
        <w:rPr>
          <w:rFonts w:hint="eastAsia" w:ascii="宋体" w:hAnsi="宋体" w:cs="宋体"/>
          <w:bCs/>
          <w:szCs w:val="21"/>
        </w:rPr>
        <w:t>“</w:t>
      </w:r>
      <w:r>
        <w:rPr>
          <w:rFonts w:hint="eastAsia" w:ascii="宋体" w:hAnsi="宋体" w:cs="宋体"/>
          <w:b/>
          <w:szCs w:val="21"/>
        </w:rPr>
        <w:t>投标响应栏”</w:t>
      </w:r>
      <w:r>
        <w:rPr>
          <w:rFonts w:hint="eastAsia" w:ascii="宋体" w:hAnsi="宋体" w:cs="宋体"/>
          <w:bCs/>
          <w:szCs w:val="21"/>
        </w:rPr>
        <w:t>中</w:t>
      </w:r>
      <w:r>
        <w:rPr>
          <w:rFonts w:hint="eastAsia" w:ascii="宋体" w:hAnsi="宋体" w:cs="宋体"/>
          <w:b/>
          <w:szCs w:val="21"/>
        </w:rPr>
        <w:t>响应“完全满足</w:t>
      </w:r>
      <w:r>
        <w:rPr>
          <w:rFonts w:hint="eastAsia" w:ascii="宋体" w:hAnsi="宋体" w:cs="宋体"/>
          <w:szCs w:val="21"/>
        </w:rPr>
        <w:t>招标项目需求</w:t>
      </w:r>
      <w:r>
        <w:rPr>
          <w:rFonts w:hint="eastAsia" w:ascii="宋体" w:hAnsi="宋体" w:cs="宋体"/>
          <w:b/>
          <w:bCs/>
          <w:kern w:val="0"/>
          <w:szCs w:val="21"/>
        </w:rPr>
        <w:t>全部内容</w:t>
      </w:r>
      <w:r>
        <w:rPr>
          <w:rFonts w:hint="eastAsia" w:ascii="宋体" w:hAnsi="宋体" w:cs="宋体"/>
          <w:b/>
          <w:szCs w:val="21"/>
        </w:rPr>
        <w:t>”。</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投标人（公章）：</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法定代表人或其授权代表签名：</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日期：      年    月    日</w:t>
      </w:r>
    </w:p>
    <w:p>
      <w:pPr>
        <w:sectPr>
          <w:pgSz w:w="16838" w:h="11906" w:orient="landscape"/>
          <w:pgMar w:top="1304" w:right="2098" w:bottom="1474" w:left="1984" w:header="851" w:footer="1417" w:gutter="0"/>
          <w:pgNumType w:fmt="numberInDash"/>
          <w:cols w:space="720" w:num="1"/>
          <w:docGrid w:type="lines" w:linePitch="327" w:charSpace="0"/>
        </w:sectPr>
      </w:pPr>
    </w:p>
    <w:p>
      <w:pPr>
        <w:tabs>
          <w:tab w:val="left" w:pos="0"/>
        </w:tabs>
        <w:snapToGrid w:val="0"/>
        <w:spacing w:line="480" w:lineRule="exact"/>
        <w:rPr>
          <w:rFonts w:ascii="仿宋" w:hAnsi="仿宋" w:eastAsia="仿宋" w:cs="仿宋"/>
          <w:b/>
          <w:color w:val="000000"/>
          <w:kern w:val="0"/>
          <w:sz w:val="28"/>
          <w:szCs w:val="28"/>
          <w:highlight w:val="yellow"/>
        </w:rPr>
      </w:pPr>
      <w:r>
        <w:rPr>
          <w:rFonts w:hint="eastAsia" w:ascii="仿宋" w:hAnsi="仿宋" w:eastAsia="仿宋" w:cs="仿宋"/>
          <w:b/>
          <w:bCs/>
          <w:sz w:val="32"/>
          <w:szCs w:val="32"/>
          <w:lang w:val="en-US" w:eastAsia="zh-CN"/>
        </w:rPr>
        <w:t>服务类</w:t>
      </w:r>
      <w:r>
        <w:rPr>
          <w:rFonts w:hint="eastAsia" w:ascii="仿宋" w:hAnsi="仿宋" w:eastAsia="仿宋" w:cs="仿宋"/>
          <w:b/>
          <w:bCs/>
          <w:sz w:val="32"/>
          <w:szCs w:val="32"/>
        </w:rPr>
        <w:t>合同模板</w:t>
      </w:r>
      <w:r>
        <w:rPr>
          <w:rFonts w:hint="eastAsia" w:ascii="仿宋" w:hAnsi="仿宋" w:eastAsia="仿宋" w:cs="仿宋"/>
          <w:b/>
          <w:bCs/>
          <w:sz w:val="32"/>
          <w:szCs w:val="32"/>
          <w:lang w:eastAsia="zh-CN"/>
        </w:rPr>
        <w:t>（</w:t>
      </w:r>
      <w:r>
        <w:rPr>
          <w:rFonts w:hint="eastAsia" w:ascii="仿宋" w:hAnsi="仿宋" w:eastAsia="仿宋" w:cs="仿宋"/>
          <w:b/>
          <w:color w:val="000000"/>
          <w:kern w:val="0"/>
          <w:sz w:val="28"/>
          <w:szCs w:val="28"/>
        </w:rPr>
        <w:t>合同模板仅供参考，中标人根据招投标文件拟定</w:t>
      </w:r>
      <w:r>
        <w:rPr>
          <w:rFonts w:hint="eastAsia" w:ascii="仿宋" w:hAnsi="仿宋" w:eastAsia="仿宋" w:cs="仿宋"/>
          <w:b/>
          <w:color w:val="000000"/>
          <w:kern w:val="0"/>
          <w:sz w:val="28"/>
          <w:szCs w:val="28"/>
          <w:lang w:eastAsia="zh-CN"/>
        </w:rPr>
        <w:t>）</w:t>
      </w: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w:t>
      </w:r>
      <w:r>
        <w:rPr>
          <w:rFonts w:hint="eastAsia" w:ascii="仿宋" w:hAnsi="仿宋" w:eastAsia="仿宋"/>
          <w:b/>
          <w:sz w:val="44"/>
          <w:szCs w:val="44"/>
          <w:lang w:eastAsia="zh-CN"/>
        </w:rPr>
        <w:t>龙岗区第七人民医院</w:t>
      </w:r>
      <w:r>
        <w:rPr>
          <w:rFonts w:hint="eastAsia" w:ascii="仿宋" w:hAnsi="仿宋" w:eastAsia="仿宋"/>
          <w:b/>
          <w:sz w:val="44"/>
          <w:szCs w:val="44"/>
        </w:rPr>
        <w:t>采购合同》</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医疗责任保险项目</w:t>
      </w:r>
      <w:r>
        <w:rPr>
          <w:rFonts w:hint="eastAsia" w:ascii="仿宋" w:hAnsi="仿宋" w:eastAsia="仿宋" w:cs="宋体"/>
          <w:sz w:val="28"/>
          <w:szCs w:val="28"/>
          <w:u w:val="single"/>
        </w:rPr>
        <w:t xml:space="preserve"> </w:t>
      </w:r>
    </w:p>
    <w:p>
      <w:pPr>
        <w:spacing w:line="44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sz w:val="28"/>
          <w:szCs w:val="28"/>
        </w:rPr>
        <w:t>项目编号：</w:t>
      </w:r>
      <w:r>
        <w:rPr>
          <w:rFonts w:hint="eastAsia" w:ascii="仿宋" w:hAnsi="仿宋" w:eastAsia="仿宋" w:cs="仿宋_GB2312"/>
          <w:sz w:val="28"/>
          <w:szCs w:val="28"/>
          <w:u w:val="single"/>
          <w:lang w:val="en-US" w:eastAsia="zh-CN"/>
        </w:rPr>
        <w:t xml:space="preserve">                     </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项目类型：</w:t>
      </w:r>
      <w:r>
        <w:rPr>
          <w:rFonts w:hint="eastAsia" w:ascii="仿宋" w:hAnsi="仿宋" w:eastAsia="仿宋"/>
          <w:sz w:val="28"/>
          <w:szCs w:val="28"/>
          <w:u w:val="single"/>
        </w:rPr>
        <w:t>服务类</w:t>
      </w:r>
      <w:r>
        <w:rPr>
          <w:rFonts w:hint="eastAsia" w:ascii="仿宋" w:hAnsi="仿宋" w:eastAsia="仿宋" w:cs="仿宋"/>
          <w:sz w:val="28"/>
          <w:szCs w:val="28"/>
          <w:u w:val="single"/>
        </w:rPr>
        <w:t>　</w:t>
      </w:r>
    </w:p>
    <w:p>
      <w:pPr>
        <w:spacing w:line="44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采购单位（甲方）：</w:t>
      </w:r>
      <w:r>
        <w:rPr>
          <w:rFonts w:hint="eastAsia" w:ascii="仿宋" w:hAnsi="仿宋" w:eastAsia="仿宋"/>
          <w:sz w:val="28"/>
          <w:szCs w:val="28"/>
          <w:u w:val="single"/>
        </w:rPr>
        <w:t>深圳市</w:t>
      </w:r>
      <w:r>
        <w:rPr>
          <w:rFonts w:hint="eastAsia" w:ascii="仿宋" w:hAnsi="仿宋" w:eastAsia="仿宋"/>
          <w:sz w:val="28"/>
          <w:szCs w:val="28"/>
          <w:u w:val="single"/>
          <w:lang w:eastAsia="zh-CN"/>
        </w:rPr>
        <w:t>龙岗区第七人民医院</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 应 商（乙方）：</w:t>
      </w:r>
      <w:r>
        <w:rPr>
          <w:rFonts w:hint="eastAsia" w:ascii="仿宋" w:hAnsi="仿宋" w:eastAsia="仿宋" w:cs="宋体"/>
          <w:kern w:val="0"/>
          <w:sz w:val="28"/>
          <w:szCs w:val="28"/>
          <w:u w:val="single"/>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
          <w:sz w:val="28"/>
          <w:szCs w:val="28"/>
        </w:rPr>
        <w:t>根据《中华人民共和国政府采购法》《中华人民共和国民法典</w:t>
      </w:r>
      <w:r>
        <w:rPr>
          <w:rFonts w:hint="eastAsia" w:ascii="仿宋" w:hAnsi="仿宋" w:eastAsia="仿宋" w:cs="仿宋"/>
          <w:sz w:val="28"/>
          <w:szCs w:val="28"/>
          <w:lang w:eastAsia="zh-CN"/>
        </w:rPr>
        <w:t>》《</w:t>
      </w:r>
      <w:r>
        <w:rPr>
          <w:rFonts w:hint="eastAsia" w:ascii="仿宋" w:hAnsi="仿宋" w:eastAsia="仿宋" w:cs="仿宋"/>
          <w:sz w:val="28"/>
          <w:szCs w:val="28"/>
        </w:rPr>
        <w:t>深圳经济特区政府采购条例实施细则》《深圳经济特区政府采购条例》等法律法规的规定，甲乙双方按照</w:t>
      </w:r>
      <w:r>
        <w:rPr>
          <w:rFonts w:hint="eastAsia" w:ascii="仿宋" w:hAnsi="仿宋" w:eastAsia="仿宋" w:cs="仿宋"/>
          <w:sz w:val="28"/>
          <w:szCs w:val="28"/>
          <w:u w:val="single"/>
        </w:rPr>
        <w:t xml:space="preserve">                  </w:t>
      </w:r>
      <w:r>
        <w:rPr>
          <w:rFonts w:hint="eastAsia" w:ascii="仿宋" w:hAnsi="仿宋" w:eastAsia="仿宋" w:cs="仿宋"/>
          <w:sz w:val="28"/>
          <w:szCs w:val="28"/>
        </w:rPr>
        <w:t>的招标结果并经双方协商签订本合同。</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第一条</w:t>
      </w:r>
      <w:r>
        <w:rPr>
          <w:rFonts w:hint="eastAsia" w:ascii="仿宋_GB2312" w:hAnsi="仿宋_GB2312" w:eastAsia="仿宋" w:cs="仿宋_GB2312"/>
          <w:b/>
          <w:bCs/>
          <w:sz w:val="28"/>
          <w:szCs w:val="28"/>
        </w:rPr>
        <w:t> </w:t>
      </w:r>
      <w:r>
        <w:rPr>
          <w:rFonts w:hint="eastAsia" w:ascii="仿宋" w:hAnsi="仿宋" w:eastAsia="仿宋" w:cs="仿宋_GB2312"/>
          <w:b/>
          <w:bCs/>
          <w:sz w:val="28"/>
          <w:szCs w:val="28"/>
        </w:rPr>
        <w:t xml:space="preserve"> 合同标的</w:t>
      </w:r>
    </w:p>
    <w:p>
      <w:pPr>
        <w:spacing w:line="480" w:lineRule="exact"/>
        <w:ind w:firstLine="562" w:firstLineChars="200"/>
        <w:rPr>
          <w:rFonts w:hint="eastAsia" w:ascii="仿宋" w:hAnsi="仿宋" w:eastAsia="仿宋" w:cs="仿宋_GB2312"/>
          <w:b/>
          <w:bCs/>
          <w:sz w:val="28"/>
          <w:szCs w:val="28"/>
        </w:rPr>
      </w:pPr>
    </w:p>
    <w:p>
      <w:pPr>
        <w:spacing w:line="480" w:lineRule="exact"/>
        <w:ind w:firstLine="562" w:firstLineChars="200"/>
        <w:rPr>
          <w:rFonts w:hint="eastAsia" w:ascii="仿宋" w:hAnsi="仿宋" w:eastAsia="仿宋" w:cs="仿宋_GB2312"/>
          <w:b/>
          <w:bCs/>
          <w:sz w:val="28"/>
          <w:szCs w:val="28"/>
        </w:rPr>
      </w:pP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第二条  服务费用</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本合同价款：合同总价为人民币</w:t>
      </w:r>
      <w:r>
        <w:rPr>
          <w:rFonts w:hint="eastAsia" w:ascii="仿宋" w:hAnsi="仿宋" w:eastAsia="仿宋" w:cs="仿宋_GB2312"/>
          <w:sz w:val="28"/>
          <w:szCs w:val="28"/>
          <w:u w:val="single"/>
          <w:lang w:val="en-US" w:eastAsia="zh-CN"/>
        </w:rPr>
        <w:t>150000</w:t>
      </w:r>
      <w:r>
        <w:rPr>
          <w:rFonts w:hint="eastAsia" w:ascii="仿宋" w:hAnsi="仿宋" w:eastAsia="仿宋" w:cs="仿宋_GB2312"/>
          <w:sz w:val="28"/>
          <w:szCs w:val="28"/>
        </w:rPr>
        <w:t>元</w:t>
      </w:r>
      <w:r>
        <w:rPr>
          <w:rFonts w:hint="eastAsia" w:ascii="仿宋" w:hAnsi="仿宋" w:eastAsia="仿宋" w:cs="仿宋"/>
          <w:sz w:val="28"/>
          <w:szCs w:val="28"/>
        </w:rPr>
        <w:t>（￥</w:t>
      </w:r>
      <w:r>
        <w:rPr>
          <w:rFonts w:hint="eastAsia" w:ascii="仿宋" w:hAnsi="仿宋" w:eastAsia="仿宋" w:cs="宋体"/>
          <w:b/>
          <w:sz w:val="28"/>
          <w:szCs w:val="28"/>
          <w:u w:val="single"/>
        </w:rPr>
        <w:t xml:space="preserve">     </w:t>
      </w:r>
      <w:r>
        <w:rPr>
          <w:rFonts w:hint="eastAsia" w:ascii="仿宋" w:hAnsi="仿宋" w:eastAsia="仿宋" w:cs="仿宋"/>
          <w:sz w:val="28"/>
          <w:szCs w:val="28"/>
        </w:rPr>
        <w:t>）</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人民币报价，</w:t>
      </w:r>
      <w:r>
        <w:rPr>
          <w:rFonts w:hint="eastAsia" w:ascii="仿宋" w:hAnsi="仿宋" w:eastAsia="仿宋" w:cs="仿宋"/>
          <w:sz w:val="28"/>
          <w:szCs w:val="28"/>
        </w:rPr>
        <w:t>总承包报价。报价</w:t>
      </w:r>
      <w:r>
        <w:rPr>
          <w:rFonts w:hint="eastAsia" w:ascii="仿宋" w:hAnsi="仿宋" w:eastAsia="仿宋" w:cs="仿宋_GB2312"/>
          <w:sz w:val="28"/>
          <w:szCs w:val="28"/>
        </w:rPr>
        <w:t>包含税费、人工费等所有费用。</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第三条  付款方式</w:t>
      </w:r>
    </w:p>
    <w:p>
      <w:pPr>
        <w:pStyle w:val="6"/>
        <w:spacing w:line="480" w:lineRule="exact"/>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1.详细约定参照招标文件中的约定。</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2.甲乙双方所有款项往来均通过银行转账方式进行，双方指定的收款银行账户信息详见本合同落款处。</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3.乙方应在甲方付款前开具合法有效的发票，甲方收到乙方合法的增值税发票后，根据双方约定时间支付款项。若由于乙方逾期未提供合法有效的增值税发票或者提供发票不齐全，甲方有权拒绝付款，直至票据齐全、合法，且不视为甲方违约。</w:t>
      </w:r>
    </w:p>
    <w:p>
      <w:pPr>
        <w:pStyle w:val="6"/>
        <w:spacing w:line="480" w:lineRule="exact"/>
        <w:rPr>
          <w:rFonts w:hint="eastAsia" w:ascii="仿宋" w:hAnsi="仿宋" w:eastAsia="仿宋" w:cs="仿宋_GB2312"/>
          <w:sz w:val="28"/>
          <w:szCs w:val="28"/>
        </w:rPr>
      </w:pPr>
      <w:r>
        <w:rPr>
          <w:rFonts w:hint="eastAsia" w:ascii="仿宋" w:hAnsi="仿宋" w:eastAsia="仿宋" w:cs="仿宋_GB2312"/>
          <w:sz w:val="28"/>
          <w:szCs w:val="28"/>
        </w:rPr>
        <w:t>4.乙方应向甲方提供真实有效的银行账户，银行账户如有变更，应立即书面通知甲方，如乙方银行账户变更未书面通知甲方，甲方向本合同约定的收款账户付款造成乙方实际未收到款的，该责任由乙方自行承担。未经甲方书面认可，乙方不得将应收款项转让给任何第三方或让任何第三方代收，否则甲方有权拒绝付款。</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rPr>
        <w:t>5.若本合同付款涉及甲方内部或财政审批迟延的特殊情况，甲方未能按约付款的，乙方对此表示理解，甲方应向乙方进行说明并明确新的付款期限。</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第四条  项目概况</w:t>
      </w:r>
    </w:p>
    <w:p>
      <w:pPr>
        <w:widowControl/>
        <w:numPr>
          <w:ilvl w:val="0"/>
          <w:numId w:val="0"/>
        </w:numPr>
        <w:tabs>
          <w:tab w:val="left" w:pos="-360"/>
        </w:tabs>
        <w:autoSpaceDE w:val="0"/>
        <w:autoSpaceDN w:val="0"/>
        <w:spacing w:line="240" w:lineRule="auto"/>
        <w:ind w:right="-34" w:rightChars="0" w:firstLine="560" w:firstLineChars="200"/>
        <w:textAlignment w:val="bottom"/>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2014年国家五部委颁布《关于加强医疗责任保险工作的意见的通知》、2018年国务院颁布《医疗纠纷预防和处理条例》、2019年全国人大颁布《中华人民共和国基本医疗卫生与健康促进法》、2020年深圳人大颁布《深圳经济特区健康条例》、2021年全国人大通过的《中华人民共和国医师法》等均明确提出应当建立完善医疗风险分担机制，购买医疗责任保险。</w:t>
      </w:r>
    </w:p>
    <w:p>
      <w:pPr>
        <w:widowControl/>
        <w:numPr>
          <w:ilvl w:val="0"/>
          <w:numId w:val="0"/>
        </w:numPr>
        <w:tabs>
          <w:tab w:val="left" w:pos="-360"/>
        </w:tabs>
        <w:autoSpaceDE w:val="0"/>
        <w:autoSpaceDN w:val="0"/>
        <w:spacing w:line="240" w:lineRule="auto"/>
        <w:ind w:right="-34" w:rightChars="0" w:firstLine="560" w:firstLineChars="200"/>
        <w:textAlignment w:val="bottom"/>
        <w:rPr>
          <w:rFonts w:hint="eastAsia"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依据国家五部委、深圳市人民政府、全国人大等颁布的有关文件精神，医院通过购买医责险，转移因医疗过错损害责任而导致的经济赔偿责任。通过第三方的保险保障机制的介入，既弥补了病人的损失也有利于缓解医患矛盾，为医院提供了保障，有利于医院保持经营的稳定和营业秩序的正常。通过引进保险第三方风险赔偿机制介入医疗纠纷的处理，鼓励多渠道模式化解医疗风险，保障患者及医院的合法权益，创建和谐医患关系，共建和谐医疗环境。</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第五条  服务内容及要求</w:t>
      </w:r>
    </w:p>
    <w:p>
      <w:pPr>
        <w:spacing w:line="480" w:lineRule="exact"/>
        <w:ind w:firstLine="560" w:firstLineChars="200"/>
        <w:rPr>
          <w:rFonts w:hint="eastAsia"/>
        </w:rPr>
      </w:pPr>
      <w:r>
        <w:rPr>
          <w:rFonts w:hint="eastAsia" w:ascii="仿宋" w:hAnsi="仿宋" w:eastAsia="仿宋" w:cs="仿宋_GB2312"/>
          <w:sz w:val="28"/>
          <w:szCs w:val="28"/>
          <w:lang w:val="en-US" w:eastAsia="zh-CN"/>
        </w:rPr>
        <w:t>根据投标响应文件确定</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第六条  服务团队</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lang w:val="en-US" w:eastAsia="zh-CN"/>
        </w:rPr>
        <w:t>根据投标响应文件确定</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第七条  服务资料归属</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乙方未经甲方的书面同意，不得将上述资料</w:t>
      </w:r>
      <w:r>
        <w:rPr>
          <w:rFonts w:hint="eastAsia" w:ascii="仿宋" w:hAnsi="仿宋" w:eastAsia="仿宋" w:cs="仿宋_GB2312"/>
          <w:sz w:val="28"/>
          <w:szCs w:val="28"/>
          <w:lang w:eastAsia="zh-CN"/>
        </w:rPr>
        <w:t>用于</w:t>
      </w:r>
      <w:r>
        <w:rPr>
          <w:rFonts w:hint="eastAsia" w:ascii="仿宋" w:hAnsi="仿宋" w:eastAsia="仿宋" w:cs="仿宋_GB2312"/>
          <w:sz w:val="28"/>
          <w:szCs w:val="28"/>
        </w:rPr>
        <w:t>本项目之外的任何项目。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第八条  甲方的权利与义务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甲方有权对乙方的工作进行监督和检查、有权对乙方提出修改意见和建议。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第九条</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乙方的权利与义务</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lang w:val="en-US" w:eastAsia="zh-CN"/>
        </w:rPr>
        <w:t>根据投标响应文件确定</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 xml:space="preserve">第十条 </w:t>
      </w:r>
      <w:r>
        <w:rPr>
          <w:rFonts w:hint="eastAsia" w:ascii="仿宋" w:hAnsi="仿宋" w:eastAsia="仿宋" w:cs="仿宋_GB2312"/>
          <w:b/>
          <w:bCs/>
          <w:sz w:val="28"/>
          <w:szCs w:val="28"/>
          <w:lang w:val="en-US" w:eastAsia="zh-CN"/>
        </w:rPr>
        <w:t xml:space="preserve"> </w:t>
      </w:r>
      <w:r>
        <w:rPr>
          <w:rFonts w:hint="eastAsia" w:ascii="仿宋" w:hAnsi="仿宋" w:eastAsia="仿宋" w:cs="仿宋_GB2312"/>
          <w:b/>
          <w:bCs/>
          <w:sz w:val="28"/>
          <w:szCs w:val="28"/>
        </w:rPr>
        <w:t>保证与承诺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1.乙方保证所提供的产品/服务/成果不侵犯任何第三方的知识产权或其他合法权益。</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2.甲乙双方保证对在本次合作中知悉对方的商业秘密履行保密义务，在与本协议无关的工作中，不泄露、不以任何原因任意使用相关的合同、数据、资料与信息等。</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3.在向甲方提供服务的过程中，如乙方可能从设备上存取、查看和/或下载包括个人数据、用来直接或间接地识别出个人相关信息等计算机文档。个人数据可能包括个人健康信息（例如图像、心脏监控数据、病</w:t>
      </w:r>
      <w:r>
        <w:rPr>
          <w:rFonts w:hint="eastAsia" w:ascii="仿宋" w:hAnsi="仿宋" w:eastAsia="仿宋" w:cs="仿宋_GB2312"/>
          <w:sz w:val="28"/>
          <w:szCs w:val="28"/>
          <w:lang w:val="en-US" w:eastAsia="zh-CN"/>
        </w:rPr>
        <w:t>例</w:t>
      </w:r>
      <w:r>
        <w:rPr>
          <w:rFonts w:hint="eastAsia" w:ascii="仿宋" w:hAnsi="仿宋" w:eastAsia="仿宋" w:cs="仿宋_GB2312"/>
          <w:sz w:val="28"/>
          <w:szCs w:val="28"/>
        </w:rPr>
        <w:t>编号等）和非健康信息（如姓名、出生日期、性别等）。乙方对个人数据等相关文档的使用仅限于履行本合同规定的义务所必</w:t>
      </w:r>
      <w:r>
        <w:rPr>
          <w:rFonts w:hint="eastAsia" w:ascii="仿宋" w:hAnsi="仿宋" w:eastAsia="仿宋" w:cs="仿宋_GB2312"/>
          <w:sz w:val="28"/>
          <w:szCs w:val="28"/>
          <w:lang w:val="en-US" w:eastAsia="zh-CN"/>
        </w:rPr>
        <w:t>需</w:t>
      </w:r>
      <w:r>
        <w:rPr>
          <w:rFonts w:hint="eastAsia" w:ascii="仿宋" w:hAnsi="仿宋" w:eastAsia="仿宋" w:cs="仿宋_GB2312"/>
          <w:sz w:val="28"/>
          <w:szCs w:val="28"/>
        </w:rPr>
        <w:t>的限度内，乙方和相关人员保证不</w:t>
      </w:r>
      <w:r>
        <w:rPr>
          <w:rFonts w:hint="eastAsia" w:ascii="仿宋" w:hAnsi="仿宋" w:eastAsia="仿宋" w:cs="仿宋_GB2312"/>
          <w:sz w:val="28"/>
          <w:szCs w:val="28"/>
          <w:lang w:eastAsia="zh-CN"/>
        </w:rPr>
        <w:t>泄露</w:t>
      </w:r>
      <w:r>
        <w:rPr>
          <w:rFonts w:hint="eastAsia" w:ascii="仿宋" w:hAnsi="仿宋" w:eastAsia="仿宋" w:cs="仿宋_GB2312"/>
          <w:sz w:val="28"/>
          <w:szCs w:val="28"/>
        </w:rPr>
        <w:t>、以任何原因使用或允许他人使用用户设备数据、资料与信息等。乙方对其指派的工作人员的保密义务承担责任。</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保密义务应同样适用于甲乙双方的员工、辅助人员和三方合作者。本条款的效力长期有效，不因合同履行完毕、终止而失效。如因司法机关或政府部门要求，甲方上级检查及同级单位学习而对外披露商业秘密的，不视为违反保密义务。</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5.合同履行期间，乙方应主动维护甲方的名誉与利益，不作出任何损害甲方名誉与利益的行为。</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6.未经甲方事先书面同意，乙方不得使用甲方名义等对外进行宣传。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7.乙方及乙方参加项目的有关人员均需同甲方签订保密协议。</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免责条款</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若甲、乙双方的任何一方由于不可抗力原因造成不能及时履行或不能履行合同时，应及时向对方通报不能履行或不能及时履行的理由，在取得有关证明后，允许延期履行、部分履行或不履行合同，并根据情况，免除相应责任。</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违约责任</w:t>
      </w:r>
    </w:p>
    <w:p>
      <w:pPr>
        <w:spacing w:line="480" w:lineRule="exact"/>
        <w:ind w:firstLine="560" w:firstLineChars="200"/>
        <w:rPr>
          <w:rFonts w:hint="eastAsia" w:ascii="仿宋" w:hAnsi="仿宋" w:eastAsia="仿宋" w:cs="仿宋_GB2312"/>
          <w:b/>
          <w:bCs/>
          <w:sz w:val="28"/>
          <w:szCs w:val="28"/>
        </w:rPr>
      </w:pPr>
      <w:r>
        <w:rPr>
          <w:rFonts w:hint="eastAsia" w:ascii="仿宋" w:hAnsi="仿宋" w:eastAsia="仿宋" w:cs="仿宋_GB2312"/>
          <w:sz w:val="28"/>
          <w:szCs w:val="28"/>
          <w:lang w:val="en-US" w:eastAsia="zh-CN"/>
        </w:rPr>
        <w:t>根据投标响应文件确定</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第十一条  争议解决</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因履行本合同引起的或与本合同有关的争议，甲乙双方应首先通过友好协商解决，如果协商不能解决，则通过向甲方所在地有管辖权的人民法院提起诉讼解决。</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第十二条  本合同附件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以下附件及乙方投标时提供的投标文件和其他相关资料作为本合同的补充内容，具有同等法律效力。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附件1：</w:t>
      </w:r>
      <w:r>
        <w:rPr>
          <w:rFonts w:hint="eastAsia" w:ascii="仿宋" w:hAnsi="仿宋" w:eastAsia="仿宋" w:cs="仿宋_GB2312"/>
          <w:sz w:val="28"/>
          <w:szCs w:val="28"/>
          <w:lang w:val="en-US" w:eastAsia="zh-CN"/>
        </w:rPr>
        <w:t>保险条款</w:t>
      </w:r>
      <w:r>
        <w:rPr>
          <w:rFonts w:hint="eastAsia" w:ascii="仿宋" w:hAnsi="仿宋" w:eastAsia="仿宋" w:cs="仿宋_GB2312"/>
          <w:sz w:val="28"/>
          <w:szCs w:val="28"/>
        </w:rPr>
        <w:t>；</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附件2：深圳市龙岗区第七人民医院廉洁购销合同；</w:t>
      </w:r>
    </w:p>
    <w:p>
      <w:pPr>
        <w:spacing w:line="48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附件3：龙岗区进一步规范政商交往行为告知书</w:t>
      </w:r>
      <w:r>
        <w:rPr>
          <w:rFonts w:hint="eastAsia" w:ascii="仿宋" w:hAnsi="仿宋" w:eastAsia="仿宋" w:cs="仿宋_GB2312"/>
          <w:sz w:val="28"/>
          <w:szCs w:val="28"/>
          <w:lang w:eastAsia="zh-CN"/>
        </w:rPr>
        <w:t>；</w:t>
      </w:r>
    </w:p>
    <w:p>
      <w:pPr>
        <w:pStyle w:val="8"/>
        <w:ind w:firstLine="560" w:firstLineChars="200"/>
        <w:rPr>
          <w:rFonts w:hint="default" w:ascii="仿宋" w:hAnsi="仿宋" w:eastAsia="仿宋" w:cs="仿宋_GB2312"/>
          <w:kern w:val="2"/>
          <w:sz w:val="28"/>
          <w:szCs w:val="28"/>
          <w:lang w:val="en-US" w:eastAsia="zh-CN" w:bidi="ar-SA"/>
        </w:rPr>
      </w:pPr>
      <w:r>
        <w:rPr>
          <w:rFonts w:hint="eastAsia" w:ascii="仿宋" w:hAnsi="仿宋" w:eastAsia="仿宋" w:cs="仿宋_GB2312"/>
          <w:kern w:val="2"/>
          <w:sz w:val="28"/>
          <w:szCs w:val="28"/>
          <w:lang w:val="en-US" w:eastAsia="zh-CN" w:bidi="ar-SA"/>
        </w:rPr>
        <w:t>附件4：……。</w:t>
      </w:r>
    </w:p>
    <w:p>
      <w:pPr>
        <w:spacing w:line="48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第十三条  合同生效及其它</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1.合同经双方法定代表人或授权委托代表人签字并加盖单位公章或合同专用章后生效。</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2.其他约定条款：</w:t>
      </w:r>
      <w:r>
        <w:rPr>
          <w:rFonts w:hint="eastAsia" w:ascii="仿宋" w:hAnsi="仿宋" w:eastAsia="仿宋" w:cs="仿宋"/>
          <w:sz w:val="28"/>
          <w:szCs w:val="28"/>
          <w:u w:val="single"/>
        </w:rPr>
        <w:t xml:space="preserve">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3.本合同未尽事宜，遵照《中华人民共和国民法典》有关条文执行。</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4.本合同正本一式</w:t>
      </w:r>
      <w:r>
        <w:rPr>
          <w:rFonts w:hint="eastAsia" w:ascii="仿宋" w:hAnsi="仿宋" w:eastAsia="仿宋" w:cs="仿宋"/>
          <w:sz w:val="28"/>
          <w:szCs w:val="28"/>
          <w:u w:val="single"/>
          <w:lang w:val="en-US" w:eastAsia="zh-CN"/>
        </w:rPr>
        <w:t>肆</w:t>
      </w:r>
      <w:r>
        <w:rPr>
          <w:rFonts w:hint="eastAsia" w:ascii="仿宋" w:hAnsi="仿宋" w:eastAsia="仿宋" w:cs="仿宋"/>
          <w:sz w:val="28"/>
          <w:szCs w:val="28"/>
        </w:rPr>
        <w:t>份，具有同等法律效力，甲方执</w:t>
      </w:r>
      <w:r>
        <w:rPr>
          <w:rFonts w:hint="eastAsia" w:ascii="仿宋" w:hAnsi="仿宋" w:eastAsia="仿宋" w:cs="仿宋"/>
          <w:sz w:val="28"/>
          <w:szCs w:val="28"/>
          <w:u w:val="single"/>
          <w:lang w:val="en-US" w:eastAsia="zh-CN"/>
        </w:rPr>
        <w:t>叁</w:t>
      </w:r>
      <w:r>
        <w:rPr>
          <w:rFonts w:hint="eastAsia" w:ascii="仿宋" w:hAnsi="仿宋" w:eastAsia="仿宋" w:cs="仿宋"/>
          <w:sz w:val="28"/>
          <w:szCs w:val="28"/>
        </w:rPr>
        <w:t>份；乙方执</w:t>
      </w:r>
      <w:r>
        <w:rPr>
          <w:rFonts w:hint="eastAsia" w:ascii="仿宋" w:hAnsi="仿宋" w:eastAsia="仿宋" w:cs="仿宋"/>
          <w:sz w:val="28"/>
          <w:szCs w:val="28"/>
          <w:u w:val="single"/>
        </w:rPr>
        <w:t>壹</w:t>
      </w:r>
      <w:r>
        <w:rPr>
          <w:rFonts w:hint="eastAsia" w:ascii="仿宋" w:hAnsi="仿宋" w:eastAsia="仿宋" w:cs="仿宋"/>
          <w:sz w:val="28"/>
          <w:szCs w:val="28"/>
        </w:rPr>
        <w:t>份。</w:t>
      </w:r>
    </w:p>
    <w:p>
      <w:pPr>
        <w:pStyle w:val="6"/>
        <w:spacing w:line="440" w:lineRule="exact"/>
      </w:pPr>
    </w:p>
    <w:tbl>
      <w:tblPr>
        <w:tblStyle w:val="15"/>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eastAsia" w:ascii="仿宋" w:hAnsi="仿宋" w:eastAsia="仿宋" w:cs="仿宋"/>
                <w:b/>
                <w:bCs/>
                <w:kern w:val="0"/>
                <w:sz w:val="24"/>
                <w:lang w:eastAsia="zh-CN"/>
              </w:rPr>
            </w:pPr>
            <w:r>
              <w:rPr>
                <w:rFonts w:hint="eastAsia" w:ascii="仿宋" w:hAnsi="仿宋" w:eastAsia="仿宋" w:cs="仿宋"/>
                <w:b/>
                <w:bCs/>
                <w:kern w:val="0"/>
                <w:sz w:val="24"/>
              </w:rPr>
              <w:t>甲方：深圳市</w:t>
            </w:r>
            <w:r>
              <w:rPr>
                <w:rFonts w:hint="eastAsia" w:ascii="仿宋" w:hAnsi="仿宋" w:eastAsia="仿宋" w:cs="仿宋"/>
                <w:b/>
                <w:bCs/>
                <w:kern w:val="0"/>
                <w:sz w:val="24"/>
                <w:lang w:eastAsia="zh-CN"/>
              </w:rPr>
              <w:t>龙岗区第七人民医院</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hint="default" w:ascii="仿宋" w:hAnsi="仿宋" w:eastAsia="仿宋" w:cs="仿宋"/>
                <w:kern w:val="0"/>
                <w:sz w:val="24"/>
                <w:lang w:val="en-US" w:eastAsia="zh-CN"/>
              </w:rPr>
            </w:pPr>
            <w:r>
              <w:rPr>
                <w:rFonts w:hint="eastAsia" w:ascii="仿宋" w:hAnsi="仿宋" w:eastAsia="仿宋" w:cs="仿宋"/>
                <w:b/>
                <w:bCs/>
                <w:color w:val="000000"/>
                <w:sz w:val="24"/>
              </w:rPr>
              <w:t>纳税人识别号</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12440307</w:t>
            </w:r>
            <w:r>
              <w:rPr>
                <w:rFonts w:hint="eastAsia" w:ascii="仿宋" w:hAnsi="仿宋" w:eastAsia="仿宋" w:cs="仿宋"/>
                <w:b/>
                <w:bCs/>
                <w:color w:val="000000"/>
                <w:sz w:val="24"/>
                <w:lang w:val="en-US" w:eastAsia="zh-CN"/>
              </w:rPr>
              <w:t>G34813567P</w:t>
            </w: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11" w:type="dxa"/>
            <w:noWrap/>
            <w:vAlign w:val="top"/>
          </w:tcPr>
          <w:p>
            <w:pPr>
              <w:spacing w:line="360" w:lineRule="auto"/>
            </w:pPr>
            <w:r>
              <w:rPr>
                <w:rFonts w:hint="eastAsia" w:ascii="仿宋" w:hAnsi="仿宋" w:eastAsia="仿宋" w:cs="仿宋"/>
                <w:b/>
                <w:bCs/>
                <w:kern w:val="0"/>
                <w:sz w:val="24"/>
              </w:rPr>
              <w:t>开户银行：</w:t>
            </w:r>
          </w:p>
        </w:tc>
        <w:tc>
          <w:tcPr>
            <w:tcW w:w="4111" w:type="dxa"/>
            <w:noWrap/>
            <w:vAlign w:val="top"/>
          </w:tcPr>
          <w:p>
            <w:pPr>
              <w:spacing w:line="360" w:lineRule="auto"/>
              <w:rPr>
                <w:rFonts w:ascii="仿宋" w:hAnsi="仿宋" w:eastAsia="仿宋" w:cs="仿宋"/>
                <w:color w:val="000000"/>
                <w:sz w:val="24"/>
              </w:rPr>
            </w:pPr>
            <w:r>
              <w:rPr>
                <w:rFonts w:hint="eastAsia" w:ascii="仿宋" w:hAnsi="仿宋" w:eastAsia="仿宋" w:cs="仿宋"/>
                <w:b/>
                <w:bCs/>
                <w:color w:val="000000"/>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kern w:val="0"/>
                <w:sz w:val="24"/>
              </w:rPr>
            </w:pPr>
            <w:r>
              <w:rPr>
                <w:rFonts w:hint="eastAsia" w:ascii="仿宋" w:hAnsi="仿宋" w:eastAsia="仿宋" w:cs="仿宋"/>
                <w:b/>
                <w:bCs/>
                <w:color w:val="000000"/>
                <w:sz w:val="24"/>
              </w:rPr>
              <w:t>帐    号：</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color w:val="000000"/>
                <w:sz w:val="24"/>
              </w:rPr>
              <w:t>电话：</w:t>
            </w:r>
          </w:p>
        </w:tc>
        <w:tc>
          <w:tcPr>
            <w:tcW w:w="4111" w:type="dxa"/>
            <w:noWrap/>
            <w:vAlign w:val="top"/>
          </w:tcPr>
          <w:p>
            <w:pPr>
              <w:spacing w:line="360" w:lineRule="auto"/>
              <w:rPr>
                <w:rFonts w:ascii="仿宋" w:hAnsi="仿宋" w:eastAsia="仿宋" w:cs="仿宋"/>
                <w:b/>
                <w:bCs/>
                <w:color w:val="000000"/>
                <w:sz w:val="24"/>
              </w:rPr>
            </w:pPr>
            <w:r>
              <w:rPr>
                <w:rFonts w:hint="eastAsia" w:ascii="仿宋" w:hAnsi="仿宋" w:eastAsia="仿宋" w:cs="仿宋"/>
                <w:b/>
                <w:bCs/>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甲方法定代表人或授权人（签字）：</w:t>
            </w:r>
          </w:p>
          <w:p>
            <w:pPr>
              <w:pStyle w:val="6"/>
              <w:ind w:firstLine="0"/>
            </w:pP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分管领导、经办科室负责人（签字）：</w:t>
            </w:r>
          </w:p>
          <w:p>
            <w:pPr>
              <w:pStyle w:val="6"/>
              <w:ind w:firstLine="0"/>
            </w:pPr>
          </w:p>
          <w:p>
            <w:pPr>
              <w:pStyle w:val="6"/>
              <w:ind w:firstLine="0"/>
            </w:pPr>
          </w:p>
        </w:tc>
        <w:tc>
          <w:tcPr>
            <w:tcW w:w="4111" w:type="dxa"/>
            <w:noWrap/>
            <w:vAlign w:val="top"/>
          </w:tcPr>
          <w:p>
            <w:pPr>
              <w:spacing w:line="360" w:lineRule="auto"/>
              <w:rPr>
                <w:rFonts w:ascii="仿宋" w:hAnsi="仿宋" w:eastAsia="仿宋" w:cs="仿宋"/>
                <w:b/>
                <w:bCs/>
                <w:kern w:val="0"/>
                <w:sz w:val="24"/>
              </w:rPr>
            </w:pPr>
            <w:r>
              <w:rPr>
                <w:rFonts w:hint="eastAsia" w:ascii="仿宋" w:hAnsi="仿宋" w:eastAsia="仿宋" w:cs="仿宋"/>
                <w:b/>
                <w:bCs/>
                <w:kern w:val="0"/>
                <w:sz w:val="24"/>
              </w:rPr>
              <w:t>乙方法定代表人（签字）：</w:t>
            </w:r>
          </w:p>
          <w:p>
            <w:pPr>
              <w:pStyle w:val="6"/>
              <w:ind w:firstLine="0"/>
            </w:pPr>
          </w:p>
          <w:p>
            <w:pPr>
              <w:pStyle w:val="6"/>
              <w:ind w:firstLine="0"/>
            </w:pPr>
          </w:p>
          <w:p>
            <w:pPr>
              <w:spacing w:line="360" w:lineRule="auto"/>
              <w:rPr>
                <w:rFonts w:ascii="仿宋" w:hAnsi="仿宋" w:eastAsia="仿宋" w:cs="仿宋"/>
                <w:b/>
                <w:bCs/>
                <w:kern w:val="0"/>
                <w:sz w:val="24"/>
              </w:rPr>
            </w:pPr>
            <w:r>
              <w:rPr>
                <w:rFonts w:hint="eastAsia" w:ascii="仿宋" w:hAnsi="仿宋" w:eastAsia="仿宋" w:cs="仿宋"/>
                <w:b/>
                <w:bCs/>
                <w:kern w:val="0"/>
                <w:sz w:val="24"/>
              </w:rPr>
              <w:t>或授权人（签字）：</w:t>
            </w:r>
          </w:p>
          <w:p>
            <w:pPr>
              <w:pStyle w:val="6"/>
              <w:ind w:firstLine="0"/>
            </w:pPr>
          </w:p>
          <w:p>
            <w:pPr>
              <w:pStyle w:val="6"/>
              <w:ind w:firstLine="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222" w:type="dxa"/>
            <w:gridSpan w:val="2"/>
            <w:noWrap/>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签约时间：    年  月  日</w:t>
            </w:r>
          </w:p>
          <w:p>
            <w:pPr>
              <w:spacing w:line="480" w:lineRule="exact"/>
              <w:jc w:val="center"/>
              <w:rPr>
                <w:rFonts w:hint="eastAsia" w:ascii="宋体" w:hAnsi="宋体" w:eastAsia="仿宋"/>
                <w:kern w:val="0"/>
                <w:sz w:val="24"/>
                <w:lang w:eastAsia="zh-CN"/>
              </w:rPr>
            </w:pPr>
            <w:r>
              <w:rPr>
                <w:rFonts w:hint="eastAsia" w:ascii="仿宋" w:hAnsi="仿宋" w:eastAsia="仿宋" w:cs="仿宋"/>
                <w:b/>
                <w:bCs/>
                <w:color w:val="000000"/>
                <w:sz w:val="28"/>
                <w:szCs w:val="28"/>
              </w:rPr>
              <w:t>签约地址：深圳市</w:t>
            </w:r>
            <w:r>
              <w:rPr>
                <w:rFonts w:hint="eastAsia" w:ascii="仿宋" w:hAnsi="仿宋" w:eastAsia="仿宋" w:cs="仿宋"/>
                <w:b/>
                <w:bCs/>
                <w:color w:val="000000"/>
                <w:sz w:val="28"/>
                <w:szCs w:val="28"/>
                <w:lang w:eastAsia="zh-CN"/>
              </w:rPr>
              <w:t>龙岗区第七人民医院</w:t>
            </w:r>
          </w:p>
        </w:tc>
      </w:tr>
    </w:tbl>
    <w:p>
      <w:pPr>
        <w:spacing w:line="500" w:lineRule="exact"/>
        <w:rPr>
          <w:rFonts w:ascii="仿宋" w:hAnsi="仿宋" w:eastAsia="仿宋" w:cs="仿宋"/>
          <w:sz w:val="28"/>
          <w:szCs w:val="28"/>
        </w:rPr>
      </w:pPr>
    </w:p>
    <w:p>
      <w:pPr>
        <w:pStyle w:val="8"/>
        <w:rPr>
          <w:rFonts w:ascii="仿宋" w:hAnsi="仿宋" w:eastAsia="仿宋" w:cs="仿宋"/>
          <w:sz w:val="28"/>
          <w:szCs w:val="28"/>
        </w:rPr>
      </w:pPr>
    </w:p>
    <w:p>
      <w:pPr>
        <w:rPr>
          <w:rFonts w:ascii="仿宋" w:hAnsi="仿宋" w:eastAsia="仿宋" w:cs="仿宋"/>
          <w:sz w:val="28"/>
          <w:szCs w:val="28"/>
        </w:rPr>
      </w:pPr>
    </w:p>
    <w:p>
      <w:pPr>
        <w:tabs>
          <w:tab w:val="left" w:pos="0"/>
        </w:tabs>
        <w:snapToGrid w:val="0"/>
        <w:spacing w:line="480" w:lineRule="exact"/>
        <w:rPr>
          <w:rFonts w:ascii="仿宋" w:hAnsi="仿宋" w:eastAsia="仿宋" w:cs="仿宋"/>
          <w:b/>
          <w:bCs/>
          <w:sz w:val="32"/>
          <w:szCs w:val="32"/>
        </w:rPr>
        <w:sectPr>
          <w:pgSz w:w="11906" w:h="16838"/>
          <w:pgMar w:top="2098" w:right="1474" w:bottom="1984" w:left="1304" w:header="851" w:footer="1417" w:gutter="0"/>
          <w:pgNumType w:fmt="numberInDash"/>
          <w:cols w:space="0" w:num="1"/>
          <w:docGrid w:type="lines" w:linePitch="338" w:charSpace="0"/>
        </w:sectPr>
      </w:pPr>
    </w:p>
    <w:p>
      <w:pPr>
        <w:widowControl/>
        <w:spacing w:line="56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深圳市龙岗区第七人民医院廉洁购销合同</w:t>
      </w:r>
    </w:p>
    <w:p>
      <w:pPr>
        <w:spacing w:line="560" w:lineRule="exact"/>
        <w:rPr>
          <w:rFonts w:ascii="楷体_GB2312" w:hAnsi="ˎ̥" w:eastAsia="楷体_GB2312"/>
          <w:b/>
          <w:sz w:val="32"/>
          <w:szCs w:val="32"/>
        </w:rPr>
      </w:pPr>
    </w:p>
    <w:p>
      <w:pPr>
        <w:spacing w:line="560" w:lineRule="exact"/>
        <w:rPr>
          <w:rFonts w:ascii="仿宋_GB2312" w:hAnsi="ˎ̥" w:eastAsia="仿宋_GB2312"/>
          <w:sz w:val="32"/>
          <w:szCs w:val="32"/>
        </w:rPr>
      </w:pPr>
      <w:r>
        <w:rPr>
          <w:rFonts w:hint="eastAsia" w:ascii="楷体_GB2312" w:hAnsi="ˎ̥" w:eastAsia="楷体_GB2312"/>
          <w:b/>
          <w:sz w:val="32"/>
          <w:szCs w:val="32"/>
        </w:rPr>
        <w:t>甲方</w:t>
      </w:r>
      <w:r>
        <w:rPr>
          <w:rFonts w:hint="eastAsia" w:ascii="仿宋_GB2312" w:hAnsi="ˎ̥" w:eastAsia="仿宋_GB2312"/>
          <w:sz w:val="32"/>
          <w:szCs w:val="32"/>
        </w:rPr>
        <w:t>：深圳市龙岗区第七人民医院</w:t>
      </w:r>
    </w:p>
    <w:p>
      <w:pPr>
        <w:spacing w:line="560" w:lineRule="exact"/>
        <w:rPr>
          <w:rFonts w:ascii="楷体_GB2312" w:hAnsi="ˎ̥" w:eastAsia="楷体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项目名称：</w:t>
      </w:r>
      <w:r>
        <w:rPr>
          <w:rFonts w:hint="eastAsia" w:ascii="楷体_GB2312" w:hAnsi="ˎ̥" w:eastAsia="楷体_GB2312"/>
          <w:b/>
          <w:sz w:val="32"/>
          <w:szCs w:val="32"/>
          <w:lang w:val="en-US" w:eastAsia="zh-CN"/>
        </w:rPr>
        <w:t>医疗责任保险</w:t>
      </w:r>
      <w:r>
        <w:rPr>
          <w:rFonts w:hint="eastAsia" w:ascii="楷体_GB2312" w:hAnsi="ˎ̥" w:eastAsia="楷体_GB2312"/>
          <w:b/>
          <w:sz w:val="32"/>
          <w:szCs w:val="32"/>
        </w:rPr>
        <w:t xml:space="preserve"> </w:t>
      </w:r>
    </w:p>
    <w:p>
      <w:pPr>
        <w:spacing w:line="560" w:lineRule="exact"/>
        <w:rPr>
          <w:rFonts w:ascii="楷体_GB2312" w:hAnsi="ˎ̥" w:eastAsia="楷体_GB2312"/>
          <w:sz w:val="32"/>
          <w:szCs w:val="32"/>
        </w:rPr>
      </w:pPr>
      <w:r>
        <w:rPr>
          <w:rFonts w:hint="eastAsia" w:ascii="楷体_GB2312" w:hAnsi="ˎ̥" w:eastAsia="楷体_GB2312"/>
          <w:b/>
          <w:sz w:val="32"/>
          <w:szCs w:val="32"/>
        </w:rPr>
        <w:t>合同总价</w:t>
      </w:r>
      <w:r>
        <w:rPr>
          <w:rFonts w:hint="eastAsia" w:ascii="楷体_GB2312" w:hAnsi="ˎ̥" w:eastAsia="楷体_GB2312"/>
          <w:sz w:val="32"/>
          <w:szCs w:val="32"/>
        </w:rPr>
        <w:t>：</w:t>
      </w:r>
    </w:p>
    <w:p>
      <w:pPr>
        <w:spacing w:line="560" w:lineRule="exact"/>
        <w:rPr>
          <w:rFonts w:ascii="楷体_GB2312" w:hAnsi="ˎ̥" w:eastAsia="楷体_GB2312"/>
          <w:b/>
          <w:sz w:val="32"/>
          <w:szCs w:val="32"/>
        </w:rPr>
      </w:pPr>
      <w:r>
        <w:rPr>
          <w:rFonts w:hint="eastAsia" w:ascii="楷体_GB2312" w:hAnsi="ˎ̥" w:eastAsia="楷体_GB2312"/>
          <w:b/>
          <w:sz w:val="32"/>
          <w:szCs w:val="32"/>
        </w:rPr>
        <w:t>主办科室：</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为进一步加强医疗卫生行风建设，规范购销行为，有效防范商业贿赂，营造公平交易、诚实守信的购销环境，经甲、乙双方协商，同意签订本合同，并共同遵守：</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一、甲乙双方按照《中华人民共和国民法典》及产品</w:t>
      </w:r>
      <w:r>
        <w:rPr>
          <w:rFonts w:hint="eastAsia" w:ascii="仿宋_GB2312" w:eastAsia="仿宋_GB2312"/>
          <w:sz w:val="32"/>
          <w:szCs w:val="32"/>
        </w:rPr>
        <w:t>购销合同</w:t>
      </w:r>
      <w:r>
        <w:rPr>
          <w:rFonts w:hint="eastAsia" w:ascii="仿宋_GB2312" w:hAnsi="ˎ̥" w:eastAsia="仿宋_GB2312"/>
          <w:sz w:val="32"/>
          <w:szCs w:val="32"/>
        </w:rPr>
        <w:t>约定实施购销行为。</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二、甲方应当严格执行验收、入库制度，对采购产品及发票进行查验，不得违反有关规定进行合同外采购、违价采购或从非规定渠道采购。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三、甲方不得接受乙方以任何名义、形式给予的利益输送，不得将接受捐赠资助与采购挂钩。甲方工作人员不得参加乙方安排并支付费用的营业性娱乐场所的娱乐活动，</w:t>
      </w:r>
      <w:r>
        <w:rPr>
          <w:rFonts w:hint="eastAsia" w:ascii="仿宋_GB2312" w:eastAsia="仿宋_GB2312"/>
          <w:sz w:val="32"/>
          <w:szCs w:val="32"/>
        </w:rPr>
        <w:t>不得以任何形式向乙方索要现金、有价证券、支付凭证和贵重礼品等</w:t>
      </w:r>
      <w:r>
        <w:rPr>
          <w:rFonts w:hint="eastAsia" w:ascii="仿宋_GB2312" w:hAnsi="ˎ̥" w:eastAsia="仿宋_GB2312"/>
          <w:sz w:val="32"/>
          <w:szCs w:val="32"/>
        </w:rPr>
        <w:t>。被迫接受乙方给予的钱物，应予退还，无法退还的，有责任如实向纪检监察部门反映情况。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四、严禁甲方工作人员利用任何途径和方式，非法为乙方统计医师个人及临床科室有关医药产品用量信息，或为乙方统方提供便利。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ˎ̥" w:eastAsia="仿宋_GB2312"/>
          <w:sz w:val="32"/>
          <w:szCs w:val="32"/>
        </w:rPr>
        <w:t>乙方不得以回扣、</w:t>
      </w:r>
      <w:r>
        <w:rPr>
          <w:rFonts w:hint="eastAsia" w:ascii="仿宋_GB2312" w:eastAsia="仿宋_GB2312"/>
          <w:sz w:val="32"/>
          <w:szCs w:val="32"/>
        </w:rPr>
        <w:t>宴请等方式影响甲方工作人员采购或使用医药产品的选择权，不得在学术活动中提供旅游、超标准支付食宿费用，以及其他任何形式的利益输送。</w:t>
      </w:r>
    </w:p>
    <w:p>
      <w:pPr>
        <w:spacing w:line="560" w:lineRule="exact"/>
        <w:ind w:firstLine="640" w:firstLineChars="200"/>
        <w:rPr>
          <w:rFonts w:ascii="仿宋_GB2312" w:hAnsi="ˎ̥" w:eastAsia="仿宋_GB2312"/>
          <w:sz w:val="32"/>
          <w:szCs w:val="32"/>
        </w:rPr>
      </w:pPr>
      <w:r>
        <w:rPr>
          <w:rFonts w:hint="eastAsia" w:ascii="仿宋_GB2312" w:eastAsia="仿宋_GB2312"/>
          <w:sz w:val="32"/>
          <w:szCs w:val="32"/>
        </w:rPr>
        <w:t>六、乙方指定</w:t>
      </w:r>
      <w:r>
        <w:rPr>
          <w:rFonts w:hint="eastAsia" w:ascii="仿宋_GB2312" w:eastAsia="仿宋_GB2312"/>
          <w:sz w:val="32"/>
          <w:szCs w:val="32"/>
          <w:u w:val="single"/>
        </w:rPr>
        <w:t xml:space="preserve">        </w:t>
      </w:r>
      <w:r>
        <w:rPr>
          <w:rFonts w:hint="eastAsia" w:ascii="仿宋_GB2312" w:eastAsia="仿宋_GB2312"/>
          <w:sz w:val="32"/>
          <w:szCs w:val="32"/>
        </w:rPr>
        <w:t>作为销售代表洽谈业务。销售代表必须在工作时间到甲方指定地点联系商谈，不得到住院部、门诊部、医技科室等推销医药产品，不得借故到甲方相关领导、部门</w:t>
      </w:r>
      <w:r>
        <w:rPr>
          <w:rFonts w:hint="eastAsia" w:ascii="仿宋_GB2312" w:hAnsi="ˎ̥" w:eastAsia="仿宋_GB2312"/>
          <w:sz w:val="32"/>
          <w:szCs w:val="32"/>
        </w:rPr>
        <w:t>负责人及相关工作人员家中访谈并提供任何好处费。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ˎ̥" w:eastAsia="仿宋_GB2312"/>
          <w:sz w:val="32"/>
          <w:szCs w:val="32"/>
        </w:rPr>
        <w:t>乙方如违反本合同，一经发现，</w:t>
      </w:r>
      <w:r>
        <w:rPr>
          <w:rFonts w:hint="eastAsia" w:ascii="仿宋_GB2312" w:eastAsia="仿宋_GB2312"/>
          <w:sz w:val="32"/>
          <w:szCs w:val="32"/>
        </w:rPr>
        <w:t>甲方有权终止产品购销合同，并向有关部门报告。如乙方被列入商业贿赂不良记录，则严格按照《国家</w:t>
      </w:r>
      <w:r>
        <w:rPr>
          <w:rFonts w:ascii="仿宋_GB2312" w:eastAsia="仿宋_GB2312"/>
          <w:sz w:val="32"/>
          <w:szCs w:val="32"/>
        </w:rPr>
        <w:t>卫生计生委关于建立医药购销领域商业贿赂不良记录的规定</w:t>
      </w:r>
      <w:r>
        <w:rPr>
          <w:rFonts w:hint="eastAsia" w:ascii="仿宋_GB2312" w:eastAsia="仿宋_GB2312"/>
          <w:sz w:val="32"/>
          <w:szCs w:val="32"/>
        </w:rPr>
        <w:t>》</w:t>
      </w:r>
      <w:r>
        <w:rPr>
          <w:rFonts w:eastAsia="仿宋_GB2312"/>
          <w:color w:val="000000"/>
          <w:sz w:val="32"/>
          <w:szCs w:val="32"/>
          <w:shd w:val="clear" w:color="auto" w:fill="FFFFFF"/>
        </w:rPr>
        <w:t>（国卫法制发</w:t>
      </w:r>
      <w:r>
        <w:rPr>
          <w:rFonts w:hint="eastAsia" w:ascii="仿宋_GB2312" w:eastAsia="仿宋_GB2312"/>
          <w:sz w:val="32"/>
          <w:szCs w:val="32"/>
        </w:rPr>
        <w:t>〔2013〕50号）相关规定处理。</w:t>
      </w:r>
    </w:p>
    <w:p>
      <w:pPr>
        <w:spacing w:line="560" w:lineRule="exact"/>
        <w:ind w:firstLine="640" w:firstLineChars="200"/>
        <w:rPr>
          <w:rFonts w:ascii="仿宋_GB2312" w:eastAsia="仿宋_GB2312"/>
          <w:sz w:val="32"/>
          <w:szCs w:val="32"/>
        </w:rPr>
      </w:pPr>
      <w:r>
        <w:rPr>
          <w:rFonts w:hint="eastAsia" w:ascii="仿宋_GB2312" w:hAnsi="ˎ̥" w:eastAsia="仿宋_GB2312"/>
          <w:sz w:val="32"/>
          <w:szCs w:val="32"/>
        </w:rPr>
        <w:t>八、</w:t>
      </w:r>
      <w:r>
        <w:rPr>
          <w:rFonts w:hint="eastAsia" w:ascii="仿宋_GB2312" w:eastAsia="仿宋_GB2312"/>
          <w:sz w:val="32"/>
          <w:szCs w:val="32"/>
        </w:rPr>
        <w:t>本合同作为产品购销合同的组成部分，与购销合同一并执行，具有同等的法律效力。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九、本合同一式叁份，甲方贰份（一份随购销主合同存档，一份交医院纪检监察部门），乙方壹份，从签订之日起生效。</w:t>
      </w:r>
    </w:p>
    <w:p>
      <w:pPr>
        <w:spacing w:line="560" w:lineRule="exact"/>
        <w:rPr>
          <w:rFonts w:ascii="仿宋_GB2312" w:eastAsia="仿宋_GB2312"/>
          <w:sz w:val="32"/>
          <w:szCs w:val="32"/>
        </w:rPr>
      </w:pPr>
    </w:p>
    <w:p>
      <w:pPr>
        <w:spacing w:line="560" w:lineRule="exact"/>
        <w:rPr>
          <w:rFonts w:ascii="楷体_GB2312" w:eastAsia="楷体_GB2312"/>
          <w:b/>
          <w:sz w:val="32"/>
          <w:szCs w:val="32"/>
        </w:rPr>
      </w:pPr>
      <w:r>
        <w:rPr>
          <w:rFonts w:hint="eastAsia" w:ascii="楷体_GB2312" w:eastAsia="楷体_GB2312"/>
          <w:b/>
          <w:sz w:val="32"/>
          <w:szCs w:val="32"/>
        </w:rPr>
        <w:t>甲方（盖章）：                  乙方（盖章）：</w:t>
      </w:r>
    </w:p>
    <w:p>
      <w:pPr>
        <w:spacing w:line="560" w:lineRule="exact"/>
        <w:rPr>
          <w:rFonts w:ascii="楷体_GB2312" w:eastAsia="楷体_GB2312"/>
          <w:b/>
          <w:sz w:val="32"/>
          <w:szCs w:val="32"/>
        </w:rPr>
      </w:pPr>
      <w:r>
        <w:rPr>
          <w:rFonts w:hint="eastAsia" w:ascii="楷体_GB2312" w:eastAsia="楷体_GB2312"/>
          <w:b/>
          <w:sz w:val="32"/>
          <w:szCs w:val="32"/>
        </w:rPr>
        <w:t>法定代表人（</w:t>
      </w:r>
      <w:r>
        <w:rPr>
          <w:rFonts w:ascii="楷体_GB2312" w:eastAsia="楷体_GB2312"/>
          <w:b/>
          <w:sz w:val="32"/>
          <w:szCs w:val="32"/>
        </w:rPr>
        <w:t>负责人</w:t>
      </w:r>
      <w:r>
        <w:rPr>
          <w:rFonts w:hint="eastAsia" w:ascii="楷体_GB2312" w:eastAsia="楷体_GB2312"/>
          <w:b/>
          <w:sz w:val="32"/>
          <w:szCs w:val="32"/>
        </w:rPr>
        <w:t>）：          法定代表人（</w:t>
      </w:r>
      <w:r>
        <w:rPr>
          <w:rFonts w:ascii="楷体_GB2312" w:eastAsia="楷体_GB2312"/>
          <w:b/>
          <w:sz w:val="32"/>
          <w:szCs w:val="32"/>
        </w:rPr>
        <w:t>负责人</w:t>
      </w:r>
      <w:r>
        <w:rPr>
          <w:rFonts w:hint="eastAsia" w:ascii="楷体_GB2312" w:eastAsia="楷体_GB2312"/>
          <w:b/>
          <w:sz w:val="32"/>
          <w:szCs w:val="32"/>
        </w:rPr>
        <w:t>）：</w:t>
      </w:r>
    </w:p>
    <w:p>
      <w:pPr>
        <w:spacing w:line="560" w:lineRule="exact"/>
      </w:pPr>
      <w:r>
        <w:rPr>
          <w:rFonts w:hint="eastAsia" w:ascii="楷体_GB2312" w:eastAsia="楷体_GB2312"/>
          <w:b/>
          <w:sz w:val="32"/>
          <w:szCs w:val="32"/>
        </w:rPr>
        <w:t>授权代表人签名：               经办人签名：</w:t>
      </w:r>
    </w:p>
    <w:p>
      <w:pPr>
        <w:spacing w:line="560" w:lineRule="exact"/>
        <w:ind w:firstLine="640" w:firstLineChars="200"/>
        <w:rPr>
          <w:rFonts w:ascii="宋体" w:hAnsi="宋体" w:cs="宋体"/>
          <w:color w:val="000000"/>
          <w:kern w:val="0"/>
          <w:sz w:val="44"/>
          <w:szCs w:val="44"/>
          <w:lang w:bidi="ar"/>
        </w:rPr>
      </w:pPr>
      <w:r>
        <w:rPr>
          <w:rFonts w:hint="eastAsia" w:ascii="仿宋_GB2312" w:eastAsia="仿宋_GB2312"/>
          <w:sz w:val="32"/>
          <w:szCs w:val="32"/>
        </w:rPr>
        <w:t>年    月   日                 年    月   日</w:t>
      </w:r>
    </w:p>
    <w:p>
      <w:pPr>
        <w:widowControl/>
        <w:spacing w:line="440" w:lineRule="exact"/>
        <w:jc w:val="center"/>
        <w:textAlignment w:val="center"/>
        <w:rPr>
          <w:rFonts w:ascii="宋体" w:hAnsi="宋体" w:cs="宋体"/>
          <w:color w:val="000000"/>
          <w:kern w:val="0"/>
          <w:sz w:val="44"/>
          <w:szCs w:val="44"/>
          <w:lang w:bidi="ar"/>
        </w:rPr>
        <w:sectPr>
          <w:headerReference r:id="rId6" w:type="default"/>
          <w:footerReference r:id="rId7" w:type="default"/>
          <w:pgSz w:w="11906" w:h="16838"/>
          <w:pgMar w:top="2098" w:right="1474" w:bottom="1984" w:left="1304" w:header="851" w:footer="1417" w:gutter="0"/>
          <w:cols w:space="0" w:num="1"/>
          <w:docGrid w:type="lines" w:linePitch="338" w:charSpace="0"/>
        </w:sectPr>
      </w:pPr>
    </w:p>
    <w:p>
      <w:pPr>
        <w:widowControl/>
        <w:spacing w:line="440" w:lineRule="exact"/>
        <w:jc w:val="center"/>
        <w:textAlignment w:val="center"/>
        <w:rPr>
          <w:rFonts w:ascii="宋体" w:hAnsi="宋体" w:cs="宋体"/>
          <w:color w:val="000000"/>
          <w:kern w:val="0"/>
          <w:sz w:val="44"/>
          <w:szCs w:val="44"/>
          <w:lang w:bidi="ar"/>
        </w:rPr>
      </w:pPr>
      <w:r>
        <w:rPr>
          <w:rFonts w:hint="eastAsia" w:ascii="宋体" w:hAnsi="宋体" w:cs="宋体"/>
          <w:color w:val="000000"/>
          <w:kern w:val="0"/>
          <w:sz w:val="44"/>
          <w:szCs w:val="44"/>
          <w:lang w:bidi="ar"/>
        </w:rPr>
        <w:t>龙岗区进一步规范政商交往行为告知书</w:t>
      </w:r>
    </w:p>
    <w:p>
      <w:pPr>
        <w:spacing w:line="440" w:lineRule="exact"/>
        <w:rPr>
          <w:rFonts w:ascii="宋体" w:hAnsi="宋体" w:cs="宋体"/>
          <w:sz w:val="28"/>
          <w:szCs w:val="28"/>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新型政商关系，努力打造尊商、亲商、助商、安商良好营商环境，龙岗</w:t>
      </w:r>
      <w:r>
        <w:rPr>
          <w:rFonts w:hint="eastAsia" w:ascii="仿宋_GB2312" w:hAnsi="仿宋_GB2312" w:eastAsia="仿宋_GB2312" w:cs="仿宋_GB2312"/>
          <w:sz w:val="32"/>
          <w:szCs w:val="32"/>
          <w:lang w:eastAsia="zh-CN"/>
        </w:rPr>
        <w:t>区委、区政府</w:t>
      </w:r>
      <w:r>
        <w:rPr>
          <w:rFonts w:hint="eastAsia" w:ascii="仿宋_GB2312" w:hAnsi="仿宋_GB2312" w:eastAsia="仿宋_GB2312" w:cs="仿宋_GB2312"/>
          <w:sz w:val="32"/>
          <w:szCs w:val="32"/>
        </w:rPr>
        <w:t>制定了《龙岗区公职人员政商交往“十个不准”》，严明公职人员在政商交往中的纪律要求。请参与龙岗建设的广大企业及其从业人员，严格监督我区公职人员落实“十个不准”，并在与我区公职人员交往中切实做到“十个不得”。</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一、不得向公职人员赠送礼品、礼金、消费卡等财物。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二、不得违规向公职人员提供宴请、旅游、娱乐等安排。</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三、不得通过打麻将等形式向公职人员输送利益。</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四、不得为公职人员报销应由其个人支付的费用。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五、不得违规向公职人员及其亲友借贷款。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六、不得违规将车辆、住房等借给公职人员使用。</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七、不得在招投标中与公职人员搞暗箱操作、围标串标。</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八、不得为利益相关人和公职人员牵线搭桥或者代为传递信息、传递财物。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九、不得让公职人员在企业违规兼职取酬。</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十、不得为公职人员亲友违规承揽业务提供便利。</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十个不得”，请您严格遵守。同时，在政商交往中，如有发现我区公职人员存在违反“十个不准”的问题，请及时通过网络举报平台或者12388举报电话等方式，向纪检监察机关反映举报，我们将一律严格保密、一律优先处置、一律严肃查处。</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本人已知晓上述告知内容，并愿意遵照执行（签名）：</w:t>
      </w:r>
    </w:p>
    <w:p>
      <w:pPr>
        <w:spacing w:line="440" w:lineRule="exact"/>
        <w:ind w:firstLine="5760" w:firstLineChars="18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spacing w:line="440" w:lineRule="exact"/>
        <w:ind w:firstLine="4480" w:firstLineChars="1400"/>
        <w:rPr>
          <w:rFonts w:ascii="仿宋_GB2312" w:hAnsi="仿宋_GB2312" w:eastAsia="仿宋_GB2312" w:cs="仿宋_GB2312"/>
          <w:sz w:val="32"/>
          <w:szCs w:val="32"/>
        </w:rPr>
      </w:pPr>
    </w:p>
    <w:p>
      <w:pPr>
        <w:pStyle w:val="9"/>
        <w:spacing w:line="44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单位名称（盖章）：</w:t>
      </w:r>
    </w:p>
    <w:p>
      <w:pPr>
        <w:pStyle w:val="9"/>
        <w:spacing w:line="440" w:lineRule="exact"/>
        <w:jc w:val="center"/>
        <w:rPr>
          <w:rFonts w:hint="default" w:ascii="仿宋" w:hAnsi="仿宋" w:eastAsia="仿宋" w:cs="仿宋"/>
          <w:sz w:val="28"/>
          <w:szCs w:val="28"/>
        </w:rPr>
      </w:pPr>
      <w:r>
        <w:rPr>
          <w:rFonts w:ascii="仿宋_GB2312" w:hAnsi="仿宋_GB2312" w:eastAsia="仿宋_GB2312" w:cs="仿宋_GB2312"/>
          <w:sz w:val="32"/>
          <w:szCs w:val="32"/>
        </w:rPr>
        <w:t xml:space="preserve">                   年  月  日</w:t>
      </w:r>
    </w:p>
    <w:p>
      <w:pPr>
        <w:pStyle w:val="8"/>
        <w:rPr>
          <w:rFonts w:ascii="仿宋_GB2312" w:hAnsi="仿宋_GB2312" w:eastAsia="仿宋_GB2312" w:cs="仿宋_GB2312"/>
          <w:b/>
          <w:bCs/>
          <w:kern w:val="2"/>
          <w:sz w:val="36"/>
          <w:szCs w:val="36"/>
        </w:rPr>
      </w:pPr>
    </w:p>
    <w:p/>
    <w:p>
      <w:pPr>
        <w:pStyle w:val="8"/>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rTRP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6yS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NJrTRPQAQAApQMAAA4AAAAAAAAAAQAgAAAAIgEA&#10;AGRycy9lMm9Eb2MueG1sUEsFBgAAAAAGAAYAWQEAAGQFAAAAAA==&#10;">
              <v:fill on="f" focussize="0,0"/>
              <v:stroke on="f" weight="1.25pt"/>
              <v:imagedata o:title=""/>
              <o:lock v:ext="edit" aspectratio="f"/>
              <v:textbox inset="0mm,0mm,0mm,0mm" style="mso-fit-shape-to-text:t;">
                <w:txbxContent>
                  <w:p>
                    <w:pPr>
                      <w:pStyle w:val="10"/>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- 40 -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071AE"/>
    <w:multiLevelType w:val="singleLevel"/>
    <w:tmpl w:val="82F071AE"/>
    <w:lvl w:ilvl="0" w:tentative="0">
      <w:start w:val="6"/>
      <w:numFmt w:val="decimal"/>
      <w:suff w:val="nothing"/>
      <w:lvlText w:val="（%1）"/>
      <w:lvlJc w:val="left"/>
    </w:lvl>
  </w:abstractNum>
  <w:abstractNum w:abstractNumId="1">
    <w:nsid w:val="00000001"/>
    <w:multiLevelType w:val="singleLevel"/>
    <w:tmpl w:val="00000001"/>
    <w:lvl w:ilvl="0" w:tentative="0">
      <w:start w:val="3"/>
      <w:numFmt w:val="decimal"/>
      <w:suff w:val="nothing"/>
      <w:lvlText w:val="（%1）"/>
      <w:lvlJc w:val="left"/>
    </w:lvl>
  </w:abstractNum>
  <w:abstractNum w:abstractNumId="2">
    <w:nsid w:val="22B7BE7E"/>
    <w:multiLevelType w:val="singleLevel"/>
    <w:tmpl w:val="22B7BE7E"/>
    <w:lvl w:ilvl="0" w:tentative="0">
      <w:start w:val="3"/>
      <w:numFmt w:val="chineseCounting"/>
      <w:suff w:val="nothing"/>
      <w:lvlText w:val="（%1）"/>
      <w:lvlJc w:val="left"/>
      <w:rPr>
        <w:rFonts w:hint="eastAsia"/>
      </w:rPr>
    </w:lvl>
  </w:abstractNum>
  <w:abstractNum w:abstractNumId="3">
    <w:nsid w:val="37C1C332"/>
    <w:multiLevelType w:val="singleLevel"/>
    <w:tmpl w:val="37C1C332"/>
    <w:lvl w:ilvl="0" w:tentative="0">
      <w:start w:val="2"/>
      <w:numFmt w:val="chineseCounting"/>
      <w:suff w:val="space"/>
      <w:lvlText w:val="第%1章"/>
      <w:lvlJc w:val="left"/>
      <w:rPr>
        <w:rFonts w:hint="eastAsia"/>
      </w:rPr>
    </w:lvl>
  </w:abstractNum>
  <w:abstractNum w:abstractNumId="4">
    <w:nsid w:val="4DC050DD"/>
    <w:multiLevelType w:val="singleLevel"/>
    <w:tmpl w:val="4DC050DD"/>
    <w:lvl w:ilvl="0" w:tentative="0">
      <w:start w:val="1"/>
      <w:numFmt w:val="chineseCounting"/>
      <w:suff w:val="nothing"/>
      <w:lvlText w:val="%1、"/>
      <w:lvlJc w:val="left"/>
      <w:rPr>
        <w:rFonts w:hint="eastAsia"/>
      </w:rPr>
    </w:lvl>
  </w:abstractNum>
  <w:abstractNum w:abstractNumId="5">
    <w:nsid w:val="58C64E55"/>
    <w:multiLevelType w:val="singleLevel"/>
    <w:tmpl w:val="58C64E55"/>
    <w:lvl w:ilvl="0" w:tentative="0">
      <w:start w:val="1"/>
      <w:numFmt w:val="decimal"/>
      <w:lvlText w:val="%1."/>
      <w:lvlJc w:val="left"/>
      <w:pPr>
        <w:ind w:left="425" w:hanging="425"/>
      </w:pPr>
      <w:rPr>
        <w:rFonts w:hint="default"/>
      </w:rPr>
    </w:lvl>
  </w:abstractNum>
  <w:abstractNum w:abstractNumId="6">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MmRkYjg1MWYxOTgzYmE0YjcwNjU0NzA5NzU1Y2UifQ=="/>
  </w:docVars>
  <w:rsids>
    <w:rsidRoot w:val="4E07504C"/>
    <w:rsid w:val="01C01AC4"/>
    <w:rsid w:val="02047256"/>
    <w:rsid w:val="03675BA6"/>
    <w:rsid w:val="06721E12"/>
    <w:rsid w:val="069D1FD3"/>
    <w:rsid w:val="06E94E42"/>
    <w:rsid w:val="07CE6FAD"/>
    <w:rsid w:val="08160683"/>
    <w:rsid w:val="087655AA"/>
    <w:rsid w:val="08D8516E"/>
    <w:rsid w:val="099731AD"/>
    <w:rsid w:val="09A3577C"/>
    <w:rsid w:val="0B0009AC"/>
    <w:rsid w:val="0D1F7866"/>
    <w:rsid w:val="0D733008"/>
    <w:rsid w:val="0E9E6313"/>
    <w:rsid w:val="11114953"/>
    <w:rsid w:val="13977902"/>
    <w:rsid w:val="140B289C"/>
    <w:rsid w:val="149A1EBD"/>
    <w:rsid w:val="15A246F6"/>
    <w:rsid w:val="161A71D6"/>
    <w:rsid w:val="16797E6D"/>
    <w:rsid w:val="16D30781"/>
    <w:rsid w:val="17F61B9F"/>
    <w:rsid w:val="1890336F"/>
    <w:rsid w:val="18EF552E"/>
    <w:rsid w:val="192758C6"/>
    <w:rsid w:val="195675A7"/>
    <w:rsid w:val="196C5B8A"/>
    <w:rsid w:val="19F95BB8"/>
    <w:rsid w:val="1A311532"/>
    <w:rsid w:val="1A8B6784"/>
    <w:rsid w:val="1BF652AB"/>
    <w:rsid w:val="1C6C5EA1"/>
    <w:rsid w:val="1F4D3D68"/>
    <w:rsid w:val="21E336A7"/>
    <w:rsid w:val="23E857F5"/>
    <w:rsid w:val="24B94F4B"/>
    <w:rsid w:val="25331C52"/>
    <w:rsid w:val="27BE796C"/>
    <w:rsid w:val="27C070A1"/>
    <w:rsid w:val="27EB4D2D"/>
    <w:rsid w:val="28606759"/>
    <w:rsid w:val="28A013AD"/>
    <w:rsid w:val="2902118B"/>
    <w:rsid w:val="29F311DA"/>
    <w:rsid w:val="2B8F4F7A"/>
    <w:rsid w:val="2C2B3683"/>
    <w:rsid w:val="2CBD4E6E"/>
    <w:rsid w:val="2CD47877"/>
    <w:rsid w:val="2E3D00D7"/>
    <w:rsid w:val="2E3D769E"/>
    <w:rsid w:val="2FEA115F"/>
    <w:rsid w:val="302F165E"/>
    <w:rsid w:val="30DC1C6C"/>
    <w:rsid w:val="30F2476F"/>
    <w:rsid w:val="34394463"/>
    <w:rsid w:val="350F1DC4"/>
    <w:rsid w:val="36C546D4"/>
    <w:rsid w:val="37A57D54"/>
    <w:rsid w:val="38AC78FA"/>
    <w:rsid w:val="3A1A0893"/>
    <w:rsid w:val="3D7A7FC6"/>
    <w:rsid w:val="3E1B5BB3"/>
    <w:rsid w:val="3E8246A6"/>
    <w:rsid w:val="3EE95851"/>
    <w:rsid w:val="3F0C10F2"/>
    <w:rsid w:val="402204A1"/>
    <w:rsid w:val="43B25C38"/>
    <w:rsid w:val="447D3E1A"/>
    <w:rsid w:val="44F87A23"/>
    <w:rsid w:val="459918A7"/>
    <w:rsid w:val="467545BC"/>
    <w:rsid w:val="47F27C95"/>
    <w:rsid w:val="484E277B"/>
    <w:rsid w:val="4D41354B"/>
    <w:rsid w:val="4DA42E3E"/>
    <w:rsid w:val="4E07504C"/>
    <w:rsid w:val="4E28581D"/>
    <w:rsid w:val="4FBF3F5F"/>
    <w:rsid w:val="505D2E3A"/>
    <w:rsid w:val="50FB36C9"/>
    <w:rsid w:val="52B80BDA"/>
    <w:rsid w:val="57754922"/>
    <w:rsid w:val="57F97435"/>
    <w:rsid w:val="59A258A8"/>
    <w:rsid w:val="5BFE7BBD"/>
    <w:rsid w:val="5CAF3C3D"/>
    <w:rsid w:val="5CB67973"/>
    <w:rsid w:val="5D653BF9"/>
    <w:rsid w:val="5EF236E4"/>
    <w:rsid w:val="5FA10F8B"/>
    <w:rsid w:val="5FB84304"/>
    <w:rsid w:val="61C97E28"/>
    <w:rsid w:val="61D76EE6"/>
    <w:rsid w:val="6650370B"/>
    <w:rsid w:val="67303132"/>
    <w:rsid w:val="6E7855AD"/>
    <w:rsid w:val="6EA0056C"/>
    <w:rsid w:val="6EB20ABF"/>
    <w:rsid w:val="6F2D2BF4"/>
    <w:rsid w:val="70237187"/>
    <w:rsid w:val="703B2D36"/>
    <w:rsid w:val="759E0F0F"/>
    <w:rsid w:val="75A66EA3"/>
    <w:rsid w:val="7B405295"/>
    <w:rsid w:val="7BEA50DF"/>
    <w:rsid w:val="7C0135D5"/>
    <w:rsid w:val="7ED44A81"/>
    <w:rsid w:val="7F961D37"/>
    <w:rsid w:val="7FBD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autoRedefine/>
    <w:semiHidden/>
    <w:unhideWhenUsed/>
    <w:qFormat/>
    <w:uiPriority w:val="0"/>
    <w:pPr>
      <w:outlineLvl w:val="1"/>
    </w:pPr>
    <w:rPr>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cs="Times New Roman"/>
      <w:kern w:val="0"/>
      <w:sz w:val="27"/>
      <w:szCs w:val="27"/>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5">
    <w:name w:val="index 8"/>
    <w:basedOn w:val="1"/>
    <w:next w:val="1"/>
    <w:autoRedefine/>
    <w:qFormat/>
    <w:uiPriority w:val="0"/>
    <w:pPr>
      <w:ind w:left="2940"/>
    </w:p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autoSpaceDE w:val="0"/>
      <w:autoSpaceDN w:val="0"/>
      <w:jc w:val="left"/>
    </w:pPr>
    <w:rPr>
      <w:rFonts w:ascii="宋体" w:hAnsi="宋体"/>
      <w:kern w:val="0"/>
      <w:sz w:val="32"/>
      <w:szCs w:val="32"/>
    </w:rPr>
  </w:style>
  <w:style w:type="paragraph" w:styleId="9">
    <w:name w:val="Plain Text"/>
    <w:basedOn w:val="1"/>
    <w:next w:val="5"/>
    <w:autoRedefine/>
    <w:qFormat/>
    <w:uiPriority w:val="0"/>
    <w:rPr>
      <w:rFonts w:hint="eastAsia" w:ascii="宋体" w:hAnsi="Courier New"/>
      <w:kern w:val="0"/>
      <w:sz w:val="20"/>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Body Text 2"/>
    <w:basedOn w:val="1"/>
    <w:autoRedefine/>
    <w:qFormat/>
    <w:uiPriority w:val="0"/>
    <w:pPr>
      <w:spacing w:line="360" w:lineRule="auto"/>
    </w:pPr>
    <w:rPr>
      <w:rFonts w:ascii="Times New Roman" w:hAnsi="Times New Roman"/>
      <w:kern w:val="0"/>
      <w:sz w:val="24"/>
    </w:rPr>
  </w:style>
  <w:style w:type="paragraph" w:styleId="14">
    <w:name w:val="Normal (Web)"/>
    <w:basedOn w:val="1"/>
    <w:autoRedefine/>
    <w:qFormat/>
    <w:uiPriority w:val="0"/>
    <w:pPr>
      <w:spacing w:beforeAutospacing="1" w:afterAutospacing="1"/>
      <w:jc w:val="left"/>
    </w:pPr>
    <w:rPr>
      <w:rFonts w:cs="Times New Roman"/>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p0"/>
    <w:basedOn w:val="1"/>
    <w:autoRedefine/>
    <w:qFormat/>
    <w:uiPriority w:val="0"/>
    <w:pPr>
      <w:widowControl/>
    </w:pPr>
    <w:rPr>
      <w:kern w:val="0"/>
      <w:szCs w:val="21"/>
    </w:rPr>
  </w:style>
  <w:style w:type="paragraph" w:customStyle="1" w:styleId="20">
    <w:name w:val="列出段落111"/>
    <w:basedOn w:val="1"/>
    <w:autoRedefine/>
    <w:qFormat/>
    <w:uiPriority w:val="0"/>
    <w:pPr>
      <w:ind w:firstLine="420" w:firstLineChars="200"/>
    </w:pPr>
  </w:style>
  <w:style w:type="paragraph" w:customStyle="1" w:styleId="21">
    <w:name w:val="Table Text"/>
    <w:basedOn w:val="1"/>
    <w:autoRedefine/>
    <w:semiHidden/>
    <w:qFormat/>
    <w:uiPriority w:val="0"/>
    <w:rPr>
      <w:rFonts w:ascii="仿宋" w:hAnsi="仿宋" w:eastAsia="仿宋" w:cs="仿宋"/>
      <w:sz w:val="21"/>
      <w:szCs w:val="21"/>
      <w:lang w:val="en-US" w:eastAsia="en-US" w:bidi="ar-SA"/>
    </w:rPr>
  </w:style>
  <w:style w:type="paragraph" w:customStyle="1" w:styleId="22">
    <w:name w:val="_Style 1"/>
    <w:basedOn w:val="1"/>
    <w:next w:val="1"/>
    <w:autoRedefine/>
    <w:qFormat/>
    <w:uiPriority w:val="99"/>
    <w:pPr>
      <w:ind w:firstLine="420" w:firstLineChars="200"/>
    </w:pPr>
  </w:style>
  <w:style w:type="character" w:customStyle="1" w:styleId="23">
    <w:name w:val="正文_2 Char"/>
    <w:autoRedefine/>
    <w:qFormat/>
    <w:uiPriority w:val="0"/>
    <w:rPr>
      <w:rFonts w:hint="eastAsia" w:ascii="宋体" w:hAnsi="宋体" w:eastAsia="宋体"/>
      <w:kern w:val="2"/>
      <w:sz w:val="21"/>
      <w:szCs w:val="22"/>
      <w:lang w:val="en-US" w:eastAsia="zh-CN"/>
    </w:rPr>
  </w:style>
  <w:style w:type="paragraph" w:customStyle="1" w:styleId="24">
    <w:name w:val="正文+首行缩进2 字符"/>
    <w:basedOn w:val="1"/>
    <w:autoRedefine/>
    <w:qFormat/>
    <w:uiPriority w:val="0"/>
    <w:pPr>
      <w:spacing w:afterLines="25" w:line="300" w:lineRule="auto"/>
      <w:ind w:firstLine="480" w:firstLineChars="200"/>
    </w:pPr>
    <w:rPr>
      <w:rFonts w:ascii="Times New Roman" w:hAnsi="Times New Roman" w:cs="宋体"/>
      <w:szCs w:val="20"/>
    </w:rPr>
  </w:style>
  <w:style w:type="paragraph" w:customStyle="1" w:styleId="25">
    <w:name w:val="列出段落3"/>
    <w:basedOn w:val="1"/>
    <w:autoRedefine/>
    <w:qFormat/>
    <w:uiPriority w:val="34"/>
    <w:pPr>
      <w:ind w:firstLine="420" w:firstLineChars="200"/>
    </w:pPr>
  </w:style>
  <w:style w:type="paragraph" w:customStyle="1" w:styleId="26">
    <w:name w:val="列出段落1"/>
    <w:basedOn w:val="1"/>
    <w:autoRedefine/>
    <w:qFormat/>
    <w:uiPriority w:val="34"/>
    <w:pPr>
      <w:ind w:firstLine="420" w:firstLineChars="200"/>
    </w:pPr>
  </w:style>
  <w:style w:type="paragraph" w:styleId="27">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8">
    <w:name w:val="纯文本1"/>
    <w:basedOn w:val="1"/>
    <w:autoRedefine/>
    <w:qFormat/>
    <w:uiPriority w:val="0"/>
    <w:rPr>
      <w:rFonts w:ascii="宋体" w:hAnsi="Courier New"/>
      <w:szCs w:val="20"/>
    </w:rPr>
  </w:style>
  <w:style w:type="paragraph" w:customStyle="1" w:styleId="29">
    <w:name w:val="List Paragraph"/>
    <w:basedOn w:val="1"/>
    <w:qFormat/>
    <w:uiPriority w:val="34"/>
    <w:pPr>
      <w:ind w:firstLine="420" w:firstLineChars="200"/>
    </w:pPr>
  </w:style>
  <w:style w:type="paragraph" w:customStyle="1" w:styleId="30">
    <w:name w:val="*正文"/>
    <w:basedOn w:val="1"/>
    <w:autoRedefine/>
    <w:qFormat/>
    <w:uiPriority w:val="0"/>
    <w:pPr>
      <w:spacing w:line="360" w:lineRule="auto"/>
      <w:ind w:firstLine="200" w:firstLineChars="200"/>
    </w:pPr>
    <w:rPr>
      <w:rFonts w:ascii="宋体" w:hAnsi="宋体"/>
      <w:kern w:val="0"/>
      <w:sz w:val="24"/>
    </w:rPr>
  </w:style>
  <w:style w:type="paragraph" w:customStyle="1" w:styleId="31">
    <w:name w:val="USE 1"/>
    <w:basedOn w:val="1"/>
    <w:autoRedefine/>
    <w:qFormat/>
    <w:uiPriority w:val="0"/>
    <w:pPr>
      <w:spacing w:line="200" w:lineRule="atLeast"/>
      <w:jc w:val="left"/>
    </w:pPr>
    <w:rPr>
      <w:rFonts w:ascii="宋体"/>
      <w:b/>
      <w:sz w:val="24"/>
      <w:szCs w:val="28"/>
    </w:rPr>
  </w:style>
  <w:style w:type="paragraph" w:customStyle="1" w:styleId="32">
    <w:name w:val="文档正文"/>
    <w:basedOn w:val="1"/>
    <w:qFormat/>
    <w:uiPriority w:val="0"/>
    <w:pPr>
      <w:spacing w:line="360" w:lineRule="auto"/>
    </w:pPr>
    <w:rPr>
      <w:rFonts w:cs="Arial"/>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12128</Words>
  <Characters>12494</Characters>
  <Lines>0</Lines>
  <Paragraphs>0</Paragraphs>
  <TotalTime>27</TotalTime>
  <ScaleCrop>false</ScaleCrop>
  <LinksUpToDate>false</LinksUpToDate>
  <CharactersWithSpaces>12585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2025-05-27T09:58:00Z</dcterms:created>
  <dc:creator>张生</dc:creator>
  <cp:lastModifiedBy>HyoQi</cp:lastModifiedBy>
  <cp:lastPrinted>2025-05-28T00:24:00Z</cp:lastPrinted>
  <dcterms:modified xsi:type="dcterms:W3CDTF">2025-09-01T06:55:45Z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BDA59A106F274949A864C42F695CDF38_13</vt:lpwstr>
  </property>
  <property fmtid="{D5CDD505-2E9C-101B-9397-08002B2CF9AE}" pid="4" name="KSOTemplateDocerSaveRecord">
    <vt:lpwstr>eyJoZGlkIjoiN2RiNWQ5NGYzY2IxYzY2OGVkMjg0YWI2OWFlOGVkZmIiLCJ1c2VySWQiOiI0MDk2MDE5NTQifQ==</vt:lpwstr>
  </property>
</Properties>
</file>