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keepNext w:val="0"/>
        <w:keepLines w:val="0"/>
        <w:pageBreakBefore w:val="0"/>
        <w:kinsoku/>
        <w:overflowPunct/>
        <w:topLinePunct w:val="0"/>
        <w:autoSpaceDE/>
        <w:autoSpaceDN/>
        <w:bidi w:val="0"/>
        <w:spacing w:line="560" w:lineRule="exact"/>
        <w:jc w:val="left"/>
        <w:textAlignment w:val="auto"/>
        <w:rPr>
          <w:rFonts w:hint="default" w:ascii="宋体" w:hAnsi="宋体" w:eastAsia="宋体" w:cs="宋体"/>
          <w:b/>
          <w:bCs/>
          <w:color w:val="auto"/>
          <w:sz w:val="28"/>
          <w:szCs w:val="28"/>
          <w:lang w:val="en-US" w:eastAsia="zh-CN"/>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2025年龙岗区教育局聘员招聘综合</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考务服务项目采购需求书</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2"/>
          <w:szCs w:val="32"/>
          <w:lang w:val="en-US" w:eastAsia="zh-CN"/>
        </w:rPr>
        <w:t>为加强龙岗区教育局人员队伍建设，现计划开展聘员招聘工作，为确保本次招聘笔试及面试工作顺利开展，现拟通过“自行采购-公开招标”方式选取一家有经验、有实力供应商提供本次招聘笔试及面试综合考务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预算控制金额</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本项目预算控制金额</w:t>
      </w:r>
      <w:r>
        <w:rPr>
          <w:rFonts w:hint="eastAsia" w:ascii="仿宋_GB2312" w:hAnsi="仿宋_GB2312" w:eastAsia="仿宋_GB2312" w:cs="仿宋_GB2312"/>
          <w:bCs/>
          <w:color w:val="auto"/>
          <w:sz w:val="32"/>
          <w:szCs w:val="32"/>
          <w:highlight w:val="none"/>
          <w:lang w:val="en-US" w:eastAsia="zh-CN"/>
        </w:rPr>
        <w:t>120000.00</w:t>
      </w:r>
      <w:r>
        <w:rPr>
          <w:rFonts w:hint="eastAsia" w:ascii="仿宋_GB2312" w:hAnsi="仿宋_GB2312" w:eastAsia="仿宋_GB2312" w:cs="仿宋_GB2312"/>
          <w:bCs/>
          <w:color w:val="auto"/>
          <w:sz w:val="32"/>
          <w:szCs w:val="32"/>
          <w:lang w:val="en-US" w:eastAsia="zh-CN"/>
        </w:rPr>
        <w:t>元。</w:t>
      </w:r>
      <w:r>
        <w:rPr>
          <w:rFonts w:hint="eastAsia" w:ascii="仿宋_GB2312" w:hAnsi="仿宋_GB2312" w:eastAsia="仿宋_GB2312" w:cs="仿宋_GB2312"/>
          <w:color w:val="auto"/>
          <w:sz w:val="32"/>
          <w:szCs w:val="32"/>
          <w:shd w:val="clear" w:color="auto" w:fill="FFFFFF"/>
          <w:lang w:val="en-US" w:eastAsia="zh-CN"/>
        </w:rPr>
        <w:t>最终以实际产生经费为准支付，若超出预算控制价甲方不再支付额外费用，需由中标人自行承担。</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采购方式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 w:hAnsi="仿宋" w:eastAsia="仿宋" w:cs="仿宋"/>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自行采购-公开招标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评标方法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仿宋" w:hAnsi="仿宋" w:eastAsia="仿宋" w:cs="华文仿宋"/>
          <w:color w:val="auto"/>
          <w:sz w:val="28"/>
          <w:szCs w:val="28"/>
          <w:lang w:val="en-US" w:eastAsia="zh-CN"/>
        </w:rPr>
      </w:pPr>
      <w:r>
        <w:rPr>
          <w:rFonts w:hint="eastAsia" w:ascii="仿宋_GB2312" w:hAnsi="仿宋_GB2312" w:eastAsia="仿宋_GB2312" w:cs="仿宋_GB2312"/>
          <w:b w:val="0"/>
          <w:bCs w:val="0"/>
          <w:color w:val="auto"/>
          <w:sz w:val="32"/>
          <w:szCs w:val="32"/>
          <w:lang w:val="en-US" w:eastAsia="zh-CN"/>
        </w:rPr>
        <w:t>综合评分法，综合评分标准详见附件1，报价单详见附件2。</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项目需求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项目目标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Cs/>
          <w:color w:val="auto"/>
          <w:sz w:val="32"/>
          <w:szCs w:val="32"/>
          <w:lang w:val="en-US" w:eastAsia="zh-CN"/>
        </w:rPr>
        <w:t>中标人能完全</w:t>
      </w:r>
      <w:r>
        <w:rPr>
          <w:rFonts w:hint="eastAsia" w:ascii="仿宋_GB2312" w:hAnsi="仿宋_GB2312" w:eastAsia="仿宋_GB2312" w:cs="仿宋_GB2312"/>
          <w:b w:val="0"/>
          <w:bCs w:val="0"/>
          <w:color w:val="auto"/>
          <w:sz w:val="32"/>
          <w:szCs w:val="32"/>
          <w:lang w:val="en-US" w:eastAsia="zh-CN"/>
        </w:rPr>
        <w:t>保障</w:t>
      </w:r>
      <w:r>
        <w:rPr>
          <w:rFonts w:hint="eastAsia" w:ascii="仿宋_GB2312" w:hAnsi="黑体" w:eastAsia="仿宋_GB2312"/>
          <w:sz w:val="32"/>
          <w:szCs w:val="32"/>
          <w:lang w:eastAsia="zh-CN"/>
        </w:rPr>
        <w:t>2025年龙岗区教育局聘员招聘</w:t>
      </w:r>
      <w:r>
        <w:rPr>
          <w:rFonts w:hint="eastAsia" w:ascii="仿宋_GB2312" w:hAnsi="黑体" w:eastAsia="仿宋_GB2312"/>
          <w:sz w:val="32"/>
          <w:szCs w:val="32"/>
          <w:lang w:val="en-US" w:eastAsia="zh-CN"/>
        </w:rPr>
        <w:t>综合</w:t>
      </w:r>
      <w:r>
        <w:rPr>
          <w:rFonts w:hint="eastAsia" w:ascii="仿宋_GB2312" w:hAnsi="黑体" w:eastAsia="仿宋_GB2312"/>
          <w:sz w:val="32"/>
          <w:szCs w:val="32"/>
          <w:lang w:eastAsia="zh-CN"/>
        </w:rPr>
        <w:t>考务服务项目</w:t>
      </w:r>
      <w:r>
        <w:rPr>
          <w:rFonts w:hint="eastAsia" w:ascii="仿宋_GB2312" w:hAnsi="仿宋_GB2312" w:eastAsia="仿宋_GB2312" w:cs="仿宋_GB2312"/>
          <w:b w:val="0"/>
          <w:bCs w:val="0"/>
          <w:color w:val="auto"/>
          <w:sz w:val="32"/>
          <w:szCs w:val="32"/>
          <w:lang w:val="en-US" w:eastAsia="zh-CN"/>
        </w:rPr>
        <w:t>工作顺利开展，通过中标人专业化考务服务，能大力提升本次招聘工作效率和质量。</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采购内容（服务类）</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本次招聘笔试命题按1套测算，参加笔试考生按610人测算，笔试试室按21间测算（每间不超30人）；面试人数按64人测算，面试间数按2间测算，面试时长按半天测算。具体以实际产生数量为准结算，采购需求如下：</w:t>
      </w:r>
    </w:p>
    <w:p>
      <w:pPr>
        <w:pStyle w:val="6"/>
        <w:keepNext w:val="0"/>
        <w:keepLines w:val="0"/>
        <w:pageBreakBefore w:val="0"/>
        <w:widowControl w:val="0"/>
        <w:numPr>
          <w:ilvl w:val="0"/>
          <w:numId w:val="3"/>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笔试命题及阅卷等要求</w:t>
      </w:r>
    </w:p>
    <w:p>
      <w:pPr>
        <w:pStyle w:val="6"/>
        <w:keepNext w:val="0"/>
        <w:keepLines w:val="0"/>
        <w:pageBreakBefore w:val="0"/>
        <w:widowControl w:val="0"/>
        <w:numPr>
          <w:ilvl w:val="0"/>
          <w:numId w:val="0"/>
        </w:numPr>
        <w:kinsoku/>
        <w:wordWrap/>
        <w:overflowPunct/>
        <w:topLinePunct w:val="0"/>
        <w:autoSpaceDE/>
        <w:autoSpaceDN/>
        <w:bidi w:val="0"/>
        <w:spacing w:after="0" w:line="560" w:lineRule="exact"/>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因该项需求涉密，故不做细节需求描述，中标人需具备大型招聘各种类型（含主观、客观等）试题命制、试题印刷、押卷及阅卷组织能力，请投标人自行慎重把握，具体要求届时以甲方命题通知书为准。</w:t>
      </w:r>
    </w:p>
    <w:p>
      <w:pPr>
        <w:pStyle w:val="6"/>
        <w:keepNext w:val="0"/>
        <w:keepLines w:val="0"/>
        <w:pageBreakBefore w:val="0"/>
        <w:widowControl w:val="0"/>
        <w:numPr>
          <w:ilvl w:val="0"/>
          <w:numId w:val="3"/>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人员要求</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排一名具有招聘考务组织经验丰富的自有员工担任本次招聘项目团队总负责人，统筹协调各项考务工作；安排足够具备考务组织经验的自有员工组成本次招聘考务服务团队，要求提前做好人员岗位分工并报甲方审核确认。</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right="0" w:rightChars="0"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甲方负责确定笔试及面试当天各个环节工作人员的资格条件并通知中标人，中标人接到甲方通知后5个工作日内提供人员名单信息报甲方审核确认。</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笔试及面试考务要求</w:t>
      </w:r>
    </w:p>
    <w:p>
      <w:pPr>
        <w:pStyle w:val="6"/>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（1）场地租赁布置</w:t>
      </w:r>
    </w:p>
    <w:p>
      <w:pPr>
        <w:pStyle w:val="6"/>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笔试及面试场地选取由甲方与中标人协商确定，要求场地</w:t>
      </w:r>
      <w:bookmarkStart w:id="0" w:name="_GoBack"/>
      <w:bookmarkEnd w:id="0"/>
      <w:r>
        <w:rPr>
          <w:rFonts w:hint="eastAsia" w:ascii="仿宋_GB2312" w:hAnsi="仿宋_GB2312" w:eastAsia="仿宋_GB2312" w:cs="仿宋_GB2312"/>
          <w:color w:val="auto"/>
          <w:kern w:val="2"/>
          <w:sz w:val="32"/>
          <w:szCs w:val="32"/>
          <w:lang w:val="en-US" w:eastAsia="zh-CN" w:bidi="ar-SA"/>
        </w:rPr>
        <w:t>位于龙岗区内，中标人负责笔试和面试场地的租赁及布置，如各类广告指引牌、警戒线、桌椅摆放及回收等；中标人须提前半天完成笔试和面试场地监控布置，确保监控无死角，监控视频存储硬盘由中标人提供。</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（2）物料文具耗材</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中标人负责提供笔试和面试期间所有物料文具耗材，如签字笔、凤尾夹、纸巾、尺子、订书机、订书针、倒计时器、倒计时提示牌、档案袋、手提袋、纸箱、排插、打印碳粉盒、A4纸、A3纸等。</w:t>
      </w:r>
    </w:p>
    <w:p>
      <w:pPr>
        <w:keepNext w:val="0"/>
        <w:keepLines w:val="0"/>
        <w:pageBreakBefore w:val="0"/>
        <w:widowControl w:val="0"/>
        <w:numPr>
          <w:ilvl w:val="0"/>
          <w:numId w:val="4"/>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餐饮茶歇</w:t>
      </w:r>
    </w:p>
    <w:p>
      <w:pPr>
        <w:pStyle w:val="6"/>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中标人负责提供笔试和面试期间全体工作人员（含监考员、面试考官、后勤工作人员等）早餐、午餐、饮用水及茶歇等。</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设备系统</w:t>
      </w:r>
    </w:p>
    <w:p>
      <w:pPr>
        <w:pStyle w:val="6"/>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笔试及面试期间，中标人负责提供运行稳定的考生签到系统、铃声系统（笔试播放指令）、考官抽签系统、监控系统、通讯系统（用于短信通知考生）、面试评分系统等。</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服务期限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本项目服务期限自合同签订之日起至2025年12月31日。具体服务时间以实际考务工作进度为准，中标人能随时根据具体笔试及面试时间安排响应甲方要求。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其他要求</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1.鉴于面向社会考试的严谨性以及可能引发的舆情风险，中标人务必于笔试及面试前做好整体考务组织规划，包括考务人员岗位培训、场地布置、后勤物资保障、相关设备系统调试等前期准备工作。</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2.中标人提供的考务人员，如引导员等不能为兼职学生，考务人员在岗期间需遵守工作纪律，不得玩忽职守，不得迟到早退，不得擅离工作岗位等。</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3.中标人应按照保密要求做好试题信息、考生信息、项目合作等相关事项的保密工作。</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4.中标人需配合处理好笔试及面试过程中可能产生的考生咨询及投诉问题，对于因中标人考务组织及后勤保障不力出现的重大问题，甲方有权要求中标人做出相应赔偿。</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5.中标人报价必须唯一，不得提供选择性报价，不得低于公司成本价。</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6.在履约过程中可能产生的差旅费、住宿费等均由中标人自行承担。</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投标人资质要求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1.满足《中华人民共和国政府采购法》第二十二条规定（投标人在投标文件中签署《政府采购投标及履约承诺函》即可）;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2.投标人必须具有独立承担民事责任的能力，不接受分公司或者分支机构参与投标；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3.参与本项目投标前三年内，在经营活动中没有重大违法记录（由投标人在《政府采购投标及履约承诺函》中作出承诺）；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4.参与本项目政府采购活动时不存在被有关部门禁止参与政府采购活动且在有效期内的情况（由投标人在《政府采购投标及履约承诺函》中作出承诺）；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与本项目政府采购活动时未被列入失信被执行人、重大税收违法案件当事人名单、政府采购严重违法失信行为记录名单（由投标人在《政府采购投标及履约承诺函》中作出声明）；注：“信用中国”、“中国政府采购网”、“深圳信用网”以及“深圳市政府采购监管网”为投标人信用信息的查询渠道。</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6.本项目不接受联合体投标，不允许</w:t>
      </w:r>
      <w:r>
        <w:rPr>
          <w:rFonts w:hint="eastAsia" w:ascii="仿宋_GB2312" w:hAnsi="仿宋_GB2312" w:eastAsia="仿宋_GB2312" w:cs="仿宋_GB2312"/>
          <w:color w:val="auto"/>
          <w:sz w:val="32"/>
          <w:szCs w:val="32"/>
          <w:lang w:val="en-US" w:eastAsia="zh-CN"/>
        </w:rPr>
        <w:t>中标人</w:t>
      </w:r>
      <w:r>
        <w:rPr>
          <w:rFonts w:hint="eastAsia" w:ascii="仿宋_GB2312" w:hAnsi="仿宋_GB2312" w:eastAsia="仿宋_GB2312" w:cs="仿宋_GB2312"/>
          <w:color w:val="auto"/>
          <w:sz w:val="32"/>
          <w:szCs w:val="32"/>
        </w:rPr>
        <w:t>转包、分包。</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黑体" w:hAnsi="黑体" w:eastAsia="黑体" w:cs="黑体"/>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完成项目约定服务且履约验收合格后，中标人开具正式票据，甲方收到中标人票据后按深圳市龙岗区财政局有关规定向中标人一次性支付服务费。</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接收投标文件地点和投标截止时间等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1.接收投标文件地点：深圳市龙岗区清林中路213号（龙岗区教育局608办公室）；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黑体" w:hAnsi="黑体" w:eastAsia="黑体" w:cs="黑体"/>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2.投标截止时间：2025年9月2日9:00。</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业务咨询</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联系人：梁老师，联系电话：0755-89551913</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地址：</w:t>
      </w:r>
      <w:r>
        <w:rPr>
          <w:rFonts w:hint="eastAsia" w:ascii="仿宋_GB2312" w:hAnsi="仿宋_GB2312" w:eastAsia="仿宋_GB2312" w:cs="仿宋_GB2312"/>
          <w:bCs/>
          <w:color w:val="auto"/>
          <w:kern w:val="0"/>
          <w:sz w:val="32"/>
          <w:szCs w:val="32"/>
        </w:rPr>
        <w:t>龙岗区清林中路213号教育综合大厦</w:t>
      </w:r>
    </w:p>
    <w:p>
      <w:pPr>
        <w:ind w:firstLine="640" w:firstLineChars="200"/>
        <w:rPr>
          <w:rFonts w:hint="eastAsia" w:ascii="仿宋_GB2312" w:hAnsi="仿宋_GB2312" w:eastAsia="仿宋_GB2312" w:cs="仿宋_GB2312"/>
          <w:bCs/>
          <w:color w:val="auto"/>
          <w:kern w:val="0"/>
          <w:sz w:val="32"/>
          <w:szCs w:val="32"/>
          <w:lang w:val="en-US" w:eastAsia="zh-CN"/>
        </w:rPr>
      </w:pPr>
    </w:p>
    <w:p>
      <w:pPr>
        <w:ind w:firstLine="640" w:firstLineChars="200"/>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附件：1.综合评分标准</w:t>
      </w:r>
    </w:p>
    <w:p>
      <w:pPr>
        <w:ind w:firstLine="640" w:firstLineChars="200"/>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xml:space="preserve">      2.报价单</w:t>
      </w: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xml:space="preserve">深圳市龙岗区教育局    </w:t>
      </w:r>
    </w:p>
    <w:p>
      <w:pPr>
        <w:keepNext w:val="0"/>
        <w:keepLines w:val="0"/>
        <w:pageBreakBefore w:val="0"/>
        <w:widowControl w:val="0"/>
        <w:numPr>
          <w:ilvl w:val="0"/>
          <w:numId w:val="0"/>
        </w:numPr>
        <w:kinsoku/>
        <w:wordWrap w:val="0"/>
        <w:overflowPunct/>
        <w:topLinePunct w:val="0"/>
        <w:autoSpaceDE/>
        <w:autoSpaceDN/>
        <w:bidi w:val="0"/>
        <w:spacing w:line="560" w:lineRule="exact"/>
        <w:ind w:leftChars="0"/>
        <w:jc w:val="right"/>
        <w:textAlignment w:val="auto"/>
        <w:rPr>
          <w:rFonts w:hint="eastAsia" w:ascii="仿宋" w:hAnsi="仿宋" w:eastAsia="仿宋" w:cs="仿宋"/>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2025年8月28日</w:t>
      </w:r>
      <w:r>
        <w:rPr>
          <w:rFonts w:hint="eastAsia" w:ascii="仿宋" w:hAnsi="仿宋" w:eastAsia="仿宋" w:cs="仿宋"/>
          <w:bCs/>
          <w:color w:val="auto"/>
          <w:kern w:val="0"/>
          <w:sz w:val="32"/>
          <w:szCs w:val="32"/>
          <w:lang w:val="en-US" w:eastAsia="zh-CN"/>
        </w:rPr>
        <w:t xml:space="preserve">     </w:t>
      </w: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color w:val="auto"/>
          <w:sz w:val="32"/>
          <w:szCs w:val="32"/>
          <w:lang w:val="en-US" w:eastAsia="zh-CN"/>
        </w:rPr>
      </w:pP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color w:val="auto"/>
          <w:sz w:val="32"/>
          <w:szCs w:val="32"/>
          <w:lang w:val="en-US" w:eastAsia="zh-CN"/>
        </w:rPr>
      </w:pP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color w:val="auto"/>
          <w:sz w:val="32"/>
          <w:szCs w:val="32"/>
          <w:lang w:val="en-US" w:eastAsia="zh-CN"/>
        </w:rPr>
      </w:pP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附件1：综合评分标准</w:t>
      </w:r>
    </w:p>
    <w:p>
      <w:pPr>
        <w:pStyle w:val="6"/>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评标委员会按照以下量化评审因素，对各投标文件进行分析和比较。</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color w:val="auto"/>
          <w:kern w:val="2"/>
          <w:sz w:val="21"/>
          <w:szCs w:val="21"/>
          <w:lang w:val="en-US" w:eastAsia="zh-CN" w:bidi="ar-SA"/>
        </w:rPr>
      </w:pPr>
      <w:r>
        <w:rPr>
          <w:color w:val="auto"/>
          <w:sz w:val="21"/>
          <w:szCs w:val="21"/>
        </w:rPr>
        <w:t>价格分计算方法：</w:t>
      </w:r>
      <w:r>
        <w:rPr>
          <w:rFonts w:ascii="Times New Roman" w:hAnsi="Times New Roman" w:eastAsia="宋体" w:cs="Times New Roman"/>
          <w:color w:val="auto"/>
          <w:kern w:val="2"/>
          <w:sz w:val="21"/>
          <w:szCs w:val="21"/>
          <w:lang w:val="en-US" w:eastAsia="zh-CN" w:bidi="ar-SA"/>
        </w:rPr>
        <w:t>采用低价优先法计算，即满足招标文件要求且投标价格最低的投标报价为</w:t>
      </w:r>
    </w:p>
    <w:p>
      <w:pPr>
        <w:rPr>
          <w:rFonts w:hint="eastAsia"/>
          <w:color w:val="auto"/>
          <w:lang w:val="en-US" w:eastAsia="zh-CN"/>
        </w:rPr>
      </w:pPr>
      <w:r>
        <w:rPr>
          <w:rFonts w:ascii="Times New Roman" w:hAnsi="Times New Roman" w:eastAsia="宋体" w:cs="Times New Roman"/>
          <w:color w:val="auto"/>
          <w:kern w:val="2"/>
          <w:sz w:val="21"/>
          <w:szCs w:val="21"/>
          <w:lang w:val="en-US" w:eastAsia="zh-CN" w:bidi="ar-SA"/>
        </w:rPr>
        <w:t xml:space="preserve">评标基准价，其价格分为满分。其他投标人的价格分统一按照下列公式计算： </w:t>
      </w:r>
      <w:r>
        <w:rPr>
          <w:rFonts w:ascii="Times New Roman" w:hAnsi="Times New Roman" w:eastAsia="宋体" w:cs="Times New Roman"/>
          <w:color w:val="auto"/>
          <w:kern w:val="2"/>
          <w:sz w:val="21"/>
          <w:szCs w:val="21"/>
          <w:lang w:val="en-US" w:eastAsia="zh-CN" w:bidi="ar-SA"/>
        </w:rPr>
        <w:br w:type="textWrapping"/>
      </w:r>
      <w:r>
        <w:rPr>
          <w:rFonts w:ascii="Times New Roman" w:hAnsi="Times New Roman" w:eastAsia="宋体" w:cs="Times New Roman"/>
          <w:color w:val="auto"/>
          <w:kern w:val="2"/>
          <w:sz w:val="21"/>
          <w:szCs w:val="21"/>
          <w:lang w:val="en-US" w:eastAsia="zh-CN" w:bidi="ar-SA"/>
        </w:rPr>
        <w:t>投标报价得分=(评标基准价／投标报价)</w:t>
      </w:r>
      <w:r>
        <w:rPr>
          <w:rFonts w:hint="eastAsia" w:ascii="Times New Roman" w:hAnsi="Times New Roman" w:eastAsia="宋体" w:cs="Times New Roman"/>
          <w:color w:val="auto"/>
          <w:kern w:val="2"/>
          <w:sz w:val="21"/>
          <w:szCs w:val="21"/>
          <w:lang w:val="en-US" w:eastAsia="zh-CN" w:bidi="ar-SA"/>
        </w:rPr>
        <w:t>*权重</w:t>
      </w:r>
      <w:r>
        <w:rPr>
          <w:rFonts w:ascii="Times New Roman" w:hAnsi="Times New Roman" w:eastAsia="宋体" w:cs="Times New Roman"/>
          <w:color w:val="auto"/>
          <w:kern w:val="2"/>
          <w:sz w:val="21"/>
          <w:szCs w:val="21"/>
          <w:lang w:val="en-US" w:eastAsia="zh-CN" w:bidi="ar-SA"/>
        </w:rPr>
        <w:br w:type="textWrapping"/>
      </w:r>
      <w:r>
        <w:rPr>
          <w:rFonts w:ascii="Times New Roman" w:hAnsi="Times New Roman" w:eastAsia="宋体" w:cs="Times New Roman"/>
          <w:color w:val="auto"/>
          <w:kern w:val="2"/>
          <w:sz w:val="21"/>
          <w:szCs w:val="21"/>
          <w:lang w:val="en-US" w:eastAsia="zh-CN" w:bidi="ar-SA"/>
        </w:rPr>
        <w:t>评标过程中，不得去掉报价中的最高报价和最低报价。</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149"/>
        <w:gridCol w:w="737"/>
        <w:gridCol w:w="5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color w:val="auto"/>
                <w:sz w:val="24"/>
              </w:rPr>
            </w:pPr>
            <w:r>
              <w:rPr>
                <w:b/>
                <w:bCs/>
                <w:color w:val="auto"/>
              </w:rPr>
              <w:t>序号</w:t>
            </w:r>
          </w:p>
        </w:tc>
        <w:tc>
          <w:tcPr>
            <w:tcW w:w="256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color w:val="auto"/>
                <w:sz w:val="24"/>
              </w:rPr>
            </w:pPr>
            <w:r>
              <w:rPr>
                <w:b/>
                <w:bCs/>
                <w:color w:val="auto"/>
              </w:rPr>
              <w:t>评分项</w:t>
            </w:r>
          </w:p>
        </w:tc>
        <w:tc>
          <w:tcPr>
            <w:tcW w:w="582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color w:val="auto"/>
                <w:sz w:val="24"/>
              </w:rPr>
            </w:pPr>
            <w:r>
              <w:rPr>
                <w:b/>
                <w:bCs/>
                <w:color w:val="auto"/>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auto"/>
                <w:sz w:val="24"/>
              </w:rPr>
            </w:pPr>
            <w:r>
              <w:rPr>
                <w:b/>
                <w:bCs/>
                <w:color w:val="auto"/>
              </w:rPr>
              <w:t>1</w:t>
            </w:r>
          </w:p>
        </w:tc>
        <w:tc>
          <w:tcPr>
            <w:tcW w:w="256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auto"/>
                <w:sz w:val="24"/>
              </w:rPr>
            </w:pPr>
            <w:r>
              <w:rPr>
                <w:b/>
                <w:bCs/>
                <w:color w:val="auto"/>
              </w:rPr>
              <w:t>价格</w:t>
            </w:r>
          </w:p>
        </w:tc>
        <w:tc>
          <w:tcPr>
            <w:tcW w:w="5826"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pPr>
              <w:wordWrap w:val="0"/>
              <w:jc w:val="center"/>
              <w:rPr>
                <w:rFonts w:ascii="宋体" w:hAnsi="宋体" w:cs="宋体"/>
                <w:b/>
                <w:bCs/>
                <w:color w:val="auto"/>
                <w:sz w:val="24"/>
              </w:rPr>
            </w:pPr>
            <w:r>
              <w:rPr>
                <w:b/>
                <w:bCs/>
                <w:color w:val="auto"/>
              </w:rPr>
              <w:t>2</w:t>
            </w:r>
          </w:p>
        </w:tc>
        <w:tc>
          <w:tcPr>
            <w:tcW w:w="256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auto"/>
                <w:sz w:val="24"/>
              </w:rPr>
            </w:pPr>
            <w:r>
              <w:rPr>
                <w:b/>
                <w:bCs/>
                <w:color w:val="auto"/>
              </w:rPr>
              <w:t>技术</w:t>
            </w:r>
            <w:r>
              <w:rPr>
                <w:rFonts w:hint="eastAsia"/>
                <w:b/>
                <w:bCs/>
                <w:color w:val="auto"/>
              </w:rPr>
              <w:t>部分</w:t>
            </w:r>
          </w:p>
        </w:tc>
        <w:tc>
          <w:tcPr>
            <w:tcW w:w="5826"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auto"/>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pPr>
              <w:rPr>
                <w:rFonts w:ascii="宋体" w:hAnsi="宋体" w:cs="宋体"/>
                <w:b/>
                <w:bCs/>
                <w:color w:val="auto"/>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color w:val="auto"/>
                <w:szCs w:val="21"/>
              </w:rPr>
            </w:pPr>
            <w:r>
              <w:rPr>
                <w:color w:val="auto"/>
                <w:szCs w:val="21"/>
              </w:rPr>
              <w:t>序号</w:t>
            </w:r>
          </w:p>
        </w:tc>
        <w:tc>
          <w:tcPr>
            <w:tcW w:w="114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color w:val="auto"/>
                <w:szCs w:val="21"/>
              </w:rPr>
            </w:pPr>
            <w:r>
              <w:rPr>
                <w:color w:val="auto"/>
                <w:szCs w:val="21"/>
              </w:rPr>
              <w:t>评分因素</w:t>
            </w:r>
          </w:p>
        </w:tc>
        <w:tc>
          <w:tcPr>
            <w:tcW w:w="7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color w:val="auto"/>
                <w:szCs w:val="21"/>
              </w:rPr>
            </w:pPr>
            <w:r>
              <w:rPr>
                <w:color w:val="auto"/>
                <w:szCs w:val="21"/>
              </w:rPr>
              <w:t>权重</w:t>
            </w:r>
          </w:p>
        </w:tc>
        <w:tc>
          <w:tcPr>
            <w:tcW w:w="582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color w:val="auto"/>
                <w:szCs w:val="21"/>
              </w:rPr>
            </w:pPr>
            <w:r>
              <w:rPr>
                <w:color w:val="auto"/>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14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beforeAutospacing="0" w:afterAutospacing="0" w:line="240" w:lineRule="auto"/>
              <w:jc w:val="center"/>
              <w:textAlignment w:val="auto"/>
              <w:rPr>
                <w:rFonts w:ascii="宋体" w:hAnsi="宋体" w:cs="宋体"/>
                <w:color w:val="auto"/>
                <w:szCs w:val="21"/>
              </w:rPr>
            </w:pPr>
            <w:r>
              <w:rPr>
                <w:rFonts w:hint="eastAsia" w:ascii="宋体" w:hAnsi="宋体" w:eastAsia="宋体" w:cs="宋体"/>
                <w:color w:val="auto"/>
                <w:kern w:val="0"/>
                <w:sz w:val="21"/>
                <w:szCs w:val="21"/>
                <w:lang w:val="en-US" w:eastAsia="zh-CN"/>
              </w:rPr>
              <w:t>项目整体</w:t>
            </w:r>
            <w:r>
              <w:rPr>
                <w:rFonts w:hint="eastAsia" w:ascii="宋体" w:hAnsi="宋体" w:eastAsia="宋体" w:cs="宋体"/>
                <w:color w:val="auto"/>
                <w:kern w:val="0"/>
                <w:sz w:val="21"/>
                <w:szCs w:val="21"/>
              </w:rPr>
              <w:t>实施</w:t>
            </w:r>
            <w:r>
              <w:rPr>
                <w:rFonts w:hint="eastAsia" w:ascii="宋体" w:hAnsi="宋体" w:eastAsia="宋体" w:cs="宋体"/>
                <w:color w:val="auto"/>
                <w:kern w:val="0"/>
                <w:sz w:val="21"/>
                <w:szCs w:val="21"/>
                <w:lang w:eastAsia="zh-CN"/>
              </w:rPr>
              <w:t>方案</w:t>
            </w:r>
          </w:p>
        </w:tc>
        <w:tc>
          <w:tcPr>
            <w:tcW w:w="7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beforeAutospacing="0" w:afterAutospacing="0" w:line="240" w:lineRule="auto"/>
              <w:jc w:val="center"/>
              <w:textAlignment w:val="auto"/>
              <w:rPr>
                <w:rFonts w:ascii="宋体" w:hAnsi="宋体" w:cs="宋体"/>
                <w:color w:val="auto"/>
                <w:szCs w:val="21"/>
              </w:rPr>
            </w:pPr>
            <w:r>
              <w:rPr>
                <w:rFonts w:hint="eastAsia" w:ascii="宋体" w:hAnsi="宋体" w:eastAsia="宋体" w:cs="宋体"/>
                <w:color w:val="auto"/>
                <w:kern w:val="0"/>
                <w:sz w:val="21"/>
                <w:szCs w:val="21"/>
                <w:lang w:val="en-US" w:eastAsia="zh-CN"/>
              </w:rPr>
              <w:t>15</w:t>
            </w:r>
          </w:p>
        </w:tc>
        <w:tc>
          <w:tcPr>
            <w:tcW w:w="5826" w:type="dxa"/>
            <w:tcBorders>
              <w:top w:val="single" w:color="000000" w:sz="8" w:space="0"/>
              <w:left w:val="single" w:color="000000" w:sz="8" w:space="0"/>
              <w:bottom w:val="single" w:color="000000" w:sz="8" w:space="0"/>
              <w:right w:val="single" w:color="000000" w:sz="8" w:space="0"/>
            </w:tcBorders>
            <w:vAlign w:val="center"/>
          </w:tcPr>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结合采购要求，对项目</w:t>
            </w:r>
            <w:r>
              <w:rPr>
                <w:rFonts w:hint="eastAsia" w:ascii="宋体" w:hAnsi="宋体" w:eastAsia="宋体" w:cs="宋体"/>
                <w:color w:val="auto"/>
                <w:kern w:val="0"/>
                <w:sz w:val="21"/>
                <w:szCs w:val="21"/>
                <w:lang w:val="en-US" w:eastAsia="zh-CN"/>
              </w:rPr>
              <w:t>中要求的命题、阅卷、笔试及面试组织等各项内容进行整体梳理规划</w:t>
            </w:r>
            <w:r>
              <w:rPr>
                <w:rFonts w:hint="eastAsia" w:ascii="宋体" w:hAnsi="宋体" w:eastAsia="宋体" w:cs="宋体"/>
                <w:color w:val="auto"/>
                <w:kern w:val="0"/>
                <w:sz w:val="21"/>
                <w:szCs w:val="21"/>
              </w:rPr>
              <w:t>。包括但不限于以下内容：</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1、笔试命题、试题印刷、押卷及阅卷实施方案；</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2、笔试组织、面试组织实施方案；</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3、项目实施保密方案。</w:t>
            </w:r>
          </w:p>
          <w:p>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eastAsia="宋体" w:cs="宋体"/>
                <w:color w:val="auto"/>
                <w:kern w:val="0"/>
                <w:sz w:val="21"/>
                <w:szCs w:val="21"/>
                <w:lang w:eastAsia="zh-CN"/>
              </w:rPr>
            </w:pPr>
            <w:r>
              <w:rPr>
                <w:rFonts w:hint="eastAsia" w:ascii="宋体" w:hAnsi="宋体" w:cs="宋体"/>
                <w:b/>
                <w:color w:val="auto"/>
                <w:kern w:val="0"/>
                <w:sz w:val="21"/>
                <w:szCs w:val="21"/>
                <w:lang w:eastAsia="zh-CN"/>
              </w:rPr>
              <w:t>（二）评分依据：</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1、每提供上述任意一项内容得3分，本小项累计最高得9分；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在此基础上，</w:t>
            </w:r>
            <w:r>
              <w:rPr>
                <w:rFonts w:hint="eastAsia" w:ascii="宋体" w:hAnsi="宋体" w:cs="宋体"/>
                <w:color w:val="auto"/>
                <w:szCs w:val="21"/>
                <w:lang w:val="en-US" w:eastAsia="zh-CN"/>
              </w:rPr>
              <w:t>评审</w:t>
            </w:r>
            <w:r>
              <w:rPr>
                <w:rFonts w:hint="eastAsia" w:ascii="宋体" w:hAnsi="宋体" w:cs="宋体"/>
                <w:color w:val="auto"/>
                <w:szCs w:val="21"/>
              </w:rPr>
              <w:t>专家根据各供应商的具体响应内容按照量化的评审因素指标进一步评审：</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color w:val="auto"/>
                <w:szCs w:val="21"/>
              </w:rPr>
            </w:pPr>
            <w:r>
              <w:rPr>
                <w:rFonts w:hint="eastAsia" w:ascii="宋体" w:hAnsi="宋体" w:cs="宋体"/>
                <w:color w:val="auto"/>
                <w:szCs w:val="21"/>
              </w:rPr>
              <w:t>（1）方案整体科学合理、针对性强、可操作性强，评审为优的，加</w:t>
            </w:r>
            <w:r>
              <w:rPr>
                <w:rFonts w:hint="eastAsia" w:ascii="宋体" w:hAnsi="宋体" w:cs="宋体"/>
                <w:color w:val="auto"/>
                <w:szCs w:val="21"/>
                <w:lang w:val="en-US" w:eastAsia="zh-CN"/>
              </w:rPr>
              <w:t>6</w:t>
            </w:r>
            <w:r>
              <w:rPr>
                <w:rFonts w:hint="eastAsia" w:ascii="宋体" w:hAnsi="宋体" w:cs="宋体"/>
                <w:color w:val="auto"/>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color w:val="auto"/>
                <w:szCs w:val="21"/>
              </w:rPr>
            </w:pPr>
            <w:r>
              <w:rPr>
                <w:rFonts w:hint="eastAsia" w:ascii="宋体" w:hAnsi="宋体" w:cs="宋体"/>
                <w:color w:val="auto"/>
                <w:szCs w:val="21"/>
              </w:rPr>
              <w:t>（2）方案较合理、有一定针对性、一定可操作性，评审为良的，加</w:t>
            </w:r>
            <w:r>
              <w:rPr>
                <w:rFonts w:hint="eastAsia" w:ascii="宋体" w:hAnsi="宋体" w:cs="宋体"/>
                <w:color w:val="auto"/>
                <w:szCs w:val="21"/>
                <w:lang w:val="en-US" w:eastAsia="zh-CN"/>
              </w:rPr>
              <w:t>3</w:t>
            </w:r>
            <w:r>
              <w:rPr>
                <w:rFonts w:hint="eastAsia" w:ascii="宋体" w:hAnsi="宋体" w:cs="宋体"/>
                <w:color w:val="auto"/>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color w:val="auto"/>
                <w:szCs w:val="21"/>
              </w:rPr>
            </w:pPr>
            <w:r>
              <w:rPr>
                <w:rFonts w:hint="eastAsia" w:ascii="宋体" w:hAnsi="宋体" w:cs="宋体"/>
                <w:color w:val="auto"/>
                <w:szCs w:val="21"/>
              </w:rPr>
              <w:t>（3）方案不尽合理、针对性一般、可操作性一般，评审为中的，加</w:t>
            </w:r>
            <w:r>
              <w:rPr>
                <w:rFonts w:hint="eastAsia" w:ascii="宋体" w:hAnsi="宋体" w:cs="宋体"/>
                <w:color w:val="auto"/>
                <w:szCs w:val="21"/>
                <w:lang w:val="en-US" w:eastAsia="zh-CN"/>
              </w:rPr>
              <w:t>1</w:t>
            </w:r>
            <w:r>
              <w:rPr>
                <w:rFonts w:hint="eastAsia" w:ascii="宋体" w:hAnsi="宋体" w:cs="宋体"/>
                <w:color w:val="auto"/>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ascii="宋体" w:hAnsi="宋体" w:cs="宋体"/>
                <w:color w:val="auto"/>
                <w:szCs w:val="21"/>
              </w:rPr>
            </w:pPr>
            <w:r>
              <w:rPr>
                <w:rFonts w:hint="eastAsia" w:ascii="宋体" w:hAnsi="宋体" w:cs="宋体"/>
                <w:color w:val="auto"/>
                <w:szCs w:val="21"/>
              </w:rPr>
              <w:t>（4）方案不合理、无针对性、无可操作性，评审为差的，加0分。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114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beforeAutospacing="0" w:afterAutospacing="0" w:line="240" w:lineRule="auto"/>
              <w:jc w:val="center"/>
              <w:textAlignment w:val="auto"/>
              <w:rPr>
                <w:rFonts w:ascii="宋体" w:hAnsi="宋体" w:cs="宋体"/>
                <w:color w:val="auto"/>
                <w:szCs w:val="21"/>
              </w:rPr>
            </w:pPr>
            <w:r>
              <w:rPr>
                <w:rFonts w:hint="eastAsia" w:ascii="宋体" w:hAnsi="宋体" w:eastAsia="宋体" w:cs="宋体"/>
                <w:color w:val="auto"/>
                <w:sz w:val="21"/>
                <w:szCs w:val="21"/>
                <w:lang w:val="en-US" w:eastAsia="zh-CN"/>
              </w:rPr>
              <w:t>项目重难点分析</w:t>
            </w:r>
          </w:p>
        </w:tc>
        <w:tc>
          <w:tcPr>
            <w:tcW w:w="7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beforeAutospacing="0" w:afterAutospacing="0" w:line="240" w:lineRule="auto"/>
              <w:jc w:val="center"/>
              <w:textAlignment w:val="auto"/>
              <w:rPr>
                <w:rFonts w:hint="eastAsia" w:ascii="宋体" w:hAnsi="宋体" w:eastAsia="宋体" w:cs="宋体"/>
                <w:color w:val="auto"/>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p>
        </w:tc>
        <w:tc>
          <w:tcPr>
            <w:tcW w:w="5826" w:type="dxa"/>
            <w:tcBorders>
              <w:top w:val="single" w:color="000000" w:sz="8" w:space="0"/>
              <w:left w:val="single" w:color="000000" w:sz="8" w:space="0"/>
              <w:bottom w:val="single" w:color="000000" w:sz="8" w:space="0"/>
              <w:right w:val="single" w:color="000000" w:sz="8" w:space="0"/>
            </w:tcBorders>
            <w:vAlign w:val="center"/>
          </w:tcPr>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查看</w:t>
            </w:r>
            <w:r>
              <w:rPr>
                <w:rFonts w:hint="eastAsia" w:ascii="宋体" w:hAnsi="宋体" w:eastAsia="宋体" w:cs="宋体"/>
                <w:color w:val="auto"/>
                <w:kern w:val="0"/>
                <w:sz w:val="21"/>
                <w:szCs w:val="21"/>
              </w:rPr>
              <w:t>投标人提供的</w:t>
            </w:r>
            <w:r>
              <w:rPr>
                <w:rFonts w:hint="eastAsia" w:ascii="宋体" w:hAnsi="宋体" w:eastAsia="宋体" w:cs="宋体"/>
                <w:color w:val="auto"/>
                <w:kern w:val="0"/>
                <w:sz w:val="21"/>
                <w:szCs w:val="21"/>
                <w:lang w:val="en-US" w:eastAsia="zh-CN"/>
              </w:rPr>
              <w:t>该项目重难点分析</w:t>
            </w:r>
            <w:r>
              <w:rPr>
                <w:rFonts w:hint="eastAsia" w:ascii="宋体" w:hAnsi="宋体" w:eastAsia="宋体" w:cs="宋体"/>
                <w:color w:val="auto"/>
                <w:sz w:val="21"/>
                <w:szCs w:val="21"/>
              </w:rPr>
              <w:t>方案及防范措施</w:t>
            </w:r>
            <w:r>
              <w:rPr>
                <w:rFonts w:hint="eastAsia" w:ascii="宋体" w:hAnsi="宋体" w:eastAsia="宋体" w:cs="宋体"/>
                <w:color w:val="auto"/>
                <w:kern w:val="0"/>
                <w:sz w:val="21"/>
                <w:szCs w:val="21"/>
              </w:rPr>
              <w:t>，包含以下内容：</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项目重点分析</w:t>
            </w:r>
            <w:r>
              <w:rPr>
                <w:rFonts w:hint="eastAsia" w:ascii="宋体" w:hAnsi="宋体" w:cs="宋体"/>
                <w:color w:val="auto"/>
                <w:sz w:val="21"/>
                <w:szCs w:val="21"/>
                <w:lang w:val="en-US" w:eastAsia="zh-CN"/>
              </w:rPr>
              <w:t>；</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项目难点分析</w:t>
            </w:r>
            <w:r>
              <w:rPr>
                <w:rFonts w:hint="eastAsia" w:ascii="宋体" w:hAnsi="宋体" w:cs="宋体"/>
                <w:color w:val="auto"/>
                <w:sz w:val="21"/>
                <w:szCs w:val="21"/>
                <w:lang w:val="en-US" w:eastAsia="zh-CN"/>
              </w:rPr>
              <w:t>；</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项目重点、难点应对措施</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color w:val="auto"/>
                <w:kern w:val="0"/>
                <w:sz w:val="21"/>
                <w:szCs w:val="21"/>
                <w:lang w:eastAsia="zh-CN"/>
              </w:rPr>
            </w:pPr>
            <w:r>
              <w:rPr>
                <w:rFonts w:hint="eastAsia" w:ascii="宋体" w:hAnsi="宋体" w:cs="宋体"/>
                <w:b/>
                <w:color w:val="auto"/>
                <w:kern w:val="0"/>
                <w:sz w:val="21"/>
                <w:szCs w:val="21"/>
                <w:lang w:eastAsia="zh-CN"/>
              </w:rPr>
              <w:t>（二）评分依据：</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1、每提供上述任意一项内容得2分，本小项累计最高得6分；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在此基础上，专家根据各供应商的具体响应内容按照量化的评审因素指标进一步评审：</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color w:val="auto"/>
                <w:szCs w:val="21"/>
              </w:rPr>
            </w:pPr>
            <w:r>
              <w:rPr>
                <w:rFonts w:hint="eastAsia" w:ascii="宋体" w:hAnsi="宋体" w:cs="宋体"/>
                <w:color w:val="auto"/>
                <w:szCs w:val="21"/>
              </w:rPr>
              <w:t>（1）方案整体科学合理、针对性强、可操作性强，评审为优的，加</w:t>
            </w:r>
            <w:r>
              <w:rPr>
                <w:rFonts w:hint="eastAsia" w:ascii="宋体" w:hAnsi="宋体" w:cs="宋体"/>
                <w:color w:val="auto"/>
                <w:szCs w:val="21"/>
                <w:lang w:val="en-US" w:eastAsia="zh-CN"/>
              </w:rPr>
              <w:t>4</w:t>
            </w:r>
            <w:r>
              <w:rPr>
                <w:rFonts w:hint="eastAsia" w:ascii="宋体" w:hAnsi="宋体" w:cs="宋体"/>
                <w:color w:val="auto"/>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color w:val="auto"/>
                <w:szCs w:val="21"/>
              </w:rPr>
            </w:pPr>
            <w:r>
              <w:rPr>
                <w:rFonts w:hint="eastAsia" w:ascii="宋体" w:hAnsi="宋体" w:cs="宋体"/>
                <w:color w:val="auto"/>
                <w:szCs w:val="21"/>
              </w:rPr>
              <w:t>（2）方案较合理、有一定针对性、一定可操作性，评审为良的，加</w:t>
            </w:r>
            <w:r>
              <w:rPr>
                <w:rFonts w:hint="eastAsia" w:ascii="宋体" w:hAnsi="宋体" w:cs="宋体"/>
                <w:color w:val="auto"/>
                <w:szCs w:val="21"/>
                <w:lang w:val="en-US" w:eastAsia="zh-CN"/>
              </w:rPr>
              <w:t>2</w:t>
            </w:r>
            <w:r>
              <w:rPr>
                <w:rFonts w:hint="eastAsia" w:ascii="宋体" w:hAnsi="宋体" w:cs="宋体"/>
                <w:color w:val="auto"/>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color w:val="auto"/>
                <w:szCs w:val="21"/>
              </w:rPr>
            </w:pPr>
            <w:r>
              <w:rPr>
                <w:rFonts w:hint="eastAsia" w:ascii="宋体" w:hAnsi="宋体" w:cs="宋体"/>
                <w:color w:val="auto"/>
                <w:szCs w:val="21"/>
              </w:rPr>
              <w:t>（3）方案不尽合理、针对性一般、可操作性一般，评审为中的，加</w:t>
            </w:r>
            <w:r>
              <w:rPr>
                <w:rFonts w:hint="eastAsia" w:ascii="宋体" w:hAnsi="宋体" w:cs="宋体"/>
                <w:color w:val="auto"/>
                <w:szCs w:val="21"/>
                <w:lang w:val="en-US" w:eastAsia="zh-CN"/>
              </w:rPr>
              <w:t>1</w:t>
            </w:r>
            <w:r>
              <w:rPr>
                <w:rFonts w:hint="eastAsia" w:ascii="宋体" w:hAnsi="宋体" w:cs="宋体"/>
                <w:color w:val="auto"/>
                <w:szCs w:val="21"/>
              </w:rPr>
              <w:t>分；</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ascii="宋体" w:hAnsi="宋体" w:cs="宋体"/>
                <w:color w:val="auto"/>
                <w:szCs w:val="21"/>
              </w:rPr>
            </w:pPr>
            <w:r>
              <w:rPr>
                <w:rFonts w:hint="eastAsia" w:ascii="宋体" w:hAnsi="宋体" w:cs="宋体"/>
                <w:color w:val="auto"/>
                <w:szCs w:val="21"/>
              </w:rPr>
              <w:t>（4）方案不合理、无针对性、无可操作性，评审为差的，加0分。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14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beforeAutospacing="0" w:afterAutospacing="0" w:line="240" w:lineRule="auto"/>
              <w:jc w:val="center"/>
              <w:textAlignment w:val="auto"/>
              <w:rPr>
                <w:rFonts w:ascii="宋体" w:hAnsi="宋体" w:cs="宋体"/>
                <w:color w:val="auto"/>
                <w:szCs w:val="21"/>
              </w:rPr>
            </w:pP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应急服务</w:t>
            </w:r>
            <w:r>
              <w:rPr>
                <w:rFonts w:hint="eastAsia" w:ascii="宋体" w:hAnsi="宋体" w:eastAsia="宋体" w:cs="宋体"/>
                <w:color w:val="auto"/>
                <w:sz w:val="21"/>
                <w:szCs w:val="21"/>
                <w:lang w:eastAsia="zh-CN"/>
              </w:rPr>
              <w:t>方案</w:t>
            </w:r>
          </w:p>
        </w:tc>
        <w:tc>
          <w:tcPr>
            <w:tcW w:w="7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bidi w:val="0"/>
              <w:spacing w:beforeAutospacing="0" w:afterAutospacing="0" w:line="240" w:lineRule="auto"/>
              <w:jc w:val="center"/>
              <w:textAlignment w:val="auto"/>
              <w:rPr>
                <w:rFonts w:hint="eastAsia" w:ascii="宋体" w:hAnsi="宋体" w:eastAsia="宋体" w:cs="宋体"/>
                <w:color w:val="auto"/>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0</w:t>
            </w:r>
          </w:p>
        </w:tc>
        <w:tc>
          <w:tcPr>
            <w:tcW w:w="5826" w:type="dxa"/>
            <w:tcBorders>
              <w:top w:val="single" w:color="000000" w:sz="8" w:space="0"/>
              <w:left w:val="single" w:color="000000" w:sz="8" w:space="0"/>
              <w:bottom w:val="single" w:color="000000" w:sz="8" w:space="0"/>
              <w:right w:val="single" w:color="000000" w:sz="8" w:space="0"/>
            </w:tcBorders>
            <w:vAlign w:val="center"/>
          </w:tcPr>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查看</w:t>
            </w:r>
            <w:r>
              <w:rPr>
                <w:rFonts w:hint="eastAsia" w:ascii="宋体" w:hAnsi="宋体" w:eastAsia="宋体" w:cs="宋体"/>
                <w:color w:val="auto"/>
                <w:kern w:val="0"/>
                <w:sz w:val="21"/>
                <w:szCs w:val="21"/>
              </w:rPr>
              <w:t>投标人提供的</w:t>
            </w:r>
            <w:r>
              <w:rPr>
                <w:rFonts w:hint="eastAsia" w:ascii="宋体" w:hAnsi="宋体" w:eastAsia="宋体" w:cs="宋体"/>
                <w:color w:val="auto"/>
                <w:sz w:val="21"/>
                <w:szCs w:val="21"/>
              </w:rPr>
              <w:t>非正常情况或突发情况下的应急处理方案及防范措施</w:t>
            </w:r>
            <w:r>
              <w:rPr>
                <w:rFonts w:hint="eastAsia" w:ascii="宋体" w:hAnsi="宋体" w:eastAsia="宋体" w:cs="宋体"/>
                <w:color w:val="auto"/>
                <w:kern w:val="0"/>
                <w:sz w:val="21"/>
                <w:szCs w:val="21"/>
              </w:rPr>
              <w:t>，包含以下内容：</w:t>
            </w:r>
          </w:p>
          <w:p>
            <w:pPr>
              <w:keepNext w:val="0"/>
              <w:keepLines w:val="0"/>
              <w:pageBreakBefore w:val="0"/>
              <w:numPr>
                <w:ilvl w:val="0"/>
                <w:numId w:val="5"/>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梳理项目实施过程中可能出现的突发情况</w:t>
            </w:r>
            <w:r>
              <w:rPr>
                <w:rFonts w:hint="eastAsia" w:ascii="宋体" w:hAnsi="宋体" w:eastAsia="宋体" w:cs="宋体"/>
                <w:color w:val="auto"/>
                <w:sz w:val="21"/>
                <w:szCs w:val="21"/>
              </w:rPr>
              <w:t>；</w:t>
            </w:r>
          </w:p>
          <w:p>
            <w:pPr>
              <w:keepNext w:val="0"/>
              <w:keepLines w:val="0"/>
              <w:pageBreakBefore w:val="0"/>
              <w:numPr>
                <w:ilvl w:val="0"/>
                <w:numId w:val="5"/>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针对突发意外情况的</w:t>
            </w:r>
            <w:r>
              <w:rPr>
                <w:rFonts w:hint="eastAsia" w:ascii="宋体" w:hAnsi="宋体" w:eastAsia="宋体" w:cs="宋体"/>
                <w:color w:val="auto"/>
                <w:sz w:val="21"/>
                <w:szCs w:val="21"/>
              </w:rPr>
              <w:t>应急</w:t>
            </w:r>
            <w:r>
              <w:rPr>
                <w:rFonts w:hint="eastAsia" w:ascii="宋体" w:hAnsi="宋体" w:eastAsia="宋体" w:cs="宋体"/>
                <w:color w:val="auto"/>
                <w:sz w:val="21"/>
                <w:szCs w:val="21"/>
                <w:lang w:val="en-US" w:eastAsia="zh-CN"/>
              </w:rPr>
              <w:t>解决</w:t>
            </w:r>
            <w:r>
              <w:rPr>
                <w:rFonts w:hint="eastAsia" w:ascii="宋体" w:hAnsi="宋体" w:eastAsia="宋体" w:cs="宋体"/>
                <w:color w:val="auto"/>
                <w:sz w:val="21"/>
                <w:szCs w:val="21"/>
              </w:rPr>
              <w:t>保障方案；</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针对突发意外情况需涉及的</w:t>
            </w:r>
            <w:r>
              <w:rPr>
                <w:rFonts w:hint="eastAsia" w:ascii="宋体" w:hAnsi="宋体" w:eastAsia="宋体" w:cs="宋体"/>
                <w:color w:val="auto"/>
                <w:sz w:val="21"/>
                <w:szCs w:val="21"/>
              </w:rPr>
              <w:t>应急设备及应急服务人员介绍；</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240" w:lineRule="auto"/>
              <w:textAlignment w:val="auto"/>
              <w:rPr>
                <w:rFonts w:hint="eastAsia" w:ascii="宋体" w:hAnsi="宋体" w:eastAsia="宋体" w:cs="宋体"/>
                <w:color w:val="auto"/>
                <w:kern w:val="0"/>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针对突发意外情况的</w:t>
            </w:r>
            <w:r>
              <w:rPr>
                <w:rFonts w:hint="eastAsia" w:ascii="宋体" w:hAnsi="宋体" w:eastAsia="宋体" w:cs="宋体"/>
                <w:color w:val="auto"/>
                <w:sz w:val="21"/>
                <w:szCs w:val="21"/>
              </w:rPr>
              <w:t>应急响应时间</w:t>
            </w:r>
            <w:r>
              <w:rPr>
                <w:rFonts w:hint="eastAsia" w:ascii="宋体" w:hAnsi="宋体" w:cs="宋体"/>
                <w:color w:val="auto"/>
                <w:sz w:val="21"/>
                <w:szCs w:val="21"/>
                <w:lang w:eastAsia="zh-CN"/>
              </w:rPr>
              <w:t>。</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eastAsia="宋体" w:cs="宋体"/>
                <w:color w:val="auto"/>
                <w:kern w:val="0"/>
                <w:sz w:val="21"/>
                <w:szCs w:val="21"/>
                <w:lang w:eastAsia="zh-CN"/>
              </w:rPr>
            </w:pPr>
            <w:r>
              <w:rPr>
                <w:rFonts w:hint="eastAsia" w:ascii="宋体" w:hAnsi="宋体" w:cs="宋体"/>
                <w:b/>
                <w:color w:val="auto"/>
                <w:kern w:val="0"/>
                <w:sz w:val="21"/>
                <w:szCs w:val="21"/>
                <w:lang w:eastAsia="zh-CN"/>
              </w:rPr>
              <w:t>（二）评分依据：</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1、每提供上述任意一项内容得1.5分，本小项累计最高得6分；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在此基础上，专家根据各供应商的具体响应内容按照量化的评审因素指标进一步评审：</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color w:val="auto"/>
                <w:szCs w:val="21"/>
              </w:rPr>
            </w:pPr>
            <w:r>
              <w:rPr>
                <w:rFonts w:hint="eastAsia" w:ascii="宋体" w:hAnsi="宋体" w:cs="宋体"/>
                <w:color w:val="auto"/>
                <w:szCs w:val="21"/>
              </w:rPr>
              <w:t>（1）方案整体科学合理、针对性强、可操作性强，评审为优的，加</w:t>
            </w:r>
            <w:r>
              <w:rPr>
                <w:rFonts w:hint="eastAsia" w:ascii="宋体" w:hAnsi="宋体" w:cs="宋体"/>
                <w:color w:val="auto"/>
                <w:szCs w:val="21"/>
                <w:lang w:val="en-US" w:eastAsia="zh-CN"/>
              </w:rPr>
              <w:t>4</w:t>
            </w:r>
            <w:r>
              <w:rPr>
                <w:rFonts w:hint="eastAsia" w:ascii="宋体" w:hAnsi="宋体" w:cs="宋体"/>
                <w:color w:val="auto"/>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color w:val="auto"/>
                <w:szCs w:val="21"/>
              </w:rPr>
            </w:pPr>
            <w:r>
              <w:rPr>
                <w:rFonts w:hint="eastAsia" w:ascii="宋体" w:hAnsi="宋体" w:cs="宋体"/>
                <w:color w:val="auto"/>
                <w:szCs w:val="21"/>
              </w:rPr>
              <w:t>（2）方案较合理、有一定针对性、一定可操作性，评审为良的，加</w:t>
            </w:r>
            <w:r>
              <w:rPr>
                <w:rFonts w:hint="eastAsia" w:ascii="宋体" w:hAnsi="宋体" w:cs="宋体"/>
                <w:color w:val="auto"/>
                <w:szCs w:val="21"/>
                <w:lang w:val="en-US" w:eastAsia="zh-CN"/>
              </w:rPr>
              <w:t>2</w:t>
            </w:r>
            <w:r>
              <w:rPr>
                <w:rFonts w:hint="eastAsia" w:ascii="宋体" w:hAnsi="宋体" w:cs="宋体"/>
                <w:color w:val="auto"/>
                <w:szCs w:val="21"/>
              </w:rPr>
              <w:t>分；</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color w:val="auto"/>
                <w:szCs w:val="21"/>
              </w:rPr>
            </w:pPr>
            <w:r>
              <w:rPr>
                <w:rFonts w:hint="eastAsia" w:ascii="宋体" w:hAnsi="宋体" w:cs="宋体"/>
                <w:color w:val="auto"/>
                <w:szCs w:val="21"/>
              </w:rPr>
              <w:t>（3）方案不尽合理、针对性一般、可操作性一般，评审为中的，加</w:t>
            </w:r>
            <w:r>
              <w:rPr>
                <w:rFonts w:hint="eastAsia" w:ascii="宋体" w:hAnsi="宋体" w:cs="宋体"/>
                <w:color w:val="auto"/>
                <w:szCs w:val="21"/>
                <w:lang w:val="en-US" w:eastAsia="zh-CN"/>
              </w:rPr>
              <w:t>1</w:t>
            </w:r>
            <w:r>
              <w:rPr>
                <w:rFonts w:hint="eastAsia" w:ascii="宋体" w:hAnsi="宋体" w:cs="宋体"/>
                <w:color w:val="auto"/>
                <w:szCs w:val="21"/>
              </w:rPr>
              <w:t>分；</w:t>
            </w:r>
          </w:p>
          <w:p>
            <w:pPr>
              <w:keepNext w:val="0"/>
              <w:keepLines w:val="0"/>
              <w:pageBreakBefore w:val="0"/>
              <w:kinsoku/>
              <w:wordWrap/>
              <w:overflowPunct/>
              <w:topLinePunct w:val="0"/>
              <w:autoSpaceDE w:val="0"/>
              <w:autoSpaceDN w:val="0"/>
              <w:bidi w:val="0"/>
              <w:adjustRightInd w:val="0"/>
              <w:spacing w:beforeAutospacing="0" w:afterAutospacing="0" w:line="240" w:lineRule="auto"/>
              <w:textAlignment w:val="auto"/>
              <w:rPr>
                <w:rFonts w:ascii="宋体" w:hAnsi="宋体" w:cs="宋体"/>
                <w:color w:val="auto"/>
                <w:szCs w:val="21"/>
              </w:rPr>
            </w:pPr>
            <w:r>
              <w:rPr>
                <w:rFonts w:hint="eastAsia" w:ascii="宋体" w:hAnsi="宋体" w:cs="宋体"/>
                <w:color w:val="auto"/>
                <w:szCs w:val="21"/>
              </w:rPr>
              <w:t>（4）方案不合理、无针对性、无可操作性，评审为差的，加0分。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14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textAlignment w:val="auto"/>
              <w:rPr>
                <w:rFonts w:hint="default" w:ascii="宋体" w:hAnsi="宋体" w:cs="宋体"/>
                <w:color w:val="auto"/>
                <w:szCs w:val="21"/>
                <w:lang w:val="en-US"/>
              </w:rPr>
            </w:pPr>
            <w:r>
              <w:rPr>
                <w:rFonts w:hint="eastAsia" w:ascii="宋体" w:hAnsi="宋体" w:cs="宋体"/>
                <w:color w:val="auto"/>
                <w:kern w:val="0"/>
                <w:sz w:val="21"/>
                <w:szCs w:val="21"/>
                <w:lang w:val="en-US" w:eastAsia="zh-CN"/>
              </w:rPr>
              <w:t>项目负责人（仅一名）</w:t>
            </w:r>
          </w:p>
        </w:tc>
        <w:tc>
          <w:tcPr>
            <w:tcW w:w="7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textAlignment w:val="auto"/>
              <w:rPr>
                <w:rFonts w:ascii="宋体" w:hAnsi="宋体" w:cs="宋体"/>
                <w:color w:val="auto"/>
                <w:szCs w:val="21"/>
              </w:rPr>
            </w:pPr>
            <w:r>
              <w:rPr>
                <w:rFonts w:hint="eastAsia" w:ascii="宋体" w:hAnsi="宋体" w:cs="宋体"/>
                <w:color w:val="auto"/>
                <w:szCs w:val="21"/>
                <w:lang w:val="en-US" w:eastAsia="zh-CN"/>
              </w:rPr>
              <w:t>10</w:t>
            </w:r>
          </w:p>
        </w:tc>
        <w:tc>
          <w:tcPr>
            <w:tcW w:w="5826" w:type="dxa"/>
            <w:tcBorders>
              <w:top w:val="single" w:color="000000" w:sz="8" w:space="0"/>
              <w:left w:val="single" w:color="000000" w:sz="8" w:space="0"/>
              <w:bottom w:val="single" w:color="000000" w:sz="8" w:space="0"/>
              <w:right w:val="single" w:color="000000" w:sz="8" w:space="0"/>
            </w:tcBorders>
            <w:vAlign w:val="center"/>
          </w:tcPr>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color w:val="auto"/>
                <w:szCs w:val="21"/>
                <w:lang w:eastAsia="zh-CN"/>
              </w:rPr>
            </w:pPr>
            <w:r>
              <w:rPr>
                <w:rFonts w:hint="eastAsia" w:ascii="宋体" w:hAnsi="宋体" w:cs="宋体"/>
                <w:color w:val="auto"/>
                <w:szCs w:val="21"/>
              </w:rPr>
              <w:t>拟</w:t>
            </w:r>
            <w:r>
              <w:rPr>
                <w:rFonts w:hint="eastAsia" w:ascii="宋体" w:hAnsi="宋体" w:cs="宋体"/>
                <w:color w:val="auto"/>
                <w:szCs w:val="21"/>
                <w:lang w:val="en-US" w:eastAsia="zh-CN"/>
              </w:rPr>
              <w:t>安排的</w:t>
            </w:r>
            <w:r>
              <w:rPr>
                <w:rFonts w:hint="eastAsia" w:ascii="宋体" w:hAnsi="宋体" w:cs="宋体"/>
                <w:color w:val="auto"/>
                <w:szCs w:val="21"/>
              </w:rPr>
              <w:t>项目负责人</w:t>
            </w:r>
            <w:r>
              <w:rPr>
                <w:rFonts w:hint="eastAsia" w:ascii="宋体" w:hAnsi="宋体" w:cs="宋体"/>
                <w:color w:val="auto"/>
                <w:szCs w:val="21"/>
                <w:lang w:eastAsia="zh-CN"/>
              </w:rPr>
              <w:t>（</w:t>
            </w:r>
            <w:r>
              <w:rPr>
                <w:rFonts w:hint="eastAsia" w:ascii="宋体" w:hAnsi="宋体" w:cs="宋体"/>
                <w:color w:val="auto"/>
                <w:szCs w:val="21"/>
                <w:lang w:val="en-US" w:eastAsia="zh-CN"/>
              </w:rPr>
              <w:t>仅一名</w:t>
            </w:r>
            <w:r>
              <w:rPr>
                <w:rFonts w:hint="eastAsia" w:ascii="宋体" w:hAnsi="宋体" w:cs="宋体"/>
                <w:color w:val="auto"/>
                <w:szCs w:val="21"/>
                <w:lang w:eastAsia="zh-CN"/>
              </w:rPr>
              <w:t>）</w:t>
            </w:r>
            <w:r>
              <w:rPr>
                <w:rFonts w:hint="eastAsia" w:ascii="宋体" w:hAnsi="宋体" w:cs="宋体"/>
                <w:color w:val="auto"/>
                <w:szCs w:val="21"/>
              </w:rPr>
              <w:t>为投标人自有员工，在此基础上</w:t>
            </w:r>
            <w:r>
              <w:rPr>
                <w:rFonts w:hint="eastAsia" w:ascii="宋体" w:hAnsi="宋体" w:cs="宋体"/>
                <w:color w:val="auto"/>
                <w:szCs w:val="21"/>
                <w:lang w:val="en-US" w:eastAsia="zh-CN"/>
              </w:rPr>
              <w:t>进行评审，</w:t>
            </w:r>
            <w:r>
              <w:rPr>
                <w:rFonts w:hint="eastAsia" w:ascii="宋体" w:hAnsi="宋体" w:cs="宋体"/>
                <w:color w:val="auto"/>
                <w:kern w:val="0"/>
                <w:sz w:val="21"/>
                <w:szCs w:val="21"/>
                <w:lang w:val="en-US" w:eastAsia="zh-CN"/>
              </w:rPr>
              <w:t>否则不得分</w:t>
            </w:r>
            <w:r>
              <w:rPr>
                <w:rFonts w:hint="eastAsia" w:ascii="宋体" w:hAnsi="宋体" w:cs="宋体"/>
                <w:color w:val="auto"/>
                <w:szCs w:val="21"/>
                <w:lang w:eastAsia="zh-CN"/>
              </w:rPr>
              <w:t>：</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color w:val="auto"/>
                <w:szCs w:val="21"/>
                <w:lang w:val="en-US" w:eastAsia="zh-CN"/>
              </w:rPr>
            </w:pPr>
            <w:r>
              <w:rPr>
                <w:rFonts w:hint="eastAsia" w:ascii="宋体" w:hAnsi="宋体" w:cs="宋体"/>
                <w:color w:val="auto"/>
                <w:szCs w:val="21"/>
                <w:lang w:eastAsia="zh-CN"/>
              </w:rPr>
              <w:t>1、</w:t>
            </w:r>
            <w:r>
              <w:rPr>
                <w:rFonts w:hint="eastAsia" w:ascii="宋体" w:hAnsi="宋体" w:cs="宋体"/>
                <w:color w:val="auto"/>
                <w:szCs w:val="21"/>
                <w:lang w:val="en-US" w:eastAsia="zh-CN"/>
              </w:rPr>
              <w:t>具有本科（</w:t>
            </w:r>
            <w:r>
              <w:rPr>
                <w:rFonts w:hint="eastAsia" w:ascii="宋体" w:hAnsi="宋体" w:cs="宋体"/>
                <w:color w:val="auto"/>
                <w:szCs w:val="21"/>
              </w:rPr>
              <w:t>或以上</w:t>
            </w:r>
            <w:r>
              <w:rPr>
                <w:rFonts w:hint="eastAsia" w:ascii="宋体" w:hAnsi="宋体" w:cs="宋体"/>
                <w:color w:val="auto"/>
                <w:szCs w:val="21"/>
                <w:lang w:eastAsia="zh-CN"/>
              </w:rPr>
              <w:t>）</w:t>
            </w:r>
            <w:r>
              <w:rPr>
                <w:rFonts w:hint="eastAsia" w:ascii="宋体" w:hAnsi="宋体" w:cs="宋体"/>
                <w:color w:val="auto"/>
                <w:szCs w:val="21"/>
              </w:rPr>
              <w:t>学历</w:t>
            </w:r>
            <w:r>
              <w:rPr>
                <w:rFonts w:hint="eastAsia" w:ascii="宋体" w:hAnsi="宋体" w:cs="宋体"/>
                <w:color w:val="auto"/>
                <w:szCs w:val="21"/>
                <w:lang w:val="en-US" w:eastAsia="zh-CN"/>
              </w:rPr>
              <w:t>的，得2分</w:t>
            </w:r>
            <w:r>
              <w:rPr>
                <w:rFonts w:hint="eastAsia" w:ascii="宋体" w:hAnsi="宋体" w:cs="宋体"/>
                <w:color w:val="auto"/>
                <w:szCs w:val="21"/>
              </w:rPr>
              <w:t>；</w:t>
            </w:r>
          </w:p>
          <w:p>
            <w:pPr>
              <w:keepNext w:val="0"/>
              <w:keepLines w:val="0"/>
              <w:pageBreakBefore w:val="0"/>
              <w:tabs>
                <w:tab w:val="left" w:pos="175"/>
              </w:tabs>
              <w:kinsoku/>
              <w:wordWrap/>
              <w:overflowPunct/>
              <w:topLinePunct w:val="0"/>
              <w:bidi w:val="0"/>
              <w:adjustRightInd/>
              <w:snapToGrid/>
              <w:spacing w:beforeAutospacing="0" w:afterAutospacing="0" w:line="240" w:lineRule="auto"/>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2、具有政府机关</w:t>
            </w:r>
            <w:r>
              <w:rPr>
                <w:rFonts w:hint="eastAsia"/>
                <w:color w:val="auto"/>
                <w:lang w:val="en-US" w:eastAsia="zh-CN"/>
              </w:rPr>
              <w:t>或事业单位</w:t>
            </w:r>
            <w:r>
              <w:rPr>
                <w:rFonts w:hint="eastAsia" w:ascii="宋体" w:hAnsi="宋体" w:cs="宋体"/>
                <w:color w:val="auto"/>
                <w:szCs w:val="21"/>
                <w:lang w:val="en-US" w:eastAsia="zh-CN"/>
              </w:rPr>
              <w:t>委托的人事招聘考试类项目经验的，每提供一项得2分，最高得8分，</w:t>
            </w:r>
            <w:r>
              <w:rPr>
                <w:rFonts w:hint="eastAsia" w:ascii="宋体" w:hAnsi="宋体" w:eastAsia="宋体" w:cs="宋体"/>
                <w:b w:val="0"/>
                <w:bCs/>
                <w:color w:val="auto"/>
                <w:sz w:val="21"/>
                <w:szCs w:val="21"/>
                <w:highlight w:val="none"/>
              </w:rPr>
              <w:t>长期续签合同只计算一个</w:t>
            </w:r>
            <w:r>
              <w:rPr>
                <w:rFonts w:hint="eastAsia" w:ascii="宋体" w:hAnsi="宋体" w:cs="宋体"/>
                <w:b w:val="0"/>
                <w:bCs/>
                <w:color w:val="auto"/>
                <w:sz w:val="21"/>
                <w:szCs w:val="21"/>
                <w:highlight w:val="none"/>
                <w:lang w:val="en-US" w:eastAsia="zh-CN"/>
              </w:rPr>
              <w:t>项目经验</w:t>
            </w:r>
            <w:r>
              <w:rPr>
                <w:rFonts w:hint="eastAsia" w:ascii="宋体" w:hAnsi="宋体" w:cs="宋体"/>
                <w:b w:val="0"/>
                <w:bCs/>
                <w:color w:val="auto"/>
                <w:sz w:val="21"/>
                <w:szCs w:val="21"/>
                <w:highlight w:val="none"/>
                <w:lang w:eastAsia="zh-CN"/>
              </w:rPr>
              <w:t>。</w:t>
            </w:r>
          </w:p>
          <w:p>
            <w:pPr>
              <w:adjustRightInd w:val="0"/>
              <w:snapToGrid w:val="0"/>
              <w:spacing w:line="240" w:lineRule="auto"/>
              <w:rPr>
                <w:rFonts w:hint="default" w:ascii="宋体" w:hAnsi="宋体" w:cs="宋体"/>
                <w:color w:val="auto"/>
                <w:szCs w:val="21"/>
                <w:lang w:val="en-US" w:eastAsia="zh-CN"/>
              </w:rPr>
            </w:pPr>
            <w:r>
              <w:rPr>
                <w:rFonts w:hint="eastAsia" w:ascii="宋体" w:hAnsi="宋体" w:cs="宋体"/>
                <w:color w:val="auto"/>
                <w:szCs w:val="21"/>
                <w:lang w:val="en-US" w:eastAsia="zh-CN"/>
              </w:rPr>
              <w:t>上述两项累计最高得10分。</w:t>
            </w:r>
          </w:p>
          <w:p>
            <w:pPr>
              <w:keepNext w:val="0"/>
              <w:keepLines w:val="0"/>
              <w:pageBreakBefore w:val="0"/>
              <w:widowControl/>
              <w:kinsoku/>
              <w:wordWrap/>
              <w:overflowPunct/>
              <w:topLinePunct w:val="0"/>
              <w:bidi w:val="0"/>
              <w:snapToGrid w:val="0"/>
              <w:spacing w:beforeAutospacing="0" w:afterAutospacing="0" w:line="240" w:lineRule="auto"/>
              <w:jc w:val="left"/>
              <w:textAlignment w:val="auto"/>
              <w:rPr>
                <w:rFonts w:hint="eastAsia" w:ascii="宋体" w:hAnsi="宋体" w:cs="宋体"/>
                <w:b w:val="0"/>
                <w:bCs w:val="0"/>
                <w:color w:val="auto"/>
                <w:szCs w:val="21"/>
                <w:lang w:eastAsia="zh-CN"/>
              </w:rPr>
            </w:pPr>
            <w:r>
              <w:rPr>
                <w:rFonts w:hint="eastAsia" w:ascii="宋体" w:hAnsi="宋体" w:cs="宋体"/>
                <w:b/>
                <w:color w:val="auto"/>
                <w:kern w:val="0"/>
                <w:sz w:val="21"/>
                <w:szCs w:val="21"/>
                <w:lang w:eastAsia="zh-CN"/>
              </w:rPr>
              <w:t>（二）评分依据：</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自有员工证明：</w:t>
            </w:r>
            <w:r>
              <w:rPr>
                <w:rFonts w:hint="eastAsia" w:ascii="宋体" w:hAnsi="宋体" w:cs="宋体"/>
                <w:color w:val="auto"/>
                <w:szCs w:val="21"/>
              </w:rPr>
              <w:t>提供社保部门出具的投标人为其缴纳的近1个月社保证明文件，由于社保部门原因（提供社保局无法出具的证明文件）最近1个月的社保证明无法提供的，则可以往前顺延一个月；如投标人注册成立时间不足1个月的，可提供承诺函（格式自拟）；未按要求提供的，投入的该人员作不得分处理。</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color w:val="auto"/>
                <w:szCs w:val="21"/>
              </w:rPr>
            </w:pPr>
            <w:r>
              <w:rPr>
                <w:rFonts w:hint="eastAsia" w:ascii="宋体" w:hAnsi="宋体" w:cs="宋体"/>
                <w:b/>
                <w:bCs/>
                <w:color w:val="auto"/>
                <w:szCs w:val="21"/>
              </w:rPr>
              <w:t>2、学历证明</w:t>
            </w:r>
            <w:r>
              <w:rPr>
                <w:rFonts w:hint="eastAsia" w:ascii="宋体" w:hAnsi="宋体" w:cs="宋体"/>
                <w:b/>
                <w:bCs/>
                <w:color w:val="auto"/>
                <w:szCs w:val="21"/>
                <w:lang w:eastAsia="zh-CN"/>
              </w:rPr>
              <w:t>：</w:t>
            </w:r>
            <w:r>
              <w:rPr>
                <w:rFonts w:hint="eastAsia" w:ascii="宋体" w:hAnsi="宋体" w:cs="宋体"/>
                <w:color w:val="auto"/>
                <w:szCs w:val="21"/>
              </w:rPr>
              <w:t>提供学历证书以及学信网（https://www.chsi.com.cn/）验证结果网页截图；对于较早颁发的学历证书，学信网无法查询的，可提供其他佐证材料（如毕业院校、人社部门等颁发机构或监管机构等单位出具的证明）扫描件；若提供的是国（境）外学历证书扫描件（以及中文翻译件），提供教育部留学服务中心出具的国外学历学位认证书；</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color w:val="auto"/>
              </w:rPr>
            </w:pPr>
            <w:r>
              <w:rPr>
                <w:rFonts w:hint="eastAsia" w:ascii="宋体" w:hAnsi="宋体" w:cs="宋体"/>
                <w:b/>
                <w:bCs/>
                <w:color w:val="auto"/>
                <w:szCs w:val="21"/>
                <w:lang w:val="en-US" w:eastAsia="zh-CN"/>
              </w:rPr>
              <w:t>3、项目经验证明：</w:t>
            </w:r>
            <w:r>
              <w:rPr>
                <w:rFonts w:hint="eastAsia" w:ascii="宋体" w:hAnsi="宋体" w:cs="宋体"/>
                <w:color w:val="auto"/>
                <w:szCs w:val="21"/>
              </w:rPr>
              <w:t>要求提供项目合同关键信息作为评分依据(关键信息包括但不限于项目名称、服务内容、</w:t>
            </w:r>
            <w:r>
              <w:rPr>
                <w:rFonts w:hint="eastAsia" w:ascii="宋体" w:hAnsi="宋体" w:cs="宋体"/>
                <w:b w:val="0"/>
                <w:bCs w:val="0"/>
                <w:color w:val="auto"/>
                <w:szCs w:val="21"/>
              </w:rPr>
              <w:t>项目负责人姓名、盖章页、合同签订日期等)</w:t>
            </w:r>
            <w:r>
              <w:rPr>
                <w:rFonts w:hint="eastAsia" w:ascii="宋体" w:hAnsi="宋体" w:cs="宋体"/>
                <w:b w:val="0"/>
                <w:bCs w:val="0"/>
                <w:color w:val="auto"/>
                <w:szCs w:val="21"/>
                <w:lang w:eastAsia="zh-CN"/>
              </w:rPr>
              <w:t>，</w:t>
            </w:r>
            <w:r>
              <w:rPr>
                <w:rFonts w:hint="eastAsia" w:ascii="宋体" w:hAnsi="宋体" w:cs="宋体"/>
                <w:b w:val="0"/>
                <w:bCs w:val="0"/>
                <w:color w:val="auto"/>
                <w:szCs w:val="21"/>
              </w:rPr>
              <w:t>若所提供的合</w:t>
            </w:r>
            <w:r>
              <w:rPr>
                <w:rFonts w:hint="eastAsia" w:ascii="宋体" w:hAnsi="宋体" w:cs="宋体"/>
                <w:color w:val="auto"/>
                <w:szCs w:val="21"/>
              </w:rPr>
              <w:t>同无法体现人员姓名，</w:t>
            </w:r>
            <w:r>
              <w:rPr>
                <w:rFonts w:hint="eastAsia" w:ascii="宋体" w:hAnsi="宋体" w:cs="宋体"/>
                <w:color w:val="auto"/>
                <w:szCs w:val="21"/>
                <w:lang w:val="en-US" w:eastAsia="zh-CN"/>
              </w:rPr>
              <w:t>还需同时</w:t>
            </w:r>
            <w:r>
              <w:rPr>
                <w:rFonts w:hint="eastAsia" w:ascii="宋体" w:hAnsi="宋体" w:cs="宋体"/>
                <w:color w:val="auto"/>
                <w:szCs w:val="21"/>
              </w:rPr>
              <w:t>提供</w:t>
            </w:r>
            <w:r>
              <w:rPr>
                <w:rFonts w:hint="eastAsia" w:ascii="宋体" w:hAnsi="宋体" w:cs="宋体"/>
                <w:color w:val="auto"/>
                <w:szCs w:val="21"/>
                <w:lang w:val="en-US" w:eastAsia="zh-CN"/>
              </w:rPr>
              <w:t>采购单位</w:t>
            </w:r>
            <w:r>
              <w:rPr>
                <w:rFonts w:hint="eastAsia" w:ascii="宋体" w:hAnsi="宋体" w:cs="宋体"/>
                <w:color w:val="auto"/>
                <w:szCs w:val="21"/>
              </w:rPr>
              <w:t>或</w:t>
            </w:r>
            <w:r>
              <w:rPr>
                <w:rFonts w:hint="eastAsia" w:ascii="宋体" w:hAnsi="宋体" w:cs="宋体"/>
                <w:color w:val="auto"/>
                <w:szCs w:val="21"/>
                <w:lang w:val="en-US" w:eastAsia="zh-CN"/>
              </w:rPr>
              <w:t>被</w:t>
            </w:r>
            <w:r>
              <w:rPr>
                <w:rFonts w:hint="eastAsia" w:ascii="宋体" w:hAnsi="宋体" w:cs="宋体"/>
                <w:color w:val="auto"/>
                <w:szCs w:val="21"/>
              </w:rPr>
              <w:t>服务单位出具的加盖公章或业务章的证明文件。</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上述材料</w:t>
            </w:r>
            <w:r>
              <w:rPr>
                <w:rFonts w:hint="eastAsia" w:ascii="宋体" w:hAnsi="宋体" w:cs="宋体"/>
                <w:color w:val="auto"/>
                <w:szCs w:val="21"/>
              </w:rPr>
              <w:t>原件备查，如未按要求提供证明材料，或所提供的证明材料未能体现上述评分内容导致专家无法判断的不得分。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bottom w:val="single" w:color="000000" w:sz="8" w:space="0"/>
              <w:right w:val="single" w:color="000000" w:sz="8" w:space="0"/>
            </w:tcBorders>
            <w:vAlign w:val="center"/>
          </w:tcPr>
          <w:p>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c>
          <w:tcPr>
            <w:tcW w:w="114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项目团队成员（项目负责人除外）</w:t>
            </w:r>
          </w:p>
        </w:tc>
        <w:tc>
          <w:tcPr>
            <w:tcW w:w="7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textAlignment w:val="auto"/>
              <w:rPr>
                <w:rFonts w:hint="default" w:ascii="宋体" w:hAnsi="宋体" w:cs="宋体"/>
                <w:color w:val="auto"/>
                <w:szCs w:val="21"/>
                <w:lang w:val="en-US" w:eastAsia="zh-CN"/>
              </w:rPr>
            </w:pPr>
            <w:r>
              <w:rPr>
                <w:rFonts w:hint="eastAsia" w:ascii="宋体" w:hAnsi="宋体" w:cs="宋体"/>
                <w:snapToGrid w:val="0"/>
                <w:color w:val="auto"/>
                <w:kern w:val="0"/>
                <w:sz w:val="21"/>
                <w:szCs w:val="21"/>
                <w:lang w:val="en-US" w:eastAsia="zh-CN"/>
              </w:rPr>
              <w:t>15</w:t>
            </w:r>
          </w:p>
        </w:tc>
        <w:tc>
          <w:tcPr>
            <w:tcW w:w="5826" w:type="dxa"/>
            <w:tcBorders>
              <w:top w:val="single" w:color="000000" w:sz="8" w:space="0"/>
              <w:left w:val="single" w:color="000000" w:sz="8" w:space="0"/>
              <w:bottom w:val="single" w:color="000000" w:sz="8" w:space="0"/>
              <w:right w:val="single" w:color="000000" w:sz="8" w:space="0"/>
            </w:tcBorders>
            <w:vAlign w:val="center"/>
          </w:tcPr>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pPr>
              <w:pStyle w:val="7"/>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拟</w:t>
            </w:r>
            <w:r>
              <w:rPr>
                <w:rFonts w:hint="eastAsia" w:ascii="宋体" w:hAnsi="宋体" w:eastAsia="宋体" w:cs="宋体"/>
                <w:color w:val="auto"/>
                <w:kern w:val="0"/>
                <w:sz w:val="21"/>
                <w:szCs w:val="21"/>
              </w:rPr>
              <w:t>投入项目的</w:t>
            </w:r>
            <w:r>
              <w:rPr>
                <w:rFonts w:hint="eastAsia" w:ascii="宋体" w:hAnsi="宋体" w:cs="宋体"/>
                <w:color w:val="auto"/>
                <w:kern w:val="0"/>
                <w:sz w:val="21"/>
                <w:szCs w:val="21"/>
                <w:lang w:val="en-US" w:eastAsia="zh-CN"/>
              </w:rPr>
              <w:t>项目团队成员</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项目负责人除外</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为投标单位自有员工，</w:t>
            </w:r>
            <w:r>
              <w:rPr>
                <w:rFonts w:hint="eastAsia" w:ascii="宋体" w:hAnsi="宋体" w:eastAsia="宋体" w:cs="宋体"/>
                <w:color w:val="auto"/>
                <w:kern w:val="0"/>
                <w:sz w:val="21"/>
                <w:szCs w:val="21"/>
                <w:lang w:val="en-US" w:eastAsia="zh-CN"/>
              </w:rPr>
              <w:t>在此基础上</w:t>
            </w:r>
            <w:r>
              <w:rPr>
                <w:rFonts w:hint="eastAsia" w:ascii="宋体" w:hAnsi="宋体" w:cs="宋体"/>
                <w:color w:val="auto"/>
                <w:kern w:val="0"/>
                <w:sz w:val="21"/>
                <w:szCs w:val="21"/>
                <w:lang w:val="en-US" w:eastAsia="zh-CN"/>
              </w:rPr>
              <w:t>进行</w:t>
            </w:r>
            <w:r>
              <w:rPr>
                <w:rFonts w:hint="eastAsia" w:ascii="宋体" w:hAnsi="宋体" w:eastAsia="宋体" w:cs="宋体"/>
                <w:color w:val="auto"/>
                <w:kern w:val="0"/>
                <w:sz w:val="21"/>
                <w:szCs w:val="21"/>
                <w:lang w:val="en-US" w:eastAsia="zh-CN"/>
              </w:rPr>
              <w:t>评审</w:t>
            </w:r>
            <w:r>
              <w:rPr>
                <w:rFonts w:hint="eastAsia" w:ascii="宋体" w:hAnsi="宋体" w:cs="宋体"/>
                <w:color w:val="auto"/>
                <w:kern w:val="0"/>
                <w:sz w:val="21"/>
                <w:szCs w:val="21"/>
                <w:lang w:val="en-US" w:eastAsia="zh-CN"/>
              </w:rPr>
              <w:t>，否则不得分</w:t>
            </w:r>
            <w:r>
              <w:rPr>
                <w:rFonts w:hint="eastAsia" w:ascii="宋体" w:hAnsi="宋体" w:eastAsia="宋体" w:cs="宋体"/>
                <w:color w:val="auto"/>
                <w:kern w:val="0"/>
                <w:sz w:val="21"/>
                <w:szCs w:val="21"/>
                <w:lang w:val="en-US" w:eastAsia="zh-CN"/>
              </w:rPr>
              <w:t>：</w:t>
            </w:r>
          </w:p>
          <w:p>
            <w:pPr>
              <w:pStyle w:val="7"/>
              <w:keepNext w:val="0"/>
              <w:keepLines w:val="0"/>
              <w:pageBreakBefore w:val="0"/>
              <w:numPr>
                <w:ilvl w:val="0"/>
                <w:numId w:val="6"/>
              </w:numPr>
              <w:kinsoku/>
              <w:wordWrap/>
              <w:overflowPunct/>
              <w:topLinePunct w:val="0"/>
              <w:bidi w:val="0"/>
              <w:spacing w:beforeAutospacing="0" w:afterAutospacing="0" w:line="240" w:lineRule="auto"/>
              <w:ind w:leftChars="0"/>
              <w:textAlignment w:val="auto"/>
              <w:rPr>
                <w:rFonts w:hint="eastAsia" w:ascii="宋体" w:hAnsi="宋体" w:eastAsia="宋体" w:cs="宋体"/>
                <w:color w:val="auto"/>
                <w:sz w:val="21"/>
                <w:szCs w:val="21"/>
              </w:rPr>
            </w:pPr>
            <w:r>
              <w:rPr>
                <w:rFonts w:hint="eastAsia" w:hAnsi="宋体" w:cs="宋体"/>
                <w:color w:val="000000"/>
                <w:sz w:val="21"/>
                <w:szCs w:val="21"/>
                <w:lang w:val="en-US" w:eastAsia="zh-CN"/>
              </w:rPr>
              <w:t>每提供一名</w:t>
            </w:r>
            <w:r>
              <w:rPr>
                <w:rFonts w:hint="eastAsia" w:ascii="宋体" w:hAnsi="宋体" w:eastAsia="宋体" w:cs="宋体"/>
                <w:color w:val="000000"/>
                <w:sz w:val="21"/>
                <w:szCs w:val="21"/>
              </w:rPr>
              <w:t>具备</w:t>
            </w:r>
            <w:r>
              <w:rPr>
                <w:rFonts w:hint="eastAsia" w:ascii="宋体" w:hAnsi="宋体" w:eastAsia="宋体" w:cs="宋体"/>
                <w:color w:val="000000"/>
                <w:sz w:val="21"/>
                <w:szCs w:val="21"/>
                <w:lang w:val="en-US" w:eastAsia="zh-CN"/>
              </w:rPr>
              <w:t>具有初级（或以上）人力资源管理师职称，或初级（或以上）经济师（人力资源管理方向）证书，或具有三级（或以上）企业人力资源管理师职业资格证书或职业技能等级证书的</w:t>
            </w:r>
            <w:r>
              <w:rPr>
                <w:rFonts w:hint="eastAsia" w:ascii="宋体" w:hAnsi="宋体" w:eastAsia="宋体" w:cs="宋体"/>
                <w:color w:val="auto"/>
                <w:sz w:val="21"/>
                <w:szCs w:val="21"/>
              </w:rPr>
              <w:t>得</w:t>
            </w:r>
            <w:r>
              <w:rPr>
                <w:rFonts w:hint="eastAsia"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000000"/>
                <w:sz w:val="21"/>
                <w:szCs w:val="21"/>
                <w:lang w:val="en-US" w:eastAsia="zh-CN"/>
              </w:rPr>
              <w:t>若同一人具备两种证书则仅算一次分值，</w:t>
            </w:r>
            <w:r>
              <w:rPr>
                <w:rFonts w:hint="eastAsia" w:hAnsi="宋体" w:cs="宋体"/>
                <w:color w:val="auto"/>
                <w:sz w:val="21"/>
                <w:szCs w:val="21"/>
                <w:lang w:val="en-US" w:eastAsia="zh-CN"/>
              </w:rPr>
              <w:t>本小项</w:t>
            </w:r>
            <w:r>
              <w:rPr>
                <w:rFonts w:hint="eastAsia" w:ascii="宋体" w:hAnsi="宋体" w:eastAsia="宋体" w:cs="宋体"/>
                <w:color w:val="auto"/>
                <w:sz w:val="21"/>
                <w:szCs w:val="21"/>
              </w:rPr>
              <w:t>最高得</w:t>
            </w:r>
            <w:r>
              <w:rPr>
                <w:rFonts w:hint="eastAsia" w:hAnsi="宋体" w:eastAsia="宋体" w:cs="宋体"/>
                <w:color w:val="auto"/>
                <w:sz w:val="21"/>
                <w:szCs w:val="21"/>
                <w:lang w:val="en-US" w:eastAsia="zh-CN"/>
              </w:rPr>
              <w:t>10</w:t>
            </w:r>
            <w:r>
              <w:rPr>
                <w:rFonts w:hint="eastAsia" w:ascii="宋体" w:hAnsi="宋体" w:eastAsia="宋体" w:cs="宋体"/>
                <w:color w:val="auto"/>
                <w:sz w:val="21"/>
                <w:szCs w:val="21"/>
              </w:rPr>
              <w:t>分。</w:t>
            </w:r>
          </w:p>
          <w:p>
            <w:pPr>
              <w:pStyle w:val="7"/>
              <w:keepNext w:val="0"/>
              <w:keepLines w:val="0"/>
              <w:pageBreakBefore w:val="0"/>
              <w:numPr>
                <w:ilvl w:val="0"/>
                <w:numId w:val="6"/>
              </w:numPr>
              <w:kinsoku/>
              <w:wordWrap/>
              <w:overflowPunct/>
              <w:topLinePunct w:val="0"/>
              <w:bidi w:val="0"/>
              <w:spacing w:beforeAutospacing="0" w:afterAutospacing="0" w:line="240" w:lineRule="auto"/>
              <w:ind w:leftChars="0"/>
              <w:textAlignment w:val="auto"/>
              <w:rPr>
                <w:rFonts w:hint="eastAsia" w:hAnsi="宋体" w:cs="宋体"/>
                <w:color w:val="auto"/>
                <w:kern w:val="0"/>
                <w:sz w:val="21"/>
                <w:szCs w:val="21"/>
                <w:lang w:val="en-US" w:eastAsia="zh-CN"/>
              </w:rPr>
            </w:pPr>
            <w:r>
              <w:rPr>
                <w:rFonts w:hint="eastAsia" w:hAnsi="宋体" w:cs="宋体"/>
                <w:color w:val="auto"/>
                <w:sz w:val="21"/>
                <w:szCs w:val="21"/>
                <w:lang w:val="en-US" w:eastAsia="zh-CN"/>
              </w:rPr>
              <w:t>团队成员</w:t>
            </w:r>
            <w:r>
              <w:rPr>
                <w:rFonts w:hint="eastAsia" w:hAnsi="宋体" w:cs="宋体"/>
                <w:color w:val="auto"/>
                <w:kern w:val="0"/>
                <w:sz w:val="21"/>
                <w:szCs w:val="21"/>
                <w:lang w:val="en-US" w:eastAsia="zh-CN"/>
              </w:rPr>
              <w:t>每</w:t>
            </w:r>
            <w:r>
              <w:rPr>
                <w:rFonts w:hint="eastAsia" w:hAnsi="宋体" w:cs="宋体"/>
                <w:b/>
                <w:bCs/>
                <w:color w:val="auto"/>
                <w:kern w:val="0"/>
                <w:sz w:val="21"/>
                <w:szCs w:val="21"/>
                <w:lang w:val="en-US" w:eastAsia="zh-CN"/>
              </w:rPr>
              <w:t>增加</w:t>
            </w:r>
            <w:r>
              <w:rPr>
                <w:rFonts w:hint="eastAsia" w:hAnsi="宋体" w:cs="宋体"/>
                <w:color w:val="auto"/>
                <w:kern w:val="0"/>
                <w:sz w:val="21"/>
                <w:szCs w:val="21"/>
                <w:lang w:val="en-US" w:eastAsia="zh-CN"/>
              </w:rPr>
              <w:t>一名</w:t>
            </w:r>
            <w:r>
              <w:rPr>
                <w:rFonts w:hint="eastAsia" w:ascii="宋体" w:hAnsi="宋体" w:eastAsia="宋体" w:cs="宋体"/>
                <w:color w:val="auto"/>
                <w:kern w:val="0"/>
                <w:sz w:val="21"/>
                <w:szCs w:val="21"/>
                <w:lang w:val="en-US" w:eastAsia="zh-CN"/>
              </w:rPr>
              <w:t>具有本科</w:t>
            </w:r>
            <w:r>
              <w:rPr>
                <w:rFonts w:hint="eastAsia"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或以上</w:t>
            </w:r>
            <w:r>
              <w:rPr>
                <w:rFonts w:hint="eastAsia"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学历的</w:t>
            </w:r>
            <w:r>
              <w:rPr>
                <w:rFonts w:hint="eastAsia" w:hAnsi="宋体" w:cs="宋体"/>
                <w:color w:val="auto"/>
                <w:kern w:val="0"/>
                <w:sz w:val="21"/>
                <w:szCs w:val="21"/>
                <w:lang w:val="en-US" w:eastAsia="zh-CN"/>
              </w:rPr>
              <w:t>得1分</w:t>
            </w:r>
            <w:r>
              <w:rPr>
                <w:rFonts w:hint="eastAsia" w:ascii="宋体" w:hAnsi="宋体" w:eastAsia="宋体" w:cs="宋体"/>
                <w:color w:val="auto"/>
                <w:kern w:val="0"/>
                <w:sz w:val="21"/>
                <w:szCs w:val="21"/>
                <w:lang w:val="en-US" w:eastAsia="zh-CN"/>
              </w:rPr>
              <w:t>，</w:t>
            </w:r>
            <w:r>
              <w:rPr>
                <w:rFonts w:hint="eastAsia" w:hAnsi="宋体" w:cs="宋体"/>
                <w:color w:val="auto"/>
                <w:kern w:val="0"/>
                <w:sz w:val="21"/>
                <w:szCs w:val="21"/>
                <w:lang w:val="en-US" w:eastAsia="zh-CN"/>
              </w:rPr>
              <w:t>本小项最高得5分。</w:t>
            </w:r>
          </w:p>
          <w:p>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上述两项累计最高得15分。</w:t>
            </w:r>
          </w:p>
          <w:p>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eastAsia="宋体" w:cs="宋体"/>
                <w:color w:val="auto"/>
                <w:kern w:val="0"/>
                <w:sz w:val="21"/>
                <w:szCs w:val="21"/>
                <w:lang w:eastAsia="zh-CN"/>
              </w:rPr>
            </w:pPr>
            <w:r>
              <w:rPr>
                <w:rFonts w:hint="eastAsia" w:ascii="宋体" w:hAnsi="宋体" w:cs="宋体"/>
                <w:b/>
                <w:color w:val="auto"/>
                <w:kern w:val="0"/>
                <w:sz w:val="21"/>
                <w:szCs w:val="21"/>
                <w:lang w:eastAsia="zh-CN"/>
              </w:rPr>
              <w:t>（二）评分依据：</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color w:val="auto"/>
                <w:szCs w:val="21"/>
              </w:rPr>
            </w:pPr>
            <w:r>
              <w:rPr>
                <w:rFonts w:hint="eastAsia" w:ascii="宋体" w:hAnsi="宋体" w:cs="宋体"/>
                <w:b/>
                <w:bCs/>
                <w:color w:val="auto"/>
                <w:szCs w:val="21"/>
              </w:rPr>
              <w:t>1、</w:t>
            </w:r>
            <w:r>
              <w:rPr>
                <w:rFonts w:hint="eastAsia" w:ascii="宋体" w:hAnsi="宋体" w:cs="宋体"/>
                <w:b/>
                <w:bCs/>
                <w:color w:val="auto"/>
                <w:szCs w:val="21"/>
                <w:lang w:val="en-US" w:eastAsia="zh-CN"/>
              </w:rPr>
              <w:t>自有员工证明：</w:t>
            </w:r>
            <w:r>
              <w:rPr>
                <w:rFonts w:hint="eastAsia" w:ascii="宋体" w:hAnsi="宋体" w:cs="宋体"/>
                <w:color w:val="auto"/>
                <w:szCs w:val="21"/>
              </w:rPr>
              <w:t>提供社保部门出具的投标人为其缴纳的近1个月社保证明文件，由于社保部门原因（提供社保局无法出具的证明文件）最近1个月的社保证明无法提供的，则可以往前顺延一个月；如投标人注册成立时间不足1个月的，可提供承诺函（格式自拟）；未按要求提供的，投入的该人员作不得分处理。</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eastAsia" w:ascii="宋体" w:hAnsi="宋体" w:cs="宋体"/>
                <w:color w:val="auto"/>
                <w:szCs w:val="21"/>
              </w:rPr>
            </w:pPr>
            <w:r>
              <w:rPr>
                <w:rFonts w:hint="eastAsia" w:ascii="宋体" w:hAnsi="宋体" w:cs="宋体"/>
                <w:b/>
                <w:bCs/>
                <w:color w:val="auto"/>
                <w:szCs w:val="21"/>
              </w:rPr>
              <w:t>2、学历证明</w:t>
            </w:r>
            <w:r>
              <w:rPr>
                <w:rFonts w:hint="eastAsia" w:ascii="宋体" w:hAnsi="宋体" w:cs="宋体"/>
                <w:b/>
                <w:bCs/>
                <w:color w:val="auto"/>
                <w:szCs w:val="21"/>
                <w:lang w:eastAsia="zh-CN"/>
              </w:rPr>
              <w:t>：</w:t>
            </w:r>
            <w:r>
              <w:rPr>
                <w:rFonts w:hint="eastAsia" w:ascii="宋体" w:hAnsi="宋体" w:cs="宋体"/>
                <w:color w:val="auto"/>
                <w:szCs w:val="21"/>
              </w:rPr>
              <w:t>提供学历证书以及学信网（https://www.chsi.com.cn/）验证结果网页截图；对于较早颁发的学历证书，学信网无法查询的，可提供其他佐证材料（如毕业院校、人社部门等颁发机构或监管机构等单位出具的证明）扫描件；若提供的是国（境）外学历证书扫描件（以及中文翻译件），提供教育部留学服务中心出具的国外学历学位认证书；</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default" w:ascii="宋体" w:hAnsi="宋体" w:cs="宋体"/>
                <w:color w:val="auto"/>
                <w:szCs w:val="21"/>
                <w:lang w:val="en-US" w:eastAsia="zh-CN"/>
              </w:rPr>
            </w:pPr>
            <w:r>
              <w:rPr>
                <w:rFonts w:hint="eastAsia" w:ascii="宋体" w:hAnsi="宋体" w:cs="宋体"/>
                <w:b/>
                <w:bCs/>
                <w:color w:val="auto"/>
                <w:szCs w:val="21"/>
                <w:lang w:val="en-US" w:eastAsia="zh-CN"/>
              </w:rPr>
              <w:t>3、证书证明：</w:t>
            </w:r>
            <w:r>
              <w:rPr>
                <w:rFonts w:hint="eastAsia" w:ascii="宋体" w:hAnsi="宋体" w:cs="宋体"/>
                <w:color w:val="auto"/>
                <w:szCs w:val="21"/>
                <w:lang w:val="en-US" w:eastAsia="zh-CN"/>
              </w:rPr>
              <w:t>提供证书材料；</w:t>
            </w:r>
          </w:p>
          <w:p>
            <w:pPr>
              <w:keepNext w:val="0"/>
              <w:keepLines w:val="0"/>
              <w:pageBreakBefore w:val="0"/>
              <w:kinsoku/>
              <w:wordWrap/>
              <w:overflowPunct/>
              <w:topLinePunct w:val="0"/>
              <w:bidi w:val="0"/>
              <w:adjustRightInd w:val="0"/>
              <w:snapToGrid w:val="0"/>
              <w:spacing w:beforeAutospacing="0" w:afterAutospacing="0" w:line="240" w:lineRule="auto"/>
              <w:textAlignment w:val="auto"/>
              <w:rPr>
                <w:rFonts w:hint="default"/>
                <w:color w:val="auto"/>
                <w:lang w:val="en-US" w:eastAsia="zh-CN"/>
              </w:rPr>
            </w:pPr>
            <w:r>
              <w:rPr>
                <w:rFonts w:hint="eastAsia" w:ascii="宋体" w:hAnsi="宋体" w:cs="宋体"/>
                <w:color w:val="auto"/>
                <w:szCs w:val="21"/>
                <w:lang w:val="en-US" w:eastAsia="zh-CN"/>
              </w:rPr>
              <w:t>4、上述材料原件备查，如未按要 求</w:t>
            </w:r>
            <w:r>
              <w:rPr>
                <w:rFonts w:hint="eastAsia" w:ascii="宋体" w:hAnsi="宋体" w:cs="宋体"/>
                <w:color w:val="auto"/>
                <w:szCs w:val="21"/>
              </w:rPr>
              <w:t>提供证明材料，或所提供的证明材料未能体现上述评分内容导致专家无法判断的不得分。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auto"/>
                <w:sz w:val="24"/>
              </w:rPr>
            </w:pPr>
            <w:r>
              <w:rPr>
                <w:b/>
                <w:bCs/>
                <w:color w:val="auto"/>
              </w:rPr>
              <w:t>3</w:t>
            </w:r>
          </w:p>
        </w:tc>
        <w:tc>
          <w:tcPr>
            <w:tcW w:w="256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auto"/>
                <w:sz w:val="24"/>
              </w:rPr>
            </w:pPr>
            <w:r>
              <w:rPr>
                <w:b/>
                <w:bCs/>
                <w:color w:val="auto"/>
              </w:rPr>
              <w:t>综合实力</w:t>
            </w:r>
          </w:p>
        </w:tc>
        <w:tc>
          <w:tcPr>
            <w:tcW w:w="5826"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auto"/>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color w:val="auto"/>
                <w:szCs w:val="21"/>
              </w:rPr>
            </w:pPr>
            <w:r>
              <w:rPr>
                <w:color w:val="auto"/>
                <w:szCs w:val="21"/>
              </w:rPr>
              <w:t>序号</w:t>
            </w:r>
          </w:p>
        </w:tc>
        <w:tc>
          <w:tcPr>
            <w:tcW w:w="1149"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color w:val="auto"/>
                <w:szCs w:val="21"/>
              </w:rPr>
            </w:pPr>
            <w:r>
              <w:rPr>
                <w:color w:val="auto"/>
                <w:szCs w:val="21"/>
              </w:rPr>
              <w:t>评分因素</w:t>
            </w:r>
          </w:p>
        </w:tc>
        <w:tc>
          <w:tcPr>
            <w:tcW w:w="7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color w:val="auto"/>
                <w:szCs w:val="21"/>
              </w:rPr>
            </w:pPr>
            <w:r>
              <w:rPr>
                <w:color w:val="auto"/>
                <w:szCs w:val="21"/>
              </w:rPr>
              <w:t>权重</w:t>
            </w:r>
          </w:p>
        </w:tc>
        <w:tc>
          <w:tcPr>
            <w:tcW w:w="582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color w:val="auto"/>
                <w:szCs w:val="21"/>
              </w:rPr>
            </w:pPr>
            <w:r>
              <w:rPr>
                <w:color w:val="auto"/>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14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pacing w:beforeAutospacing="0" w:afterAutospacing="0" w:line="240" w:lineRule="auto"/>
              <w:jc w:val="center"/>
              <w:textAlignment w:val="auto"/>
              <w:rPr>
                <w:rFonts w:ascii="宋体" w:hAnsi="宋体" w:cs="宋体"/>
                <w:color w:val="auto"/>
                <w:szCs w:val="21"/>
              </w:rPr>
            </w:pPr>
            <w:r>
              <w:rPr>
                <w:rFonts w:hint="eastAsia" w:ascii="宋体" w:hAnsi="宋体" w:eastAsia="宋体" w:cs="宋体"/>
                <w:color w:val="auto"/>
                <w:sz w:val="21"/>
                <w:szCs w:val="21"/>
              </w:rPr>
              <w:t>企业</w:t>
            </w:r>
            <w:r>
              <w:rPr>
                <w:rFonts w:hint="eastAsia" w:ascii="宋体" w:hAnsi="宋体" w:cs="宋体"/>
                <w:color w:val="auto"/>
                <w:sz w:val="21"/>
                <w:szCs w:val="21"/>
                <w:lang w:val="en-US" w:eastAsia="zh-CN"/>
              </w:rPr>
              <w:t>认证情况</w:t>
            </w:r>
          </w:p>
        </w:tc>
        <w:tc>
          <w:tcPr>
            <w:tcW w:w="7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pacing w:beforeAutospacing="0" w:afterAutospacing="0" w:line="240" w:lineRule="auto"/>
              <w:jc w:val="center"/>
              <w:textAlignment w:val="auto"/>
              <w:rPr>
                <w:rFonts w:ascii="宋体" w:hAnsi="宋体" w:cs="宋体"/>
                <w:color w:val="auto"/>
                <w:szCs w:val="21"/>
              </w:rPr>
            </w:pPr>
            <w:r>
              <w:rPr>
                <w:rFonts w:hint="eastAsia" w:ascii="宋体" w:hAnsi="宋体" w:cs="宋体"/>
                <w:color w:val="auto"/>
                <w:sz w:val="21"/>
                <w:szCs w:val="21"/>
                <w:lang w:val="en-US" w:eastAsia="zh-CN"/>
              </w:rPr>
              <w:t>10</w:t>
            </w:r>
          </w:p>
        </w:tc>
        <w:tc>
          <w:tcPr>
            <w:tcW w:w="5826" w:type="dxa"/>
            <w:tcBorders>
              <w:top w:val="single" w:color="000000" w:sz="8" w:space="0"/>
              <w:left w:val="single" w:color="000000" w:sz="8" w:space="0"/>
              <w:bottom w:val="single" w:color="000000" w:sz="8" w:space="0"/>
              <w:right w:val="single" w:color="000000" w:sz="8" w:space="0"/>
            </w:tcBorders>
            <w:vAlign w:val="center"/>
          </w:tcPr>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投标人具有下列证书：</w:t>
            </w:r>
          </w:p>
          <w:p>
            <w:pPr>
              <w:pStyle w:val="7"/>
              <w:keepNext w:val="0"/>
              <w:keepLines w:val="0"/>
              <w:pageBreakBefore w:val="0"/>
              <w:kinsoku/>
              <w:wordWrap/>
              <w:overflowPunct/>
              <w:topLinePunct w:val="0"/>
              <w:bidi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1、质量管理体系认证证书，得</w:t>
            </w:r>
            <w:r>
              <w:rPr>
                <w:rFonts w:hint="eastAsia" w:hAnsi="宋体" w:eastAsia="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分；</w:t>
            </w:r>
          </w:p>
          <w:p>
            <w:pPr>
              <w:pStyle w:val="7"/>
              <w:keepNext w:val="0"/>
              <w:keepLines w:val="0"/>
              <w:pageBreakBefore w:val="0"/>
              <w:kinsoku/>
              <w:wordWrap/>
              <w:overflowPunct/>
              <w:topLinePunct w:val="0"/>
              <w:bidi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2、职业健康安全管理体系认证证书，得</w:t>
            </w:r>
            <w:r>
              <w:rPr>
                <w:rFonts w:hint="eastAsia" w:hAnsi="宋体" w:eastAsia="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分</w:t>
            </w:r>
            <w:r>
              <w:rPr>
                <w:rFonts w:hint="eastAsia" w:hAnsi="宋体" w:cs="宋体"/>
                <w:color w:val="auto"/>
                <w:kern w:val="0"/>
                <w:sz w:val="21"/>
                <w:szCs w:val="21"/>
                <w:lang w:val="en-US" w:eastAsia="zh-CN"/>
              </w:rPr>
              <w:t>；</w:t>
            </w:r>
          </w:p>
          <w:p>
            <w:pPr>
              <w:pStyle w:val="7"/>
              <w:keepNext w:val="0"/>
              <w:keepLines w:val="0"/>
              <w:pageBreakBefore w:val="0"/>
              <w:kinsoku/>
              <w:wordWrap/>
              <w:overflowPunct/>
              <w:topLinePunct w:val="0"/>
              <w:bidi w:val="0"/>
              <w:spacing w:beforeAutospacing="0" w:afterAutospacing="0" w:line="240" w:lineRule="auto"/>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3、环境管理体系认证证书，得</w:t>
            </w:r>
            <w:r>
              <w:rPr>
                <w:rFonts w:hint="eastAsia" w:hAnsi="宋体" w:eastAsia="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分</w:t>
            </w:r>
            <w:r>
              <w:rPr>
                <w:rFonts w:hint="eastAsia" w:hAnsi="宋体" w:cs="宋体"/>
                <w:color w:val="auto"/>
                <w:kern w:val="0"/>
                <w:sz w:val="21"/>
                <w:szCs w:val="21"/>
                <w:lang w:val="en-US" w:eastAsia="zh-CN"/>
              </w:rPr>
              <w:t>；</w:t>
            </w:r>
          </w:p>
          <w:p>
            <w:pPr>
              <w:pStyle w:val="8"/>
              <w:ind w:left="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r>
              <w:rPr>
                <w:rFonts w:hint="eastAsia" w:hAnsi="宋体" w:cs="宋体"/>
                <w:color w:val="auto"/>
                <w:sz w:val="21"/>
                <w:szCs w:val="21"/>
                <w:lang w:val="en-US" w:eastAsia="zh-CN"/>
              </w:rPr>
              <w:t>服务认证</w:t>
            </w:r>
            <w:r>
              <w:rPr>
                <w:rFonts w:hint="eastAsia" w:ascii="宋体" w:hAnsi="宋体" w:eastAsia="宋体" w:cs="宋体"/>
                <w:color w:val="auto"/>
                <w:kern w:val="0"/>
                <w:sz w:val="21"/>
                <w:szCs w:val="21"/>
                <w:lang w:val="en-US" w:eastAsia="zh-CN"/>
              </w:rPr>
              <w:t>证书</w:t>
            </w:r>
            <w:r>
              <w:rPr>
                <w:rFonts w:hint="eastAsia" w:hAnsi="宋体" w:cs="宋体"/>
                <w:color w:val="auto"/>
                <w:sz w:val="21"/>
                <w:szCs w:val="21"/>
                <w:lang w:val="en-US" w:eastAsia="zh-CN"/>
              </w:rPr>
              <w:t>，</w:t>
            </w:r>
            <w:r>
              <w:rPr>
                <w:rFonts w:hint="eastAsia" w:ascii="宋体" w:hAnsi="宋体" w:eastAsia="宋体" w:cs="宋体"/>
                <w:color w:val="auto"/>
                <w:kern w:val="0"/>
                <w:sz w:val="21"/>
                <w:szCs w:val="21"/>
                <w:lang w:val="en-US" w:eastAsia="zh-CN"/>
              </w:rPr>
              <w:t>得</w:t>
            </w:r>
            <w:r>
              <w:rPr>
                <w:rFonts w:hint="eastAsia" w:hAnsi="宋体" w:eastAsia="宋体" w:cs="宋体"/>
                <w:color w:val="auto"/>
                <w:kern w:val="0"/>
                <w:sz w:val="21"/>
                <w:szCs w:val="21"/>
                <w:lang w:val="en-US" w:eastAsia="zh-CN"/>
              </w:rPr>
              <w:t>2.5</w:t>
            </w:r>
            <w:r>
              <w:rPr>
                <w:rFonts w:hint="eastAsia" w:ascii="宋体" w:hAnsi="宋体" w:eastAsia="宋体" w:cs="宋体"/>
                <w:color w:val="auto"/>
                <w:kern w:val="0"/>
                <w:sz w:val="21"/>
                <w:szCs w:val="21"/>
                <w:lang w:val="en-US" w:eastAsia="zh-CN"/>
              </w:rPr>
              <w:t>分</w:t>
            </w:r>
            <w:r>
              <w:rPr>
                <w:rFonts w:hint="eastAsia" w:ascii="宋体" w:hAnsi="宋体" w:cs="宋体"/>
                <w:color w:val="auto"/>
                <w:kern w:val="0"/>
                <w:sz w:val="21"/>
                <w:szCs w:val="21"/>
                <w:lang w:val="en-US" w:eastAsia="zh-CN"/>
              </w:rPr>
              <w:t>。</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（以上</w:t>
            </w:r>
            <w:r>
              <w:rPr>
                <w:rFonts w:hint="eastAsia" w:ascii="宋体" w:hAnsi="宋体" w:cs="宋体"/>
                <w:color w:val="auto"/>
                <w:kern w:val="0"/>
                <w:sz w:val="21"/>
                <w:szCs w:val="21"/>
                <w:lang w:val="en-US" w:eastAsia="zh-CN"/>
              </w:rPr>
              <w:t>四</w:t>
            </w:r>
            <w:r>
              <w:rPr>
                <w:rFonts w:hint="eastAsia" w:ascii="宋体" w:hAnsi="宋体" w:eastAsia="宋体" w:cs="宋体"/>
                <w:color w:val="auto"/>
                <w:kern w:val="0"/>
                <w:sz w:val="21"/>
                <w:szCs w:val="21"/>
                <w:lang w:val="en-US" w:eastAsia="zh-CN"/>
              </w:rPr>
              <w:t>项认证范围应包括：人力资源服务、人才测评或人才评价之一）。</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cs="宋体"/>
                <w:b/>
                <w:color w:val="auto"/>
                <w:sz w:val="21"/>
                <w:szCs w:val="21"/>
                <w:lang w:eastAsia="zh-CN"/>
              </w:rPr>
            </w:pPr>
            <w:r>
              <w:rPr>
                <w:rFonts w:hint="eastAsia" w:ascii="宋体" w:hAnsi="宋体" w:cs="宋体"/>
                <w:b/>
                <w:color w:val="auto"/>
                <w:sz w:val="21"/>
                <w:szCs w:val="21"/>
                <w:lang w:eastAsia="zh-CN"/>
              </w:rPr>
              <w:t>（二）评分依据：</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default"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同时提供</w:t>
            </w:r>
          </w:p>
          <w:p>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提供有效认证证书（如认证证书注明年审要求的，</w:t>
            </w:r>
            <w:r>
              <w:rPr>
                <w:rFonts w:hint="eastAsia" w:ascii="宋体" w:hAnsi="宋体" w:cs="宋体"/>
                <w:color w:val="auto"/>
                <w:kern w:val="0"/>
                <w:sz w:val="21"/>
                <w:szCs w:val="21"/>
                <w:lang w:val="en-US" w:eastAsia="zh-CN"/>
              </w:rPr>
              <w:t>需</w:t>
            </w:r>
            <w:r>
              <w:rPr>
                <w:rFonts w:hint="eastAsia" w:ascii="宋体" w:hAnsi="宋体" w:eastAsia="宋体" w:cs="宋体"/>
                <w:color w:val="auto"/>
                <w:kern w:val="0"/>
                <w:sz w:val="21"/>
                <w:szCs w:val="21"/>
              </w:rPr>
              <w:t>按规定年审且证书在有效期内的方为有效；如未注明年审要求的，证书必须在有效期内的方为有效）；</w:t>
            </w:r>
          </w:p>
          <w:p>
            <w:pPr>
              <w:keepNext w:val="0"/>
              <w:keepLines w:val="0"/>
              <w:pageBreakBefore w:val="0"/>
              <w:kinsoku/>
              <w:wordWrap/>
              <w:overflowPunct/>
              <w:topLinePunct w:val="0"/>
              <w:autoSpaceDE w:val="0"/>
              <w:autoSpaceDN w:val="0"/>
              <w:bidi w:val="0"/>
              <w:adjustRightInd w:val="0"/>
              <w:spacing w:beforeAutospacing="0" w:afterAutospacing="0"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提供证书官网或权威机构【如：全国认证认可信息公共服务平台（cx.cnca.cn）】认证信息查询截图（截图需显示证书状态为有效）。</w:t>
            </w:r>
          </w:p>
          <w:p>
            <w:pPr>
              <w:keepNext w:val="0"/>
              <w:keepLines w:val="0"/>
              <w:pageBreakBefore w:val="0"/>
              <w:tabs>
                <w:tab w:val="left" w:pos="175"/>
              </w:tabs>
              <w:kinsoku/>
              <w:wordWrap/>
              <w:overflowPunct/>
              <w:topLinePunct w:val="0"/>
              <w:bidi w:val="0"/>
              <w:spacing w:beforeAutospacing="0" w:afterAutospacing="0" w:line="240" w:lineRule="auto"/>
              <w:ind w:left="33" w:leftChars="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kern w:val="0"/>
                <w:sz w:val="21"/>
                <w:szCs w:val="21"/>
              </w:rPr>
              <w:t>3</w:t>
            </w:r>
            <w:r>
              <w:rPr>
                <w:rFonts w:hint="eastAsia" w:ascii="宋体" w:hAnsi="宋体" w:cs="宋体"/>
                <w:color w:val="auto"/>
                <w:kern w:val="0"/>
                <w:sz w:val="21"/>
                <w:szCs w:val="21"/>
                <w:lang w:eastAsia="zh-CN"/>
              </w:rPr>
              <w:t>、</w:t>
            </w:r>
            <w:r>
              <w:rPr>
                <w:rFonts w:hint="eastAsia" w:ascii="宋体" w:hAnsi="宋体" w:eastAsia="宋体" w:cs="宋体"/>
                <w:color w:val="auto"/>
                <w:sz w:val="21"/>
                <w:szCs w:val="21"/>
              </w:rPr>
              <w:t>以上证明文件原件备查。未按要求提供有效证明材料或提供不清晰导致评委无法识别的不计得分</w:t>
            </w:r>
            <w:r>
              <w:rPr>
                <w:rFonts w:hint="eastAsia" w:ascii="宋体" w:hAnsi="宋体" w:eastAsia="宋体" w:cs="宋体"/>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auto"/>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114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pacing w:beforeAutospacing="0" w:afterAutospacing="0" w:line="240" w:lineRule="auto"/>
              <w:jc w:val="center"/>
              <w:textAlignment w:val="auto"/>
              <w:rPr>
                <w:rFonts w:ascii="宋体" w:hAnsi="宋体" w:cs="宋体"/>
                <w:color w:val="auto"/>
                <w:szCs w:val="21"/>
              </w:rPr>
            </w:pPr>
            <w:r>
              <w:rPr>
                <w:rFonts w:hint="eastAsia" w:ascii="宋体" w:hAnsi="宋体" w:eastAsia="宋体" w:cs="宋体"/>
                <w:color w:val="auto"/>
                <w:sz w:val="21"/>
                <w:szCs w:val="21"/>
              </w:rPr>
              <w:t>项目经验</w:t>
            </w:r>
          </w:p>
        </w:tc>
        <w:tc>
          <w:tcPr>
            <w:tcW w:w="7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bidi w:val="0"/>
              <w:spacing w:beforeAutospacing="0" w:afterAutospacing="0" w:line="240" w:lineRule="auto"/>
              <w:jc w:val="center"/>
              <w:textAlignment w:val="auto"/>
              <w:rPr>
                <w:rFonts w:ascii="宋体" w:hAnsi="宋体" w:cs="宋体"/>
                <w:color w:val="auto"/>
                <w:szCs w:val="21"/>
              </w:rPr>
            </w:pPr>
            <w:r>
              <w:rPr>
                <w:rFonts w:hint="eastAsia" w:ascii="宋体" w:hAnsi="宋体" w:cs="宋体"/>
                <w:color w:val="auto"/>
                <w:sz w:val="21"/>
                <w:szCs w:val="21"/>
                <w:lang w:val="en-US" w:eastAsia="zh-CN"/>
              </w:rPr>
              <w:t>15</w:t>
            </w:r>
          </w:p>
        </w:tc>
        <w:tc>
          <w:tcPr>
            <w:tcW w:w="58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tabs>
                <w:tab w:val="left" w:pos="175"/>
              </w:tabs>
              <w:kinsoku/>
              <w:wordWrap/>
              <w:overflowPunct/>
              <w:topLinePunct w:val="0"/>
              <w:bidi w:val="0"/>
              <w:spacing w:beforeAutospacing="0" w:afterAutospacing="0" w:line="240" w:lineRule="auto"/>
              <w:ind w:left="33"/>
              <w:jc w:val="left"/>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（一）评分内容：</w:t>
            </w:r>
          </w:p>
          <w:p>
            <w:pPr>
              <w:keepNext w:val="0"/>
              <w:keepLines w:val="0"/>
              <w:pageBreakBefore w:val="0"/>
              <w:tabs>
                <w:tab w:val="left" w:pos="175"/>
              </w:tabs>
              <w:kinsoku/>
              <w:wordWrap/>
              <w:overflowPunct/>
              <w:topLinePunct w:val="0"/>
              <w:bidi w:val="0"/>
              <w:spacing w:beforeAutospacing="0" w:afterAutospacing="0" w:line="240" w:lineRule="auto"/>
              <w:ind w:left="33"/>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投标供应商</w:t>
            </w:r>
            <w:r>
              <w:rPr>
                <w:rFonts w:hint="eastAsia" w:ascii="宋体" w:hAnsi="宋体" w:eastAsia="宋体" w:cs="宋体"/>
                <w:color w:val="auto"/>
                <w:sz w:val="21"/>
                <w:szCs w:val="21"/>
                <w:lang w:val="en-US" w:eastAsia="zh-CN"/>
              </w:rPr>
              <w:t>自</w:t>
            </w:r>
            <w:r>
              <w:rPr>
                <w:rFonts w:hint="eastAsia" w:ascii="宋体" w:hAnsi="宋体" w:eastAsia="宋体" w:cs="宋体"/>
                <w:b w:val="0"/>
                <w:bCs/>
                <w:color w:val="auto"/>
                <w:sz w:val="21"/>
                <w:szCs w:val="21"/>
                <w:highlight w:val="none"/>
              </w:rPr>
              <w:t>202</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月1日</w:t>
            </w:r>
            <w:r>
              <w:rPr>
                <w:rFonts w:hint="eastAsia" w:ascii="宋体" w:hAnsi="宋体" w:cs="宋体"/>
                <w:b w:val="0"/>
                <w:bCs/>
                <w:color w:val="auto"/>
                <w:sz w:val="21"/>
                <w:szCs w:val="21"/>
                <w:highlight w:val="none"/>
                <w:lang w:val="en-US" w:eastAsia="zh-CN"/>
              </w:rPr>
              <w:t>至投标截止日（以合同签订时间为准），</w:t>
            </w:r>
            <w:r>
              <w:rPr>
                <w:rFonts w:hint="eastAsia" w:ascii="宋体" w:hAnsi="宋体" w:eastAsia="宋体" w:cs="宋体"/>
                <w:b w:val="0"/>
                <w:bCs/>
                <w:color w:val="auto"/>
                <w:sz w:val="21"/>
                <w:szCs w:val="21"/>
                <w:highlight w:val="none"/>
              </w:rPr>
              <w:t>完成</w:t>
            </w:r>
            <w:r>
              <w:rPr>
                <w:rFonts w:hint="eastAsia" w:ascii="宋体" w:hAnsi="宋体" w:cs="宋体"/>
                <w:b w:val="0"/>
                <w:bCs/>
                <w:color w:val="auto"/>
                <w:sz w:val="21"/>
                <w:szCs w:val="21"/>
                <w:highlight w:val="none"/>
                <w:lang w:val="en-US" w:eastAsia="zh-CN"/>
              </w:rPr>
              <w:t>政府机关或事业单位委托</w:t>
            </w:r>
            <w:r>
              <w:rPr>
                <w:rFonts w:hint="eastAsia" w:ascii="宋体" w:hAnsi="宋体" w:eastAsia="宋体" w:cs="宋体"/>
                <w:b w:val="0"/>
                <w:bCs/>
                <w:color w:val="auto"/>
                <w:sz w:val="21"/>
                <w:szCs w:val="21"/>
                <w:highlight w:val="none"/>
              </w:rPr>
              <w:t>的</w:t>
            </w:r>
            <w:r>
              <w:rPr>
                <w:rFonts w:hint="eastAsia" w:ascii="宋体" w:hAnsi="宋体" w:eastAsia="宋体" w:cs="宋体"/>
                <w:b w:val="0"/>
                <w:bCs/>
                <w:color w:val="auto"/>
                <w:sz w:val="21"/>
                <w:szCs w:val="21"/>
                <w:highlight w:val="none"/>
                <w:lang w:val="en-US" w:eastAsia="zh-CN"/>
              </w:rPr>
              <w:t>人事招聘</w:t>
            </w:r>
            <w:r>
              <w:rPr>
                <w:rFonts w:hint="eastAsia" w:ascii="宋体" w:hAnsi="宋体" w:cs="宋体"/>
                <w:b w:val="0"/>
                <w:bCs/>
                <w:color w:val="auto"/>
                <w:sz w:val="21"/>
                <w:szCs w:val="21"/>
                <w:highlight w:val="none"/>
                <w:lang w:val="en-US" w:eastAsia="zh-CN"/>
              </w:rPr>
              <w:t>类</w:t>
            </w:r>
            <w:r>
              <w:rPr>
                <w:rFonts w:hint="eastAsia" w:ascii="宋体" w:hAnsi="宋体" w:eastAsia="宋体" w:cs="宋体"/>
                <w:b w:val="0"/>
                <w:bCs/>
                <w:color w:val="auto"/>
                <w:sz w:val="21"/>
                <w:szCs w:val="21"/>
                <w:highlight w:val="none"/>
              </w:rPr>
              <w:t>项目业绩</w:t>
            </w:r>
            <w:r>
              <w:rPr>
                <w:rFonts w:hint="eastAsia" w:ascii="宋体" w:hAnsi="宋体" w:cs="宋体"/>
                <w:b w:val="0"/>
                <w:bCs/>
                <w:color w:val="auto"/>
                <w:sz w:val="21"/>
                <w:szCs w:val="21"/>
                <w:highlight w:val="none"/>
                <w:lang w:eastAsia="zh-CN"/>
              </w:rPr>
              <w:t>的</w:t>
            </w:r>
            <w:r>
              <w:rPr>
                <w:rFonts w:hint="eastAsia" w:ascii="宋体" w:hAnsi="宋体" w:eastAsia="宋体" w:cs="宋体"/>
                <w:b w:val="0"/>
                <w:bCs/>
                <w:color w:val="auto"/>
                <w:sz w:val="21"/>
                <w:szCs w:val="21"/>
                <w:highlight w:val="none"/>
              </w:rPr>
              <w:t>，每提供1个得</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val="en-US" w:eastAsia="zh-CN"/>
              </w:rPr>
              <w:t>累计</w:t>
            </w:r>
            <w:r>
              <w:rPr>
                <w:rFonts w:hint="eastAsia" w:ascii="宋体" w:hAnsi="宋体" w:eastAsia="宋体" w:cs="宋体"/>
                <w:b w:val="0"/>
                <w:bCs/>
                <w:color w:val="auto"/>
                <w:sz w:val="21"/>
                <w:szCs w:val="21"/>
                <w:highlight w:val="none"/>
              </w:rPr>
              <w:t>最高得</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分。长期续签合同只计算一个业绩</w:t>
            </w:r>
            <w:r>
              <w:rPr>
                <w:rFonts w:hint="eastAsia" w:ascii="宋体" w:hAnsi="宋体" w:cs="宋体"/>
                <w:b w:val="0"/>
                <w:bCs/>
                <w:color w:val="auto"/>
                <w:sz w:val="21"/>
                <w:szCs w:val="21"/>
                <w:highlight w:val="none"/>
                <w:lang w:eastAsia="zh-CN"/>
              </w:rPr>
              <w:t>。</w:t>
            </w:r>
          </w:p>
          <w:p>
            <w:pPr>
              <w:pStyle w:val="16"/>
              <w:keepNext w:val="0"/>
              <w:keepLines w:val="0"/>
              <w:pageBreakBefore w:val="0"/>
              <w:kinsoku/>
              <w:wordWrap/>
              <w:overflowPunct/>
              <w:topLinePunct w:val="0"/>
              <w:bidi w:val="0"/>
              <w:spacing w:beforeAutospacing="0" w:afterAutospacing="0" w:line="240" w:lineRule="auto"/>
              <w:ind w:firstLine="0" w:firstLineChars="0"/>
              <w:textAlignment w:val="auto"/>
              <w:rPr>
                <w:rFonts w:hint="eastAsia" w:ascii="宋体" w:hAnsi="宋体" w:eastAsia="宋体" w:cs="宋体"/>
                <w:color w:val="auto"/>
                <w:sz w:val="21"/>
                <w:szCs w:val="21"/>
                <w:lang w:eastAsia="zh-CN"/>
              </w:rPr>
            </w:pPr>
            <w:r>
              <w:rPr>
                <w:rFonts w:hint="eastAsia" w:ascii="宋体" w:hAnsi="宋体" w:cs="宋体"/>
                <w:b/>
                <w:color w:val="auto"/>
                <w:sz w:val="21"/>
                <w:szCs w:val="21"/>
                <w:lang w:eastAsia="zh-CN"/>
              </w:rPr>
              <w:t>（二）评分依据：</w:t>
            </w:r>
          </w:p>
          <w:p>
            <w:pPr>
              <w:keepNext w:val="0"/>
              <w:keepLines w:val="0"/>
              <w:pageBreakBefore w:val="0"/>
              <w:tabs>
                <w:tab w:val="left" w:pos="175"/>
              </w:tabs>
              <w:kinsoku/>
              <w:wordWrap/>
              <w:overflowPunct/>
              <w:topLinePunct w:val="0"/>
              <w:bidi w:val="0"/>
              <w:spacing w:beforeAutospacing="0" w:afterAutospacing="0" w:line="240" w:lineRule="auto"/>
              <w:ind w:left="33" w:lef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1、合同关键页（关键信息包括但不限于合同的项目名称、服务内容、合同服务的起止时间、签订日期、合同双方盖章页等）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2、项目支付发票</w:t>
            </w:r>
            <w:r>
              <w:rPr>
                <w:rFonts w:hint="eastAsia" w:ascii="宋体" w:hAnsi="宋体" w:eastAsia="宋体" w:cs="宋体"/>
                <w:color w:val="auto"/>
                <w:sz w:val="21"/>
                <w:szCs w:val="21"/>
              </w:rPr>
              <w:t>；</w:t>
            </w:r>
          </w:p>
          <w:p>
            <w:pPr>
              <w:keepNext w:val="0"/>
              <w:keepLines w:val="0"/>
              <w:pageBreakBefore w:val="0"/>
              <w:tabs>
                <w:tab w:val="left" w:pos="175"/>
              </w:tabs>
              <w:kinsoku/>
              <w:wordWrap/>
              <w:overflowPunct/>
              <w:topLinePunct w:val="0"/>
              <w:bidi w:val="0"/>
              <w:spacing w:beforeAutospacing="0" w:afterAutospacing="0" w:line="240" w:lineRule="auto"/>
              <w:ind w:left="33" w:leftChars="0"/>
              <w:jc w:val="left"/>
              <w:textAlignment w:val="auto"/>
              <w:rPr>
                <w:rFonts w:ascii="宋体" w:hAnsi="宋体" w:cs="宋体"/>
                <w:color w:val="auto"/>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、以上材料原件备查。如提供的材料无法证明隶属于投标人或无法辨别的，则认定为无效材料，不得分。</w:t>
            </w:r>
          </w:p>
        </w:tc>
      </w:tr>
    </w:tbl>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keepNext w:val="0"/>
        <w:keepLines w:val="0"/>
        <w:pageBreakBefore w:val="0"/>
        <w:kinsoku/>
        <w:overflowPunct/>
        <w:topLinePunct w:val="0"/>
        <w:autoSpaceDE/>
        <w:autoSpaceDN/>
        <w:bidi w:val="0"/>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附件2：报价单</w:t>
      </w:r>
    </w:p>
    <w:tbl>
      <w:tblPr>
        <w:tblStyle w:val="12"/>
        <w:tblW w:w="10083" w:type="dxa"/>
        <w:tblInd w:w="-5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800"/>
        <w:gridCol w:w="900"/>
        <w:gridCol w:w="1805"/>
        <w:gridCol w:w="805"/>
        <w:gridCol w:w="780"/>
        <w:gridCol w:w="782"/>
        <w:gridCol w:w="1208"/>
        <w:gridCol w:w="928"/>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大类</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服务</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要求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测算</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报价</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2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命题、印刷、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阅卷等</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笔试</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命题</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要求为主观题，要求含参考答案；考试时长不超120分钟。</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元/套</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试题印刷、押卷</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参照国家大型考试试卷印刷标准印制；要求妥善做好试卷保密及押运工作，笔试考点位于龙岗区内。</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元/份</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本项最终以</w:t>
            </w:r>
            <w:r>
              <w:rPr>
                <w:rFonts w:hint="eastAsia" w:ascii="宋体" w:hAnsi="宋体" w:eastAsia="宋体" w:cs="宋体"/>
                <w:b/>
                <w:bCs/>
                <w:i w:val="0"/>
                <w:iCs w:val="0"/>
                <w:color w:val="000000"/>
                <w:kern w:val="0"/>
                <w:sz w:val="22"/>
                <w:szCs w:val="22"/>
                <w:u w:val="none"/>
                <w:lang w:val="en-US" w:eastAsia="zh-CN" w:bidi="ar"/>
              </w:rPr>
              <w:t>实际应考</w:t>
            </w:r>
            <w:r>
              <w:rPr>
                <w:rFonts w:hint="eastAsia" w:ascii="宋体" w:hAnsi="宋体" w:eastAsia="宋体" w:cs="宋体"/>
                <w:i w:val="0"/>
                <w:iCs w:val="0"/>
                <w:color w:val="000000"/>
                <w:kern w:val="0"/>
                <w:sz w:val="22"/>
                <w:szCs w:val="22"/>
                <w:u w:val="none"/>
                <w:lang w:val="en-US" w:eastAsia="zh-CN" w:bidi="ar"/>
              </w:rPr>
              <w:t>人数结算，备用卷乙方自行负责印制，不计入费用。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阅卷</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主观题阅卷</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份</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元/份</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本项最终结算以</w:t>
            </w:r>
            <w:r>
              <w:rPr>
                <w:rFonts w:hint="eastAsia" w:ascii="宋体" w:hAnsi="宋体" w:eastAsia="宋体" w:cs="宋体"/>
                <w:b/>
                <w:bCs/>
                <w:i w:val="0"/>
                <w:iCs w:val="0"/>
                <w:color w:val="000000"/>
                <w:kern w:val="0"/>
                <w:sz w:val="22"/>
                <w:szCs w:val="22"/>
                <w:u w:val="none"/>
                <w:lang w:val="en-US" w:eastAsia="zh-CN" w:bidi="ar"/>
              </w:rPr>
              <w:t>实际参考</w:t>
            </w:r>
            <w:r>
              <w:rPr>
                <w:rFonts w:hint="eastAsia" w:ascii="宋体" w:hAnsi="宋体" w:eastAsia="宋体" w:cs="宋体"/>
                <w:i w:val="0"/>
                <w:iCs w:val="0"/>
                <w:color w:val="000000"/>
                <w:kern w:val="0"/>
                <w:sz w:val="22"/>
                <w:szCs w:val="22"/>
                <w:u w:val="none"/>
                <w:lang w:val="en-US" w:eastAsia="zh-CN" w:bidi="ar"/>
              </w:rPr>
              <w:t>考生答题份数据实结算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笔试考务组织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笔试</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布置</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按照国家大型考试标准布置笔试考场，此项含监控布置，要求笔试场地监控全覆盖；</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元/项</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监考员劳务费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监考员要求具有监考经验，认真负责，不得为兼职学生。</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人/天</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元/人/天</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投标单价固定。最终按实际笔试考场内监考员数量结算。人数测算：21间*2人/间=42人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8"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其他笔试工作人员劳务费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此项为巡考员、楼层协调员等笔试室外全体工作人员。</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人/天</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元/人/天</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投标单价固定。最终按实际人数结算，结算时单价可根据岗位不同上下浮动。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用餐</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早餐按20元/人标准、午餐按50元/人标准</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元/天</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投标价固定，具体以实际产生为准结算。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饮水</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提供全体工作人员及考生所需的饮用水、茶歇等</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元/项</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此项报价不超600元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面试考务组织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面试场地布置</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按照专业面试规范标准布置面试考场；此项含监控布置，要求面试场地监控全覆盖；</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元/项</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评分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提供专业评分系统，含笔记本、打印机等。</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元/套</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面试室内工作人员劳务费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要求半天完成面试，劳务费按半天测算。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半天</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人/半天</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16"/>
                <w:szCs w:val="16"/>
                <w:u w:val="none"/>
                <w:lang w:val="en-US" w:eastAsia="zh-CN" w:bidi="ar"/>
              </w:rPr>
              <w:t>投标单价固定。按2间面试室测算，每面试室内按7人测算（5考官+1监督员+1记分员）。最终结算时可根据岗位不同单价上下浮动结算。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面试室外工作人员劳务费</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要求半天完成面试，劳务费按半天测算。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半天</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人/半天</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用餐</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早餐按20元/人标准、午餐按50元/人标准测算。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元/天</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饮水</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提供全体工作人员及考生所需的饮用水、茶歇等</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元/项</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此项报价不超500元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组织管理费等</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组织管理费等</w:t>
            </w:r>
          </w:p>
        </w:tc>
        <w:tc>
          <w:tcPr>
            <w:tcW w:w="33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该项为考务组织管理费等。中标人在第1、2、3项报价总额基础上*报价比例确定费用金额，报价比例由投标人自行确定，最终结算时按照1、2、3项结算价总和*报价比例确定此项结算费用。</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报价比例</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FF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tabs>
          <w:tab w:val="left" w:pos="7598"/>
        </w:tabs>
        <w:kinsoku/>
        <w:overflowPunct/>
        <w:topLinePunct w:val="0"/>
        <w:autoSpaceDE/>
        <w:autoSpaceDN/>
        <w:bidi w:val="0"/>
        <w:spacing w:line="240" w:lineRule="auto"/>
        <w:jc w:val="left"/>
        <w:textAlignment w:val="auto"/>
        <w:rPr>
          <w:rFonts w:hint="default"/>
          <w:color w:val="auto"/>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2FF89E-A553-43BA-88B8-2BD8F8445D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F2C6725-F677-4BFF-8723-63CE07E6B962}"/>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27256831-380C-460D-A303-25FED3FADF11}"/>
  </w:font>
  <w:font w:name="仿宋">
    <w:panose1 w:val="02010609060101010101"/>
    <w:charset w:val="86"/>
    <w:family w:val="auto"/>
    <w:pitch w:val="default"/>
    <w:sig w:usb0="800002BF" w:usb1="38CF7CFA" w:usb2="00000016" w:usb3="00000000" w:csb0="00040001" w:csb1="00000000"/>
    <w:embedRegular r:id="rId4" w:fontKey="{CEDAFFE6-EE56-42E9-B4F8-37183AAAB6E0}"/>
  </w:font>
  <w:font w:name="华文仿宋">
    <w:panose1 w:val="02010600040101010101"/>
    <w:charset w:val="86"/>
    <w:family w:val="auto"/>
    <w:pitch w:val="default"/>
    <w:sig w:usb0="00000287" w:usb1="080F0000" w:usb2="00000000" w:usb3="00000000" w:csb0="0004009F" w:csb1="DFD70000"/>
    <w:embedRegular r:id="rId5" w:fontKey="{DF4B6C6B-BE6D-48C7-9DAC-7E77FB873E3B}"/>
  </w:font>
  <w:font w:name="楷体_GB2312">
    <w:panose1 w:val="02010609030101010101"/>
    <w:charset w:val="86"/>
    <w:family w:val="auto"/>
    <w:pitch w:val="default"/>
    <w:sig w:usb0="00000001" w:usb1="080E0000" w:usb2="00000000" w:usb3="00000000" w:csb0="00040000" w:csb1="00000000"/>
    <w:embedRegular r:id="rId6" w:fontKey="{AE97ABF9-4A2D-4B20-9258-1AF30F165A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1571E"/>
    <w:multiLevelType w:val="singleLevel"/>
    <w:tmpl w:val="85B1571E"/>
    <w:lvl w:ilvl="0" w:tentative="0">
      <w:start w:val="1"/>
      <w:numFmt w:val="chineseCounting"/>
      <w:suff w:val="nothing"/>
      <w:lvlText w:val="（%1）"/>
      <w:lvlJc w:val="left"/>
      <w:rPr>
        <w:rFonts w:hint="eastAsia"/>
      </w:rPr>
    </w:lvl>
  </w:abstractNum>
  <w:abstractNum w:abstractNumId="1">
    <w:nsid w:val="A43DCA20"/>
    <w:multiLevelType w:val="singleLevel"/>
    <w:tmpl w:val="A43DCA20"/>
    <w:lvl w:ilvl="0" w:tentative="0">
      <w:start w:val="1"/>
      <w:numFmt w:val="chineseCounting"/>
      <w:suff w:val="nothing"/>
      <w:lvlText w:val="%1、"/>
      <w:lvlJc w:val="left"/>
      <w:rPr>
        <w:rFonts w:hint="eastAsia"/>
        <w:sz w:val="32"/>
        <w:szCs w:val="32"/>
      </w:rPr>
    </w:lvl>
  </w:abstractNum>
  <w:abstractNum w:abstractNumId="2">
    <w:nsid w:val="AC2BB7F1"/>
    <w:multiLevelType w:val="singleLevel"/>
    <w:tmpl w:val="AC2BB7F1"/>
    <w:lvl w:ilvl="0" w:tentative="0">
      <w:start w:val="3"/>
      <w:numFmt w:val="decimal"/>
      <w:suff w:val="nothing"/>
      <w:lvlText w:val="（%1）"/>
      <w:lvlJc w:val="left"/>
    </w:lvl>
  </w:abstractNum>
  <w:abstractNum w:abstractNumId="3">
    <w:nsid w:val="30A97EF4"/>
    <w:multiLevelType w:val="singleLevel"/>
    <w:tmpl w:val="30A97EF4"/>
    <w:lvl w:ilvl="0" w:tentative="0">
      <w:start w:val="1"/>
      <w:numFmt w:val="decimal"/>
      <w:suff w:val="nothing"/>
      <w:lvlText w:val="%1、"/>
      <w:lvlJc w:val="left"/>
    </w:lvl>
  </w:abstractNum>
  <w:abstractNum w:abstractNumId="4">
    <w:nsid w:val="46FBAFE0"/>
    <w:multiLevelType w:val="singleLevel"/>
    <w:tmpl w:val="46FBAFE0"/>
    <w:lvl w:ilvl="0" w:tentative="0">
      <w:start w:val="1"/>
      <w:numFmt w:val="decimal"/>
      <w:suff w:val="nothing"/>
      <w:lvlText w:val="%1、"/>
      <w:lvlJc w:val="left"/>
    </w:lvl>
  </w:abstractNum>
  <w:abstractNum w:abstractNumId="5">
    <w:nsid w:val="5A6A5201"/>
    <w:multiLevelType w:val="singleLevel"/>
    <w:tmpl w:val="5A6A5201"/>
    <w:lvl w:ilvl="0" w:tentative="0">
      <w:start w:val="1"/>
      <w:numFmt w:val="decimal"/>
      <w:suff w:val="nothing"/>
      <w:lvlText w:val="%1、"/>
      <w:lvlJc w:val="left"/>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20E05"/>
    <w:rsid w:val="01922277"/>
    <w:rsid w:val="024969D8"/>
    <w:rsid w:val="02C66D61"/>
    <w:rsid w:val="02D72D01"/>
    <w:rsid w:val="036D1000"/>
    <w:rsid w:val="0383668D"/>
    <w:rsid w:val="03BC1DAF"/>
    <w:rsid w:val="042C28C0"/>
    <w:rsid w:val="052C48C4"/>
    <w:rsid w:val="065B5A88"/>
    <w:rsid w:val="06F23CF7"/>
    <w:rsid w:val="07D549BB"/>
    <w:rsid w:val="08050524"/>
    <w:rsid w:val="088E37EB"/>
    <w:rsid w:val="0B8953AF"/>
    <w:rsid w:val="0CB462EB"/>
    <w:rsid w:val="0F3D1663"/>
    <w:rsid w:val="10636C3B"/>
    <w:rsid w:val="11070A19"/>
    <w:rsid w:val="116D03F6"/>
    <w:rsid w:val="11955A3F"/>
    <w:rsid w:val="12DE4928"/>
    <w:rsid w:val="12FE3868"/>
    <w:rsid w:val="13024E77"/>
    <w:rsid w:val="13600912"/>
    <w:rsid w:val="157D1118"/>
    <w:rsid w:val="15815AD7"/>
    <w:rsid w:val="163C4F8E"/>
    <w:rsid w:val="16ED6288"/>
    <w:rsid w:val="1A427337"/>
    <w:rsid w:val="1A4D304A"/>
    <w:rsid w:val="1B3426DB"/>
    <w:rsid w:val="1B71796D"/>
    <w:rsid w:val="1C41419F"/>
    <w:rsid w:val="1E2D5254"/>
    <w:rsid w:val="1E820E05"/>
    <w:rsid w:val="211D352F"/>
    <w:rsid w:val="225039F5"/>
    <w:rsid w:val="28DE6BB5"/>
    <w:rsid w:val="29F924A3"/>
    <w:rsid w:val="2AE1684B"/>
    <w:rsid w:val="2BE47E69"/>
    <w:rsid w:val="2C9D3A89"/>
    <w:rsid w:val="2D453739"/>
    <w:rsid w:val="2DC75B04"/>
    <w:rsid w:val="2E6C7C0B"/>
    <w:rsid w:val="2FF8610C"/>
    <w:rsid w:val="30B71ED4"/>
    <w:rsid w:val="311B27B2"/>
    <w:rsid w:val="31B5447C"/>
    <w:rsid w:val="34877E03"/>
    <w:rsid w:val="35D24DFD"/>
    <w:rsid w:val="3604028D"/>
    <w:rsid w:val="37A87F34"/>
    <w:rsid w:val="39C34D75"/>
    <w:rsid w:val="3AC557D1"/>
    <w:rsid w:val="3B25249C"/>
    <w:rsid w:val="3BA852AF"/>
    <w:rsid w:val="3CE84C78"/>
    <w:rsid w:val="3D182F82"/>
    <w:rsid w:val="3E26514D"/>
    <w:rsid w:val="3E9E4502"/>
    <w:rsid w:val="3EEC4865"/>
    <w:rsid w:val="3F6C2DF4"/>
    <w:rsid w:val="3F9E48B5"/>
    <w:rsid w:val="424714E0"/>
    <w:rsid w:val="441910DB"/>
    <w:rsid w:val="444D17C3"/>
    <w:rsid w:val="44DE1846"/>
    <w:rsid w:val="45C81AEB"/>
    <w:rsid w:val="46DE34D4"/>
    <w:rsid w:val="471374A2"/>
    <w:rsid w:val="476A10AC"/>
    <w:rsid w:val="478269F6"/>
    <w:rsid w:val="47AC3472"/>
    <w:rsid w:val="48AB4607"/>
    <w:rsid w:val="491D214E"/>
    <w:rsid w:val="4A27193A"/>
    <w:rsid w:val="4A2B5B43"/>
    <w:rsid w:val="4BE6200A"/>
    <w:rsid w:val="4C9E1CC6"/>
    <w:rsid w:val="4E3B7C91"/>
    <w:rsid w:val="4E8972EB"/>
    <w:rsid w:val="51215764"/>
    <w:rsid w:val="5154562A"/>
    <w:rsid w:val="51FD2B1C"/>
    <w:rsid w:val="5268443A"/>
    <w:rsid w:val="52AD576E"/>
    <w:rsid w:val="53A37781"/>
    <w:rsid w:val="53C910FB"/>
    <w:rsid w:val="545A0359"/>
    <w:rsid w:val="57AE5420"/>
    <w:rsid w:val="5809221B"/>
    <w:rsid w:val="595C111E"/>
    <w:rsid w:val="59BD6FD0"/>
    <w:rsid w:val="5A041D8D"/>
    <w:rsid w:val="5A521B21"/>
    <w:rsid w:val="5AC97A40"/>
    <w:rsid w:val="5B9E2C7A"/>
    <w:rsid w:val="5CEA0D63"/>
    <w:rsid w:val="5DA97035"/>
    <w:rsid w:val="5F5076E6"/>
    <w:rsid w:val="613E1AC1"/>
    <w:rsid w:val="61823F79"/>
    <w:rsid w:val="61F432D4"/>
    <w:rsid w:val="62E24294"/>
    <w:rsid w:val="63172842"/>
    <w:rsid w:val="63EF5599"/>
    <w:rsid w:val="64B30C27"/>
    <w:rsid w:val="655125D3"/>
    <w:rsid w:val="65536795"/>
    <w:rsid w:val="656B0071"/>
    <w:rsid w:val="667117E0"/>
    <w:rsid w:val="691B2139"/>
    <w:rsid w:val="6A995680"/>
    <w:rsid w:val="6AC737B4"/>
    <w:rsid w:val="6AEA718C"/>
    <w:rsid w:val="6D537B3F"/>
    <w:rsid w:val="6E4262AC"/>
    <w:rsid w:val="6F2B2E7D"/>
    <w:rsid w:val="70980C54"/>
    <w:rsid w:val="70A96F86"/>
    <w:rsid w:val="71264BC1"/>
    <w:rsid w:val="72254774"/>
    <w:rsid w:val="72321F03"/>
    <w:rsid w:val="725A74B2"/>
    <w:rsid w:val="72820B90"/>
    <w:rsid w:val="736B5F6D"/>
    <w:rsid w:val="73D95F4D"/>
    <w:rsid w:val="747861FC"/>
    <w:rsid w:val="74BA1537"/>
    <w:rsid w:val="76907D77"/>
    <w:rsid w:val="76DB7075"/>
    <w:rsid w:val="77B72D5D"/>
    <w:rsid w:val="77B84EE4"/>
    <w:rsid w:val="79044288"/>
    <w:rsid w:val="7C8E3211"/>
    <w:rsid w:val="7D4C3012"/>
    <w:rsid w:val="7E781ADF"/>
    <w:rsid w:val="7EF70A41"/>
    <w:rsid w:val="7F5C3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4"/>
    <w:next w:val="1"/>
    <w:unhideWhenUsed/>
    <w:qFormat/>
    <w:uiPriority w:val="0"/>
    <w:pPr>
      <w:spacing w:before="260" w:after="260" w:line="240" w:lineRule="auto"/>
      <w:outlineLvl w:val="2"/>
    </w:pPr>
    <w:rPr>
      <w:rFonts w:ascii="宋体" w:hAnsi="宋体" w:eastAsia="宋体" w:cs="Times New Roman"/>
      <w:szCs w:val="32"/>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style>
  <w:style w:type="paragraph" w:styleId="6">
    <w:name w:val="Body Text"/>
    <w:basedOn w:val="1"/>
    <w:next w:val="1"/>
    <w:qFormat/>
    <w:uiPriority w:val="0"/>
    <w:pPr>
      <w:spacing w:after="120"/>
    </w:pPr>
  </w:style>
  <w:style w:type="paragraph" w:styleId="7">
    <w:name w:val="annotation text"/>
    <w:basedOn w:val="1"/>
    <w:next w:val="8"/>
    <w:qFormat/>
    <w:uiPriority w:val="99"/>
    <w:pPr>
      <w:autoSpaceDE w:val="0"/>
      <w:autoSpaceDN w:val="0"/>
      <w:adjustRightInd w:val="0"/>
      <w:jc w:val="left"/>
      <w:textAlignment w:val="baseline"/>
    </w:pPr>
    <w:rPr>
      <w:rFonts w:ascii="宋体"/>
      <w:kern w:val="0"/>
      <w:sz w:val="34"/>
      <w:szCs w:val="20"/>
    </w:rPr>
  </w:style>
  <w:style w:type="paragraph" w:styleId="8">
    <w:name w:val="toc 5"/>
    <w:basedOn w:val="1"/>
    <w:next w:val="1"/>
    <w:semiHidden/>
    <w:qFormat/>
    <w:uiPriority w:val="0"/>
    <w:pPr>
      <w:ind w:left="840"/>
      <w:jc w:val="left"/>
    </w:pPr>
    <w:rPr>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16">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2198</Words>
  <Characters>2271</Characters>
  <Lines>0</Lines>
  <Paragraphs>0</Paragraphs>
  <TotalTime>58</TotalTime>
  <ScaleCrop>false</ScaleCrop>
  <LinksUpToDate>false</LinksUpToDate>
  <CharactersWithSpaces>2294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admin</dc:creator>
  <cp:lastModifiedBy>林英浩</cp:lastModifiedBy>
  <cp:lastPrinted>2025-08-25T10:05:00Z</cp:lastPrinted>
  <dcterms:modified xsi:type="dcterms:W3CDTF">2025-08-28T03:17:12Z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921B880A3E3D421BB064DDBAE6855C9D</vt:lpwstr>
  </property>
  <property fmtid="{D5CDD505-2E9C-101B-9397-08002B2CF9AE}" pid="4" name="KSOTemplateDocerSaveRecord">
    <vt:lpwstr>eyJoZGlkIjoiN2Y2ZTg1OTAzNzY2MDkyODA2OTUxNGI3ODBjYmQ1MzIiLCJ1c2VySWQiOiIzMTg4MTc5MjAifQ==</vt:lpwstr>
  </property>
</Properties>
</file>