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255"/>
          <w:numId w:val="0"/>
        </w:numPr>
        <w:spacing w:line="560" w:lineRule="exact"/>
        <w:jc w:val="left"/>
        <w:rPr>
          <w:rFonts w:hint="default"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附件2：</w:t>
      </w:r>
    </w:p>
    <w:p>
      <w:pPr>
        <w:widowControl/>
        <w:numPr>
          <w:ilvl w:val="255"/>
          <w:numId w:val="0"/>
        </w:numPr>
        <w:spacing w:line="560" w:lineRule="exact"/>
        <w:jc w:val="center"/>
        <w:rPr>
          <w:rFonts w:hint="eastAsia" w:ascii="方正小标宋简体" w:hAnsi="方正小标宋简体" w:eastAsia="方正小标宋简体" w:cs="方正小标宋简体"/>
          <w:color w:val="auto"/>
          <w:sz w:val="40"/>
          <w:szCs w:val="40"/>
          <w:highlight w:val="none"/>
          <w:lang w:val="en-US" w:eastAsia="zh-CN"/>
        </w:rPr>
      </w:pPr>
    </w:p>
    <w:p>
      <w:pPr>
        <w:widowControl/>
        <w:numPr>
          <w:ilvl w:val="255"/>
          <w:numId w:val="0"/>
        </w:numPr>
        <w:spacing w:line="560" w:lineRule="exact"/>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平湖西土地整备利益统筹项目全过程咨询及拆迁谈判服务任务书主要内容</w:t>
      </w:r>
    </w:p>
    <w:p>
      <w:pPr>
        <w:widowControl/>
        <w:numPr>
          <w:ilvl w:val="255"/>
          <w:numId w:val="0"/>
        </w:numPr>
        <w:spacing w:line="560" w:lineRule="exact"/>
        <w:ind w:firstLine="640" w:firstLineChars="200"/>
        <w:jc w:val="left"/>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一、项目简况</w:t>
      </w:r>
    </w:p>
    <w:p>
      <w:pPr>
        <w:widowControl/>
        <w:numPr>
          <w:ilvl w:val="255"/>
          <w:numId w:val="0"/>
        </w:numPr>
        <w:spacing w:line="560" w:lineRule="exact"/>
        <w:ind w:firstLine="640" w:firstLineChars="200"/>
        <w:jc w:val="left"/>
        <w:rPr>
          <w:rFonts w:hint="default" w:ascii="仿宋_GB2312" w:eastAsia="仿宋_GB2312" w:cs="Times New Roman"/>
          <w:color w:val="auto"/>
          <w:sz w:val="32"/>
          <w:szCs w:val="32"/>
          <w:highlight w:val="none"/>
          <w:lang w:val="en-US" w:eastAsia="zh-CN"/>
        </w:rPr>
      </w:pPr>
      <w:r>
        <w:rPr>
          <w:rFonts w:hint="default" w:ascii="仿宋_GB2312" w:eastAsia="仿宋_GB2312" w:cs="Times New Roman"/>
          <w:color w:val="auto"/>
          <w:sz w:val="32"/>
          <w:szCs w:val="32"/>
          <w:highlight w:val="none"/>
          <w:lang w:val="en-US" w:eastAsia="zh-CN"/>
        </w:rPr>
        <w:t>平湖西土地整备利益统筹项目位于平湖街道，南靠沈海高速、西临清平高速、北至富安大道、东接平吉大道。项目涉及上木古、辅城坳、新南、新木4个社区，实施范围约128.18公顷。根据目前的测绘结果，本项目现状物业建筑面积总额</w:t>
      </w:r>
      <w:r>
        <w:rPr>
          <w:rFonts w:hint="eastAsia" w:ascii="仿宋_GB2312" w:eastAsia="仿宋_GB2312" w:cs="Times New Roman"/>
          <w:color w:val="auto"/>
          <w:sz w:val="32"/>
          <w:szCs w:val="32"/>
          <w:highlight w:val="none"/>
          <w:lang w:val="en-US" w:eastAsia="zh-CN"/>
        </w:rPr>
        <w:t>约112万</w:t>
      </w:r>
      <w:r>
        <w:rPr>
          <w:rFonts w:hint="default" w:ascii="仿宋_GB2312" w:eastAsia="仿宋_GB2312" w:cs="Times New Roman"/>
          <w:color w:val="auto"/>
          <w:sz w:val="32"/>
          <w:szCs w:val="32"/>
          <w:highlight w:val="none"/>
          <w:lang w:val="en-US" w:eastAsia="zh-CN"/>
        </w:rPr>
        <w:t>平米，其中住宅类</w:t>
      </w:r>
      <w:r>
        <w:rPr>
          <w:rFonts w:hint="eastAsia" w:ascii="仿宋_GB2312" w:eastAsia="仿宋_GB2312" w:cs="Times New Roman"/>
          <w:color w:val="auto"/>
          <w:sz w:val="32"/>
          <w:szCs w:val="32"/>
          <w:highlight w:val="none"/>
          <w:lang w:val="en-US" w:eastAsia="zh-CN"/>
        </w:rPr>
        <w:t>约23.3万</w:t>
      </w:r>
      <w:r>
        <w:rPr>
          <w:rFonts w:hint="default" w:ascii="仿宋_GB2312" w:eastAsia="仿宋_GB2312" w:cs="Times New Roman"/>
          <w:color w:val="auto"/>
          <w:sz w:val="32"/>
          <w:szCs w:val="32"/>
          <w:highlight w:val="none"/>
          <w:lang w:val="en-US" w:eastAsia="zh-CN"/>
        </w:rPr>
        <w:t>平米，非住宅类</w:t>
      </w:r>
      <w:r>
        <w:rPr>
          <w:rFonts w:hint="eastAsia" w:ascii="仿宋_GB2312" w:eastAsia="仿宋_GB2312" w:cs="Times New Roman"/>
          <w:color w:val="auto"/>
          <w:sz w:val="32"/>
          <w:szCs w:val="32"/>
          <w:highlight w:val="none"/>
          <w:lang w:val="en-US" w:eastAsia="zh-CN"/>
        </w:rPr>
        <w:t>约88.7万</w:t>
      </w:r>
      <w:r>
        <w:rPr>
          <w:rFonts w:hint="default" w:ascii="仿宋_GB2312" w:eastAsia="仿宋_GB2312" w:cs="Times New Roman"/>
          <w:color w:val="auto"/>
          <w:sz w:val="32"/>
          <w:szCs w:val="32"/>
          <w:highlight w:val="none"/>
          <w:lang w:val="en-US" w:eastAsia="zh-CN"/>
        </w:rPr>
        <w:t>平米。</w:t>
      </w:r>
    </w:p>
    <w:p>
      <w:pPr>
        <w:widowControl/>
        <w:numPr>
          <w:ilvl w:val="255"/>
          <w:numId w:val="0"/>
        </w:numPr>
        <w:spacing w:line="560" w:lineRule="exact"/>
        <w:ind w:firstLine="640" w:firstLineChars="200"/>
        <w:jc w:val="lef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二、本次拟采购服务任务书主要内容</w:t>
      </w:r>
    </w:p>
    <w:p>
      <w:pPr>
        <w:widowControl/>
        <w:numPr>
          <w:ilvl w:val="255"/>
          <w:numId w:val="0"/>
        </w:numPr>
        <w:spacing w:line="560" w:lineRule="exact"/>
        <w:ind w:firstLine="640" w:firstLineChars="200"/>
        <w:jc w:val="left"/>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eastAsia="zh-CN"/>
        </w:rPr>
        <w:t>一</w:t>
      </w:r>
      <w:r>
        <w:rPr>
          <w:rFonts w:hint="eastAsia" w:ascii="楷体_GB2312" w:hAnsi="楷体_GB2312" w:eastAsia="楷体_GB2312" w:cs="楷体_GB2312"/>
          <w:color w:val="auto"/>
          <w:sz w:val="32"/>
          <w:szCs w:val="32"/>
          <w:highlight w:val="none"/>
        </w:rPr>
        <w:t>）全过程咨询服务：</w:t>
      </w:r>
    </w:p>
    <w:p>
      <w:pPr>
        <w:widowControl/>
        <w:numPr>
          <w:ilvl w:val="255"/>
          <w:numId w:val="0"/>
        </w:numPr>
        <w:spacing w:line="560" w:lineRule="exact"/>
        <w:ind w:firstLine="640" w:firstLineChars="200"/>
        <w:jc w:val="left"/>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1、项目信息核查</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包括但不限于：①建立项目信息档案；②负责开展项目范围内土地、建筑物等清点确认；③编制项目信息核查工作方案及相关格式文本；④收集信息核查资料；⑤协助</w:t>
      </w:r>
      <w:r>
        <w:rPr>
          <w:rFonts w:hint="eastAsia" w:ascii="仿宋_GB2312" w:eastAsia="仿宋_GB2312"/>
          <w:color w:val="auto"/>
          <w:sz w:val="32"/>
          <w:szCs w:val="32"/>
          <w:highlight w:val="none"/>
          <w:lang w:val="en-US" w:eastAsia="zh-CN"/>
        </w:rPr>
        <w:t>主管部门</w:t>
      </w:r>
      <w:r>
        <w:rPr>
          <w:rFonts w:hint="eastAsia" w:ascii="仿宋_GB2312" w:eastAsia="仿宋_GB2312"/>
          <w:color w:val="auto"/>
          <w:sz w:val="32"/>
          <w:szCs w:val="32"/>
          <w:highlight w:val="none"/>
        </w:rPr>
        <w:t>开展信息核查</w:t>
      </w:r>
      <w:r>
        <w:rPr>
          <w:rFonts w:hint="eastAsia" w:ascii="仿宋_GB2312" w:eastAsia="仿宋_GB2312"/>
          <w:color w:val="auto"/>
          <w:sz w:val="32"/>
          <w:szCs w:val="32"/>
          <w:highlight w:val="none"/>
          <w:lang w:val="en-US" w:eastAsia="zh-CN"/>
        </w:rPr>
        <w:t>相关工作</w:t>
      </w:r>
      <w:r>
        <w:rPr>
          <w:rFonts w:hint="eastAsia" w:ascii="仿宋_GB2312" w:eastAsia="仿宋_GB2312"/>
          <w:color w:val="auto"/>
          <w:sz w:val="32"/>
          <w:szCs w:val="32"/>
          <w:highlight w:val="none"/>
        </w:rPr>
        <w:t>；⑥负责</w:t>
      </w:r>
      <w:r>
        <w:rPr>
          <w:rFonts w:hint="eastAsia" w:ascii="仿宋_GB2312" w:eastAsia="仿宋_GB2312"/>
          <w:color w:val="auto"/>
          <w:sz w:val="32"/>
          <w:szCs w:val="32"/>
          <w:highlight w:val="none"/>
          <w:lang w:val="en-US" w:eastAsia="zh-CN"/>
        </w:rPr>
        <w:t>协助股份合作公司</w:t>
      </w:r>
      <w:r>
        <w:rPr>
          <w:rFonts w:hint="eastAsia" w:ascii="仿宋_GB2312" w:eastAsia="仿宋_GB2312"/>
          <w:color w:val="auto"/>
          <w:sz w:val="32"/>
          <w:szCs w:val="32"/>
          <w:highlight w:val="none"/>
        </w:rPr>
        <w:t>开展权利人核实</w:t>
      </w:r>
      <w:r>
        <w:rPr>
          <w:rFonts w:hint="eastAsia" w:ascii="仿宋_GB2312" w:eastAsia="仿宋_GB2312"/>
          <w:color w:val="auto"/>
          <w:sz w:val="32"/>
          <w:szCs w:val="32"/>
          <w:highlight w:val="none"/>
          <w:lang w:eastAsia="zh-CN"/>
        </w:rPr>
        <w:t>、</w:t>
      </w:r>
      <w:r>
        <w:rPr>
          <w:rFonts w:hint="eastAsia" w:ascii="仿宋_GB2312" w:eastAsia="仿宋_GB2312" w:cs="Times New Roman"/>
          <w:color w:val="auto"/>
          <w:sz w:val="32"/>
          <w:szCs w:val="32"/>
          <w:highlight w:val="none"/>
        </w:rPr>
        <w:t>权属确认</w:t>
      </w:r>
      <w:r>
        <w:rPr>
          <w:rFonts w:hint="eastAsia" w:ascii="仿宋_GB2312" w:eastAsia="仿宋_GB2312" w:cs="Times New Roman"/>
          <w:color w:val="auto"/>
          <w:sz w:val="32"/>
          <w:szCs w:val="32"/>
          <w:highlight w:val="none"/>
          <w:lang w:val="en-US" w:eastAsia="zh-CN"/>
        </w:rPr>
        <w:t>相关</w:t>
      </w:r>
      <w:r>
        <w:rPr>
          <w:rFonts w:hint="eastAsia" w:ascii="仿宋_GB2312" w:eastAsia="仿宋_GB2312" w:cs="Times New Roman"/>
          <w:color w:val="auto"/>
          <w:sz w:val="32"/>
          <w:szCs w:val="32"/>
          <w:highlight w:val="none"/>
        </w:rPr>
        <w:t>工作；</w:t>
      </w:r>
      <w:r>
        <w:rPr>
          <w:rFonts w:hint="eastAsia" w:ascii="仿宋_GB2312" w:eastAsia="仿宋_GB2312"/>
          <w:color w:val="auto"/>
          <w:sz w:val="32"/>
          <w:szCs w:val="32"/>
          <w:highlight w:val="none"/>
        </w:rPr>
        <w:t>⑦</w:t>
      </w:r>
      <w:r>
        <w:rPr>
          <w:rFonts w:hint="eastAsia" w:ascii="仿宋_GB2312" w:eastAsia="仿宋_GB2312" w:cs="Times New Roman"/>
          <w:color w:val="auto"/>
          <w:sz w:val="32"/>
          <w:szCs w:val="32"/>
          <w:highlight w:val="none"/>
        </w:rPr>
        <w:t>负责权属信息公示及解疑</w:t>
      </w:r>
      <w:r>
        <w:rPr>
          <w:rFonts w:hint="eastAsia" w:ascii="仿宋_GB2312" w:eastAsia="仿宋_GB2312" w:cs="Times New Roman"/>
          <w:color w:val="auto"/>
          <w:sz w:val="32"/>
          <w:szCs w:val="32"/>
          <w:highlight w:val="none"/>
          <w:lang w:eastAsia="zh-CN"/>
        </w:rPr>
        <w:t>、</w:t>
      </w:r>
      <w:r>
        <w:rPr>
          <w:rFonts w:hint="eastAsia" w:ascii="仿宋_GB2312" w:eastAsia="仿宋_GB2312" w:cs="Times New Roman"/>
          <w:color w:val="auto"/>
          <w:sz w:val="32"/>
          <w:szCs w:val="32"/>
          <w:highlight w:val="none"/>
        </w:rPr>
        <w:t>信息异议处理；</w:t>
      </w:r>
      <w:r>
        <w:rPr>
          <w:rFonts w:hint="eastAsia" w:ascii="仿宋_GB2312" w:eastAsia="仿宋_GB2312"/>
          <w:color w:val="auto"/>
          <w:sz w:val="32"/>
          <w:szCs w:val="32"/>
          <w:highlight w:val="none"/>
        </w:rPr>
        <w:t>⑧</w:t>
      </w:r>
      <w:r>
        <w:rPr>
          <w:rFonts w:hint="eastAsia" w:ascii="仿宋_GB2312" w:eastAsia="仿宋_GB2312" w:cs="Times New Roman"/>
          <w:color w:val="auto"/>
          <w:sz w:val="32"/>
          <w:szCs w:val="32"/>
          <w:highlight w:val="none"/>
        </w:rPr>
        <w:t>梳理统计实施方案编制所需数据信息；⑨委托方</w:t>
      </w:r>
      <w:r>
        <w:rPr>
          <w:rFonts w:hint="eastAsia" w:ascii="仿宋_GB2312" w:eastAsia="仿宋_GB2312"/>
          <w:color w:val="auto"/>
          <w:sz w:val="32"/>
          <w:szCs w:val="32"/>
          <w:highlight w:val="none"/>
        </w:rPr>
        <w:t>认为属于信息核查服务的其他内容。</w:t>
      </w:r>
      <w:bookmarkStart w:id="0" w:name="_GoBack"/>
      <w:bookmarkEnd w:id="0"/>
    </w:p>
    <w:p>
      <w:pPr>
        <w:pStyle w:val="2"/>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、上平台交易流程顾问</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上平台交易流程顾问服务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包括但不限于：①协助制定交易流程计划；②</w:t>
      </w:r>
      <w:r>
        <w:rPr>
          <w:rFonts w:hint="eastAsia" w:ascii="仿宋_GB2312" w:eastAsia="仿宋_GB2312"/>
          <w:color w:val="auto"/>
          <w:sz w:val="32"/>
          <w:szCs w:val="32"/>
          <w:highlight w:val="none"/>
          <w:lang w:val="en-US" w:eastAsia="zh-CN"/>
        </w:rPr>
        <w:t>协助</w:t>
      </w:r>
      <w:r>
        <w:rPr>
          <w:rFonts w:hint="eastAsia" w:ascii="仿宋_GB2312" w:eastAsia="仿宋_GB2312"/>
          <w:color w:val="auto"/>
          <w:sz w:val="32"/>
          <w:szCs w:val="32"/>
          <w:highlight w:val="none"/>
        </w:rPr>
        <w:t>编制</w:t>
      </w:r>
      <w:r>
        <w:rPr>
          <w:rFonts w:hint="eastAsia" w:ascii="仿宋_GB2312" w:eastAsia="仿宋_GB2312"/>
          <w:color w:val="auto"/>
          <w:sz w:val="32"/>
          <w:szCs w:val="32"/>
          <w:highlight w:val="none"/>
          <w:lang w:val="en-US" w:eastAsia="zh-CN"/>
        </w:rPr>
        <w:t>股份合作公司</w:t>
      </w:r>
      <w:r>
        <w:rPr>
          <w:rFonts w:hint="eastAsia" w:ascii="仿宋_GB2312" w:eastAsia="仿宋_GB2312"/>
          <w:color w:val="auto"/>
          <w:sz w:val="32"/>
          <w:szCs w:val="32"/>
          <w:highlight w:val="none"/>
        </w:rPr>
        <w:t>“三会”、股东大会等会议资料；③协助组织安排股份合作公司相关会议，做好会议签到、表决及拍照等工作，并解释说明会议表决议案；④协助编制各阶段相关报备文件及各阶段请示资料等；⑤协助公示期拍照存档；⑥协助准备公证处所需资料，做好股东大会与公证处的对接等相关工作；⑦协助股份</w:t>
      </w:r>
      <w:r>
        <w:rPr>
          <w:rFonts w:hint="eastAsia" w:ascii="仿宋_GB2312" w:eastAsia="仿宋_GB2312"/>
          <w:color w:val="auto"/>
          <w:sz w:val="32"/>
          <w:szCs w:val="32"/>
          <w:highlight w:val="none"/>
          <w:lang w:val="en-US" w:eastAsia="zh-CN"/>
        </w:rPr>
        <w:t>合作</w:t>
      </w:r>
      <w:r>
        <w:rPr>
          <w:rFonts w:hint="eastAsia" w:ascii="仿宋_GB2312" w:eastAsia="仿宋_GB2312"/>
          <w:color w:val="auto"/>
          <w:sz w:val="32"/>
          <w:szCs w:val="32"/>
          <w:highlight w:val="none"/>
        </w:rPr>
        <w:t>公司制定项目合作开发方案并张榜公示；⑧协助集资部门及交易中心等相关单位，确保各阶段资料内容的完整性；⑨协助各阶段相关资料的整理与归档；⑩协助交易及备案过程中的其他相关工作，把关</w:t>
      </w:r>
      <w:r>
        <w:rPr>
          <w:rFonts w:hint="eastAsia" w:ascii="仿宋_GB2312" w:eastAsia="仿宋_GB2312"/>
          <w:color w:val="auto"/>
          <w:sz w:val="32"/>
          <w:szCs w:val="32"/>
          <w:highlight w:val="none"/>
          <w:lang w:eastAsia="zh-CN"/>
        </w:rPr>
        <w:t>股份合作公司</w:t>
      </w:r>
      <w:r>
        <w:rPr>
          <w:rFonts w:hint="eastAsia" w:ascii="仿宋_GB2312" w:eastAsia="仿宋_GB2312"/>
          <w:color w:val="auto"/>
          <w:sz w:val="32"/>
          <w:szCs w:val="32"/>
          <w:highlight w:val="none"/>
        </w:rPr>
        <w:t>上平台整个流程，保障项目顺利推进；</w:t>
      </w:r>
      <w:r>
        <w:rPr>
          <w:rFonts w:hint="eastAsia" w:ascii="仿宋_GB2312" w:hAnsi="Times New Roman" w:eastAsia="仿宋_GB2312" w:cs="Times New Roman"/>
          <w:color w:val="auto"/>
          <w:sz w:val="32"/>
          <w:szCs w:val="32"/>
          <w:highlight w:val="none"/>
        </w:rPr>
        <w:t>⑪</w:t>
      </w:r>
      <w:r>
        <w:rPr>
          <w:rFonts w:hint="eastAsia" w:ascii="仿宋_GB2312" w:eastAsia="仿宋_GB2312"/>
          <w:color w:val="auto"/>
          <w:sz w:val="32"/>
          <w:szCs w:val="32"/>
          <w:highlight w:val="none"/>
        </w:rPr>
        <w:t>委托方认为属于上平台交易流程顾问服务的其他内容。</w:t>
      </w:r>
    </w:p>
    <w:p>
      <w:pPr>
        <w:widowControl/>
        <w:numPr>
          <w:ilvl w:val="255"/>
          <w:numId w:val="0"/>
        </w:numPr>
        <w:spacing w:line="56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、项目实施统筹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项目实施统筹服务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包括但不限于：①提供全程咨询，梳理项目各阶段实施流程，并提出实施意见或建议；②</w:t>
      </w:r>
      <w:r>
        <w:rPr>
          <w:rFonts w:hint="eastAsia" w:ascii="仿宋_GB2312" w:eastAsia="仿宋_GB2312" w:cs="Times New Roman"/>
          <w:color w:val="auto"/>
          <w:sz w:val="32"/>
          <w:szCs w:val="32"/>
          <w:highlight w:val="none"/>
          <w:lang w:val="en-US" w:eastAsia="zh-CN"/>
        </w:rPr>
        <w:t>厘清项目现有第三方服务单位的合同关系；</w:t>
      </w:r>
      <w:r>
        <w:rPr>
          <w:rFonts w:hint="eastAsia" w:ascii="仿宋_GB2312" w:eastAsia="仿宋_GB2312"/>
          <w:color w:val="auto"/>
          <w:sz w:val="32"/>
          <w:szCs w:val="32"/>
          <w:highlight w:val="none"/>
        </w:rPr>
        <w:t>③协调项目进度管理；④配合研究编制项目补偿方案；⑤协调</w:t>
      </w:r>
      <w:r>
        <w:rPr>
          <w:rFonts w:hint="eastAsia" w:ascii="仿宋_GB2312" w:eastAsia="仿宋_GB2312"/>
          <w:color w:val="auto"/>
          <w:sz w:val="32"/>
          <w:szCs w:val="32"/>
          <w:highlight w:val="none"/>
          <w:lang w:val="en-US" w:eastAsia="zh-CN"/>
        </w:rPr>
        <w:t>并协助</w:t>
      </w:r>
      <w:r>
        <w:rPr>
          <w:rFonts w:hint="eastAsia" w:ascii="仿宋_GB2312" w:eastAsia="仿宋_GB2312"/>
          <w:color w:val="auto"/>
          <w:sz w:val="32"/>
          <w:szCs w:val="32"/>
          <w:highlight w:val="none"/>
        </w:rPr>
        <w:t>评估等其他专业服务机构开展</w:t>
      </w:r>
      <w:r>
        <w:rPr>
          <w:rFonts w:hint="eastAsia" w:ascii="仿宋_GB2312" w:eastAsia="仿宋_GB2312"/>
          <w:color w:val="auto"/>
          <w:sz w:val="32"/>
          <w:szCs w:val="32"/>
          <w:highlight w:val="none"/>
          <w:lang w:val="en-US" w:eastAsia="zh-CN"/>
        </w:rPr>
        <w:t>相关</w:t>
      </w:r>
      <w:r>
        <w:rPr>
          <w:rFonts w:hint="eastAsia" w:ascii="仿宋_GB2312" w:eastAsia="仿宋_GB2312"/>
          <w:color w:val="auto"/>
          <w:sz w:val="32"/>
          <w:szCs w:val="32"/>
          <w:highlight w:val="none"/>
        </w:rPr>
        <w:t>工作；⑥开展项目疑难问题研究工作；⑦组织开展相关知识培训；</w:t>
      </w:r>
      <w:r>
        <w:rPr>
          <w:rFonts w:hint="eastAsia" w:ascii="仿宋_GB2312" w:eastAsia="仿宋_GB2312" w:cs="Times New Roman"/>
          <w:color w:val="auto"/>
          <w:sz w:val="32"/>
          <w:szCs w:val="32"/>
          <w:highlight w:val="none"/>
        </w:rPr>
        <w:t>⑧</w:t>
      </w:r>
      <w:r>
        <w:rPr>
          <w:rFonts w:hint="eastAsia" w:ascii="仿宋_GB2312" w:eastAsia="仿宋_GB2312"/>
          <w:color w:val="auto"/>
          <w:sz w:val="32"/>
          <w:szCs w:val="32"/>
          <w:highlight w:val="none"/>
        </w:rPr>
        <w:t>协助土地移交入库工作</w:t>
      </w:r>
      <w:r>
        <w:rPr>
          <w:rFonts w:hint="eastAsia" w:ascii="仿宋_GB2312" w:eastAsia="仿宋_GB2312" w:cs="Times New Roman"/>
          <w:color w:val="auto"/>
          <w:sz w:val="32"/>
          <w:szCs w:val="32"/>
          <w:highlight w:val="none"/>
        </w:rPr>
        <w:t>；⑨协助项目审计；</w:t>
      </w:r>
      <w:r>
        <w:rPr>
          <w:rFonts w:hint="eastAsia" w:ascii="仿宋_GB2312" w:eastAsia="仿宋_GB2312"/>
          <w:color w:val="auto"/>
          <w:sz w:val="32"/>
          <w:szCs w:val="32"/>
          <w:highlight w:val="none"/>
        </w:rPr>
        <w:t>⑩</w:t>
      </w:r>
      <w:r>
        <w:rPr>
          <w:rFonts w:hint="eastAsia" w:ascii="仿宋_GB2312" w:eastAsia="仿宋_GB2312" w:cs="Times New Roman"/>
          <w:color w:val="auto"/>
          <w:sz w:val="32"/>
          <w:szCs w:val="32"/>
          <w:highlight w:val="none"/>
        </w:rPr>
        <w:t>委托方交待的其他统筹及协助</w:t>
      </w:r>
      <w:r>
        <w:rPr>
          <w:rFonts w:hint="eastAsia" w:ascii="仿宋_GB2312" w:eastAsia="仿宋_GB2312"/>
          <w:color w:val="auto"/>
          <w:sz w:val="32"/>
          <w:szCs w:val="32"/>
          <w:highlight w:val="none"/>
        </w:rPr>
        <w:t>工作。</w:t>
      </w:r>
    </w:p>
    <w:p>
      <w:pPr>
        <w:widowControl/>
        <w:numPr>
          <w:ilvl w:val="255"/>
          <w:numId w:val="0"/>
        </w:numPr>
        <w:spacing w:line="560" w:lineRule="exact"/>
        <w:ind w:firstLine="640" w:firstLineChars="200"/>
        <w:jc w:val="left"/>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（二）拆迁</w:t>
      </w:r>
      <w:r>
        <w:rPr>
          <w:rFonts w:hint="eastAsia" w:ascii="楷体_GB2312" w:hAnsi="楷体_GB2312" w:eastAsia="楷体_GB2312" w:cs="楷体_GB2312"/>
          <w:color w:val="auto"/>
          <w:sz w:val="32"/>
          <w:szCs w:val="32"/>
          <w:highlight w:val="none"/>
          <w:lang w:val="en-US" w:eastAsia="zh-CN"/>
        </w:rPr>
        <w:t>谈判</w:t>
      </w:r>
      <w:r>
        <w:rPr>
          <w:rFonts w:hint="eastAsia" w:ascii="楷体_GB2312" w:hAnsi="楷体_GB2312" w:eastAsia="楷体_GB2312" w:cs="楷体_GB2312"/>
          <w:color w:val="auto"/>
          <w:sz w:val="32"/>
          <w:szCs w:val="32"/>
          <w:highlight w:val="none"/>
        </w:rPr>
        <w:t>服务</w:t>
      </w:r>
    </w:p>
    <w:p>
      <w:pPr>
        <w:widowControl/>
        <w:numPr>
          <w:ilvl w:val="255"/>
          <w:numId w:val="0"/>
        </w:numPr>
        <w:spacing w:line="56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1、项目宣传发动服务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包括但不限于：①制定宣传方案并组织实施；②策划、编制宣传手册、折页、条幅、标语、海报等宣传稿件内容；③协助开展现场办公；④组织落实签约宣传；⑤跟进落实宣传工作所需的相关物资；⑥协助处理宣传过程中出现的相关问题；⑦对接被搬迁人，落实宣传信息通知、政策解释工作；⑧与被搬迁人保持密切联系，获取业主的舆论动态；⑨及时记录宣传效果，收集相关问题，并反馈至委托方；⑩签约仪式及重大活动的组织策划；⑪委托方认为属于宣传服务的其他内容。</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2、拆迁谈判服务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项目拆迁谈判服务包括但不限于：①全面建立项目信息档案；②编制项目入户签约工作方案及相关格式文本；③配合协调相关单位工作；④组织开展谈判协商工作；⑤组织被搬迁人签署补偿安置协议等相关文书并协助备案；⑥协助清理抵押贷款手续；；⑦统计并督促工作进度；⑧对项目个案的补偿工作进行研究；⑨督促被搬迁人完成搬迁、清场工作；⑩房屋移交验收工作；⑪协助拆除单位开展房屋拆除工作；⑫协助进行房屋产权证书注销；⑬项目档案归档；⑭被搬迁人回迁意向摸底调查；⑮协助制定项目范围内重点企业安置方案；⑯协助</w:t>
      </w:r>
      <w:r>
        <w:rPr>
          <w:rFonts w:hint="eastAsia" w:ascii="仿宋_GB2312" w:eastAsia="仿宋_GB2312"/>
          <w:color w:val="auto"/>
          <w:sz w:val="32"/>
          <w:szCs w:val="32"/>
          <w:highlight w:val="none"/>
          <w:lang w:eastAsia="zh-CN"/>
        </w:rPr>
        <w:t>股份合作公司</w:t>
      </w:r>
      <w:r>
        <w:rPr>
          <w:rFonts w:hint="eastAsia" w:ascii="仿宋_GB2312" w:eastAsia="仿宋_GB2312"/>
          <w:color w:val="auto"/>
          <w:sz w:val="32"/>
          <w:szCs w:val="32"/>
          <w:highlight w:val="none"/>
        </w:rPr>
        <w:t>梳理项目历史遗留问题经济关系；⑰协助</w:t>
      </w:r>
      <w:r>
        <w:rPr>
          <w:rFonts w:hint="eastAsia" w:ascii="仿宋_GB2312" w:eastAsia="仿宋_GB2312"/>
          <w:color w:val="auto"/>
          <w:sz w:val="32"/>
          <w:szCs w:val="32"/>
          <w:highlight w:val="none"/>
          <w:lang w:eastAsia="zh-CN"/>
        </w:rPr>
        <w:t>股份合作公司</w:t>
      </w:r>
      <w:r>
        <w:rPr>
          <w:rFonts w:hint="eastAsia" w:ascii="仿宋_GB2312" w:eastAsia="仿宋_GB2312"/>
          <w:color w:val="auto"/>
          <w:sz w:val="32"/>
          <w:szCs w:val="32"/>
          <w:highlight w:val="none"/>
        </w:rPr>
        <w:t>召开项目实施过程中除上平台流程外需要召开的其他的“三会”、股东大会；⑱协助制定项目被搬迁人回迁安置方案；⑲其他与项目开展相关的工作：根据项目实际需要，按委托方要求，协助其他与项目拆迁相关的服务工作。</w:t>
      </w:r>
    </w:p>
    <w:p>
      <w:pPr>
        <w:ind w:firstLine="643" w:firstLineChars="200"/>
        <w:rPr>
          <w:rFonts w:hint="default" w:ascii="仿宋_GB2312" w:eastAsia="仿宋_GB2312"/>
          <w:b/>
          <w:bCs/>
          <w:color w:val="auto"/>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A5C96"/>
    <w:rsid w:val="011C42F3"/>
    <w:rsid w:val="013C5C72"/>
    <w:rsid w:val="01FF0DD2"/>
    <w:rsid w:val="027B74B9"/>
    <w:rsid w:val="02A11C60"/>
    <w:rsid w:val="03965B7F"/>
    <w:rsid w:val="03DD3BE6"/>
    <w:rsid w:val="0556650A"/>
    <w:rsid w:val="06825418"/>
    <w:rsid w:val="08C76272"/>
    <w:rsid w:val="095C563D"/>
    <w:rsid w:val="0A116422"/>
    <w:rsid w:val="0A1F7B28"/>
    <w:rsid w:val="0A9E5E78"/>
    <w:rsid w:val="0AFC3EF1"/>
    <w:rsid w:val="0D1D7190"/>
    <w:rsid w:val="0DF2046D"/>
    <w:rsid w:val="0E141D1A"/>
    <w:rsid w:val="0E1B195D"/>
    <w:rsid w:val="0E336CD8"/>
    <w:rsid w:val="0E3C4511"/>
    <w:rsid w:val="0ED15AE5"/>
    <w:rsid w:val="0F69691B"/>
    <w:rsid w:val="0F8B4D0B"/>
    <w:rsid w:val="105826CD"/>
    <w:rsid w:val="10A02655"/>
    <w:rsid w:val="10F90377"/>
    <w:rsid w:val="128C1676"/>
    <w:rsid w:val="12D85778"/>
    <w:rsid w:val="12E0220F"/>
    <w:rsid w:val="13104E42"/>
    <w:rsid w:val="13433851"/>
    <w:rsid w:val="13CD6F8A"/>
    <w:rsid w:val="143F5C34"/>
    <w:rsid w:val="156C5EAD"/>
    <w:rsid w:val="157E72E3"/>
    <w:rsid w:val="16307B27"/>
    <w:rsid w:val="17492AC4"/>
    <w:rsid w:val="18273B97"/>
    <w:rsid w:val="183C1F29"/>
    <w:rsid w:val="18654E26"/>
    <w:rsid w:val="18BB0026"/>
    <w:rsid w:val="18F63A84"/>
    <w:rsid w:val="1B0C78EB"/>
    <w:rsid w:val="1B893EE1"/>
    <w:rsid w:val="1C945045"/>
    <w:rsid w:val="1C9C26C9"/>
    <w:rsid w:val="1D3977A5"/>
    <w:rsid w:val="1D5E0CD8"/>
    <w:rsid w:val="1DE12A02"/>
    <w:rsid w:val="1E0837B6"/>
    <w:rsid w:val="1E4A7D3D"/>
    <w:rsid w:val="1E4F2A7A"/>
    <w:rsid w:val="20580B22"/>
    <w:rsid w:val="20EB4E0E"/>
    <w:rsid w:val="21A76D62"/>
    <w:rsid w:val="237857EB"/>
    <w:rsid w:val="23C53511"/>
    <w:rsid w:val="23E110DC"/>
    <w:rsid w:val="251542D9"/>
    <w:rsid w:val="25751F17"/>
    <w:rsid w:val="264C3C60"/>
    <w:rsid w:val="26570FCC"/>
    <w:rsid w:val="26BA3A19"/>
    <w:rsid w:val="27E92788"/>
    <w:rsid w:val="28B55D42"/>
    <w:rsid w:val="291640F4"/>
    <w:rsid w:val="299711CA"/>
    <w:rsid w:val="2A6B4A25"/>
    <w:rsid w:val="2AD569A2"/>
    <w:rsid w:val="2B0D67AD"/>
    <w:rsid w:val="2B453164"/>
    <w:rsid w:val="2B4C7984"/>
    <w:rsid w:val="2D0219A9"/>
    <w:rsid w:val="2D125120"/>
    <w:rsid w:val="2D456BB5"/>
    <w:rsid w:val="2DE159F5"/>
    <w:rsid w:val="2E3E0F1F"/>
    <w:rsid w:val="2EC60DB5"/>
    <w:rsid w:val="2EEB389A"/>
    <w:rsid w:val="2F4A0F8A"/>
    <w:rsid w:val="2F6A001E"/>
    <w:rsid w:val="2F996FF0"/>
    <w:rsid w:val="2FDA2B8D"/>
    <w:rsid w:val="30AB28CC"/>
    <w:rsid w:val="32DA0784"/>
    <w:rsid w:val="332642BE"/>
    <w:rsid w:val="334D2DA4"/>
    <w:rsid w:val="345C4FB9"/>
    <w:rsid w:val="3491662F"/>
    <w:rsid w:val="349E3364"/>
    <w:rsid w:val="375B08D5"/>
    <w:rsid w:val="389152DA"/>
    <w:rsid w:val="392E425F"/>
    <w:rsid w:val="3A733448"/>
    <w:rsid w:val="3AD9536D"/>
    <w:rsid w:val="3B903A49"/>
    <w:rsid w:val="3BC64E1D"/>
    <w:rsid w:val="3C896C12"/>
    <w:rsid w:val="3D5C3FB9"/>
    <w:rsid w:val="3D7D1865"/>
    <w:rsid w:val="3D8A3F82"/>
    <w:rsid w:val="3DA90F76"/>
    <w:rsid w:val="3EBF336D"/>
    <w:rsid w:val="3FFA449D"/>
    <w:rsid w:val="40065DE6"/>
    <w:rsid w:val="42305131"/>
    <w:rsid w:val="428E5B40"/>
    <w:rsid w:val="441B4215"/>
    <w:rsid w:val="44465815"/>
    <w:rsid w:val="44F80AAC"/>
    <w:rsid w:val="45107E01"/>
    <w:rsid w:val="463A5070"/>
    <w:rsid w:val="466F101E"/>
    <w:rsid w:val="46BD7639"/>
    <w:rsid w:val="47E9057D"/>
    <w:rsid w:val="48584BA1"/>
    <w:rsid w:val="49416DEF"/>
    <w:rsid w:val="49BC733A"/>
    <w:rsid w:val="4A5A0B39"/>
    <w:rsid w:val="4A7A7E73"/>
    <w:rsid w:val="4B1336B6"/>
    <w:rsid w:val="4B660301"/>
    <w:rsid w:val="4C363DCD"/>
    <w:rsid w:val="4C6B0F29"/>
    <w:rsid w:val="4DBF20C0"/>
    <w:rsid w:val="4DEA25E4"/>
    <w:rsid w:val="4F7B6AD7"/>
    <w:rsid w:val="507E5F1B"/>
    <w:rsid w:val="50AB6AEF"/>
    <w:rsid w:val="50BB1603"/>
    <w:rsid w:val="51014B80"/>
    <w:rsid w:val="518B6549"/>
    <w:rsid w:val="53430783"/>
    <w:rsid w:val="534863AE"/>
    <w:rsid w:val="536B6A3A"/>
    <w:rsid w:val="560B1EE9"/>
    <w:rsid w:val="56DA6587"/>
    <w:rsid w:val="57570D1E"/>
    <w:rsid w:val="58481CE4"/>
    <w:rsid w:val="59133F24"/>
    <w:rsid w:val="594E3790"/>
    <w:rsid w:val="59EA29D4"/>
    <w:rsid w:val="5A3313C5"/>
    <w:rsid w:val="5B7F07B6"/>
    <w:rsid w:val="5B9D6A47"/>
    <w:rsid w:val="5C6C36AD"/>
    <w:rsid w:val="5D205E03"/>
    <w:rsid w:val="5DBD47D0"/>
    <w:rsid w:val="5E4045E7"/>
    <w:rsid w:val="5F744CAA"/>
    <w:rsid w:val="5FA63E40"/>
    <w:rsid w:val="5FA7097C"/>
    <w:rsid w:val="5FED2F71"/>
    <w:rsid w:val="60CA62C0"/>
    <w:rsid w:val="61C45474"/>
    <w:rsid w:val="624B1BC4"/>
    <w:rsid w:val="627D50B1"/>
    <w:rsid w:val="629E645C"/>
    <w:rsid w:val="62A40365"/>
    <w:rsid w:val="62C5631B"/>
    <w:rsid w:val="63390FE6"/>
    <w:rsid w:val="63E56CDE"/>
    <w:rsid w:val="65041B65"/>
    <w:rsid w:val="67E049F9"/>
    <w:rsid w:val="69147375"/>
    <w:rsid w:val="6BE2040C"/>
    <w:rsid w:val="6E062DD8"/>
    <w:rsid w:val="6E230E36"/>
    <w:rsid w:val="6EA10310"/>
    <w:rsid w:val="6F3D6D93"/>
    <w:rsid w:val="703716AB"/>
    <w:rsid w:val="722E1CF7"/>
    <w:rsid w:val="72307267"/>
    <w:rsid w:val="72414CFF"/>
    <w:rsid w:val="727608D5"/>
    <w:rsid w:val="728C1448"/>
    <w:rsid w:val="72F840E2"/>
    <w:rsid w:val="734142A1"/>
    <w:rsid w:val="73836D5A"/>
    <w:rsid w:val="73A070BE"/>
    <w:rsid w:val="751111C4"/>
    <w:rsid w:val="75B75A41"/>
    <w:rsid w:val="764433BB"/>
    <w:rsid w:val="76A06960"/>
    <w:rsid w:val="77216056"/>
    <w:rsid w:val="7814657C"/>
    <w:rsid w:val="78AF746B"/>
    <w:rsid w:val="78C329AD"/>
    <w:rsid w:val="79B60B13"/>
    <w:rsid w:val="7AC11B46"/>
    <w:rsid w:val="7DC719BA"/>
    <w:rsid w:val="7DD51C80"/>
    <w:rsid w:val="7DD93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NoteHeading"/>
    <w:basedOn w:val="1"/>
    <w:next w:val="1"/>
    <w:semiHidden/>
    <w:qFormat/>
    <w:uiPriority w:val="0"/>
    <w:pPr>
      <w:spacing w:after="160" w:line="259" w:lineRule="auto"/>
      <w:jc w:val="center"/>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2021-11-15T04:07:00Z</dcterms:created>
  <dc:creator>luosh</dc:creator>
  <cp:lastModifiedBy>罗淑华</cp:lastModifiedBy>
  <cp:lastPrinted>2025-08-15T07:10:00Z</cp:lastPrinted>
  <dcterms:modified xsi:type="dcterms:W3CDTF">2025-08-15T09:23:53Z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3C05BE4058FD43A3A35675473AFBD311</vt:lpwstr>
  </property>
</Properties>
</file>