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4"/>
        </w:rPr>
      </w:pPr>
      <w:r>
        <w:rPr>
          <w:rFonts w:hint="eastAsia" w:ascii="宋体" w:hAnsi="宋体"/>
          <w:b/>
          <w:bCs/>
          <w:sz w:val="44"/>
        </w:rPr>
        <w:t>深圳市龙岗区第七人民医院</w:t>
      </w:r>
    </w:p>
    <w:p>
      <w:pPr>
        <w:jc w:val="center"/>
        <w:rPr>
          <w:rFonts w:ascii="宋体" w:hAnsi="宋体"/>
          <w:b/>
          <w:bCs/>
          <w:sz w:val="44"/>
        </w:rPr>
      </w:pPr>
      <w:r>
        <w:rPr>
          <w:rFonts w:hint="eastAsia" w:ascii="宋体" w:hAnsi="宋体"/>
          <w:b/>
          <w:bCs/>
          <w:sz w:val="44"/>
        </w:rPr>
        <w:t>院内采购标书</w:t>
      </w:r>
    </w:p>
    <w:p>
      <w:pPr>
        <w:jc w:val="both"/>
        <w:rPr>
          <w:rFonts w:hint="eastAsia" w:ascii="宋体" w:hAnsi="宋体" w:eastAsia="宋体"/>
          <w:b/>
          <w:bCs/>
          <w:sz w:val="44"/>
          <w:lang w:eastAsia="zh-CN"/>
        </w:rPr>
      </w:pPr>
    </w:p>
    <w:p>
      <w:pPr>
        <w:jc w:val="center"/>
        <w:rPr>
          <w:rFonts w:ascii="宋体" w:hAnsi="宋体"/>
          <w:b/>
          <w:bCs/>
          <w:sz w:val="44"/>
        </w:rPr>
      </w:pPr>
      <w:r>
        <w:rPr>
          <w:rFonts w:hint="eastAsia" w:ascii="宋体" w:hAnsi="宋体"/>
          <w:b/>
          <w:bCs/>
          <w:sz w:val="44"/>
        </w:rPr>
        <w:t>招标文件信息</w:t>
      </w:r>
    </w:p>
    <w:p>
      <w:pPr>
        <w:jc w:val="center"/>
        <w:rPr>
          <w:rFonts w:ascii="宋体" w:hAnsi="宋体"/>
          <w:b/>
          <w:bCs/>
          <w:sz w:val="44"/>
        </w:rPr>
      </w:pPr>
    </w:p>
    <w:p>
      <w:pPr>
        <w:pStyle w:val="9"/>
      </w:pPr>
    </w:p>
    <w:p>
      <w:pPr>
        <w:pStyle w:val="19"/>
        <w:numPr>
          <w:ilvl w:val="0"/>
          <w:numId w:val="0"/>
        </w:numPr>
        <w:spacing w:line="460" w:lineRule="exact"/>
        <w:rPr>
          <w:rFonts w:hint="default" w:ascii="仿宋_GB2312" w:hAnsi="仿宋_GB2312" w:eastAsia="仿宋_GB2312" w:cs="仿宋_GB2312"/>
          <w:kern w:val="2"/>
          <w:sz w:val="36"/>
          <w:szCs w:val="36"/>
          <w:lang w:val="en-US" w:eastAsia="zh-CN" w:bidi="ar-SA"/>
        </w:rPr>
      </w:pPr>
      <w:r>
        <w:rPr>
          <w:rFonts w:hint="eastAsia" w:ascii="仿宋_GB2312" w:hAnsi="仿宋_GB2312" w:eastAsia="仿宋_GB2312" w:cs="仿宋_GB2312"/>
          <w:b/>
          <w:bCs/>
          <w:sz w:val="36"/>
          <w:szCs w:val="36"/>
        </w:rPr>
        <w:t>采购项目：</w:t>
      </w:r>
      <w:r>
        <w:rPr>
          <w:rFonts w:hint="eastAsia" w:ascii="仿宋_GB2312" w:hAnsi="仿宋_GB2312" w:eastAsia="仿宋_GB2312" w:cs="仿宋_GB2312"/>
          <w:kern w:val="2"/>
          <w:sz w:val="36"/>
          <w:szCs w:val="36"/>
          <w:lang w:val="en-US" w:eastAsia="zh-CN" w:bidi="ar-SA"/>
        </w:rPr>
        <w:t>深圳市龙岗区第七人民医院社会采购代理机构遴选</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采购项目编号：</w:t>
      </w:r>
      <w:r>
        <w:rPr>
          <w:rFonts w:hint="eastAsia" w:ascii="仿宋_GB2312" w:hAnsi="仿宋_GB2312" w:eastAsia="仿宋_GB2312" w:cs="仿宋_GB2312"/>
          <w:kern w:val="2"/>
          <w:sz w:val="36"/>
          <w:szCs w:val="36"/>
          <w:lang w:val="en-US" w:eastAsia="zh-CN" w:bidi="ar-SA"/>
        </w:rPr>
        <w:t>深龙七医采[LGQY2025ZC001]</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项目类型：</w:t>
      </w:r>
      <w:r>
        <w:rPr>
          <w:rFonts w:hint="eastAsia" w:ascii="仿宋_GB2312" w:hAnsi="仿宋_GB2312" w:eastAsia="仿宋_GB2312" w:cs="仿宋_GB2312"/>
          <w:sz w:val="36"/>
          <w:szCs w:val="36"/>
          <w:lang w:val="en-US" w:eastAsia="zh-CN"/>
        </w:rPr>
        <w:t>服务</w:t>
      </w:r>
      <w:r>
        <w:rPr>
          <w:rFonts w:hint="eastAsia" w:ascii="仿宋_GB2312" w:hAnsi="仿宋_GB2312" w:eastAsia="仿宋_GB2312" w:cs="仿宋_GB2312"/>
          <w:sz w:val="36"/>
          <w:szCs w:val="36"/>
        </w:rPr>
        <w:t>类</w:t>
      </w:r>
    </w:p>
    <w:p>
      <w:pPr>
        <w:snapToGrid w:val="0"/>
        <w:spacing w:line="360" w:lineRule="auto"/>
        <w:rPr>
          <w:rFonts w:hint="default" w:eastAsia="仿宋_GB2312"/>
          <w:lang w:val="en-US" w:eastAsia="zh-CN"/>
        </w:rPr>
      </w:pPr>
      <w:r>
        <w:rPr>
          <w:rFonts w:hint="eastAsia" w:ascii="仿宋_GB2312" w:hAnsi="仿宋_GB2312" w:eastAsia="仿宋_GB2312" w:cs="仿宋_GB2312"/>
          <w:b/>
          <w:bCs/>
          <w:sz w:val="36"/>
          <w:szCs w:val="36"/>
        </w:rPr>
        <w:t>采购数量：</w:t>
      </w:r>
      <w:r>
        <w:rPr>
          <w:rFonts w:hint="eastAsia" w:ascii="仿宋_GB2312" w:hAnsi="仿宋_GB2312" w:eastAsia="仿宋_GB2312" w:cs="仿宋_GB2312"/>
          <w:sz w:val="36"/>
          <w:szCs w:val="36"/>
          <w:lang w:val="en-US" w:eastAsia="zh-CN"/>
        </w:rPr>
        <w:t>3家</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采购方式：</w:t>
      </w:r>
      <w:r>
        <w:rPr>
          <w:rFonts w:hint="eastAsia" w:ascii="仿宋_GB2312" w:hAnsi="仿宋_GB2312" w:eastAsia="仿宋_GB2312" w:cs="仿宋_GB2312"/>
          <w:sz w:val="36"/>
          <w:szCs w:val="36"/>
        </w:rPr>
        <w:t>院内公开</w:t>
      </w:r>
      <w:r>
        <w:rPr>
          <w:rFonts w:hint="eastAsia" w:ascii="仿宋_GB2312" w:hAnsi="仿宋_GB2312" w:eastAsia="仿宋_GB2312" w:cs="仿宋_GB2312"/>
          <w:sz w:val="36"/>
          <w:szCs w:val="36"/>
          <w:lang w:val="en-US" w:eastAsia="zh-CN"/>
        </w:rPr>
        <w:t>遴选</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评标方法：</w:t>
      </w:r>
      <w:r>
        <w:rPr>
          <w:rFonts w:hint="eastAsia" w:ascii="仿宋_GB2312" w:hAnsi="仿宋_GB2312" w:eastAsia="仿宋_GB2312" w:cs="仿宋_GB2312"/>
          <w:sz w:val="36"/>
          <w:szCs w:val="36"/>
        </w:rPr>
        <w:t>综合评分法</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投标货币</w:t>
      </w:r>
      <w:r>
        <w:rPr>
          <w:rFonts w:hint="eastAsia" w:ascii="仿宋_GB2312" w:hAnsi="仿宋_GB2312" w:eastAsia="仿宋_GB2312" w:cs="仿宋_GB2312"/>
          <w:sz w:val="36"/>
          <w:szCs w:val="36"/>
        </w:rPr>
        <w:t>：人民币</w:t>
      </w:r>
    </w:p>
    <w:p>
      <w:pPr>
        <w:pStyle w:val="10"/>
        <w:rPr>
          <w:rFonts w:hint="default"/>
        </w:rPr>
      </w:pPr>
    </w:p>
    <w:p>
      <w:pPr>
        <w:pStyle w:val="10"/>
        <w:rPr>
          <w:rFonts w:hint="default"/>
          <w:szCs w:val="20"/>
        </w:rPr>
      </w:pPr>
    </w:p>
    <w:p>
      <w:pPr>
        <w:pStyle w:val="5"/>
      </w:pPr>
    </w:p>
    <w:p/>
    <w:p>
      <w:pPr>
        <w:pStyle w:val="2"/>
      </w:pPr>
    </w:p>
    <w:p/>
    <w:p>
      <w:pPr>
        <w:pStyle w:val="2"/>
        <w:ind w:firstLine="1920" w:firstLineChars="600"/>
        <w:rPr>
          <w:rFonts w:cs="宋体"/>
          <w:sz w:val="40"/>
          <w:szCs w:val="40"/>
        </w:rPr>
      </w:pPr>
      <w:r>
        <w:rPr>
          <w:rFonts w:ascii="仿宋_GB2312" w:hAnsi="仿宋_GB2312" w:eastAsia="仿宋_GB2312" w:cs="仿宋_GB2312"/>
          <w:sz w:val="32"/>
          <w:szCs w:val="32"/>
        </w:rPr>
        <w:t>日期：     年    月    日</w:t>
      </w:r>
    </w:p>
    <w:p>
      <w:pPr>
        <w:spacing w:line="360" w:lineRule="auto"/>
        <w:rPr>
          <w:rFonts w:ascii="宋体" w:hAnsi="宋体" w:cs="宋体"/>
          <w:b/>
          <w:bCs/>
          <w:sz w:val="40"/>
          <w:szCs w:val="40"/>
        </w:rPr>
      </w:pPr>
    </w:p>
    <w:p>
      <w:pPr>
        <w:spacing w:line="360" w:lineRule="auto"/>
        <w:jc w:val="center"/>
        <w:rPr>
          <w:rFonts w:ascii="宋体" w:hAnsi="宋体" w:cs="宋体"/>
          <w:b/>
          <w:bCs/>
          <w:sz w:val="40"/>
          <w:szCs w:val="40"/>
        </w:rPr>
      </w:pPr>
    </w:p>
    <w:p>
      <w:pPr>
        <w:pStyle w:val="9"/>
      </w:pPr>
    </w:p>
    <w:p>
      <w:pPr>
        <w:spacing w:line="360" w:lineRule="auto"/>
        <w:jc w:val="center"/>
        <w:rPr>
          <w:rFonts w:ascii="仿宋_GB2312" w:hAnsi="仿宋_GB2312" w:eastAsia="仿宋_GB2312" w:cs="仿宋_GB2312"/>
          <w:b/>
          <w:bCs/>
          <w:sz w:val="36"/>
          <w:szCs w:val="36"/>
        </w:rPr>
      </w:pPr>
      <w:r>
        <w:rPr>
          <w:rFonts w:hint="eastAsia" w:ascii="宋体" w:hAnsi="宋体" w:cs="宋体"/>
          <w:b/>
          <w:bCs/>
          <w:sz w:val="40"/>
          <w:szCs w:val="40"/>
        </w:rPr>
        <w:t>第一章</w:t>
      </w:r>
    </w:p>
    <w:p>
      <w:pPr>
        <w:pStyle w:val="19"/>
        <w:numPr>
          <w:ilvl w:val="0"/>
          <w:numId w:val="0"/>
        </w:numPr>
        <w:spacing w:line="460" w:lineRule="exact"/>
        <w:jc w:val="center"/>
        <w:rPr>
          <w:sz w:val="32"/>
          <w:szCs w:val="32"/>
        </w:rPr>
      </w:pPr>
      <w:r>
        <w:rPr>
          <w:rFonts w:hint="eastAsia" w:ascii="宋体" w:hAnsi="宋体"/>
          <w:color w:val="000000" w:themeColor="text1"/>
          <w:sz w:val="40"/>
          <w:szCs w:val="40"/>
          <w:lang w:val="en-US" w:eastAsia="zh-CN"/>
          <w14:textFill>
            <w14:solidFill>
              <w14:schemeClr w14:val="tx1"/>
            </w14:solidFill>
          </w14:textFill>
        </w:rPr>
        <w:t>深圳市龙岗区第七人民医院社会采购代理机构遴选项目</w:t>
      </w:r>
      <w:r>
        <w:rPr>
          <w:rFonts w:hint="eastAsia" w:ascii="宋体" w:hAnsi="宋体"/>
          <w:color w:val="000000" w:themeColor="text1"/>
          <w:sz w:val="40"/>
          <w:szCs w:val="40"/>
          <w14:textFill>
            <w14:solidFill>
              <w14:schemeClr w14:val="tx1"/>
            </w14:solidFill>
          </w14:textFill>
        </w:rPr>
        <w:t>院内公</w:t>
      </w:r>
      <w:r>
        <w:rPr>
          <w:rFonts w:hint="eastAsia" w:ascii="宋体" w:hAnsi="宋体"/>
          <w:sz w:val="40"/>
          <w:szCs w:val="40"/>
        </w:rPr>
        <w:t>开采购的公告</w:t>
      </w:r>
    </w:p>
    <w:p>
      <w:pPr>
        <w:spacing w:line="480" w:lineRule="exact"/>
        <w:ind w:firstLine="560" w:firstLineChars="200"/>
        <w:rPr>
          <w:rFonts w:ascii="仿宋_GB2312" w:hAnsi="宋体" w:eastAsia="仿宋_GB2312"/>
          <w:sz w:val="28"/>
          <w:szCs w:val="28"/>
        </w:rPr>
      </w:pP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根据政府采购的相关规定和《深圳市龙岗区第七人民医院采购管理办法》的有关规定，我院拟对以下项目进行院内公开遴选，欢迎符合条件具有供应能力的供应商前来报名参加。</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一、采购项目</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（一）项目编号：深龙七医采[LGQY2025ZC001]</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（二）项目名称：深圳市龙岗区第七人民医院社会采购代理机构遴选项目</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（三）采购数量：3家</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二、资质要求</w:t>
      </w:r>
    </w:p>
    <w:p>
      <w:pPr>
        <w:pStyle w:val="19"/>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满足《中华人民共和国政府采购法》第二十二条规定（须提供具有独立承担民事责任能力的法人或其他组织或个体工商户的营业执照或法人证书等证明材料复印件或扫描件）。如果是分支机构参与投标，还须同时提供其具有独立法人资格的上级主体出具的有效授权书及上级主体的营业执照或法人证书等证明材料的复印件或扫描件加盖投标人公章；本项目不接受总公司与分支机构同时参与投标，也不接受同一总公司有两个或以上分支机构参与投标，如出现以上情形，该两家或以上投标人均按无效投标处理。</w:t>
      </w:r>
    </w:p>
    <w:p>
      <w:pPr>
        <w:pStyle w:val="19"/>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（二）本项目的特定资格要求（须按本项目投标文件格式要求提供《投标及履约承诺函》加盖投标人公章）：</w:t>
      </w:r>
    </w:p>
    <w:p>
      <w:pPr>
        <w:pStyle w:val="19"/>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1.参与本项目采购活动前三年内，在经营活动中没有重大违法记录；</w:t>
      </w:r>
    </w:p>
    <w:p>
      <w:pPr>
        <w:pStyle w:val="19"/>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2.参与本项目采购活动时不存在被有关部门禁止参与政府采购活动且在有效期内的情况；</w:t>
      </w:r>
    </w:p>
    <w:p>
      <w:pPr>
        <w:pStyle w:val="19"/>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3.除单一来源采购项目外，为采购项目提供整体设计、规范编制或者项目管理、监理、检测等服务的供应商，不得再参加该采购项目的其他采购活动；</w:t>
      </w:r>
    </w:p>
    <w:p>
      <w:pPr>
        <w:pStyle w:val="19"/>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4.参与本项目采购活动不存在与其他采购参加人串通投标，隐瞒真实情况，提供虚假资料等违法违规情形；</w:t>
      </w:r>
    </w:p>
    <w:p>
      <w:pPr>
        <w:pStyle w:val="19"/>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单位负责人为同一人或者存在直接控股、管理关系的不同供应商，不得参加同一合同项下的政府采购活动；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w:t>
      </w:r>
    </w:p>
    <w:p>
      <w:pPr>
        <w:pStyle w:val="19"/>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w:t>
      </w:r>
    </w:p>
    <w:p>
      <w:pPr>
        <w:pStyle w:val="19"/>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7.法律、行政法规和国家有关规定对供应商从事特定经营活动有资质、资格规定的，供应商应当具备的相应条件；</w:t>
      </w:r>
    </w:p>
    <w:p>
      <w:pPr>
        <w:pStyle w:val="19"/>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8.本项目不接受联合体投标，不允许非法分包或转包。</w:t>
      </w:r>
    </w:p>
    <w:p>
      <w:pPr>
        <w:pStyle w:val="19"/>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（三）社会采购代理机构已纳入深圳市社会采购代理机构从业名录（提供系统截图），符合《政府采购代理机构管理暂行办法》要求。</w:t>
      </w:r>
    </w:p>
    <w:p>
      <w:pPr>
        <w:pStyle w:val="19"/>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（四）社会采购代理机构在中国国际招标网登记备案（提供截图），具备国际招标代理能力。</w:t>
      </w:r>
    </w:p>
    <w:p>
      <w:pPr>
        <w:pStyle w:val="20"/>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所有资质文件均需在有效期内并加盖投标方公章。</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三</w:t>
      </w:r>
      <w:r>
        <w:rPr>
          <w:rFonts w:hint="eastAsia" w:ascii="仿宋_GB2312" w:hAnsi="仿宋_GB2312" w:eastAsia="仿宋_GB2312" w:cs="仿宋_GB2312"/>
          <w:kern w:val="2"/>
          <w:sz w:val="28"/>
          <w:szCs w:val="28"/>
          <w:lang w:val="en-US" w:eastAsia="zh-CN" w:bidi="ar-SA"/>
        </w:rPr>
        <w:t>、采购方式：院内公开遴选</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四</w:t>
      </w:r>
      <w:r>
        <w:rPr>
          <w:rFonts w:hint="eastAsia" w:ascii="仿宋_GB2312" w:hAnsi="仿宋_GB2312" w:eastAsia="仿宋_GB2312" w:cs="仿宋_GB2312"/>
          <w:kern w:val="2"/>
          <w:sz w:val="28"/>
          <w:szCs w:val="28"/>
          <w:lang w:val="en-US" w:eastAsia="zh-CN" w:bidi="ar-SA"/>
        </w:rPr>
        <w:t>、评标方法：综合评分法</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五</w:t>
      </w:r>
      <w:r>
        <w:rPr>
          <w:rFonts w:hint="eastAsia" w:ascii="仿宋_GB2312" w:hAnsi="仿宋_GB2312" w:eastAsia="仿宋_GB2312" w:cs="仿宋_GB2312"/>
          <w:kern w:val="2"/>
          <w:sz w:val="28"/>
          <w:szCs w:val="28"/>
          <w:lang w:val="en-US" w:eastAsia="zh-CN" w:bidi="ar-SA"/>
        </w:rPr>
        <w:t>、投标人报名资料要求</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（一）院内采购报名表。</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（二）法定代表人参加的提供法定代表人资格证明书及个人身份证复印件；非法定代表人参加的须提供法定代表人资格证明书及法定代表人身份证复印件、法定代表人授权书及授权代表人身份证复印件。</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（三）供应商须提供具有独立承担民事责任能力的法人或其他组织或个体工商户的营业执照或法人证书等证明材料复印件或扫描件。</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（四）供应商基本情况表。</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（五）提供法定代表人、主要经营负责人、投标授权代表人、项目负责人（如有）、主要技术人员（如有）最近一个月的社保证明。</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（六）通过以下3个官网的信用信息查询记录网络截图件并加盖投标人公章：①信用中国②中国政府采购网③深圳市政府采购监管网。相关信息以开标当日的查询结果为准。</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（七）投标及履约承诺函。</w:t>
      </w:r>
    </w:p>
    <w:p>
      <w:pPr>
        <w:pStyle w:val="19"/>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（八）提供已纳入深圳市社会采购代理机构从业名录的系统截图。</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（九）提供在中国国际招标网登记备案的截图，证明具备国际招标代理能力。</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以上资料均需在有效期内并加盖投标方公章。本项目实行资格预审，投标人报名时将进行资格审查，未经审查或审查未通过的不能参与投标。</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六、报名截止时间及地点：2025年8月22日17:00，简竹护理院行政楼三楼招采办。</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七、递交投标文件及开标时间及地点：2025年8月25日14:10，深圳市龙岗区南湾街道吉厦社区简竹路12号简竹护理院行政楼五楼活动室（如有变动，另行通知）。</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八、联系人及联系电话：陈女士，0755-28740471。</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九、公告日期：自公告发布之日起5个工作日。</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附件：</w:t>
      </w:r>
    </w:p>
    <w:p>
      <w:pPr>
        <w:pStyle w:val="20"/>
        <w:keepNext w:val="0"/>
        <w:keepLines w:val="0"/>
        <w:pageBreakBefore w:val="0"/>
        <w:kinsoku/>
        <w:wordWrap/>
        <w:overflowPunct/>
        <w:topLinePunct w:val="0"/>
        <w:autoSpaceDE/>
        <w:autoSpaceDN/>
        <w:bidi w:val="0"/>
        <w:adjustRightInd/>
        <w:snapToGrid/>
        <w:spacing w:line="400" w:lineRule="exact"/>
        <w:ind w:left="0" w:leftChars="0" w:firstLine="56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1.深圳市龙岗区第七人民医院院内公开采购报名表</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t>2.</w:t>
      </w:r>
      <w:r>
        <w:rPr>
          <w:rFonts w:hint="eastAsia" w:ascii="仿宋_GB2312" w:hAnsi="宋体" w:eastAsia="仿宋_GB2312" w:cs="黑体"/>
          <w:kern w:val="2"/>
          <w:sz w:val="28"/>
          <w:szCs w:val="28"/>
          <w:lang w:val="en-US" w:eastAsia="zh-CN" w:bidi="ar-SA"/>
        </w:rPr>
        <w:t>深圳市龙岗区第七人民医院</w:t>
      </w:r>
      <w:r>
        <w:rPr>
          <w:rFonts w:hint="eastAsia" w:ascii="仿宋_GB2312" w:hAnsi="仿宋_GB2312" w:eastAsia="仿宋_GB2312" w:cs="仿宋_GB2312"/>
          <w:kern w:val="2"/>
          <w:sz w:val="28"/>
          <w:szCs w:val="28"/>
          <w:lang w:val="en-US" w:eastAsia="zh-CN" w:bidi="ar-SA"/>
        </w:rPr>
        <w:t>社会采购代理机构遴选文件</w:t>
      </w:r>
    </w:p>
    <w:p>
      <w:pPr>
        <w:pStyle w:val="20"/>
        <w:keepNext w:val="0"/>
        <w:keepLines w:val="0"/>
        <w:pageBreakBefore w:val="0"/>
        <w:kinsoku/>
        <w:wordWrap/>
        <w:overflowPunct/>
        <w:topLinePunct w:val="0"/>
        <w:autoSpaceDE/>
        <w:autoSpaceDN/>
        <w:bidi w:val="0"/>
        <w:adjustRightInd/>
        <w:snapToGrid/>
        <w:spacing w:line="400" w:lineRule="exact"/>
        <w:ind w:left="0" w:leftChars="0" w:firstLine="0" w:firstLineChars="0"/>
        <w:jc w:val="both"/>
        <w:textAlignment w:val="auto"/>
        <w:rPr>
          <w:rFonts w:ascii="仿宋_GB2312" w:eastAsia="仿宋_GB2312"/>
          <w:sz w:val="28"/>
          <w:szCs w:val="28"/>
          <w:highlight w:val="none"/>
        </w:rPr>
      </w:pPr>
    </w:p>
    <w:p>
      <w:pPr>
        <w:pStyle w:val="20"/>
        <w:keepNext w:val="0"/>
        <w:keepLines w:val="0"/>
        <w:pageBreakBefore w:val="0"/>
        <w:kinsoku/>
        <w:wordWrap/>
        <w:overflowPunct/>
        <w:topLinePunct w:val="0"/>
        <w:autoSpaceDE/>
        <w:autoSpaceDN/>
        <w:bidi w:val="0"/>
        <w:adjustRightInd/>
        <w:snapToGrid/>
        <w:spacing w:line="400" w:lineRule="exact"/>
        <w:ind w:left="0" w:leftChars="0" w:firstLine="0" w:firstLineChars="0"/>
        <w:jc w:val="both"/>
        <w:textAlignment w:val="auto"/>
        <w:rPr>
          <w:rFonts w:ascii="仿宋_GB2312" w:eastAsia="仿宋_GB2312"/>
          <w:sz w:val="28"/>
          <w:szCs w:val="28"/>
          <w:highlight w:val="none"/>
        </w:rPr>
      </w:pPr>
    </w:p>
    <w:p>
      <w:pPr>
        <w:pStyle w:val="20"/>
        <w:keepNext w:val="0"/>
        <w:keepLines w:val="0"/>
        <w:pageBreakBefore w:val="0"/>
        <w:kinsoku/>
        <w:wordWrap/>
        <w:overflowPunct/>
        <w:topLinePunct w:val="0"/>
        <w:autoSpaceDE/>
        <w:autoSpaceDN/>
        <w:bidi w:val="0"/>
        <w:adjustRightInd/>
        <w:snapToGrid/>
        <w:spacing w:line="400" w:lineRule="exact"/>
        <w:ind w:firstLine="560"/>
        <w:jc w:val="center"/>
        <w:textAlignment w:val="auto"/>
        <w:rPr>
          <w:rFonts w:ascii="仿宋_GB2312" w:eastAsia="仿宋_GB2312"/>
          <w:sz w:val="28"/>
          <w:szCs w:val="28"/>
          <w:highlight w:val="none"/>
        </w:rPr>
      </w:pP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rPr>
        <w:t>深圳市龙岗区第七人民医院</w:t>
      </w:r>
    </w:p>
    <w:p>
      <w:pPr>
        <w:pStyle w:val="20"/>
        <w:keepNext w:val="0"/>
        <w:keepLines w:val="0"/>
        <w:pageBreakBefore w:val="0"/>
        <w:kinsoku/>
        <w:wordWrap/>
        <w:overflowPunct/>
        <w:topLinePunct w:val="0"/>
        <w:autoSpaceDE/>
        <w:autoSpaceDN/>
        <w:bidi w:val="0"/>
        <w:adjustRightInd/>
        <w:snapToGrid/>
        <w:spacing w:line="400" w:lineRule="exact"/>
        <w:ind w:firstLine="56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rPr>
        <w:t xml:space="preserve">    </w:t>
      </w:r>
      <w:r>
        <w:rPr>
          <w:rFonts w:hint="eastAsia" w:ascii="仿宋_GB2312" w:eastAsia="仿宋_GB2312"/>
          <w:sz w:val="28"/>
          <w:szCs w:val="28"/>
          <w:highlight w:val="none"/>
          <w:lang w:val="en-US" w:eastAsia="zh-CN"/>
        </w:rPr>
        <w:t xml:space="preserve"> </w:t>
      </w:r>
      <w:r>
        <w:rPr>
          <w:rFonts w:hint="eastAsia" w:ascii="仿宋_GB2312" w:hAnsi="仿宋_GB2312" w:eastAsia="仿宋_GB2312" w:cs="仿宋_GB2312"/>
          <w:sz w:val="28"/>
          <w:szCs w:val="28"/>
          <w:highlight w:val="none"/>
          <w:lang w:val="en-US" w:eastAsia="zh-CN"/>
        </w:rPr>
        <w:t>2025年8月15日</w:t>
      </w:r>
    </w:p>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numPr>
          <w:ilvl w:val="0"/>
          <w:numId w:val="0"/>
        </w:numPr>
        <w:spacing w:line="360" w:lineRule="auto"/>
        <w:jc w:val="center"/>
        <w:rPr>
          <w:rFonts w:ascii="仿宋_GB2312" w:hAnsi="仿宋_GB2312" w:eastAsia="仿宋_GB2312" w:cs="仿宋_GB2312"/>
          <w:b/>
          <w:bCs/>
          <w:sz w:val="44"/>
          <w:szCs w:val="44"/>
        </w:rPr>
      </w:pPr>
      <w:r>
        <w:rPr>
          <w:rFonts w:hint="eastAsia" w:ascii="仿宋_GB2312" w:hAnsi="仿宋_GB2312" w:eastAsia="仿宋_GB2312" w:cs="仿宋_GB2312"/>
          <w:b/>
          <w:bCs/>
          <w:kern w:val="2"/>
          <w:sz w:val="44"/>
          <w:szCs w:val="44"/>
          <w:lang w:val="en-US" w:eastAsia="zh-CN" w:bidi="ar-SA"/>
        </w:rPr>
        <w:t xml:space="preserve">第二章  </w:t>
      </w:r>
      <w:r>
        <w:rPr>
          <w:rFonts w:hint="eastAsia" w:ascii="仿宋_GB2312" w:hAnsi="仿宋_GB2312" w:eastAsia="仿宋_GB2312" w:cs="仿宋_GB2312"/>
          <w:b/>
          <w:bCs/>
          <w:sz w:val="44"/>
          <w:szCs w:val="44"/>
        </w:rPr>
        <w:t>院内公开采购项目需求</w:t>
      </w:r>
    </w:p>
    <w:p>
      <w:pPr>
        <w:widowControl/>
        <w:spacing w:line="500" w:lineRule="exact"/>
        <w:ind w:firstLine="560" w:firstLineChars="200"/>
        <w:jc w:val="left"/>
        <w:rPr>
          <w:rFonts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val="en-US" w:eastAsia="zh-CN" w:bidi="ar-SA"/>
        </w:rPr>
        <w:t>一、项目概况</w:t>
      </w:r>
      <w:r>
        <w:rPr>
          <w:rFonts w:hint="eastAsia" w:ascii="仿宋_GB2312" w:hAnsi="仿宋_GB2312" w:eastAsia="仿宋_GB2312" w:cs="仿宋_GB2312"/>
          <w:b/>
          <w:bCs/>
          <w:sz w:val="28"/>
          <w:szCs w:val="28"/>
        </w:rPr>
        <w:t>：</w:t>
      </w:r>
      <w:r>
        <w:rPr>
          <w:rFonts w:hint="eastAsia" w:ascii="仿宋_GB2312" w:hAnsi="仿宋_GB2312" w:eastAsia="仿宋_GB2312" w:cs="仿宋_GB2312"/>
          <w:kern w:val="2"/>
          <w:sz w:val="28"/>
          <w:szCs w:val="28"/>
          <w:lang w:val="en-US" w:eastAsia="zh-CN" w:bidi="ar-SA"/>
        </w:rPr>
        <w:t>我院需遴选3家社会采购代理机构承接受理深圳市龙岗区第七人民医院委托的采购代理业务，负责相关委托项目的编制采购文件、发布采购公告、组织开（评）标、发布中标公告、处理质疑、整理项目档案资料、业务咨询等采购项目全流程工作。</w:t>
      </w:r>
    </w:p>
    <w:p>
      <w:pPr>
        <w:pStyle w:val="19"/>
        <w:keepNext w:val="0"/>
        <w:keepLines w:val="0"/>
        <w:pageBreakBefore w:val="0"/>
        <w:kinsoku/>
        <w:wordWrap/>
        <w:overflowPunct/>
        <w:topLinePunct w:val="0"/>
        <w:bidi w:val="0"/>
        <w:adjustRightInd/>
        <w:snapToGrid/>
        <w:spacing w:line="400" w:lineRule="exact"/>
        <w:ind w:firstLine="562"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rPr>
        <w:t>、采购组织形式</w:t>
      </w:r>
      <w:r>
        <w:rPr>
          <w:rFonts w:hint="eastAsia" w:ascii="仿宋_GB2312" w:hAnsi="仿宋_GB2312" w:eastAsia="仿宋_GB2312" w:cs="仿宋_GB2312"/>
          <w:b/>
          <w:bCs/>
          <w:color w:val="auto"/>
          <w:sz w:val="28"/>
          <w:szCs w:val="28"/>
        </w:rPr>
        <w:t>（勾选）</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政府集中采购□、院内集中采购☑、院内委托代理采购□、集团联合采购□、其他□。</w:t>
      </w:r>
    </w:p>
    <w:p>
      <w:pPr>
        <w:keepNext w:val="0"/>
        <w:keepLines w:val="0"/>
        <w:pageBreakBefore w:val="0"/>
        <w:kinsoku/>
        <w:wordWrap/>
        <w:overflowPunct/>
        <w:topLinePunct w:val="0"/>
        <w:bidi w:val="0"/>
        <w:adjustRightInd/>
        <w:snapToGrid/>
        <w:spacing w:line="400" w:lineRule="exact"/>
        <w:textAlignment w:val="auto"/>
      </w:pP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rPr>
        <w:t>、采购方</w:t>
      </w:r>
      <w:r>
        <w:rPr>
          <w:rFonts w:hint="eastAsia" w:ascii="仿宋_GB2312" w:hAnsi="仿宋_GB2312" w:eastAsia="仿宋_GB2312" w:cs="仿宋_GB2312"/>
          <w:b/>
          <w:bCs/>
          <w:color w:val="auto"/>
          <w:sz w:val="28"/>
          <w:szCs w:val="28"/>
        </w:rPr>
        <w:t>式（勾选）</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院内招标☑、院内竞价□、院内邀标□、院内询价□、竞争性磋商□、院内直接议价□、其他□。</w:t>
      </w:r>
    </w:p>
    <w:p>
      <w:pPr>
        <w:keepNext w:val="0"/>
        <w:keepLines w:val="0"/>
        <w:pageBreakBefore w:val="0"/>
        <w:widowControl/>
        <w:kinsoku/>
        <w:wordWrap/>
        <w:overflowPunct/>
        <w:topLinePunct w:val="0"/>
        <w:bidi w:val="0"/>
        <w:adjustRightInd/>
        <w:snapToGrid/>
        <w:spacing w:line="400" w:lineRule="exact"/>
        <w:ind w:firstLine="562" w:firstLineChars="200"/>
        <w:jc w:val="left"/>
        <w:textAlignment w:val="auto"/>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lang w:val="en-US" w:eastAsia="zh-CN"/>
        </w:rPr>
        <w:t>四</w:t>
      </w:r>
      <w:r>
        <w:rPr>
          <w:rFonts w:hint="eastAsia" w:ascii="仿宋_GB2312" w:hAnsi="仿宋_GB2312" w:eastAsia="仿宋_GB2312" w:cs="仿宋_GB2312"/>
          <w:b/>
          <w:bCs/>
          <w:kern w:val="0"/>
          <w:sz w:val="28"/>
          <w:szCs w:val="28"/>
        </w:rPr>
        <w:t>、投标人资格要求</w:t>
      </w:r>
    </w:p>
    <w:p>
      <w:pPr>
        <w:pStyle w:val="19"/>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满足《中华人民共和国政府采购法》第二十二条规定（须提供具有独立承担民事责任能力的法人或其他组织或个体工商户的营业执照或法人证书等证明材料复印件或扫描件）。如果是分支机构参与投标，还须同时提供其具有独立法人资格的上级主体出具的有效授权书及上级主体的营业执照或法人证书等证明材料的复印件或扫描件加盖投标人公章；本项目不接受总公司与分支机构同时参与投标，也不接受同一总公司有两个或以上分支机构参与投标，如出现以上情形，该两家或以上投标人均按无效投标处理。</w:t>
      </w:r>
    </w:p>
    <w:p>
      <w:pPr>
        <w:pStyle w:val="19"/>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（二）本项目的特定资格要求（须按本项目投标文件格式要求提供《投标及履约承诺函》加盖投标人公章）：</w:t>
      </w:r>
    </w:p>
    <w:p>
      <w:pPr>
        <w:pStyle w:val="19"/>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1.参与本项目采购活动前三年内，在经营活动中没有重大违法记录；</w:t>
      </w:r>
    </w:p>
    <w:p>
      <w:pPr>
        <w:pStyle w:val="19"/>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2.参与本项目采购活动时不存在被有关部门禁止参与政府采购活动且在有效期内的情况；</w:t>
      </w:r>
    </w:p>
    <w:p>
      <w:pPr>
        <w:pStyle w:val="19"/>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3.除单一来源采购项目外，为采购项目提供整体设计、规范编制或者项目管理、监理、检测等服务的供应商，不得再参加该采购项目的其他采购活动；</w:t>
      </w:r>
    </w:p>
    <w:p>
      <w:pPr>
        <w:pStyle w:val="19"/>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4.参与本项目采购活动不存在与其他采购参加人串通投标，隐瞒真实情况，提供虚假资料等违法违规情形；</w:t>
      </w:r>
    </w:p>
    <w:p>
      <w:pPr>
        <w:pStyle w:val="19"/>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单位负责人为同一人或者存在直接控股、管理关系的不同供应商，不得参加同一合同项下的政府采购活动；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w:t>
      </w:r>
    </w:p>
    <w:p>
      <w:pPr>
        <w:pStyle w:val="19"/>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w:t>
      </w:r>
    </w:p>
    <w:p>
      <w:pPr>
        <w:pStyle w:val="19"/>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7.法律、行政法规和国家有关规定对供应商从事特定经营活动有资质、资格规定的，供应商应当具备的相应条件；</w:t>
      </w:r>
    </w:p>
    <w:p>
      <w:pPr>
        <w:pStyle w:val="19"/>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8.本项目不接受联合体投标，不允许非法分包或转包。</w:t>
      </w:r>
    </w:p>
    <w:p>
      <w:pPr>
        <w:pStyle w:val="19"/>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（三）社会采购代理机构已纳入深圳市社会采购代理机构从业名录（提供系统截图），符合《政府采购代理机构管理暂行办法》要求；</w:t>
      </w:r>
    </w:p>
    <w:p>
      <w:pPr>
        <w:pStyle w:val="19"/>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（四）社会采购代理机构在中国国际招标网登记备案（提供截图），具备国际招标代理能力。</w:t>
      </w:r>
    </w:p>
    <w:p>
      <w:pPr>
        <w:pStyle w:val="19"/>
        <w:spacing w:line="46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kern w:val="2"/>
          <w:sz w:val="28"/>
          <w:szCs w:val="28"/>
          <w:lang w:val="en-US" w:eastAsia="zh-CN" w:bidi="ar-SA"/>
        </w:rPr>
        <w:t>所有资质文件均需在有效期内并加盖投标方公章。</w:t>
      </w:r>
    </w:p>
    <w:p>
      <w:pPr>
        <w:pStyle w:val="19"/>
        <w:keepNext w:val="0"/>
        <w:keepLines w:val="0"/>
        <w:pageBreakBefore w:val="0"/>
        <w:numPr>
          <w:ilvl w:val="0"/>
          <w:numId w:val="0"/>
        </w:numPr>
        <w:kinsoku/>
        <w:wordWrap/>
        <w:overflowPunct/>
        <w:topLinePunct w:val="0"/>
        <w:bidi w:val="0"/>
        <w:adjustRightInd/>
        <w:snapToGrid/>
        <w:spacing w:line="40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kern w:val="0"/>
          <w:sz w:val="28"/>
          <w:szCs w:val="28"/>
          <w:lang w:val="en-US" w:eastAsia="zh-CN" w:bidi="ar-SA"/>
        </w:rPr>
        <w:t>五、服务内</w:t>
      </w:r>
      <w:r>
        <w:rPr>
          <w:rFonts w:hint="eastAsia" w:ascii="仿宋_GB2312" w:hAnsi="仿宋_GB2312" w:eastAsia="仿宋_GB2312" w:cs="仿宋_GB2312"/>
          <w:b/>
          <w:bCs/>
          <w:sz w:val="28"/>
          <w:szCs w:val="28"/>
          <w:highlight w:val="none"/>
        </w:rPr>
        <w:t>容及要求</w:t>
      </w:r>
    </w:p>
    <w:p>
      <w:pPr>
        <w:pStyle w:val="19"/>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（一）技术要求</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1.业务范围：集中采购目录以外、集中采购限额标准以上项目及部分自行采购项目等按规定可以委托社会采购代理机构组织实施的采购项目。</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2.服务需求</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依据政府采购法及相关法律法规，为我院采购项目（必须委托政府集中采购机构采购</w:t>
      </w:r>
      <w:r>
        <w:rPr>
          <w:rFonts w:hint="default" w:ascii="仿宋_GB2312" w:hAnsi="仿宋_GB2312" w:eastAsia="仿宋_GB2312" w:cs="仿宋_GB2312"/>
          <w:kern w:val="2"/>
          <w:sz w:val="28"/>
          <w:szCs w:val="28"/>
          <w:lang w:val="en-US" w:eastAsia="zh-CN" w:bidi="ar-SA"/>
        </w:rPr>
        <w:t>及</w:t>
      </w:r>
      <w:r>
        <w:rPr>
          <w:rFonts w:hint="eastAsia" w:ascii="仿宋_GB2312" w:hAnsi="仿宋_GB2312" w:eastAsia="仿宋_GB2312" w:cs="仿宋_GB2312"/>
          <w:kern w:val="2"/>
          <w:sz w:val="28"/>
          <w:szCs w:val="28"/>
          <w:lang w:val="en-US" w:eastAsia="zh-CN" w:bidi="ar-SA"/>
        </w:rPr>
        <w:t>医院管理</w:t>
      </w:r>
      <w:r>
        <w:rPr>
          <w:rFonts w:hint="default" w:ascii="仿宋_GB2312" w:hAnsi="仿宋_GB2312" w:eastAsia="仿宋_GB2312" w:cs="仿宋_GB2312"/>
          <w:kern w:val="2"/>
          <w:sz w:val="28"/>
          <w:szCs w:val="28"/>
          <w:lang w:val="en-US" w:eastAsia="zh-CN" w:bidi="ar-SA"/>
        </w:rPr>
        <w:t>规定</w:t>
      </w:r>
      <w:r>
        <w:rPr>
          <w:rFonts w:hint="eastAsia" w:ascii="仿宋_GB2312" w:hAnsi="仿宋_GB2312" w:eastAsia="仿宋_GB2312" w:cs="仿宋_GB2312"/>
          <w:kern w:val="2"/>
          <w:sz w:val="28"/>
          <w:szCs w:val="28"/>
          <w:lang w:val="en-US" w:eastAsia="zh-CN" w:bidi="ar-SA"/>
        </w:rPr>
        <w:t>除外</w:t>
      </w:r>
      <w:r>
        <w:rPr>
          <w:rFonts w:hint="default" w:ascii="仿宋_GB2312" w:hAnsi="仿宋_GB2312" w:eastAsia="仿宋_GB2312" w:cs="仿宋_GB2312"/>
          <w:kern w:val="2"/>
          <w:sz w:val="28"/>
          <w:szCs w:val="28"/>
          <w:lang w:val="en-US" w:eastAsia="zh-CN" w:bidi="ar-SA"/>
        </w:rPr>
        <w:t>的项目</w:t>
      </w:r>
      <w:r>
        <w:rPr>
          <w:rFonts w:hint="eastAsia" w:ascii="仿宋_GB2312" w:hAnsi="仿宋_GB2312" w:eastAsia="仿宋_GB2312" w:cs="仿宋_GB2312"/>
          <w:kern w:val="2"/>
          <w:sz w:val="28"/>
          <w:szCs w:val="28"/>
          <w:lang w:val="en-US" w:eastAsia="zh-CN" w:bidi="ar-SA"/>
        </w:rPr>
        <w:t>）提供采购代理服务（兼顾货物、服务、工程、耗材遴选等），具体包括但不限于如下内容：</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（1）负责根据项目情况拟订采购方案，如采购范围、拟采用的采购方式、制定项目采购流程、进度安排、项目特点分析和解决预案，提出与采购事项有关的合理化建议和优化意见等；</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（2）严格按照采购人的工作时限要求反馈采购文件；</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（3）及时与采购人当面审定采购文件关键内容；</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（4）发布采购公告并负责接收投标人的报名并发放采购文件；</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（5）依法组织评标小组，组织项目开标、评标等工作；</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（6）负责向采购人提交评审委员会出具的评审报告，按有关规定进行结果公示；</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（7）对项目采购结果进行采购效果</w:t>
      </w:r>
      <w:r>
        <w:rPr>
          <w:rFonts w:hint="default" w:ascii="仿宋_GB2312" w:hAnsi="仿宋_GB2312" w:eastAsia="仿宋_GB2312" w:cs="仿宋_GB2312"/>
          <w:kern w:val="2"/>
          <w:sz w:val="28"/>
          <w:szCs w:val="28"/>
          <w:lang w:val="en-US" w:eastAsia="zh-CN" w:bidi="ar-SA"/>
        </w:rPr>
        <w:t>评价</w:t>
      </w:r>
      <w:r>
        <w:rPr>
          <w:rFonts w:hint="eastAsia" w:ascii="仿宋_GB2312" w:hAnsi="仿宋_GB2312" w:eastAsia="仿宋_GB2312" w:cs="仿宋_GB2312"/>
          <w:kern w:val="2"/>
          <w:sz w:val="28"/>
          <w:szCs w:val="28"/>
          <w:lang w:val="en-US" w:eastAsia="zh-CN" w:bidi="ar-SA"/>
        </w:rPr>
        <w:t>；</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（8）及时将项目采购资料归档并移交采购人；</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（9）对评审过程和未进行公示的评审结果保密；</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（10）负责处理供应商的询问和质疑，协助处理供应商的投诉；</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（11）积极回复</w:t>
      </w:r>
      <w:r>
        <w:rPr>
          <w:rFonts w:hint="default" w:ascii="仿宋_GB2312" w:hAnsi="仿宋_GB2312" w:eastAsia="仿宋_GB2312" w:cs="仿宋_GB2312"/>
          <w:kern w:val="2"/>
          <w:sz w:val="28"/>
          <w:szCs w:val="28"/>
          <w:lang w:val="en-US" w:eastAsia="zh-CN" w:bidi="ar-SA"/>
        </w:rPr>
        <w:t>并协助处理</w:t>
      </w:r>
      <w:r>
        <w:rPr>
          <w:rFonts w:hint="eastAsia" w:ascii="仿宋_GB2312" w:hAnsi="仿宋_GB2312" w:eastAsia="仿宋_GB2312" w:cs="仿宋_GB2312"/>
          <w:kern w:val="2"/>
          <w:sz w:val="28"/>
          <w:szCs w:val="28"/>
          <w:lang w:val="en-US" w:eastAsia="zh-CN" w:bidi="ar-SA"/>
        </w:rPr>
        <w:t>采购人在采购工作中遇到的相关问题；</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（12）针对项目需求组建服务团队，设置专人（需具有实施医疗行业招标采购项目的工作经验）进行业务对接，保持人员相对稳定；</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（13）服务方式：由采购人根据项目需要单独委托采购代理机构，采购代理机构依法接受采购人委托，组织采购活动；</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（14）需要时，与采购人共同组织召开并主持标前会，负责解答投标</w:t>
      </w:r>
      <w:r>
        <w:rPr>
          <w:rFonts w:hint="default" w:ascii="仿宋_GB2312" w:hAnsi="仿宋_GB2312" w:eastAsia="仿宋_GB2312" w:cs="仿宋_GB2312"/>
          <w:kern w:val="2"/>
          <w:sz w:val="28"/>
          <w:szCs w:val="28"/>
          <w:lang w:val="en-US" w:eastAsia="zh-CN" w:bidi="ar-SA"/>
        </w:rPr>
        <w:t>人</w:t>
      </w:r>
      <w:r>
        <w:rPr>
          <w:rFonts w:hint="eastAsia" w:ascii="仿宋_GB2312" w:hAnsi="仿宋_GB2312" w:eastAsia="仿宋_GB2312" w:cs="仿宋_GB2312"/>
          <w:kern w:val="2"/>
          <w:sz w:val="28"/>
          <w:szCs w:val="28"/>
          <w:lang w:val="en-US" w:eastAsia="zh-CN" w:bidi="ar-SA"/>
        </w:rPr>
        <w:t>提出的</w:t>
      </w:r>
      <w:r>
        <w:rPr>
          <w:rFonts w:hint="default" w:ascii="仿宋_GB2312" w:hAnsi="仿宋_GB2312" w:eastAsia="仿宋_GB2312" w:cs="仿宋_GB2312"/>
          <w:kern w:val="2"/>
          <w:sz w:val="28"/>
          <w:szCs w:val="28"/>
          <w:lang w:val="en-US" w:eastAsia="zh-CN" w:bidi="ar-SA"/>
        </w:rPr>
        <w:t>相关</w:t>
      </w:r>
      <w:r>
        <w:rPr>
          <w:rFonts w:hint="eastAsia" w:ascii="仿宋_GB2312" w:hAnsi="仿宋_GB2312" w:eastAsia="仿宋_GB2312" w:cs="仿宋_GB2312"/>
          <w:kern w:val="2"/>
          <w:sz w:val="28"/>
          <w:szCs w:val="28"/>
          <w:lang w:val="en-US" w:eastAsia="zh-CN" w:bidi="ar-SA"/>
        </w:rPr>
        <w:t>问题；</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（15）负责查询核实</w:t>
      </w:r>
      <w:r>
        <w:rPr>
          <w:rFonts w:hint="default" w:ascii="仿宋_GB2312" w:hAnsi="仿宋_GB2312" w:eastAsia="仿宋_GB2312" w:cs="仿宋_GB2312"/>
          <w:kern w:val="2"/>
          <w:sz w:val="28"/>
          <w:szCs w:val="28"/>
          <w:lang w:val="en-US" w:eastAsia="zh-CN" w:bidi="ar-SA"/>
        </w:rPr>
        <w:t>同一项目</w:t>
      </w:r>
      <w:r>
        <w:rPr>
          <w:rFonts w:hint="eastAsia" w:ascii="仿宋_GB2312" w:hAnsi="仿宋_GB2312" w:eastAsia="仿宋_GB2312" w:cs="仿宋_GB2312"/>
          <w:kern w:val="2"/>
          <w:sz w:val="28"/>
          <w:szCs w:val="28"/>
          <w:lang w:val="en-US" w:eastAsia="zh-CN" w:bidi="ar-SA"/>
        </w:rPr>
        <w:t>投标人</w:t>
      </w:r>
      <w:r>
        <w:rPr>
          <w:rFonts w:hint="default" w:ascii="仿宋_GB2312" w:hAnsi="仿宋_GB2312" w:eastAsia="仿宋_GB2312" w:cs="仿宋_GB2312"/>
          <w:kern w:val="2"/>
          <w:sz w:val="28"/>
          <w:szCs w:val="28"/>
          <w:lang w:val="en-US" w:eastAsia="zh-CN" w:bidi="ar-SA"/>
        </w:rPr>
        <w:t>法人、</w:t>
      </w:r>
      <w:r>
        <w:rPr>
          <w:rFonts w:hint="eastAsia" w:ascii="仿宋_GB2312" w:hAnsi="仿宋_GB2312" w:eastAsia="仿宋_GB2312" w:cs="仿宋_GB2312"/>
          <w:kern w:val="2"/>
          <w:sz w:val="28"/>
          <w:szCs w:val="28"/>
          <w:lang w:val="en-US" w:eastAsia="zh-CN" w:bidi="ar-SA"/>
        </w:rPr>
        <w:t>股东及主要管理人员</w:t>
      </w:r>
      <w:r>
        <w:rPr>
          <w:rFonts w:hint="default" w:ascii="仿宋_GB2312" w:hAnsi="仿宋_GB2312" w:eastAsia="仿宋_GB2312" w:cs="仿宋_GB2312"/>
          <w:kern w:val="2"/>
          <w:sz w:val="28"/>
          <w:szCs w:val="28"/>
          <w:lang w:val="en-US" w:eastAsia="zh-CN" w:bidi="ar-SA"/>
        </w:rPr>
        <w:t>是否存在关联关系及项目开标当日</w:t>
      </w:r>
      <w:r>
        <w:rPr>
          <w:rFonts w:hint="eastAsia" w:ascii="仿宋_GB2312" w:hAnsi="仿宋_GB2312" w:eastAsia="仿宋_GB2312" w:cs="仿宋_GB2312"/>
          <w:kern w:val="2"/>
          <w:sz w:val="28"/>
          <w:szCs w:val="28"/>
          <w:lang w:val="en-US" w:eastAsia="zh-CN" w:bidi="ar-SA"/>
        </w:rPr>
        <w:t>投标</w:t>
      </w:r>
      <w:r>
        <w:rPr>
          <w:rFonts w:hint="default" w:ascii="仿宋_GB2312" w:hAnsi="仿宋_GB2312" w:eastAsia="仿宋_GB2312" w:cs="仿宋_GB2312"/>
          <w:kern w:val="2"/>
          <w:sz w:val="28"/>
          <w:szCs w:val="28"/>
          <w:lang w:val="en-US" w:eastAsia="zh-CN" w:bidi="ar-SA"/>
        </w:rPr>
        <w:t>人的信用信息，相关查询信息存档并</w:t>
      </w:r>
      <w:r>
        <w:rPr>
          <w:rFonts w:hint="eastAsia" w:ascii="仿宋_GB2312" w:hAnsi="仿宋_GB2312" w:eastAsia="仿宋_GB2312" w:cs="仿宋_GB2312"/>
          <w:kern w:val="2"/>
          <w:sz w:val="28"/>
          <w:szCs w:val="28"/>
          <w:lang w:val="en-US" w:eastAsia="zh-CN" w:bidi="ar-SA"/>
        </w:rPr>
        <w:t>发送采购人；</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（16）</w:t>
      </w:r>
      <w:r>
        <w:rPr>
          <w:rFonts w:hint="default" w:ascii="仿宋_GB2312" w:hAnsi="仿宋_GB2312" w:eastAsia="仿宋_GB2312" w:cs="仿宋_GB2312"/>
          <w:kern w:val="2"/>
          <w:sz w:val="28"/>
          <w:szCs w:val="28"/>
          <w:lang w:val="en-US" w:eastAsia="zh-CN" w:bidi="ar-SA"/>
        </w:rPr>
        <w:t>按相关流程</w:t>
      </w:r>
      <w:r>
        <w:rPr>
          <w:rFonts w:hint="eastAsia" w:ascii="仿宋_GB2312" w:hAnsi="仿宋_GB2312" w:eastAsia="仿宋_GB2312" w:cs="仿宋_GB2312"/>
          <w:kern w:val="2"/>
          <w:sz w:val="28"/>
          <w:szCs w:val="28"/>
          <w:lang w:val="en-US" w:eastAsia="zh-CN" w:bidi="ar-SA"/>
        </w:rPr>
        <w:t>及时将项目资料录入医院招投标管理系统</w:t>
      </w:r>
      <w:r>
        <w:rPr>
          <w:rFonts w:hint="default" w:ascii="仿宋_GB2312" w:hAnsi="仿宋_GB2312" w:eastAsia="仿宋_GB2312" w:cs="仿宋_GB2312"/>
          <w:kern w:val="2"/>
          <w:sz w:val="28"/>
          <w:szCs w:val="28"/>
          <w:lang w:val="en-US" w:eastAsia="zh-CN" w:bidi="ar-SA"/>
        </w:rPr>
        <w:t>（如有）</w:t>
      </w:r>
      <w:r>
        <w:rPr>
          <w:rFonts w:hint="eastAsia" w:ascii="仿宋_GB2312" w:hAnsi="仿宋_GB2312" w:eastAsia="仿宋_GB2312" w:cs="仿宋_GB2312"/>
          <w:kern w:val="2"/>
          <w:sz w:val="28"/>
          <w:szCs w:val="28"/>
          <w:lang w:val="en-US" w:eastAsia="zh-CN" w:bidi="ar-SA"/>
        </w:rPr>
        <w:t>及深圳政府采购自行采购系统，</w:t>
      </w:r>
      <w:r>
        <w:rPr>
          <w:rFonts w:hint="default" w:ascii="仿宋_GB2312" w:hAnsi="仿宋_GB2312" w:eastAsia="仿宋_GB2312" w:cs="仿宋_GB2312"/>
          <w:kern w:val="2"/>
          <w:sz w:val="28"/>
          <w:szCs w:val="28"/>
          <w:lang w:val="en-US" w:eastAsia="zh-CN" w:bidi="ar-SA"/>
        </w:rPr>
        <w:t>项目评标结束后</w:t>
      </w:r>
      <w:r>
        <w:rPr>
          <w:rFonts w:hint="eastAsia" w:ascii="仿宋_GB2312" w:hAnsi="仿宋_GB2312" w:eastAsia="仿宋_GB2312" w:cs="仿宋_GB2312"/>
          <w:kern w:val="2"/>
          <w:sz w:val="28"/>
          <w:szCs w:val="28"/>
          <w:lang w:val="en-US" w:eastAsia="zh-CN" w:bidi="ar-SA"/>
        </w:rPr>
        <w:t>，将招标结果推送给采购人确认，按照采购人要求将项目招投标等全过程的相关材料（含电子版等）整理成册，并形成资料清单，移交我院保存归档；</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（17）为了提高招标评审的工作效率，要求社会采购代理机构应提供较为便利的评标场所，评审场地需有监控设备，配备专业的招标采购人员；</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（18）社会采购代理机构应具有电子评标系统或相应的招标采购信息化服务平台，确保电子招投标文档的保存和查询使用便利；</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（19）社会采购代理机构应具有医疗卫生领域（特别是医疗设备领域）专业招标能力，具备</w:t>
      </w:r>
      <w:r>
        <w:rPr>
          <w:rFonts w:hint="default" w:ascii="仿宋_GB2312" w:hAnsi="仿宋_GB2312" w:eastAsia="仿宋_GB2312" w:cs="仿宋_GB2312"/>
          <w:kern w:val="2"/>
          <w:sz w:val="28"/>
          <w:szCs w:val="28"/>
          <w:lang w:val="en-US" w:eastAsia="zh-CN" w:bidi="ar-SA"/>
        </w:rPr>
        <w:t>医疗行业</w:t>
      </w:r>
      <w:r>
        <w:rPr>
          <w:rFonts w:hint="eastAsia" w:ascii="仿宋_GB2312" w:hAnsi="仿宋_GB2312" w:eastAsia="仿宋_GB2312" w:cs="仿宋_GB2312"/>
          <w:kern w:val="2"/>
          <w:sz w:val="28"/>
          <w:szCs w:val="28"/>
          <w:lang w:val="en-US" w:eastAsia="zh-CN" w:bidi="ar-SA"/>
        </w:rPr>
        <w:t>货物、工程、服务等项目的招标采购代理经验；</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（20）根据采购人需求，社会采购代理机构应协助采购人进行</w:t>
      </w:r>
      <w:r>
        <w:rPr>
          <w:rFonts w:hint="default" w:ascii="仿宋_GB2312" w:hAnsi="仿宋_GB2312" w:eastAsia="仿宋_GB2312" w:cs="仿宋_GB2312"/>
          <w:kern w:val="2"/>
          <w:sz w:val="28"/>
          <w:szCs w:val="28"/>
          <w:lang w:val="en-US" w:eastAsia="zh-CN" w:bidi="ar-SA"/>
        </w:rPr>
        <w:t>市场或</w:t>
      </w:r>
      <w:r>
        <w:rPr>
          <w:rFonts w:hint="eastAsia" w:ascii="仿宋_GB2312" w:hAnsi="仿宋_GB2312" w:eastAsia="仿宋_GB2312" w:cs="仿宋_GB2312"/>
          <w:kern w:val="2"/>
          <w:sz w:val="28"/>
          <w:szCs w:val="28"/>
          <w:lang w:val="en-US" w:eastAsia="zh-CN" w:bidi="ar-SA"/>
        </w:rPr>
        <w:t>需求调查，了解相关产业发展、市场供给、同类采购项目历史成交信息，可能涉及的运行维护、升级更新、备品备件、耗材等后续采购，以及其他相关情况；</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（21）根据采购人需求，社会采购代理机构应协助采购人编制采购实施计划；</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（22）根据采购人需求，社会采购代理机构应协助采购人进行</w:t>
      </w:r>
      <w:r>
        <w:rPr>
          <w:rFonts w:hint="default" w:ascii="仿宋_GB2312" w:hAnsi="仿宋_GB2312" w:eastAsia="仿宋_GB2312" w:cs="仿宋_GB2312"/>
          <w:kern w:val="2"/>
          <w:sz w:val="28"/>
          <w:szCs w:val="28"/>
          <w:lang w:val="en-US" w:eastAsia="zh-CN" w:bidi="ar-SA"/>
        </w:rPr>
        <w:t>市场或</w:t>
      </w:r>
      <w:r>
        <w:rPr>
          <w:rFonts w:hint="eastAsia" w:ascii="仿宋_GB2312" w:hAnsi="仿宋_GB2312" w:eastAsia="仿宋_GB2312" w:cs="仿宋_GB2312"/>
          <w:kern w:val="2"/>
          <w:sz w:val="28"/>
          <w:szCs w:val="28"/>
          <w:lang w:val="en-US" w:eastAsia="zh-CN" w:bidi="ar-SA"/>
        </w:rPr>
        <w:t>需求调查，了解相关产业发展、市场供给、同类采购项目历史成交信息，可能涉及的运行维护、升级更新、备品备件、耗材等后续采购，以及其他相关情况，组织采购需求审查，根据需求外请专家并承担相关费用</w:t>
      </w:r>
      <w:r>
        <w:rPr>
          <w:rFonts w:hint="default" w:ascii="仿宋_GB2312" w:hAnsi="仿宋_GB2312" w:eastAsia="仿宋_GB2312" w:cs="仿宋_GB2312"/>
          <w:kern w:val="2"/>
          <w:sz w:val="28"/>
          <w:szCs w:val="28"/>
          <w:lang w:val="en-US" w:eastAsia="zh-CN" w:bidi="ar-SA"/>
        </w:rPr>
        <w:t>；</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（23）针对本项目每年为我院提供培训服务方案，具体到培训内容，培训安排，科学合理，承诺可根据采购人的时间及时调整，并组织考核；</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（24）根据法律法规要求，协助我院院内招标采购部门修订招标文件模板、评分表和规范招标流程等；</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（25）可根据我院需要，提供移动开评标必备的基础设备（包括但不限于电脑、打印机、扫描仪、监控系统、录音录像设备、投影仪等）至我院指定办公场所实施招标采购工作；</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（26）每年汇编正在执行的国家级、省级、市级、区级的采购法律法规，并提供纸质版数套；</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27）接到医院的通知后10分钟内做出明确的响应和安排；方案有明确的紧急服务到场时间的，紧急问题2小时内给出解决方案，4小时内解决问题，做出明确定义；需提供现场服务的，服务团队在2小时内达到服务现场；</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（28）应具备符合国家法律法规的专家库，具备深圳市财政局专家库抽取系统抽取资格，并有监督专家抽取过程的专业人员及设备。能为采购人提供委托采购项目的抽取记录、专家抽取表等资料；</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29）供应商必须具备完善的档案管理能力，对采购人委托的招标采购项目资料提供15年的妥善保管义务，如国家有关档案管理的法律法规对档案管理期限有更长的时间要求，则须自动按照规定的更长的时间对采购人的委托招标采购项目资料进行妥善保管。档案保管的仓库须设在深圳市范围内，以备采购人审计时需要；</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（30）办理其他采购人交办的相关事宜或相关法律法规规定的其他事项</w:t>
      </w:r>
      <w:r>
        <w:rPr>
          <w:rFonts w:hint="default" w:ascii="仿宋_GB2312" w:hAnsi="仿宋_GB2312" w:eastAsia="仿宋_GB2312" w:cs="仿宋_GB2312"/>
          <w:kern w:val="2"/>
          <w:sz w:val="28"/>
          <w:szCs w:val="28"/>
          <w:lang w:val="en-US" w:eastAsia="zh-CN" w:bidi="ar-SA"/>
        </w:rPr>
        <w:t>。</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3.质量及安全要求</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（1）投标人需建立健全完善的信息安全管理体系，确保项目执行过程中的信息保密性、完整性、可用性及合规性；</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（2）投标人需建立健全完善的质量管理体系制度，确保招标活动的合法性和规范性，减少因违规操作而引发的法律风险。</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4.根据《中华人民共和国政府采购法》等相关规定中关于保密性和信息安全的规定，本次遴选要求社会采购代理机构在过往的执业过程中无任何信息泄露事件发生（提供承诺函</w:t>
      </w:r>
      <w:r>
        <w:rPr>
          <w:rFonts w:hint="default" w:ascii="仿宋_GB2312" w:hAnsi="仿宋_GB2312" w:eastAsia="仿宋_GB2312" w:cs="仿宋_GB2312"/>
          <w:kern w:val="2"/>
          <w:sz w:val="28"/>
          <w:szCs w:val="28"/>
          <w:lang w:val="en-US" w:eastAsia="zh-CN" w:bidi="ar-SA"/>
        </w:rPr>
        <w:t>并</w:t>
      </w:r>
      <w:r>
        <w:rPr>
          <w:rFonts w:hint="eastAsia" w:ascii="仿宋_GB2312" w:hAnsi="仿宋_GB2312" w:eastAsia="仿宋_GB2312" w:cs="仿宋_GB2312"/>
          <w:kern w:val="2"/>
          <w:sz w:val="28"/>
          <w:szCs w:val="28"/>
          <w:lang w:val="en-US" w:eastAsia="zh-CN" w:bidi="ar-SA"/>
        </w:rPr>
        <w:t>加盖公章，格式自拟）。</w:t>
      </w:r>
    </w:p>
    <w:p>
      <w:pPr>
        <w:pStyle w:val="19"/>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28"/>
          <w:szCs w:val="28"/>
          <w:lang w:val="en-US" w:eastAsia="zh-CN"/>
        </w:rPr>
        <w:t>5.</w:t>
      </w:r>
      <w:r>
        <w:rPr>
          <w:rFonts w:hint="default" w:ascii="仿宋_GB2312" w:hAnsi="仿宋_GB2312" w:eastAsia="仿宋_GB2312" w:cs="仿宋_GB2312"/>
          <w:b w:val="0"/>
          <w:bCs w:val="0"/>
          <w:sz w:val="28"/>
          <w:szCs w:val="28"/>
          <w:lang w:val="en-US" w:eastAsia="zh-CN"/>
        </w:rPr>
        <w:t>项目</w:t>
      </w:r>
      <w:r>
        <w:rPr>
          <w:rFonts w:hint="eastAsia" w:ascii="仿宋_GB2312" w:hAnsi="仿宋_GB2312" w:eastAsia="仿宋_GB2312" w:cs="仿宋_GB2312"/>
          <w:b w:val="0"/>
          <w:bCs w:val="0"/>
          <w:sz w:val="28"/>
          <w:szCs w:val="28"/>
          <w:lang w:val="en-US" w:eastAsia="zh-CN"/>
        </w:rPr>
        <w:t>人员需求一览表</w:t>
      </w:r>
    </w:p>
    <w:tbl>
      <w:tblPr>
        <w:tblStyle w:val="16"/>
        <w:tblW w:w="49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29"/>
        <w:gridCol w:w="1191"/>
        <w:gridCol w:w="1309"/>
        <w:gridCol w:w="1264"/>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1" w:hRule="atLeast"/>
        </w:trPr>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序号</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★人员类别</w:t>
            </w:r>
          </w:p>
        </w:tc>
        <w:tc>
          <w:tcPr>
            <w:tcW w:w="7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★人员数量</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★人员必须具备条件</w:t>
            </w:r>
          </w:p>
        </w:tc>
        <w:tc>
          <w:tcPr>
            <w:tcW w:w="25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人员可偏离条件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6" w:hRule="atLeast"/>
        </w:trPr>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1</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项目负责人</w:t>
            </w:r>
          </w:p>
        </w:tc>
        <w:tc>
          <w:tcPr>
            <w:tcW w:w="7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1</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投标人自有员工</w:t>
            </w:r>
          </w:p>
        </w:tc>
        <w:tc>
          <w:tcPr>
            <w:tcW w:w="25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left"/>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1.具有本科或以上学历。</w:t>
            </w:r>
          </w:p>
          <w:p>
            <w:pPr>
              <w:keepNext w:val="0"/>
              <w:keepLines w:val="0"/>
              <w:pageBreakBefore w:val="0"/>
              <w:widowControl w:val="0"/>
              <w:kinsoku/>
              <w:wordWrap/>
              <w:overflowPunct/>
              <w:topLinePunct w:val="0"/>
              <w:autoSpaceDE w:val="0"/>
              <w:autoSpaceDN w:val="0"/>
              <w:bidi w:val="0"/>
              <w:adjustRightInd/>
              <w:snapToGrid/>
              <w:ind w:firstLine="0" w:firstLineChars="0"/>
              <w:jc w:val="left"/>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2.具有中级及以上《招标采购从业人员专业技术能力评价证书》或中级及以上经济师技术职称或《采购师职业能力等级证书》。</w:t>
            </w:r>
          </w:p>
          <w:p>
            <w:pPr>
              <w:keepNext w:val="0"/>
              <w:keepLines w:val="0"/>
              <w:pageBreakBefore w:val="0"/>
              <w:widowControl w:val="0"/>
              <w:kinsoku/>
              <w:wordWrap/>
              <w:overflowPunct/>
              <w:topLinePunct w:val="0"/>
              <w:autoSpaceDE w:val="0"/>
              <w:autoSpaceDN w:val="0"/>
              <w:bidi w:val="0"/>
              <w:adjustRightInd/>
              <w:snapToGrid/>
              <w:ind w:firstLine="0" w:firstLineChars="0"/>
              <w:jc w:val="left"/>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3.具有5年或以上招标采购代理工作经验。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8" w:hRule="atLeast"/>
        </w:trPr>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2</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项目团队成员</w:t>
            </w:r>
          </w:p>
        </w:tc>
        <w:tc>
          <w:tcPr>
            <w:tcW w:w="7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4</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投标人自有员工</w:t>
            </w:r>
          </w:p>
        </w:tc>
        <w:tc>
          <w:tcPr>
            <w:tcW w:w="25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left"/>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（一）评分内容：</w:t>
            </w:r>
          </w:p>
          <w:p>
            <w:pPr>
              <w:keepNext w:val="0"/>
              <w:keepLines w:val="0"/>
              <w:pageBreakBefore w:val="0"/>
              <w:widowControl w:val="0"/>
              <w:kinsoku/>
              <w:wordWrap/>
              <w:overflowPunct/>
              <w:topLinePunct w:val="0"/>
              <w:autoSpaceDE w:val="0"/>
              <w:autoSpaceDN w:val="0"/>
              <w:bidi w:val="0"/>
              <w:adjustRightInd/>
              <w:snapToGrid/>
              <w:ind w:firstLine="0" w:firstLineChars="0"/>
              <w:jc w:val="left"/>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1.具有本科或以上学历。</w:t>
            </w:r>
          </w:p>
          <w:p>
            <w:pPr>
              <w:keepNext w:val="0"/>
              <w:keepLines w:val="0"/>
              <w:pageBreakBefore w:val="0"/>
              <w:widowControl w:val="0"/>
              <w:kinsoku/>
              <w:wordWrap/>
              <w:overflowPunct/>
              <w:topLinePunct w:val="0"/>
              <w:autoSpaceDE w:val="0"/>
              <w:autoSpaceDN w:val="0"/>
              <w:bidi w:val="0"/>
              <w:adjustRightInd/>
              <w:snapToGrid/>
              <w:ind w:firstLine="0" w:firstLineChars="0"/>
              <w:jc w:val="left"/>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2.具有中级及以上《招标采购从业人员专业技术能力评价证书》或中级及以上经济师技术职称或《采购师职业能力等级证书》。</w:t>
            </w:r>
          </w:p>
          <w:p>
            <w:pPr>
              <w:keepNext w:val="0"/>
              <w:keepLines w:val="0"/>
              <w:pageBreakBefore w:val="0"/>
              <w:widowControl w:val="0"/>
              <w:kinsoku/>
              <w:wordWrap/>
              <w:overflowPunct/>
              <w:topLinePunct w:val="0"/>
              <w:autoSpaceDE w:val="0"/>
              <w:autoSpaceDN w:val="0"/>
              <w:bidi w:val="0"/>
              <w:adjustRightInd/>
              <w:snapToGrid/>
              <w:ind w:firstLine="0" w:firstLineChars="0"/>
              <w:jc w:val="left"/>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3.具有5年或以上招标采购代理工作经验。</w:t>
            </w:r>
          </w:p>
        </w:tc>
      </w:tr>
    </w:tbl>
    <w:p>
      <w:pPr>
        <w:pStyle w:val="19"/>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（二）商务要求</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1.招标代理服务收费标准</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1.1以《深圳市龙岗区财政局关于规范龙岗区社会采购代理机构管理有关事项的通知》（深龙财〔2019〕37号）代理费用参考标准（如代理费用标准发生变化时，按照上级部门新颁发文件的代理费用标准执行）的80%为基准报价，超过基准报价的按无效投标处理，在此基础上，满足遴选文件要求且投标价格最低的投标报价为评标基准价；</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1.2下浮后服务费低于4000元的，按照4000元收取；下浮后服务费高于4万元的，按照4万元收取（如服务费用标准等发生变化时，优先按照上级部门新颁发文件的代理费用标准结合项目实际按照规定执行）；</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1.3采购人不向中标人（代理机构）直接支付代理服务费，各代理项目由中标人（代理机构）向各代理项目投标供应商收取招标文件工本费及向各代理项目中标供应商收取采购代理费，不向采购人另行收费；</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1.4成交的社会采购代理机构在招标代理过程中需承担：采购文件编制、印刷和装订费；刊登招标公告的广告费；开标、评标场地费；评标专家评审费、食宿费及交通补助、培训费等所有费用，直至服务合同期满之前发生的费用；</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1.5支付方式及时间：依据每次中标合同金额以人民币结算，在发出中标通知后向招标代理项目的中标人收取。</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2.退出机制</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2.1合同服务期内，采购人按照年度对社会采购代理机构进行履约考核，履约考核为优或良好，可续签下一年度招标采购代理服务合同，每次续签期限为一年，最多可续签二次；未达到要求的，有一项评分为“差”的，或单项否决范围的，无条件终止合同；</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2.2由于社会采购代理机构原因，发生严重影响我院形象事件的，社会采购代理机构应向公众就该事件予以澄清，采购人亦有权向社会采购代理机构发出书面通知立即终止合同；</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2.3社会采购代理机构在合同服务期内亦可向采购人发出书面通知终止合同，并应该继续提供至少三个月的服务，并配合采购人完成采购人已委托的所有工作；</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2.4违约终止：社会采购代理机构未能履行合同和遵守有关规定，如：</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2.4.1转让代理业务的；</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2.4.2组织采购活动或招标文件内容编制失误造成较严重后果的；</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2.4.3不能满足项目招标的工作要求，造成招标工作无法正常开展的；</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2.4.4因自身原因造成招标重大失误影响中标候选人排序需重新组织评标委员会复核的或无法应对、处理投诉严重损害委托人利益的；</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2.4.5履约期间存在其他严重不合理或者违法违规行为的，在采购人发出警告后仍不及时采取补救措施或者采取补救措施仍损害委托人利益的；</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采购人可立即终止合同并向上级部门汇报。对于工作实绩和综合评价结果较差、被财政部门给予处罚的社会采购代理机构，采购人可视情况减少委托项目数量，直至不再将其作为本单位的中选社会采购代理机构。</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3.服务期限</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本项目服务期限为一年。依采购人要求本项目服务期限原则上为3年（如出现政策变化可调整）；合同采取一年一签方式，合同期满后，经履约考核符合要求的可按原合同条款续签下一年度合同，每次续签期限为一年，最多可续签二次。</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（三）采购人认为项目必要的其他内容</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1.质疑、投诉处理能力：提供质疑、投诉、信访、举报、涉诉等处理方案，要求方案整体科学合理、针对性强、可操作性强。方案内容包括但不限于以下内容：</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w:t>
      </w:r>
      <w:bookmarkStart w:id="0" w:name="OLE_LINK2"/>
      <w:r>
        <w:rPr>
          <w:rFonts w:hint="eastAsia" w:ascii="仿宋_GB2312" w:hAnsi="仿宋_GB2312" w:eastAsia="仿宋_GB2312" w:cs="仿宋_GB2312"/>
          <w:kern w:val="2"/>
          <w:sz w:val="28"/>
          <w:szCs w:val="28"/>
          <w:lang w:val="en-US" w:eastAsia="zh-CN" w:bidi="ar-SA"/>
        </w:rPr>
        <w:t>.1建立质疑、投诉处理机制</w:t>
      </w:r>
      <w:bookmarkEnd w:id="0"/>
      <w:r>
        <w:rPr>
          <w:rFonts w:hint="eastAsia" w:ascii="仿宋_GB2312" w:hAnsi="仿宋_GB2312" w:eastAsia="仿宋_GB2312" w:cs="仿宋_GB2312"/>
          <w:kern w:val="2"/>
          <w:sz w:val="28"/>
          <w:szCs w:val="28"/>
          <w:lang w:val="en-US" w:eastAsia="zh-CN" w:bidi="ar-SA"/>
        </w:rPr>
        <w:t>：包含质疑投诉处理措施，质疑投诉预防机制等；</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1.2建立质疑、投诉情况档案。</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投标人按照招标需求，针对本项目提供项目服务方案，包括但不限于以下内容：招标流程、服务质量、保密措施、响应时效、档案管理，同时根据以往经验教训对本项目提出合理化建议。要求方案整体科学合理、针对性强、可操作性强。</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在深圳市龙岗区设有评标场地的供应商，或者投标单位承诺中标后在深圳市龙岗区范围内设立服务场地。在龙岗已有评标场地的提供有效的场地租赁合同关键页或产权证明或合法使用证明及场地实拍图，并加盖投标人公章。</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4.企业资质</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4.1具有质量管理体系认证证书、环境管理体系认证证书、职业健康管理体系认证；</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4.2具有与招标代理相关的计算机软件著作权登记证书；</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4.3投标人在深圳市住房和建设局官网备案或属于深圳市政府部门指定的信息媒体发布；</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4.4提供有效期内的相关体系认证证书扫描件加盖公章，体系认证证书还需提供全国认证认可信息公共服务平台（认e云）的认证信息截图（截图需显示证书状态为有效；如处于证书办理延续期间，需提供延续受理回执证明），提供官网备案截图；</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4.5开评标场地位于深圳市，深圳市内开评标房间数量3间及以上。</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5.拟安排的项目负责人（仅限一</w:t>
      </w:r>
      <w:r>
        <w:rPr>
          <w:rFonts w:hint="eastAsia" w:ascii="仿宋_GB2312" w:hAnsi="仿宋_GB2312" w:eastAsia="仿宋_GB2312" w:cs="仿宋_GB2312"/>
          <w:kern w:val="2"/>
          <w:sz w:val="28"/>
          <w:szCs w:val="28"/>
          <w:highlight w:val="none"/>
          <w:lang w:val="en-US" w:eastAsia="zh-CN" w:bidi="ar-SA"/>
        </w:rPr>
        <w:t>人</w:t>
      </w:r>
      <w:r>
        <w:rPr>
          <w:rFonts w:hint="eastAsia" w:ascii="仿宋_GB2312" w:hAnsi="仿宋_GB2312" w:eastAsia="仿宋_GB2312" w:cs="仿宋_GB2312"/>
          <w:kern w:val="2"/>
          <w:sz w:val="28"/>
          <w:szCs w:val="28"/>
          <w:lang w:val="en-US" w:eastAsia="zh-CN" w:bidi="ar-SA"/>
        </w:rPr>
        <w:t>），为投标人自有员工，具有以下证书：</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5.1具有本科学历的；</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5.2具有中级及以上《招标采购从业人员专业技术能力评价证书》或中级及以上经济师技术职称或《采购师职业能力等级证书》的；</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5.3具有5年或以上招标采购代理工作经验；</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6.拟安排的团队成员（项目负责人除外），拟安排的项目主要团队成员至少4</w:t>
      </w:r>
      <w:r>
        <w:rPr>
          <w:rFonts w:hint="eastAsia" w:ascii="仿宋_GB2312" w:hAnsi="仿宋_GB2312" w:eastAsia="仿宋_GB2312" w:cs="仿宋_GB2312"/>
          <w:kern w:val="2"/>
          <w:sz w:val="28"/>
          <w:szCs w:val="28"/>
          <w:highlight w:val="none"/>
          <w:lang w:val="en-US" w:eastAsia="zh-CN" w:bidi="ar-SA"/>
        </w:rPr>
        <w:t>名</w:t>
      </w:r>
      <w:r>
        <w:rPr>
          <w:rFonts w:hint="eastAsia" w:ascii="仿宋_GB2312" w:hAnsi="仿宋_GB2312" w:eastAsia="仿宋_GB2312" w:cs="仿宋_GB2312"/>
          <w:kern w:val="2"/>
          <w:sz w:val="28"/>
          <w:szCs w:val="28"/>
          <w:lang w:val="en-US" w:eastAsia="zh-CN" w:bidi="ar-SA"/>
        </w:rPr>
        <w:t>（项目负责人除外）为投标人自有员工：</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6.1具有本科或以上学历；</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6.2具有中级及以上《招标采购从业人员专业技术能力评价证书》或中级及以上经济师技术职称或《采购师职业能力等级证书》的；</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6.3具有5年或以上招标采购代理工作经验。</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7.获奖情况，行业内与招标采购相关的获奖证书，根据获奖情况进行评分。</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8.全流程电子招投标交易平台与中国招标投标公共服务平台对接，属于政府指定的政府采购信息发布媒体。</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9.投标人具有电子评标系统。</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10.具有市场信息化调研平台，能提供医疗行业采购信息的系统（查询信息不局限于本公司项目信息）。</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kern w:val="0"/>
          <w:sz w:val="28"/>
          <w:szCs w:val="28"/>
          <w:lang w:val="en-US" w:eastAsia="zh-CN" w:bidi="ar-SA"/>
        </w:rPr>
        <w:t>六、</w:t>
      </w:r>
      <w:r>
        <w:rPr>
          <w:rFonts w:hint="eastAsia" w:ascii="仿宋_GB2312" w:hAnsi="仿宋_GB2312" w:eastAsia="仿宋_GB2312" w:cs="仿宋_GB2312"/>
          <w:b/>
          <w:bCs/>
          <w:sz w:val="28"/>
          <w:szCs w:val="28"/>
        </w:rPr>
        <w:t>验收工作</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合同服务期内，采购人按照年度对社会采购代理机构进行履约考核，履约考核为优或良好视为验收合格。</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kern w:val="0"/>
          <w:sz w:val="28"/>
          <w:szCs w:val="28"/>
          <w:lang w:val="en-US" w:eastAsia="zh-CN" w:bidi="ar-SA"/>
        </w:rPr>
        <w:t>七、</w:t>
      </w:r>
      <w:r>
        <w:rPr>
          <w:rFonts w:hint="eastAsia" w:ascii="仿宋_GB2312" w:hAnsi="仿宋_GB2312" w:eastAsia="仿宋_GB2312" w:cs="仿宋_GB2312"/>
          <w:b/>
          <w:bCs/>
          <w:sz w:val="28"/>
          <w:szCs w:val="28"/>
        </w:rPr>
        <w:t>报价要求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按照《深圳市龙岗区财政局关于规范龙岗区社会采购代理机构管理有关事项的通知》（深龙财〔2019〕37号）代理费用参考标准（如代理费用标准发生变化时，按照上级部门新颁发文件的代理费用标准执行），以80%（八折）为基准报价，进行折扣率报价，在此基础上，满足遴选文件要求且投标价格最低的投标报价为评标基准价。如投标人报价折扣率为70%，即为：《深圳市龙岗区财政局关于规范龙岗区社会采购代理机构管理有关事项的通知》（深龙财〔2019〕37号）代理费用参考标准</w:t>
      </w:r>
      <w:r>
        <w:rPr>
          <w:rFonts w:hint="default" w:ascii="Arial" w:hAnsi="Arial" w:eastAsia="仿宋_GB2312" w:cs="Arial"/>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t>70%。</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2" w:firstLineChars="20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kern w:val="0"/>
          <w:sz w:val="28"/>
          <w:szCs w:val="28"/>
          <w:lang w:val="en-US" w:eastAsia="zh-CN" w:bidi="ar-SA"/>
        </w:rPr>
        <w:t>八、</w:t>
      </w:r>
      <w:r>
        <w:rPr>
          <w:rFonts w:hint="eastAsia" w:ascii="仿宋_GB2312" w:hAnsi="仿宋_GB2312" w:eastAsia="仿宋_GB2312" w:cs="仿宋_GB2312"/>
          <w:b/>
          <w:bCs/>
          <w:sz w:val="28"/>
          <w:szCs w:val="28"/>
          <w:lang w:val="en-US" w:eastAsia="zh-CN"/>
        </w:rPr>
        <w:t>付款方式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以人民币结算，依据每次中标金额，参照《深圳市龙岗区财政局关于规范龙岗区社会采购代理机构管理有关事项的通知》（深龙财〔2019〕37号）代理费用参考标准（如代理费用标准发生变化时，按照上级部门新颁发文件的代理费用标准执行）</w:t>
      </w:r>
      <w:r>
        <w:rPr>
          <w:rFonts w:hint="default"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t>中标折扣率结算，在发出中标通知后向招标代理项目的中标人收取。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jc w:val="left"/>
        <w:textAlignment w:val="auto"/>
        <w:rPr>
          <w:rFonts w:ascii="仿宋_GB2312" w:hAnsi="仿宋_GB2312" w:eastAsia="仿宋_GB2312" w:cs="仿宋_GB2312"/>
          <w:b/>
          <w:bCs/>
          <w:sz w:val="28"/>
          <w:szCs w:val="28"/>
        </w:rPr>
      </w:pPr>
      <w:r>
        <w:rPr>
          <w:rFonts w:hint="eastAsia" w:ascii="仿宋_GB2312" w:hAnsi="仿宋_GB2312" w:eastAsia="仿宋_GB2312" w:cs="仿宋_GB2312"/>
          <w:b/>
          <w:bCs/>
          <w:kern w:val="2"/>
          <w:sz w:val="28"/>
          <w:szCs w:val="28"/>
          <w:lang w:val="en-US" w:eastAsia="zh-CN" w:bidi="ar-SA"/>
        </w:rPr>
        <w:t>九、项目地点：深圳市龙岗区第七人</w:t>
      </w:r>
      <w:r>
        <w:rPr>
          <w:rFonts w:hint="eastAsia" w:ascii="仿宋_GB2312" w:hAnsi="仿宋_GB2312" w:eastAsia="仿宋_GB2312" w:cs="仿宋_GB2312"/>
          <w:b/>
          <w:bCs/>
          <w:sz w:val="28"/>
          <w:szCs w:val="28"/>
        </w:rPr>
        <w:t>民医院指定地点。</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十、评标标准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firstLineChars="200"/>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评标方法：综合评分法。按照招标文件中规定的各项因素进行量化打分，以评标总得分的平均分最高的投标人为中标候选供应商；采购人根据评标委员会评审结果确定中标候选供应商为中标人。</w:t>
      </w:r>
    </w:p>
    <w:tbl>
      <w:tblPr>
        <w:tblStyle w:val="17"/>
        <w:tblW w:w="51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891"/>
        <w:gridCol w:w="1020"/>
        <w:gridCol w:w="763"/>
        <w:gridCol w:w="6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22"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序号</w:t>
            </w:r>
          </w:p>
        </w:tc>
        <w:tc>
          <w:tcPr>
            <w:tcW w:w="482"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评审项目</w:t>
            </w:r>
          </w:p>
        </w:tc>
        <w:tc>
          <w:tcPr>
            <w:tcW w:w="552"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评审因素</w:t>
            </w:r>
          </w:p>
        </w:tc>
        <w:tc>
          <w:tcPr>
            <w:tcW w:w="413"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分值</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分</w:t>
            </w:r>
            <w:r>
              <w:rPr>
                <w:rFonts w:hint="eastAsia" w:ascii="仿宋" w:hAnsi="仿宋" w:eastAsia="仿宋" w:cs="仿宋"/>
                <w:b/>
                <w:bCs/>
                <w:color w:val="auto"/>
                <w:sz w:val="21"/>
                <w:szCs w:val="21"/>
                <w:lang w:eastAsia="zh-CN"/>
              </w:rPr>
              <w:t>）</w:t>
            </w:r>
          </w:p>
        </w:tc>
        <w:tc>
          <w:tcPr>
            <w:tcW w:w="3329"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22"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482"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报价</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分</w:t>
            </w:r>
            <w:r>
              <w:rPr>
                <w:rFonts w:hint="eastAsia" w:ascii="仿宋" w:hAnsi="仿宋" w:eastAsia="仿宋" w:cs="仿宋"/>
                <w:color w:val="auto"/>
                <w:sz w:val="21"/>
                <w:szCs w:val="21"/>
                <w:lang w:eastAsia="zh-CN"/>
              </w:rPr>
              <w:t>）</w:t>
            </w:r>
          </w:p>
        </w:tc>
        <w:tc>
          <w:tcPr>
            <w:tcW w:w="552"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招标代理服务收费情况</w:t>
            </w:r>
          </w:p>
        </w:tc>
        <w:tc>
          <w:tcPr>
            <w:tcW w:w="413"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3329" w:type="pct"/>
            <w:vAlign w:val="center"/>
          </w:tcPr>
          <w:p>
            <w:pPr>
              <w:keepNext w:val="0"/>
              <w:keepLines w:val="0"/>
              <w:pageBreakBefore w:val="0"/>
              <w:widowControl/>
              <w:suppressLineNumbers w:val="0"/>
              <w:kinsoku/>
              <w:overflowPunct/>
              <w:topLinePunct w:val="0"/>
              <w:bidi w:val="0"/>
              <w:adjustRightInd w:val="0"/>
              <w:snapToGrid w:val="0"/>
              <w:spacing w:before="0" w:beforeAutospacing="0" w:after="0" w:afterAutospacing="0" w:line="300" w:lineRule="exact"/>
              <w:ind w:left="0" w:right="0" w:rightChars="0"/>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根据</w:t>
            </w:r>
            <w:r>
              <w:rPr>
                <w:rFonts w:hint="eastAsia" w:ascii="仿宋" w:hAnsi="仿宋" w:eastAsia="仿宋" w:cs="仿宋"/>
                <w:color w:val="auto"/>
                <w:sz w:val="21"/>
                <w:szCs w:val="21"/>
                <w:lang w:eastAsia="zh-CN"/>
              </w:rPr>
              <w:t>遴选文件</w:t>
            </w:r>
            <w:r>
              <w:rPr>
                <w:rFonts w:hint="eastAsia" w:ascii="仿宋" w:hAnsi="仿宋" w:eastAsia="仿宋" w:cs="仿宋"/>
                <w:color w:val="auto"/>
                <w:sz w:val="21"/>
                <w:szCs w:val="21"/>
              </w:rPr>
              <w:t>中《招标代理服务收费标准》要求为标准，进行</w:t>
            </w:r>
            <w:r>
              <w:rPr>
                <w:rFonts w:hint="eastAsia" w:ascii="仿宋" w:hAnsi="仿宋" w:eastAsia="仿宋" w:cs="仿宋"/>
                <w:color w:val="auto"/>
                <w:sz w:val="21"/>
                <w:szCs w:val="21"/>
                <w:lang w:val="en-US" w:eastAsia="zh-CN"/>
              </w:rPr>
              <w:t>折扣率</w:t>
            </w:r>
            <w:r>
              <w:rPr>
                <w:rFonts w:hint="eastAsia" w:ascii="仿宋" w:hAnsi="仿宋" w:eastAsia="仿宋" w:cs="仿宋"/>
                <w:color w:val="auto"/>
                <w:sz w:val="21"/>
                <w:szCs w:val="21"/>
              </w:rPr>
              <w:t>报价，以</w:t>
            </w:r>
            <w:r>
              <w:rPr>
                <w:rFonts w:hint="eastAsia" w:ascii="仿宋" w:hAnsi="仿宋" w:eastAsia="仿宋" w:cs="仿宋"/>
                <w:color w:val="auto"/>
                <w:sz w:val="21"/>
                <w:szCs w:val="21"/>
                <w:lang w:val="en-US" w:eastAsia="zh-CN"/>
              </w:rPr>
              <w:t>8</w:t>
            </w:r>
            <w:r>
              <w:rPr>
                <w:rFonts w:hint="eastAsia" w:ascii="仿宋" w:hAnsi="仿宋" w:eastAsia="仿宋" w:cs="仿宋"/>
                <w:color w:val="auto"/>
                <w:sz w:val="21"/>
                <w:szCs w:val="21"/>
              </w:rPr>
              <w:t>0%（</w:t>
            </w:r>
            <w:r>
              <w:rPr>
                <w:rFonts w:hint="eastAsia" w:ascii="仿宋" w:hAnsi="仿宋" w:eastAsia="仿宋" w:cs="仿宋"/>
                <w:color w:val="auto"/>
                <w:sz w:val="21"/>
                <w:szCs w:val="21"/>
                <w:lang w:val="en-US" w:eastAsia="zh-CN"/>
              </w:rPr>
              <w:t>八</w:t>
            </w:r>
            <w:r>
              <w:rPr>
                <w:rFonts w:hint="eastAsia" w:ascii="仿宋" w:hAnsi="仿宋" w:eastAsia="仿宋" w:cs="仿宋"/>
                <w:color w:val="auto"/>
                <w:sz w:val="21"/>
                <w:szCs w:val="21"/>
              </w:rPr>
              <w:t>折）为</w:t>
            </w:r>
            <w:r>
              <w:rPr>
                <w:rFonts w:hint="eastAsia" w:ascii="仿宋" w:hAnsi="仿宋" w:eastAsia="仿宋" w:cs="仿宋"/>
                <w:color w:val="auto"/>
                <w:sz w:val="21"/>
                <w:szCs w:val="21"/>
                <w:highlight w:val="none"/>
              </w:rPr>
              <w:t>基准报价</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highlight w:val="none"/>
                <w:lang w:val="en-US" w:eastAsia="zh-CN"/>
              </w:rPr>
              <w:t>超过基准报价的本项不得分，</w:t>
            </w:r>
            <w:r>
              <w:rPr>
                <w:rFonts w:hint="eastAsia" w:ascii="仿宋" w:hAnsi="仿宋" w:eastAsia="仿宋" w:cs="仿宋"/>
                <w:color w:val="auto"/>
                <w:sz w:val="21"/>
                <w:szCs w:val="21"/>
                <w:lang w:val="en-US" w:eastAsia="zh-CN"/>
              </w:rPr>
              <w:t>在此基础上</w:t>
            </w:r>
            <w:r>
              <w:rPr>
                <w:rFonts w:hint="eastAsia" w:ascii="仿宋" w:hAnsi="仿宋" w:eastAsia="仿宋" w:cs="仿宋"/>
                <w:color w:val="auto"/>
                <w:sz w:val="21"/>
                <w:szCs w:val="21"/>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价格分应当采用低价优先法计算，即满足</w:t>
            </w:r>
            <w:r>
              <w:rPr>
                <w:rFonts w:hint="eastAsia" w:ascii="仿宋" w:hAnsi="仿宋" w:eastAsia="仿宋" w:cs="仿宋"/>
                <w:color w:val="auto"/>
                <w:kern w:val="0"/>
                <w:sz w:val="21"/>
                <w:szCs w:val="21"/>
                <w:lang w:eastAsia="zh-CN"/>
              </w:rPr>
              <w:t>遴选文件</w:t>
            </w:r>
            <w:r>
              <w:rPr>
                <w:rFonts w:hint="eastAsia" w:ascii="仿宋" w:hAnsi="仿宋" w:eastAsia="仿宋" w:cs="仿宋"/>
                <w:color w:val="auto"/>
                <w:kern w:val="0"/>
                <w:sz w:val="21"/>
                <w:szCs w:val="21"/>
              </w:rPr>
              <w:t>要求且投标价格最低的投标报价为评标基准价，其价格分为满分。其他投标人的价格分统一按照下列公式计算：</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0" w:right="0"/>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投标报价得分=</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t>评标基准价/投标报价</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t>×分值</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00" w:lineRule="exact"/>
              <w:ind w:left="0" w:right="0"/>
              <w:jc w:val="left"/>
              <w:textAlignment w:val="auto"/>
              <w:rPr>
                <w:rFonts w:hint="eastAsia" w:ascii="仿宋" w:hAnsi="仿宋" w:eastAsia="仿宋" w:cs="仿宋"/>
                <w:bCs/>
                <w:color w:val="auto"/>
                <w:sz w:val="21"/>
                <w:szCs w:val="21"/>
              </w:rPr>
            </w:pPr>
            <w:r>
              <w:rPr>
                <w:rFonts w:hint="eastAsia" w:ascii="仿宋" w:hAnsi="仿宋" w:eastAsia="仿宋" w:cs="仿宋"/>
                <w:bCs/>
                <w:color w:val="auto"/>
                <w:sz w:val="21"/>
                <w:szCs w:val="21"/>
              </w:rPr>
              <w:t>备注：</w:t>
            </w:r>
          </w:p>
          <w:p>
            <w:pPr>
              <w:keepNext w:val="0"/>
              <w:keepLines w:val="0"/>
              <w:pageBreakBefore w:val="0"/>
              <w:widowControl/>
              <w:suppressLineNumbers w:val="0"/>
              <w:kinsoku/>
              <w:overflowPunct/>
              <w:topLinePunct w:val="0"/>
              <w:bidi w:val="0"/>
              <w:adjustRightInd w:val="0"/>
              <w:snapToGrid w:val="0"/>
              <w:spacing w:before="0" w:beforeAutospacing="0" w:after="0" w:afterAutospacing="0" w:line="300" w:lineRule="exact"/>
              <w:ind w:left="0" w:right="0"/>
              <w:jc w:val="left"/>
              <w:textAlignment w:val="auto"/>
              <w:rPr>
                <w:rFonts w:hint="eastAsia" w:ascii="仿宋" w:hAnsi="仿宋" w:eastAsia="仿宋" w:cs="仿宋"/>
                <w:color w:val="auto"/>
                <w:sz w:val="21"/>
                <w:szCs w:val="21"/>
              </w:rPr>
            </w:pPr>
            <w:r>
              <w:rPr>
                <w:rFonts w:hint="eastAsia" w:ascii="仿宋" w:hAnsi="仿宋" w:eastAsia="仿宋" w:cs="仿宋"/>
                <w:bCs/>
                <w:color w:val="auto"/>
                <w:sz w:val="21"/>
                <w:szCs w:val="21"/>
                <w:lang w:val="en-US" w:eastAsia="zh-CN"/>
              </w:rPr>
              <w:t>2.</w:t>
            </w:r>
            <w:r>
              <w:rPr>
                <w:rFonts w:hint="eastAsia" w:ascii="仿宋" w:hAnsi="仿宋" w:eastAsia="仿宋" w:cs="仿宋"/>
                <w:bCs/>
                <w:color w:val="auto"/>
                <w:sz w:val="21"/>
                <w:szCs w:val="21"/>
              </w:rPr>
              <w:t>投标报价得分四舍五入后，</w:t>
            </w:r>
            <w:r>
              <w:rPr>
                <w:rFonts w:hint="eastAsia" w:ascii="仿宋" w:hAnsi="仿宋" w:eastAsia="仿宋" w:cs="仿宋"/>
                <w:color w:val="auto"/>
                <w:sz w:val="21"/>
                <w:szCs w:val="21"/>
              </w:rPr>
              <w:t>小数点后保留两位有效数</w:t>
            </w:r>
            <w:r>
              <w:rPr>
                <w:rFonts w:hint="eastAsia" w:ascii="仿宋" w:hAnsi="仿宋" w:eastAsia="仿宋" w:cs="仿宋"/>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2"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482" w:type="pct"/>
            <w:vMerge w:val="restar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lang w:val="en-US"/>
              </w:rPr>
            </w:pPr>
            <w:r>
              <w:rPr>
                <w:rFonts w:hint="eastAsia" w:ascii="仿宋" w:hAnsi="仿宋" w:eastAsia="仿宋" w:cs="仿宋"/>
                <w:color w:val="auto"/>
                <w:sz w:val="21"/>
                <w:szCs w:val="21"/>
              </w:rPr>
              <w:t>企业实力</w:t>
            </w:r>
          </w:p>
        </w:tc>
        <w:tc>
          <w:tcPr>
            <w:tcW w:w="552"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企业资质</w:t>
            </w:r>
          </w:p>
        </w:tc>
        <w:tc>
          <w:tcPr>
            <w:tcW w:w="413"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3329" w:type="pct"/>
            <w:vAlign w:val="center"/>
          </w:tcPr>
          <w:p>
            <w:pPr>
              <w:keepNext w:val="0"/>
              <w:keepLines w:val="0"/>
              <w:pageBreakBefore w:val="0"/>
              <w:suppressLineNumbers w:val="0"/>
              <w:kinsoku/>
              <w:overflowPunct/>
              <w:topLinePunct w:val="0"/>
              <w:bidi w:val="0"/>
              <w:snapToGrid/>
              <w:spacing w:before="0" w:beforeAutospacing="0" w:after="0" w:afterAutospacing="0" w:line="300" w:lineRule="exact"/>
              <w:ind w:left="0" w:right="0"/>
              <w:textAlignment w:val="auto"/>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rPr>
              <w:t>（一）评</w:t>
            </w:r>
            <w:r>
              <w:rPr>
                <w:rFonts w:hint="eastAsia" w:ascii="仿宋" w:hAnsi="仿宋" w:eastAsia="仿宋" w:cs="仿宋"/>
                <w:b/>
                <w:bCs/>
                <w:color w:val="auto"/>
                <w:sz w:val="21"/>
                <w:szCs w:val="21"/>
                <w:lang w:val="en-US" w:eastAsia="zh-CN"/>
              </w:rPr>
              <w:t>分</w:t>
            </w:r>
            <w:r>
              <w:rPr>
                <w:rFonts w:hint="eastAsia" w:ascii="仿宋" w:hAnsi="仿宋" w:eastAsia="仿宋" w:cs="仿宋"/>
                <w:b/>
                <w:bCs/>
                <w:color w:val="auto"/>
                <w:sz w:val="21"/>
                <w:szCs w:val="21"/>
              </w:rPr>
              <w:t>内容：</w:t>
            </w:r>
          </w:p>
          <w:p>
            <w:pPr>
              <w:keepNext w:val="0"/>
              <w:keepLines w:val="0"/>
              <w:pageBreakBefore w:val="0"/>
              <w:widowControl w:val="0"/>
              <w:numPr>
                <w:ilvl w:val="0"/>
                <w:numId w:val="0"/>
              </w:numPr>
              <w:suppressLineNumbers w:val="0"/>
              <w:tabs>
                <w:tab w:val="left" w:pos="1431"/>
              </w:tabs>
              <w:kinsoku/>
              <w:overflowPunct/>
              <w:topLinePunct w:val="0"/>
              <w:bidi w:val="0"/>
              <w:spacing w:before="0" w:beforeAutospacing="0" w:after="0" w:afterAutospacing="0" w:line="300" w:lineRule="exact"/>
              <w:ind w:left="0" w:right="0" w:rightChars="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1.同时具有质量管理体系认证证书、环境管理体系认证证书、职业健康管理体系认证的，得1分；</w:t>
            </w:r>
          </w:p>
          <w:p>
            <w:pPr>
              <w:keepNext w:val="0"/>
              <w:keepLines w:val="0"/>
              <w:pageBreakBefore w:val="0"/>
              <w:widowControl w:val="0"/>
              <w:numPr>
                <w:ilvl w:val="0"/>
                <w:numId w:val="0"/>
              </w:numPr>
              <w:suppressLineNumbers w:val="0"/>
              <w:tabs>
                <w:tab w:val="left" w:pos="1431"/>
              </w:tabs>
              <w:kinsoku/>
              <w:overflowPunct/>
              <w:topLinePunct w:val="0"/>
              <w:bidi w:val="0"/>
              <w:spacing w:before="0" w:beforeAutospacing="0" w:after="0" w:afterAutospacing="0" w:line="300" w:lineRule="exact"/>
              <w:ind w:left="0" w:right="0" w:rightChars="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2.具有与招标代理相关的计算机软件著作权登记证书的，得1分；</w:t>
            </w:r>
          </w:p>
          <w:p>
            <w:pPr>
              <w:keepNext w:val="0"/>
              <w:keepLines w:val="0"/>
              <w:pageBreakBefore w:val="0"/>
              <w:widowControl w:val="0"/>
              <w:numPr>
                <w:ilvl w:val="0"/>
                <w:numId w:val="0"/>
              </w:numPr>
              <w:suppressLineNumbers w:val="0"/>
              <w:tabs>
                <w:tab w:val="left" w:pos="1431"/>
              </w:tabs>
              <w:kinsoku/>
              <w:overflowPunct/>
              <w:topLinePunct w:val="0"/>
              <w:bidi w:val="0"/>
              <w:spacing w:before="0" w:beforeAutospacing="0" w:after="0" w:afterAutospacing="0" w:line="300" w:lineRule="exact"/>
              <w:ind w:left="0" w:right="0" w:rightChars="0"/>
              <w:jc w:val="both"/>
              <w:textAlignment w:val="auto"/>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color w:val="auto"/>
                <w:sz w:val="21"/>
                <w:szCs w:val="21"/>
                <w:lang w:val="en-US" w:eastAsia="zh-CN"/>
              </w:rPr>
              <w:t>3.投标人</w:t>
            </w:r>
            <w:r>
              <w:rPr>
                <w:rFonts w:hint="eastAsia" w:ascii="仿宋" w:hAnsi="仿宋" w:eastAsia="仿宋" w:cs="仿宋"/>
                <w:b w:val="0"/>
                <w:bCs w:val="0"/>
                <w:color w:val="auto"/>
                <w:kern w:val="0"/>
                <w:sz w:val="21"/>
                <w:szCs w:val="21"/>
                <w:lang w:val="en-US" w:eastAsia="zh-CN" w:bidi="ar"/>
              </w:rPr>
              <w:t>在深圳市住房和建设局官网备案或属于深圳市</w:t>
            </w:r>
            <w:r>
              <w:rPr>
                <w:rFonts w:hint="eastAsia" w:ascii="仿宋" w:hAnsi="仿宋" w:eastAsia="仿宋" w:cs="仿宋"/>
                <w:b w:val="0"/>
                <w:bCs w:val="0"/>
                <w:color w:val="auto"/>
                <w:kern w:val="0"/>
                <w:sz w:val="21"/>
                <w:szCs w:val="21"/>
                <w:lang w:eastAsia="zh-CN" w:bidi="ar"/>
              </w:rPr>
              <w:t>政府部门指定的</w:t>
            </w:r>
            <w:r>
              <w:rPr>
                <w:rFonts w:hint="eastAsia" w:ascii="仿宋" w:hAnsi="仿宋" w:eastAsia="仿宋" w:cs="仿宋"/>
                <w:b w:val="0"/>
                <w:bCs w:val="0"/>
                <w:color w:val="auto"/>
                <w:kern w:val="0"/>
                <w:sz w:val="21"/>
                <w:szCs w:val="21"/>
                <w:lang w:val="en-US" w:eastAsia="zh-CN" w:bidi="ar"/>
              </w:rPr>
              <w:t>信息发布媒体，得1分。</w:t>
            </w:r>
          </w:p>
          <w:p>
            <w:pPr>
              <w:keepNext w:val="0"/>
              <w:keepLines w:val="0"/>
              <w:pageBreakBefore w:val="0"/>
              <w:widowControl/>
              <w:numPr>
                <w:ilvl w:val="-1"/>
                <w:numId w:val="0"/>
              </w:numPr>
              <w:suppressLineNumbers w:val="0"/>
              <w:kinsoku/>
              <w:overflowPunct/>
              <w:topLinePunct w:val="0"/>
              <w:bidi w:val="0"/>
              <w:spacing w:before="0" w:beforeAutospacing="0" w:after="0" w:afterAutospacing="0" w:line="300" w:lineRule="exact"/>
              <w:ind w:left="0" w:right="0"/>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本项最高3分。</w:t>
            </w:r>
          </w:p>
          <w:p>
            <w:pPr>
              <w:pStyle w:val="29"/>
              <w:keepNext w:val="0"/>
              <w:keepLines w:val="0"/>
              <w:pageBreakBefore w:val="0"/>
              <w:suppressLineNumbers w:val="0"/>
              <w:kinsoku/>
              <w:overflowPunct/>
              <w:topLinePunct w:val="0"/>
              <w:bidi w:val="0"/>
              <w:snapToGrid/>
              <w:spacing w:before="0" w:beforeAutospacing="0" w:after="0" w:afterAutospacing="0" w:line="300" w:lineRule="exact"/>
              <w:ind w:left="0" w:leftChars="0" w:right="0" w:firstLine="0" w:firstLineChars="0"/>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（二）评</w:t>
            </w:r>
            <w:r>
              <w:rPr>
                <w:rFonts w:hint="eastAsia" w:ascii="仿宋" w:hAnsi="仿宋" w:eastAsia="仿宋" w:cs="仿宋"/>
                <w:b/>
                <w:bCs/>
                <w:color w:val="auto"/>
                <w:sz w:val="21"/>
                <w:szCs w:val="21"/>
                <w:lang w:val="en-US" w:eastAsia="zh-CN"/>
              </w:rPr>
              <w:t>分依据</w:t>
            </w:r>
            <w:r>
              <w:rPr>
                <w:rFonts w:hint="eastAsia" w:ascii="仿宋" w:hAnsi="仿宋" w:eastAsia="仿宋" w:cs="仿宋"/>
                <w:b/>
                <w:bCs/>
                <w:color w:val="auto"/>
                <w:sz w:val="21"/>
                <w:szCs w:val="21"/>
              </w:rPr>
              <w:t>：</w:t>
            </w:r>
          </w:p>
          <w:p>
            <w:pPr>
              <w:keepNext w:val="0"/>
              <w:keepLines w:val="0"/>
              <w:pageBreakBefore w:val="0"/>
              <w:widowControl w:val="0"/>
              <w:numPr>
                <w:ilvl w:val="0"/>
                <w:numId w:val="0"/>
              </w:numPr>
              <w:suppressLineNumbers w:val="0"/>
              <w:tabs>
                <w:tab w:val="left" w:pos="1431"/>
              </w:tabs>
              <w:kinsoku/>
              <w:overflowPunct/>
              <w:topLinePunct w:val="0"/>
              <w:bidi w:val="0"/>
              <w:spacing w:before="0" w:beforeAutospacing="0" w:after="0" w:afterAutospacing="0" w:line="300" w:lineRule="exact"/>
              <w:ind w:left="0" w:right="0" w:rightChars="0"/>
              <w:jc w:val="both"/>
              <w:textAlignment w:val="auto"/>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1.提供有效期内的相关体系认证证书扫描件加盖公章，体系认证证书还需提供全国认证认可信息公共服务平台（认e云）（http://cx.cnca.cn/）的认证信息截图（截图需显示证书状态为有效；如处于证书办理延续期间，需提供延续受理回执证明）。</w:t>
            </w:r>
          </w:p>
          <w:p>
            <w:pPr>
              <w:keepNext w:val="0"/>
              <w:keepLines w:val="0"/>
              <w:pageBreakBefore w:val="0"/>
              <w:widowControl w:val="0"/>
              <w:numPr>
                <w:ilvl w:val="0"/>
                <w:numId w:val="0"/>
              </w:numPr>
              <w:suppressLineNumbers w:val="0"/>
              <w:tabs>
                <w:tab w:val="left" w:pos="1431"/>
              </w:tabs>
              <w:kinsoku/>
              <w:overflowPunct/>
              <w:topLinePunct w:val="0"/>
              <w:bidi w:val="0"/>
              <w:spacing w:before="0" w:beforeAutospacing="0" w:after="0" w:afterAutospacing="0" w:line="300" w:lineRule="exact"/>
              <w:ind w:left="0" w:right="0" w:rightChars="0"/>
              <w:jc w:val="both"/>
              <w:textAlignment w:val="auto"/>
              <w:rPr>
                <w:rFonts w:hint="eastAsia" w:ascii="仿宋" w:hAnsi="仿宋" w:eastAsia="仿宋" w:cs="仿宋"/>
                <w:b w:val="0"/>
                <w:bCs w:val="0"/>
                <w:color w:val="auto"/>
                <w:kern w:val="0"/>
                <w:sz w:val="21"/>
                <w:szCs w:val="21"/>
                <w:lang w:val="en-US" w:eastAsia="zh-CN" w:bidi="ar"/>
              </w:rPr>
            </w:pPr>
            <w:r>
              <w:rPr>
                <w:rFonts w:hint="eastAsia" w:ascii="仿宋" w:hAnsi="仿宋" w:eastAsia="仿宋" w:cs="仿宋"/>
                <w:b w:val="0"/>
                <w:bCs w:val="0"/>
                <w:color w:val="auto"/>
                <w:kern w:val="0"/>
                <w:sz w:val="21"/>
                <w:szCs w:val="21"/>
                <w:lang w:val="en-US" w:eastAsia="zh-CN" w:bidi="ar"/>
              </w:rPr>
              <w:t>2.软件著作权证书为自有的：提供软件著作权证书盖章复印件（著作权人须为投标人）；软件著作权证书为购买或租赁的：提供软件著作权证书盖章复印件（著作权人须为出售/出租方）、购买（或租赁）合同、购买（或租赁）发票。</w:t>
            </w:r>
          </w:p>
          <w:p>
            <w:pPr>
              <w:keepNext w:val="0"/>
              <w:keepLines w:val="0"/>
              <w:pageBreakBefore w:val="0"/>
              <w:widowControl w:val="0"/>
              <w:numPr>
                <w:ilvl w:val="0"/>
                <w:numId w:val="0"/>
              </w:numPr>
              <w:suppressLineNumbers w:val="0"/>
              <w:tabs>
                <w:tab w:val="left" w:pos="1431"/>
              </w:tabs>
              <w:kinsoku/>
              <w:overflowPunct/>
              <w:topLinePunct w:val="0"/>
              <w:bidi w:val="0"/>
              <w:spacing w:before="0" w:beforeAutospacing="0" w:after="0" w:afterAutospacing="0" w:line="300" w:lineRule="exact"/>
              <w:ind w:left="0" w:right="0" w:rightChars="0"/>
              <w:jc w:val="both"/>
              <w:textAlignment w:val="auto"/>
              <w:rPr>
                <w:rFonts w:hint="eastAsia" w:ascii="仿宋" w:hAnsi="仿宋" w:eastAsia="仿宋" w:cs="仿宋"/>
                <w:color w:val="auto"/>
                <w:sz w:val="21"/>
                <w:szCs w:val="21"/>
                <w:lang w:eastAsia="zh-CN"/>
              </w:rPr>
            </w:pPr>
            <w:r>
              <w:rPr>
                <w:rFonts w:hint="eastAsia" w:ascii="仿宋" w:hAnsi="仿宋" w:eastAsia="仿宋" w:cs="仿宋"/>
                <w:b w:val="0"/>
                <w:bCs w:val="0"/>
                <w:color w:val="auto"/>
                <w:kern w:val="0"/>
                <w:sz w:val="21"/>
                <w:szCs w:val="21"/>
                <w:lang w:val="en-US" w:eastAsia="zh-CN" w:bidi="ar"/>
              </w:rPr>
              <w:t>3.提供官网备案截图或其他相关证明材料。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22"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w:t>
            </w:r>
          </w:p>
        </w:tc>
        <w:tc>
          <w:tcPr>
            <w:tcW w:w="482" w:type="pct"/>
            <w:vMerge w:val="continue"/>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rPr>
            </w:pPr>
          </w:p>
        </w:tc>
        <w:tc>
          <w:tcPr>
            <w:tcW w:w="552"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场地</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条件</w:t>
            </w:r>
          </w:p>
        </w:tc>
        <w:tc>
          <w:tcPr>
            <w:tcW w:w="413"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5</w:t>
            </w:r>
          </w:p>
        </w:tc>
        <w:tc>
          <w:tcPr>
            <w:tcW w:w="3329" w:type="pct"/>
            <w:vAlign w:val="center"/>
          </w:tcPr>
          <w:p>
            <w:pPr>
              <w:keepNext w:val="0"/>
              <w:keepLines w:val="0"/>
              <w:pageBreakBefore w:val="0"/>
              <w:suppressLineNumbers w:val="0"/>
              <w:kinsoku/>
              <w:overflowPunct/>
              <w:topLinePunct w:val="0"/>
              <w:bidi w:val="0"/>
              <w:snapToGrid/>
              <w:spacing w:before="0" w:beforeAutospacing="0" w:after="0" w:afterAutospacing="0" w:line="300" w:lineRule="exact"/>
              <w:ind w:left="0" w:right="0"/>
              <w:textAlignment w:val="auto"/>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rPr>
              <w:t>（一）评</w:t>
            </w:r>
            <w:r>
              <w:rPr>
                <w:rFonts w:hint="eastAsia" w:ascii="仿宋" w:hAnsi="仿宋" w:eastAsia="仿宋" w:cs="仿宋"/>
                <w:b/>
                <w:bCs/>
                <w:color w:val="auto"/>
                <w:sz w:val="21"/>
                <w:szCs w:val="21"/>
                <w:lang w:val="en-US" w:eastAsia="zh-CN"/>
              </w:rPr>
              <w:t>分</w:t>
            </w:r>
            <w:r>
              <w:rPr>
                <w:rFonts w:hint="eastAsia" w:ascii="仿宋" w:hAnsi="仿宋" w:eastAsia="仿宋" w:cs="仿宋"/>
                <w:b/>
                <w:bCs/>
                <w:color w:val="auto"/>
                <w:sz w:val="21"/>
                <w:szCs w:val="21"/>
              </w:rPr>
              <w:t>内容：</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开评标场地位于深圳市</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深圳市内开评标房间数量</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间的，得1</w:t>
            </w:r>
            <w:r>
              <w:rPr>
                <w:rFonts w:hint="eastAsia" w:ascii="仿宋" w:hAnsi="仿宋" w:eastAsia="仿宋" w:cs="仿宋"/>
                <w:color w:val="auto"/>
                <w:sz w:val="21"/>
                <w:szCs w:val="21"/>
              </w:rPr>
              <w:t>分；</w:t>
            </w:r>
            <w:r>
              <w:rPr>
                <w:rFonts w:hint="eastAsia" w:ascii="仿宋" w:hAnsi="仿宋" w:eastAsia="仿宋" w:cs="仿宋"/>
                <w:color w:val="auto"/>
                <w:sz w:val="21"/>
                <w:szCs w:val="21"/>
                <w:lang w:val="en-US" w:eastAsia="zh-CN"/>
              </w:rPr>
              <w:t>每增加1间得1分，此项满分4分。</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2.在深圳市拥有独立的档案室，</w:t>
            </w:r>
            <w:r>
              <w:rPr>
                <w:rFonts w:hint="eastAsia" w:ascii="仿宋" w:hAnsi="仿宋" w:eastAsia="仿宋" w:cs="仿宋"/>
                <w:color w:val="auto"/>
                <w:sz w:val="21"/>
                <w:szCs w:val="21"/>
              </w:rPr>
              <w:t>得1分</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此项满分1分。</w:t>
            </w:r>
          </w:p>
          <w:p>
            <w:pPr>
              <w:pStyle w:val="29"/>
              <w:keepNext w:val="0"/>
              <w:keepLines w:val="0"/>
              <w:pageBreakBefore w:val="0"/>
              <w:suppressLineNumbers w:val="0"/>
              <w:kinsoku/>
              <w:overflowPunct/>
              <w:topLinePunct w:val="0"/>
              <w:bidi w:val="0"/>
              <w:snapToGrid/>
              <w:spacing w:before="0" w:beforeAutospacing="0" w:after="0" w:afterAutospacing="0" w:line="300" w:lineRule="exact"/>
              <w:ind w:left="0" w:leftChars="0" w:right="0" w:firstLine="0" w:firstLineChars="0"/>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（二）评</w:t>
            </w:r>
            <w:r>
              <w:rPr>
                <w:rFonts w:hint="eastAsia" w:ascii="仿宋" w:hAnsi="仿宋" w:eastAsia="仿宋" w:cs="仿宋"/>
                <w:b/>
                <w:bCs/>
                <w:color w:val="auto"/>
                <w:sz w:val="21"/>
                <w:szCs w:val="21"/>
                <w:lang w:val="en-US" w:eastAsia="zh-CN"/>
              </w:rPr>
              <w:t>分依据</w:t>
            </w:r>
            <w:r>
              <w:rPr>
                <w:rFonts w:hint="eastAsia" w:ascii="仿宋" w:hAnsi="仿宋" w:eastAsia="仿宋" w:cs="仿宋"/>
                <w:b/>
                <w:bCs/>
                <w:color w:val="auto"/>
                <w:sz w:val="21"/>
                <w:szCs w:val="21"/>
              </w:rPr>
              <w:t>：</w:t>
            </w:r>
          </w:p>
          <w:p>
            <w:pPr>
              <w:pStyle w:val="7"/>
              <w:keepNext w:val="0"/>
              <w:keepLines w:val="0"/>
              <w:pageBreakBefore w:val="0"/>
              <w:suppressLineNumbers w:val="0"/>
              <w:kinsoku/>
              <w:overflowPunct/>
              <w:topLinePunct w:val="0"/>
              <w:bidi w:val="0"/>
              <w:spacing w:before="0" w:beforeAutospacing="0" w:after="0" w:afterAutospacing="0" w:line="300" w:lineRule="exact"/>
              <w:ind w:left="0" w:right="0"/>
              <w:textAlignment w:val="auto"/>
              <w:rPr>
                <w:rFonts w:hint="eastAsia" w:ascii="仿宋" w:hAnsi="仿宋" w:eastAsia="仿宋" w:cs="仿宋"/>
                <w:color w:val="auto"/>
                <w:sz w:val="21"/>
                <w:szCs w:val="21"/>
                <w:lang w:eastAsia="zh-CN"/>
              </w:rPr>
            </w:pPr>
            <w:r>
              <w:rPr>
                <w:rFonts w:hint="eastAsia" w:ascii="仿宋" w:hAnsi="仿宋" w:eastAsia="仿宋" w:cs="仿宋"/>
                <w:color w:val="auto"/>
                <w:kern w:val="2"/>
                <w:sz w:val="21"/>
                <w:szCs w:val="21"/>
                <w:highlight w:val="none"/>
                <w:shd w:val="clear" w:color="auto" w:fill="auto"/>
                <w:lang w:val="en-US" w:eastAsia="zh-CN" w:bidi="ar-SA"/>
              </w:rPr>
              <w:t>提供有效的场地租赁合同关键页或产权证明或合法使用证明及场地实拍图加盖</w:t>
            </w:r>
            <w:r>
              <w:rPr>
                <w:rFonts w:hint="eastAsia" w:ascii="仿宋" w:hAnsi="仿宋" w:eastAsia="仿宋" w:cs="仿宋"/>
                <w:i w:val="0"/>
                <w:iCs w:val="0"/>
                <w:caps w:val="0"/>
                <w:color w:val="auto"/>
                <w:spacing w:val="0"/>
                <w:kern w:val="2"/>
                <w:sz w:val="21"/>
                <w:szCs w:val="21"/>
                <w:highlight w:val="none"/>
                <w:shd w:val="clear" w:color="auto" w:fill="auto"/>
              </w:rPr>
              <w:t>投标人公章</w:t>
            </w:r>
            <w:r>
              <w:rPr>
                <w:rFonts w:hint="eastAsia" w:ascii="仿宋" w:hAnsi="仿宋" w:eastAsia="仿宋" w:cs="仿宋"/>
                <w:i w:val="0"/>
                <w:iCs w:val="0"/>
                <w:caps w:val="0"/>
                <w:color w:val="auto"/>
                <w:spacing w:val="0"/>
                <w:kern w:val="2"/>
                <w:sz w:val="21"/>
                <w:szCs w:val="21"/>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2"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482" w:type="pct"/>
            <w:vMerge w:val="continue"/>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rPr>
            </w:pPr>
          </w:p>
        </w:tc>
        <w:tc>
          <w:tcPr>
            <w:tcW w:w="552"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拟安排的项目负责人（仅限一人）</w:t>
            </w:r>
          </w:p>
        </w:tc>
        <w:tc>
          <w:tcPr>
            <w:tcW w:w="413"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3329" w:type="pct"/>
            <w:vAlign w:val="center"/>
          </w:tcPr>
          <w:p>
            <w:pPr>
              <w:keepNext w:val="0"/>
              <w:keepLines w:val="0"/>
              <w:pageBreakBefore w:val="0"/>
              <w:suppressLineNumbers w:val="0"/>
              <w:kinsoku/>
              <w:overflowPunct/>
              <w:topLinePunct w:val="0"/>
              <w:bidi w:val="0"/>
              <w:snapToGrid/>
              <w:spacing w:before="0" w:beforeAutospacing="0" w:after="0" w:afterAutospacing="0" w:line="300" w:lineRule="exact"/>
              <w:ind w:left="0" w:right="0"/>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（一）评</w:t>
            </w:r>
            <w:r>
              <w:rPr>
                <w:rFonts w:hint="eastAsia" w:ascii="仿宋" w:hAnsi="仿宋" w:eastAsia="仿宋" w:cs="仿宋"/>
                <w:b/>
                <w:bCs/>
                <w:color w:val="auto"/>
                <w:sz w:val="21"/>
                <w:szCs w:val="21"/>
                <w:lang w:val="en-US" w:eastAsia="zh-CN"/>
              </w:rPr>
              <w:t>分</w:t>
            </w:r>
            <w:r>
              <w:rPr>
                <w:rFonts w:hint="eastAsia" w:ascii="仿宋" w:hAnsi="仿宋" w:eastAsia="仿宋" w:cs="仿宋"/>
                <w:b/>
                <w:bCs/>
                <w:color w:val="auto"/>
                <w:sz w:val="21"/>
                <w:szCs w:val="21"/>
              </w:rPr>
              <w:t>内容：</w:t>
            </w:r>
          </w:p>
          <w:p>
            <w:pPr>
              <w:keepNext w:val="0"/>
              <w:keepLines w:val="0"/>
              <w:pageBreakBefore w:val="0"/>
              <w:numPr>
                <w:ilvl w:val="0"/>
                <w:numId w:val="0"/>
              </w:numPr>
              <w:suppressLineNumbers w:val="0"/>
              <w:kinsoku/>
              <w:overflowPunct/>
              <w:topLinePunct w:val="0"/>
              <w:autoSpaceDE w:val="0"/>
              <w:autoSpaceDN w:val="0"/>
              <w:bidi w:val="0"/>
              <w:adjustRightInd w:val="0"/>
              <w:spacing w:before="0" w:beforeAutospacing="0" w:after="0" w:afterAutospacing="0" w:line="300" w:lineRule="exact"/>
              <w:ind w:left="0" w:right="0"/>
              <w:textAlignment w:val="auto"/>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投标人为本项目配备的项目负责人</w:t>
            </w:r>
            <w:r>
              <w:rPr>
                <w:rFonts w:hint="eastAsia" w:ascii="仿宋" w:hAnsi="仿宋" w:eastAsia="仿宋" w:cs="仿宋"/>
                <w:color w:val="auto"/>
                <w:sz w:val="21"/>
                <w:szCs w:val="21"/>
                <w:highlight w:val="none"/>
                <w:lang w:val="zh-CN"/>
              </w:rPr>
              <w:t>（仅1人），</w:t>
            </w:r>
            <w:r>
              <w:rPr>
                <w:rFonts w:hint="eastAsia" w:ascii="仿宋" w:hAnsi="仿宋" w:eastAsia="仿宋" w:cs="仿宋"/>
                <w:b w:val="0"/>
                <w:bCs w:val="0"/>
                <w:color w:val="auto"/>
                <w:kern w:val="0"/>
                <w:sz w:val="21"/>
                <w:szCs w:val="21"/>
                <w:highlight w:val="none"/>
              </w:rPr>
              <w:t>为投标人自有员工，具有以下证书：</w:t>
            </w:r>
          </w:p>
          <w:p>
            <w:pPr>
              <w:keepNext w:val="0"/>
              <w:keepLines w:val="0"/>
              <w:pageBreakBefore w:val="0"/>
              <w:numPr>
                <w:ilvl w:val="0"/>
                <w:numId w:val="0"/>
              </w:numPr>
              <w:suppressLineNumbers w:val="0"/>
              <w:kinsoku/>
              <w:overflowPunct/>
              <w:topLinePunct w:val="0"/>
              <w:autoSpaceDE w:val="0"/>
              <w:autoSpaceDN w:val="0"/>
              <w:bidi w:val="0"/>
              <w:adjustRightInd w:val="0"/>
              <w:spacing w:before="0" w:beforeAutospacing="0" w:after="0" w:afterAutospacing="0" w:line="300" w:lineRule="exact"/>
              <w:ind w:left="0" w:right="0"/>
              <w:textAlignment w:val="auto"/>
              <w:rPr>
                <w:rFonts w:hint="eastAsia" w:ascii="仿宋" w:hAnsi="仿宋" w:eastAsia="仿宋" w:cs="仿宋"/>
                <w:b w:val="0"/>
                <w:bCs w:val="0"/>
                <w:color w:val="auto"/>
                <w:kern w:val="0"/>
                <w:sz w:val="21"/>
                <w:szCs w:val="21"/>
                <w:highlight w:val="none"/>
                <w:lang w:eastAsia="zh-CN"/>
              </w:rPr>
            </w:pPr>
            <w:r>
              <w:rPr>
                <w:rFonts w:hint="eastAsia" w:ascii="仿宋" w:hAnsi="仿宋" w:eastAsia="仿宋" w:cs="仿宋"/>
                <w:b w:val="0"/>
                <w:bCs w:val="0"/>
                <w:color w:val="auto"/>
                <w:kern w:val="0"/>
                <w:sz w:val="21"/>
                <w:szCs w:val="21"/>
                <w:lang w:val="en-US" w:eastAsia="zh-CN" w:bidi="ar-SA"/>
              </w:rPr>
              <w:t>1.</w:t>
            </w:r>
            <w:r>
              <w:rPr>
                <w:rFonts w:hint="eastAsia" w:ascii="仿宋" w:hAnsi="仿宋" w:eastAsia="仿宋" w:cs="仿宋"/>
                <w:b w:val="0"/>
                <w:bCs w:val="0"/>
                <w:color w:val="auto"/>
                <w:kern w:val="0"/>
                <w:sz w:val="21"/>
                <w:szCs w:val="21"/>
                <w:highlight w:val="none"/>
                <w:lang w:val="en-US" w:eastAsia="zh-CN"/>
              </w:rPr>
              <w:t>具有本科学历或以上的，得2分</w:t>
            </w:r>
            <w:r>
              <w:rPr>
                <w:rFonts w:hint="eastAsia" w:ascii="仿宋" w:hAnsi="仿宋" w:eastAsia="仿宋" w:cs="仿宋"/>
                <w:b w:val="0"/>
                <w:bCs w:val="0"/>
                <w:color w:val="auto"/>
                <w:kern w:val="0"/>
                <w:sz w:val="21"/>
                <w:szCs w:val="21"/>
                <w:highlight w:val="none"/>
                <w:lang w:eastAsia="zh-CN"/>
              </w:rPr>
              <w:t>。</w:t>
            </w:r>
          </w:p>
          <w:p>
            <w:pPr>
              <w:keepNext w:val="0"/>
              <w:keepLines w:val="0"/>
              <w:pageBreakBefore w:val="0"/>
              <w:numPr>
                <w:ilvl w:val="0"/>
                <w:numId w:val="0"/>
              </w:numPr>
              <w:suppressLineNumbers w:val="0"/>
              <w:kinsoku/>
              <w:overflowPunct/>
              <w:topLinePunct w:val="0"/>
              <w:autoSpaceDE w:val="0"/>
              <w:autoSpaceDN w:val="0"/>
              <w:bidi w:val="0"/>
              <w:adjustRightInd w:val="0"/>
              <w:spacing w:before="0" w:beforeAutospacing="0" w:after="0" w:afterAutospacing="0" w:line="300" w:lineRule="exact"/>
              <w:ind w:left="0" w:right="0"/>
              <w:textAlignment w:val="auto"/>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lang w:val="en-US" w:eastAsia="zh-CN" w:bidi="ar-SA"/>
              </w:rPr>
              <w:t>2.</w:t>
            </w:r>
            <w:r>
              <w:rPr>
                <w:rFonts w:hint="eastAsia" w:ascii="仿宋" w:hAnsi="仿宋" w:eastAsia="仿宋" w:cs="仿宋"/>
                <w:color w:val="auto"/>
                <w:sz w:val="21"/>
                <w:szCs w:val="21"/>
                <w:highlight w:val="none"/>
                <w:lang w:val="en-US" w:eastAsia="zh-CN"/>
              </w:rPr>
              <w:t>具有中级及以上《招标采购从业人员专业技术能力评价证书》或中级及以上经济师技术职称或《采购师职业能力等级证书》的</w:t>
            </w:r>
            <w:r>
              <w:rPr>
                <w:rFonts w:hint="eastAsia" w:ascii="仿宋" w:hAnsi="仿宋" w:eastAsia="仿宋" w:cs="仿宋"/>
                <w:b w:val="0"/>
                <w:bCs w:val="0"/>
                <w:color w:val="auto"/>
                <w:kern w:val="0"/>
                <w:sz w:val="21"/>
                <w:szCs w:val="21"/>
                <w:highlight w:val="none"/>
                <w:lang w:val="en-US" w:eastAsia="zh-CN"/>
              </w:rPr>
              <w:t>，得1分。</w:t>
            </w:r>
          </w:p>
          <w:p>
            <w:pPr>
              <w:keepNext w:val="0"/>
              <w:keepLines w:val="0"/>
              <w:pageBreakBefore w:val="0"/>
              <w:numPr>
                <w:ilvl w:val="0"/>
                <w:numId w:val="0"/>
              </w:numPr>
              <w:suppressLineNumbers w:val="0"/>
              <w:kinsoku/>
              <w:overflowPunct/>
              <w:topLinePunct w:val="0"/>
              <w:autoSpaceDE w:val="0"/>
              <w:autoSpaceDN w:val="0"/>
              <w:bidi w:val="0"/>
              <w:adjustRightInd w:val="0"/>
              <w:spacing w:before="0" w:beforeAutospacing="0" w:after="0" w:afterAutospacing="0" w:line="300" w:lineRule="exact"/>
              <w:ind w:left="0" w:right="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3.具有5年或以上</w:t>
            </w:r>
            <w:r>
              <w:rPr>
                <w:rFonts w:hint="eastAsia" w:ascii="仿宋" w:hAnsi="仿宋" w:eastAsia="仿宋" w:cs="仿宋"/>
                <w:b w:val="0"/>
                <w:bCs w:val="0"/>
                <w:color w:val="auto"/>
                <w:kern w:val="0"/>
                <w:sz w:val="21"/>
                <w:szCs w:val="21"/>
              </w:rPr>
              <w:t>招标采购代理工作经验</w:t>
            </w:r>
            <w:r>
              <w:rPr>
                <w:rFonts w:hint="eastAsia" w:ascii="仿宋" w:hAnsi="仿宋" w:eastAsia="仿宋" w:cs="仿宋"/>
                <w:color w:val="auto"/>
                <w:sz w:val="21"/>
                <w:szCs w:val="21"/>
                <w:highlight w:val="none"/>
                <w:lang w:val="en-US" w:eastAsia="zh-CN"/>
              </w:rPr>
              <w:t>的，得1分，每增加1年得0.5分，本小项最高得2分。</w:t>
            </w:r>
          </w:p>
          <w:p>
            <w:pPr>
              <w:pStyle w:val="29"/>
              <w:keepNext w:val="0"/>
              <w:keepLines w:val="0"/>
              <w:pageBreakBefore w:val="0"/>
              <w:suppressLineNumbers w:val="0"/>
              <w:kinsoku/>
              <w:overflowPunct/>
              <w:topLinePunct w:val="0"/>
              <w:bidi w:val="0"/>
              <w:snapToGrid/>
              <w:spacing w:before="0" w:beforeAutospacing="0" w:after="0" w:afterAutospacing="0" w:line="300" w:lineRule="exact"/>
              <w:ind w:left="0" w:leftChars="0" w:right="0" w:firstLine="0" w:firstLineChars="0"/>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（二）评</w:t>
            </w:r>
            <w:r>
              <w:rPr>
                <w:rFonts w:hint="eastAsia" w:ascii="仿宋" w:hAnsi="仿宋" w:eastAsia="仿宋" w:cs="仿宋"/>
                <w:b/>
                <w:bCs/>
                <w:color w:val="auto"/>
                <w:sz w:val="21"/>
                <w:szCs w:val="21"/>
                <w:lang w:val="en-US" w:eastAsia="zh-CN"/>
              </w:rPr>
              <w:t>分依据</w:t>
            </w:r>
            <w:r>
              <w:rPr>
                <w:rFonts w:hint="eastAsia" w:ascii="仿宋" w:hAnsi="仿宋" w:eastAsia="仿宋" w:cs="仿宋"/>
                <w:b/>
                <w:bCs/>
                <w:color w:val="auto"/>
                <w:sz w:val="21"/>
                <w:szCs w:val="21"/>
              </w:rPr>
              <w:t>：</w:t>
            </w:r>
          </w:p>
          <w:p>
            <w:pPr>
              <w:keepNext w:val="0"/>
              <w:keepLines w:val="0"/>
              <w:pageBreakBefore w:val="0"/>
              <w:numPr>
                <w:ilvl w:val="0"/>
                <w:numId w:val="0"/>
              </w:numPr>
              <w:suppressLineNumbers w:val="0"/>
              <w:kinsoku/>
              <w:overflowPunct/>
              <w:topLinePunct w:val="0"/>
              <w:autoSpaceDE w:val="0"/>
              <w:autoSpaceDN w:val="0"/>
              <w:bidi w:val="0"/>
              <w:adjustRightInd w:val="0"/>
              <w:spacing w:before="0" w:beforeAutospacing="0" w:after="0" w:afterAutospacing="0" w:line="300" w:lineRule="exact"/>
              <w:ind w:left="0" w:right="0"/>
              <w:textAlignment w:val="auto"/>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1.提供学位或学历</w:t>
            </w:r>
          </w:p>
          <w:p>
            <w:pPr>
              <w:keepNext w:val="0"/>
              <w:keepLines w:val="0"/>
              <w:pageBreakBefore w:val="0"/>
              <w:numPr>
                <w:ilvl w:val="0"/>
                <w:numId w:val="0"/>
              </w:numPr>
              <w:suppressLineNumbers w:val="0"/>
              <w:kinsoku/>
              <w:overflowPunct/>
              <w:topLinePunct w:val="0"/>
              <w:autoSpaceDE w:val="0"/>
              <w:autoSpaceDN w:val="0"/>
              <w:bidi w:val="0"/>
              <w:adjustRightInd w:val="0"/>
              <w:spacing w:before="0" w:beforeAutospacing="0" w:after="0" w:afterAutospacing="0" w:line="300" w:lineRule="exact"/>
              <w:ind w:left="0" w:right="0"/>
              <w:textAlignment w:val="auto"/>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证书以及学信网查询记录；学信网无法查询的，可提供其他佐证材料：如毕业院校、人社部门等颁发机构或监管机构等单位出具的证明，留学归国人员如无法提供学信网查询记录截图，提供国（境）外学历证书（以及中文翻译件）和教育部留学服务中心出具的国外学历学位认证证书【或教育部留学服务中心网站（http://zwfw.cscse.edu.cn/）在线查询截图】也予以认可）。</w:t>
            </w:r>
          </w:p>
          <w:p>
            <w:pPr>
              <w:keepNext w:val="0"/>
              <w:keepLines w:val="0"/>
              <w:pageBreakBefore w:val="0"/>
              <w:numPr>
                <w:ilvl w:val="0"/>
                <w:numId w:val="0"/>
              </w:numPr>
              <w:suppressLineNumbers w:val="0"/>
              <w:kinsoku/>
              <w:overflowPunct/>
              <w:topLinePunct w:val="0"/>
              <w:autoSpaceDE w:val="0"/>
              <w:autoSpaceDN w:val="0"/>
              <w:bidi w:val="0"/>
              <w:adjustRightInd w:val="0"/>
              <w:spacing w:before="0" w:beforeAutospacing="0" w:after="0" w:afterAutospacing="0" w:line="300" w:lineRule="exact"/>
              <w:ind w:left="0" w:right="0"/>
              <w:textAlignment w:val="auto"/>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2.提供人员的资质证书复印件或扫描件。同一成员具有多种证书，不可重复得分。</w:t>
            </w:r>
          </w:p>
          <w:p>
            <w:pPr>
              <w:keepNext w:val="0"/>
              <w:keepLines w:val="0"/>
              <w:pageBreakBefore w:val="0"/>
              <w:numPr>
                <w:ilvl w:val="0"/>
                <w:numId w:val="0"/>
              </w:numPr>
              <w:suppressLineNumbers w:val="0"/>
              <w:kinsoku/>
              <w:overflowPunct/>
              <w:topLinePunct w:val="0"/>
              <w:autoSpaceDE w:val="0"/>
              <w:autoSpaceDN w:val="0"/>
              <w:bidi w:val="0"/>
              <w:adjustRightInd w:val="0"/>
              <w:spacing w:before="0" w:beforeAutospacing="0" w:after="0" w:afterAutospacing="0" w:line="300" w:lineRule="exact"/>
              <w:ind w:left="0" w:right="0"/>
              <w:textAlignment w:val="auto"/>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eastAsia="zh-CN"/>
              </w:rPr>
              <w:t>3</w:t>
            </w:r>
            <w:r>
              <w:rPr>
                <w:rFonts w:hint="eastAsia" w:ascii="仿宋" w:hAnsi="仿宋" w:eastAsia="仿宋" w:cs="仿宋"/>
                <w:b w:val="0"/>
                <w:bCs w:val="0"/>
                <w:color w:val="auto"/>
                <w:kern w:val="0"/>
                <w:sz w:val="21"/>
                <w:szCs w:val="21"/>
                <w:highlight w:val="none"/>
                <w:lang w:val="en-US" w:eastAsia="zh-CN"/>
              </w:rPr>
              <w:t>.涉及考察人员工作经验，要求提供项目合同或劳动合同关键信息（需体现相应工作经验年限）作为得分依据，通过合同关键信息无法判断是否得分的，可以提供其他证明文件（加盖公章或业务章）。</w:t>
            </w:r>
          </w:p>
          <w:p>
            <w:pPr>
              <w:keepNext w:val="0"/>
              <w:keepLines w:val="0"/>
              <w:pageBreakBefore w:val="0"/>
              <w:numPr>
                <w:ilvl w:val="0"/>
                <w:numId w:val="0"/>
              </w:numPr>
              <w:suppressLineNumbers w:val="0"/>
              <w:kinsoku/>
              <w:overflowPunct/>
              <w:topLinePunct w:val="0"/>
              <w:autoSpaceDE w:val="0"/>
              <w:autoSpaceDN w:val="0"/>
              <w:bidi w:val="0"/>
              <w:adjustRightInd w:val="0"/>
              <w:spacing w:before="0" w:beforeAutospacing="0" w:after="0" w:afterAutospacing="0" w:line="300" w:lineRule="exact"/>
              <w:ind w:left="0" w:right="0"/>
              <w:textAlignment w:val="auto"/>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eastAsia="zh-CN"/>
              </w:rPr>
              <w:t>4</w:t>
            </w:r>
            <w:r>
              <w:rPr>
                <w:rFonts w:hint="eastAsia" w:ascii="仿宋" w:hAnsi="仿宋" w:eastAsia="仿宋" w:cs="仿宋"/>
                <w:b w:val="0"/>
                <w:bCs w:val="0"/>
                <w:color w:val="auto"/>
                <w:kern w:val="0"/>
                <w:sz w:val="21"/>
                <w:szCs w:val="21"/>
                <w:highlight w:val="none"/>
                <w:lang w:val="en-US" w:eastAsia="zh-CN"/>
              </w:rPr>
              <w:t>.提供上述人员近一个月投标人为其购买的社保证明；如开标日上一个月的社保材料因社保部门或税务部门原因暂时无法取得，则可以往前顺延一个月；如投标方注册成立时间不足1个月的，可提供承诺函（格式自拟）。退休返聘人员提供相关人员退休证及劳动合同。</w:t>
            </w:r>
          </w:p>
          <w:p>
            <w:pPr>
              <w:keepNext w:val="0"/>
              <w:keepLines w:val="0"/>
              <w:pageBreakBefore w:val="0"/>
              <w:numPr>
                <w:ilvl w:val="0"/>
                <w:numId w:val="0"/>
              </w:numPr>
              <w:suppressLineNumbers w:val="0"/>
              <w:kinsoku/>
              <w:overflowPunct/>
              <w:topLinePunct w:val="0"/>
              <w:autoSpaceDE w:val="0"/>
              <w:autoSpaceDN w:val="0"/>
              <w:bidi w:val="0"/>
              <w:adjustRightInd w:val="0"/>
              <w:spacing w:before="0" w:beforeAutospacing="0" w:after="0" w:afterAutospacing="0" w:line="300" w:lineRule="exact"/>
              <w:ind w:left="0" w:right="0"/>
              <w:textAlignment w:val="auto"/>
              <w:rPr>
                <w:rFonts w:hint="eastAsia" w:ascii="仿宋" w:hAnsi="仿宋" w:eastAsia="仿宋" w:cs="仿宋"/>
                <w:color w:val="auto"/>
                <w:sz w:val="21"/>
                <w:szCs w:val="21"/>
                <w:lang w:val="en-US"/>
              </w:rPr>
            </w:pPr>
            <w:r>
              <w:rPr>
                <w:rFonts w:hint="eastAsia" w:ascii="仿宋" w:hAnsi="仿宋" w:eastAsia="仿宋" w:cs="仿宋"/>
                <w:b w:val="0"/>
                <w:bCs w:val="0"/>
                <w:color w:val="auto"/>
                <w:kern w:val="0"/>
                <w:sz w:val="21"/>
                <w:szCs w:val="21"/>
                <w:highlight w:val="none"/>
                <w:lang w:eastAsia="zh-CN"/>
              </w:rPr>
              <w:t>5</w:t>
            </w:r>
            <w:r>
              <w:rPr>
                <w:rFonts w:hint="eastAsia" w:ascii="仿宋" w:hAnsi="仿宋" w:eastAsia="仿宋" w:cs="仿宋"/>
                <w:b w:val="0"/>
                <w:bCs w:val="0"/>
                <w:color w:val="auto"/>
                <w:kern w:val="0"/>
                <w:sz w:val="21"/>
                <w:szCs w:val="21"/>
                <w:highlight w:val="none"/>
                <w:lang w:val="en-US" w:eastAsia="zh-CN"/>
              </w:rPr>
              <w:t>.以上证明文件原件备查，未按要求提供或提供不清晰、不完整导致专家无法判断的不得分。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22"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482" w:type="pct"/>
            <w:vMerge w:val="continue"/>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rPr>
            </w:pPr>
          </w:p>
        </w:tc>
        <w:tc>
          <w:tcPr>
            <w:tcW w:w="552"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拟安排的团队</w:t>
            </w:r>
            <w:r>
              <w:rPr>
                <w:rFonts w:hint="eastAsia" w:ascii="仿宋" w:hAnsi="仿宋" w:eastAsia="仿宋" w:cs="仿宋"/>
                <w:color w:val="auto"/>
                <w:sz w:val="21"/>
                <w:szCs w:val="21"/>
                <w:lang w:val="en-US" w:eastAsia="zh-CN"/>
              </w:rPr>
              <w:t>成员（项目</w:t>
            </w:r>
            <w:r>
              <w:rPr>
                <w:rFonts w:hint="eastAsia" w:ascii="仿宋" w:hAnsi="仿宋" w:eastAsia="仿宋" w:cs="仿宋"/>
                <w:color w:val="auto"/>
                <w:sz w:val="21"/>
                <w:szCs w:val="21"/>
              </w:rPr>
              <w:t>负责人</w:t>
            </w:r>
            <w:r>
              <w:rPr>
                <w:rFonts w:hint="eastAsia" w:ascii="仿宋" w:hAnsi="仿宋" w:eastAsia="仿宋" w:cs="仿宋"/>
                <w:color w:val="auto"/>
                <w:sz w:val="21"/>
                <w:szCs w:val="21"/>
                <w:lang w:val="en-US" w:eastAsia="zh-CN"/>
              </w:rPr>
              <w:t>除外）</w:t>
            </w:r>
          </w:p>
        </w:tc>
        <w:tc>
          <w:tcPr>
            <w:tcW w:w="413"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3329" w:type="pct"/>
            <w:vAlign w:val="center"/>
          </w:tcPr>
          <w:p>
            <w:pPr>
              <w:keepNext w:val="0"/>
              <w:keepLines w:val="0"/>
              <w:pageBreakBefore w:val="0"/>
              <w:suppressLineNumbers w:val="0"/>
              <w:kinsoku/>
              <w:overflowPunct/>
              <w:topLinePunct w:val="0"/>
              <w:bidi w:val="0"/>
              <w:snapToGrid/>
              <w:spacing w:before="0" w:beforeAutospacing="0" w:after="0" w:afterAutospacing="0" w:line="300" w:lineRule="exact"/>
              <w:ind w:left="0" w:right="0"/>
              <w:textAlignment w:val="auto"/>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rPr>
              <w:t>（一）评</w:t>
            </w:r>
            <w:r>
              <w:rPr>
                <w:rFonts w:hint="eastAsia" w:ascii="仿宋" w:hAnsi="仿宋" w:eastAsia="仿宋" w:cs="仿宋"/>
                <w:b/>
                <w:bCs/>
                <w:color w:val="auto"/>
                <w:sz w:val="21"/>
                <w:szCs w:val="21"/>
                <w:lang w:val="en-US" w:eastAsia="zh-CN"/>
              </w:rPr>
              <w:t>分</w:t>
            </w:r>
            <w:r>
              <w:rPr>
                <w:rFonts w:hint="eastAsia" w:ascii="仿宋" w:hAnsi="仿宋" w:eastAsia="仿宋" w:cs="仿宋"/>
                <w:b/>
                <w:bCs/>
                <w:color w:val="auto"/>
                <w:sz w:val="21"/>
                <w:szCs w:val="21"/>
              </w:rPr>
              <w:t>内容：</w:t>
            </w:r>
          </w:p>
          <w:p>
            <w:pPr>
              <w:keepNext w:val="0"/>
              <w:keepLines w:val="0"/>
              <w:pageBreakBefore w:val="0"/>
              <w:numPr>
                <w:ilvl w:val="0"/>
                <w:numId w:val="0"/>
              </w:numPr>
              <w:suppressLineNumbers w:val="0"/>
              <w:kinsoku/>
              <w:overflowPunct/>
              <w:topLinePunct w:val="0"/>
              <w:autoSpaceDE w:val="0"/>
              <w:autoSpaceDN w:val="0"/>
              <w:bidi w:val="0"/>
              <w:adjustRightInd w:val="0"/>
              <w:spacing w:before="0" w:beforeAutospacing="0" w:after="0" w:afterAutospacing="0" w:line="300" w:lineRule="exact"/>
              <w:ind w:left="0" w:right="0"/>
              <w:textAlignment w:val="auto"/>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拟安排的项目主要团队成员至少4名（项目</w:t>
            </w:r>
            <w:r>
              <w:rPr>
                <w:rFonts w:hint="eastAsia" w:ascii="仿宋" w:hAnsi="仿宋" w:eastAsia="仿宋" w:cs="仿宋"/>
                <w:color w:val="auto"/>
                <w:sz w:val="21"/>
                <w:szCs w:val="21"/>
              </w:rPr>
              <w:t>负责人</w:t>
            </w:r>
            <w:r>
              <w:rPr>
                <w:rFonts w:hint="eastAsia" w:ascii="仿宋" w:hAnsi="仿宋" w:eastAsia="仿宋" w:cs="仿宋"/>
                <w:b w:val="0"/>
                <w:bCs w:val="0"/>
                <w:color w:val="auto"/>
                <w:kern w:val="0"/>
                <w:sz w:val="21"/>
                <w:szCs w:val="21"/>
                <w:highlight w:val="none"/>
              </w:rPr>
              <w:t>除外）为投标人自有员工：</w:t>
            </w:r>
          </w:p>
          <w:p>
            <w:pPr>
              <w:keepNext w:val="0"/>
              <w:keepLines w:val="0"/>
              <w:pageBreakBefore w:val="0"/>
              <w:numPr>
                <w:ilvl w:val="0"/>
                <w:numId w:val="0"/>
              </w:numPr>
              <w:suppressLineNumbers w:val="0"/>
              <w:kinsoku/>
              <w:overflowPunct/>
              <w:topLinePunct w:val="0"/>
              <w:autoSpaceDE w:val="0"/>
              <w:autoSpaceDN w:val="0"/>
              <w:bidi w:val="0"/>
              <w:adjustRightInd w:val="0"/>
              <w:spacing w:before="0" w:beforeAutospacing="0" w:after="0" w:afterAutospacing="0" w:line="300" w:lineRule="exact"/>
              <w:ind w:left="0" w:right="0"/>
              <w:textAlignment w:val="auto"/>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lang w:val="en-US" w:eastAsia="zh-CN" w:bidi="ar-SA"/>
              </w:rPr>
              <w:t>1.</w:t>
            </w:r>
            <w:r>
              <w:rPr>
                <w:rFonts w:hint="eastAsia" w:ascii="仿宋" w:hAnsi="仿宋" w:eastAsia="仿宋" w:cs="仿宋"/>
                <w:b w:val="0"/>
                <w:bCs w:val="0"/>
                <w:color w:val="auto"/>
                <w:kern w:val="0"/>
                <w:sz w:val="21"/>
                <w:szCs w:val="21"/>
              </w:rPr>
              <w:t>具有本科或以上学历，每人得</w:t>
            </w:r>
            <w:r>
              <w:rPr>
                <w:rFonts w:hint="eastAsia" w:ascii="仿宋" w:hAnsi="仿宋" w:eastAsia="仿宋" w:cs="仿宋"/>
                <w:b w:val="0"/>
                <w:bCs w:val="0"/>
                <w:color w:val="auto"/>
                <w:kern w:val="0"/>
                <w:sz w:val="21"/>
                <w:szCs w:val="21"/>
                <w:lang w:val="en-US" w:eastAsia="zh-CN"/>
              </w:rPr>
              <w:t>1</w:t>
            </w:r>
            <w:r>
              <w:rPr>
                <w:rFonts w:hint="eastAsia" w:ascii="仿宋" w:hAnsi="仿宋" w:eastAsia="仿宋" w:cs="仿宋"/>
                <w:b w:val="0"/>
                <w:bCs w:val="0"/>
                <w:color w:val="auto"/>
                <w:kern w:val="0"/>
                <w:sz w:val="21"/>
                <w:szCs w:val="21"/>
              </w:rPr>
              <w:t>分，</w:t>
            </w:r>
            <w:r>
              <w:rPr>
                <w:rFonts w:hint="eastAsia" w:ascii="仿宋" w:hAnsi="仿宋" w:eastAsia="仿宋" w:cs="仿宋"/>
                <w:color w:val="auto"/>
                <w:sz w:val="21"/>
                <w:szCs w:val="21"/>
                <w:lang w:val="en-US" w:eastAsia="zh-CN"/>
              </w:rPr>
              <w:t>本小项最高</w:t>
            </w:r>
            <w:r>
              <w:rPr>
                <w:rFonts w:hint="eastAsia" w:ascii="仿宋" w:hAnsi="仿宋" w:eastAsia="仿宋" w:cs="仿宋"/>
                <w:b w:val="0"/>
                <w:bCs w:val="0"/>
                <w:color w:val="auto"/>
                <w:kern w:val="0"/>
                <w:sz w:val="21"/>
                <w:szCs w:val="21"/>
                <w:lang w:val="en-US" w:eastAsia="zh-CN"/>
              </w:rPr>
              <w:t>4</w:t>
            </w:r>
            <w:r>
              <w:rPr>
                <w:rFonts w:hint="eastAsia" w:ascii="仿宋" w:hAnsi="仿宋" w:eastAsia="仿宋" w:cs="仿宋"/>
                <w:b w:val="0"/>
                <w:bCs w:val="0"/>
                <w:color w:val="auto"/>
                <w:kern w:val="0"/>
                <w:sz w:val="21"/>
                <w:szCs w:val="21"/>
              </w:rPr>
              <w:t>分</w:t>
            </w:r>
            <w:r>
              <w:rPr>
                <w:rFonts w:hint="eastAsia" w:ascii="仿宋" w:hAnsi="仿宋" w:eastAsia="仿宋" w:cs="仿宋"/>
                <w:b w:val="0"/>
                <w:bCs w:val="0"/>
                <w:color w:val="auto"/>
                <w:kern w:val="0"/>
                <w:sz w:val="21"/>
                <w:szCs w:val="21"/>
                <w:lang w:eastAsia="zh-CN"/>
              </w:rPr>
              <w:t>。</w:t>
            </w:r>
          </w:p>
          <w:p>
            <w:pPr>
              <w:keepNext w:val="0"/>
              <w:keepLines w:val="0"/>
              <w:pageBreakBefore w:val="0"/>
              <w:suppressLineNumbers w:val="0"/>
              <w:kinsoku/>
              <w:overflowPunct/>
              <w:topLinePunct w:val="0"/>
              <w:autoSpaceDE w:val="0"/>
              <w:autoSpaceDN w:val="0"/>
              <w:bidi w:val="0"/>
              <w:adjustRightInd w:val="0"/>
              <w:spacing w:before="0" w:beforeAutospacing="0" w:after="0" w:afterAutospacing="0" w:line="300" w:lineRule="exact"/>
              <w:ind w:left="0" w:right="0"/>
              <w:textAlignment w:val="auto"/>
              <w:rPr>
                <w:rFonts w:hint="eastAsia" w:ascii="仿宋" w:hAnsi="仿宋" w:eastAsia="仿宋" w:cs="仿宋"/>
                <w:color w:val="auto"/>
                <w:sz w:val="21"/>
                <w:szCs w:val="21"/>
              </w:rPr>
            </w:pPr>
            <w:r>
              <w:rPr>
                <w:rFonts w:hint="eastAsia" w:ascii="仿宋" w:hAnsi="仿宋" w:eastAsia="仿宋" w:cs="仿宋"/>
                <w:b w:val="0"/>
                <w:bCs w:val="0"/>
                <w:color w:val="auto"/>
                <w:kern w:val="0"/>
                <w:sz w:val="21"/>
                <w:szCs w:val="21"/>
                <w:lang w:val="en-US" w:eastAsia="zh-CN"/>
              </w:rPr>
              <w:t>2.</w:t>
            </w:r>
            <w:r>
              <w:rPr>
                <w:rFonts w:hint="eastAsia" w:ascii="仿宋" w:hAnsi="仿宋" w:eastAsia="仿宋" w:cs="仿宋"/>
                <w:color w:val="auto"/>
                <w:sz w:val="21"/>
                <w:szCs w:val="21"/>
                <w:highlight w:val="none"/>
                <w:lang w:val="en-US" w:eastAsia="zh-CN"/>
              </w:rPr>
              <w:t>具有中级及以上《招标采购从业人员专业技术能力评价证书》或</w:t>
            </w:r>
            <w:r>
              <w:rPr>
                <w:rFonts w:hint="eastAsia" w:ascii="仿宋" w:hAnsi="仿宋" w:eastAsia="仿宋" w:cs="仿宋"/>
                <w:color w:val="auto"/>
                <w:sz w:val="21"/>
                <w:szCs w:val="21"/>
                <w:highlight w:val="none"/>
              </w:rPr>
              <w:t>中级及</w:t>
            </w:r>
            <w:r>
              <w:rPr>
                <w:rFonts w:hint="eastAsia" w:ascii="仿宋" w:hAnsi="仿宋" w:eastAsia="仿宋" w:cs="仿宋"/>
                <w:b w:val="0"/>
                <w:bCs w:val="0"/>
                <w:color w:val="auto"/>
                <w:kern w:val="0"/>
                <w:sz w:val="21"/>
                <w:szCs w:val="21"/>
                <w:highlight w:val="none"/>
                <w:lang w:val="en-US" w:eastAsia="zh-CN"/>
              </w:rPr>
              <w:t>以上经济师技术职称或《采</w:t>
            </w:r>
            <w:r>
              <w:rPr>
                <w:rFonts w:hint="eastAsia" w:ascii="仿宋" w:hAnsi="仿宋" w:eastAsia="仿宋" w:cs="仿宋"/>
                <w:color w:val="auto"/>
                <w:sz w:val="21"/>
                <w:szCs w:val="21"/>
                <w:highlight w:val="none"/>
                <w:lang w:val="en-US" w:eastAsia="zh-CN"/>
              </w:rPr>
              <w:t>购师职业能力等级证书》的</w:t>
            </w:r>
            <w:r>
              <w:rPr>
                <w:rFonts w:hint="eastAsia" w:ascii="仿宋" w:hAnsi="仿宋" w:eastAsia="仿宋" w:cs="仿宋"/>
                <w:b w:val="0"/>
                <w:bCs w:val="0"/>
                <w:color w:val="auto"/>
                <w:kern w:val="0"/>
                <w:sz w:val="21"/>
                <w:szCs w:val="21"/>
              </w:rPr>
              <w:t>，每人得</w:t>
            </w:r>
            <w:r>
              <w:rPr>
                <w:rFonts w:hint="eastAsia" w:ascii="仿宋" w:hAnsi="仿宋" w:eastAsia="仿宋" w:cs="仿宋"/>
                <w:b w:val="0"/>
                <w:bCs w:val="0"/>
                <w:color w:val="auto"/>
                <w:kern w:val="0"/>
                <w:sz w:val="21"/>
                <w:szCs w:val="21"/>
                <w:lang w:val="en-US" w:eastAsia="zh-CN"/>
              </w:rPr>
              <w:t>1</w:t>
            </w:r>
            <w:r>
              <w:rPr>
                <w:rFonts w:hint="eastAsia" w:ascii="仿宋" w:hAnsi="仿宋" w:eastAsia="仿宋" w:cs="仿宋"/>
                <w:b w:val="0"/>
                <w:bCs w:val="0"/>
                <w:color w:val="auto"/>
                <w:kern w:val="0"/>
                <w:sz w:val="21"/>
                <w:szCs w:val="21"/>
              </w:rPr>
              <w:t>分，</w:t>
            </w:r>
            <w:r>
              <w:rPr>
                <w:rFonts w:hint="eastAsia" w:ascii="仿宋" w:hAnsi="仿宋" w:eastAsia="仿宋" w:cs="仿宋"/>
                <w:color w:val="auto"/>
                <w:sz w:val="21"/>
                <w:szCs w:val="21"/>
                <w:lang w:val="en-US" w:eastAsia="zh-CN"/>
              </w:rPr>
              <w:t>本小项</w:t>
            </w:r>
            <w:r>
              <w:rPr>
                <w:rFonts w:hint="eastAsia" w:ascii="仿宋" w:hAnsi="仿宋" w:eastAsia="仿宋" w:cs="仿宋"/>
                <w:b w:val="0"/>
                <w:bCs w:val="0"/>
                <w:color w:val="auto"/>
                <w:kern w:val="0"/>
                <w:sz w:val="21"/>
                <w:szCs w:val="21"/>
              </w:rPr>
              <w:t>最高</w:t>
            </w:r>
            <w:r>
              <w:rPr>
                <w:rFonts w:hint="eastAsia" w:ascii="仿宋" w:hAnsi="仿宋" w:eastAsia="仿宋" w:cs="仿宋"/>
                <w:b w:val="0"/>
                <w:bCs w:val="0"/>
                <w:color w:val="auto"/>
                <w:kern w:val="0"/>
                <w:sz w:val="21"/>
                <w:szCs w:val="21"/>
                <w:lang w:val="en-US" w:eastAsia="zh-CN"/>
              </w:rPr>
              <w:t>2</w:t>
            </w:r>
            <w:r>
              <w:rPr>
                <w:rFonts w:hint="eastAsia" w:ascii="仿宋" w:hAnsi="仿宋" w:eastAsia="仿宋" w:cs="仿宋"/>
                <w:b w:val="0"/>
                <w:bCs w:val="0"/>
                <w:color w:val="auto"/>
                <w:kern w:val="0"/>
                <w:sz w:val="21"/>
                <w:szCs w:val="21"/>
              </w:rPr>
              <w:t>分。</w:t>
            </w:r>
          </w:p>
          <w:p>
            <w:pPr>
              <w:keepNext w:val="0"/>
              <w:keepLines w:val="0"/>
              <w:pageBreakBefore w:val="0"/>
              <w:suppressLineNumbers w:val="0"/>
              <w:kinsoku/>
              <w:overflowPunct/>
              <w:topLinePunct w:val="0"/>
              <w:autoSpaceDE w:val="0"/>
              <w:autoSpaceDN w:val="0"/>
              <w:bidi w:val="0"/>
              <w:adjustRightInd w:val="0"/>
              <w:spacing w:before="0" w:beforeAutospacing="0" w:after="0" w:afterAutospacing="0" w:line="300" w:lineRule="exact"/>
              <w:ind w:left="0" w:right="0"/>
              <w:textAlignment w:val="auto"/>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lang w:val="en-US" w:eastAsia="zh-CN"/>
              </w:rPr>
              <w:t>3.</w:t>
            </w:r>
            <w:r>
              <w:rPr>
                <w:rFonts w:hint="eastAsia" w:ascii="仿宋" w:hAnsi="仿宋" w:eastAsia="仿宋" w:cs="仿宋"/>
                <w:b w:val="0"/>
                <w:bCs w:val="0"/>
                <w:color w:val="auto"/>
                <w:kern w:val="0"/>
                <w:sz w:val="21"/>
                <w:szCs w:val="21"/>
              </w:rPr>
              <w:t>具有5年或以上招标采购代理工作经验</w:t>
            </w:r>
            <w:r>
              <w:rPr>
                <w:rFonts w:hint="eastAsia" w:ascii="仿宋" w:hAnsi="仿宋" w:eastAsia="仿宋" w:cs="仿宋"/>
                <w:b w:val="0"/>
                <w:bCs w:val="0"/>
                <w:color w:val="auto"/>
                <w:kern w:val="0"/>
                <w:sz w:val="21"/>
                <w:szCs w:val="21"/>
                <w:lang w:val="en-US" w:eastAsia="zh-CN"/>
              </w:rPr>
              <w:t>的</w:t>
            </w:r>
            <w:r>
              <w:rPr>
                <w:rFonts w:hint="eastAsia" w:ascii="仿宋" w:hAnsi="仿宋" w:eastAsia="仿宋" w:cs="仿宋"/>
                <w:b w:val="0"/>
                <w:bCs w:val="0"/>
                <w:color w:val="auto"/>
                <w:kern w:val="0"/>
                <w:sz w:val="21"/>
                <w:szCs w:val="21"/>
              </w:rPr>
              <w:t>，每人得</w:t>
            </w:r>
            <w:r>
              <w:rPr>
                <w:rFonts w:hint="eastAsia" w:ascii="仿宋" w:hAnsi="仿宋" w:eastAsia="仿宋" w:cs="仿宋"/>
                <w:b w:val="0"/>
                <w:bCs w:val="0"/>
                <w:color w:val="auto"/>
                <w:kern w:val="0"/>
                <w:sz w:val="21"/>
                <w:szCs w:val="21"/>
                <w:lang w:val="en-US" w:eastAsia="zh-CN"/>
              </w:rPr>
              <w:t>1</w:t>
            </w:r>
            <w:r>
              <w:rPr>
                <w:rFonts w:hint="eastAsia" w:ascii="仿宋" w:hAnsi="仿宋" w:eastAsia="仿宋" w:cs="仿宋"/>
                <w:b w:val="0"/>
                <w:bCs w:val="0"/>
                <w:color w:val="auto"/>
                <w:kern w:val="0"/>
                <w:sz w:val="21"/>
                <w:szCs w:val="21"/>
              </w:rPr>
              <w:t>分，</w:t>
            </w:r>
            <w:r>
              <w:rPr>
                <w:rFonts w:hint="eastAsia" w:ascii="仿宋" w:hAnsi="仿宋" w:eastAsia="仿宋" w:cs="仿宋"/>
                <w:color w:val="auto"/>
                <w:sz w:val="21"/>
                <w:szCs w:val="21"/>
                <w:lang w:val="en-US" w:eastAsia="zh-CN"/>
              </w:rPr>
              <w:t>本小项</w:t>
            </w:r>
            <w:r>
              <w:rPr>
                <w:rFonts w:hint="eastAsia" w:ascii="仿宋" w:hAnsi="仿宋" w:eastAsia="仿宋" w:cs="仿宋"/>
                <w:b w:val="0"/>
                <w:bCs w:val="0"/>
                <w:color w:val="auto"/>
                <w:kern w:val="0"/>
                <w:sz w:val="21"/>
                <w:szCs w:val="21"/>
              </w:rPr>
              <w:t>最高</w:t>
            </w:r>
            <w:r>
              <w:rPr>
                <w:rFonts w:hint="eastAsia" w:ascii="仿宋" w:hAnsi="仿宋" w:eastAsia="仿宋" w:cs="仿宋"/>
                <w:b w:val="0"/>
                <w:bCs w:val="0"/>
                <w:color w:val="auto"/>
                <w:kern w:val="0"/>
                <w:sz w:val="21"/>
                <w:szCs w:val="21"/>
                <w:lang w:val="en-US" w:eastAsia="zh-CN"/>
              </w:rPr>
              <w:t>4</w:t>
            </w:r>
            <w:r>
              <w:rPr>
                <w:rFonts w:hint="eastAsia" w:ascii="仿宋" w:hAnsi="仿宋" w:eastAsia="仿宋" w:cs="仿宋"/>
                <w:b w:val="0"/>
                <w:bCs w:val="0"/>
                <w:color w:val="auto"/>
                <w:kern w:val="0"/>
                <w:sz w:val="21"/>
                <w:szCs w:val="21"/>
              </w:rPr>
              <w:t>分。</w:t>
            </w:r>
          </w:p>
          <w:p>
            <w:pPr>
              <w:pStyle w:val="29"/>
              <w:keepNext w:val="0"/>
              <w:keepLines w:val="0"/>
              <w:pageBreakBefore w:val="0"/>
              <w:suppressLineNumbers w:val="0"/>
              <w:kinsoku/>
              <w:overflowPunct/>
              <w:topLinePunct w:val="0"/>
              <w:bidi w:val="0"/>
              <w:snapToGrid/>
              <w:spacing w:before="0" w:beforeAutospacing="0" w:after="0" w:afterAutospacing="0" w:line="300" w:lineRule="exact"/>
              <w:ind w:left="0" w:leftChars="0" w:right="0" w:firstLine="0" w:firstLineChars="0"/>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（二）评</w:t>
            </w:r>
            <w:r>
              <w:rPr>
                <w:rFonts w:hint="eastAsia" w:ascii="仿宋" w:hAnsi="仿宋" w:eastAsia="仿宋" w:cs="仿宋"/>
                <w:b/>
                <w:bCs/>
                <w:color w:val="auto"/>
                <w:sz w:val="21"/>
                <w:szCs w:val="21"/>
                <w:lang w:val="en-US" w:eastAsia="zh-CN"/>
              </w:rPr>
              <w:t>分依据</w:t>
            </w:r>
            <w:r>
              <w:rPr>
                <w:rFonts w:hint="eastAsia" w:ascii="仿宋" w:hAnsi="仿宋" w:eastAsia="仿宋" w:cs="仿宋"/>
                <w:b/>
                <w:bCs/>
                <w:color w:val="auto"/>
                <w:sz w:val="21"/>
                <w:szCs w:val="21"/>
              </w:rPr>
              <w:t>：</w:t>
            </w:r>
          </w:p>
          <w:p>
            <w:pPr>
              <w:keepNext w:val="0"/>
              <w:keepLines w:val="0"/>
              <w:pageBreakBefore w:val="0"/>
              <w:numPr>
                <w:ilvl w:val="0"/>
                <w:numId w:val="0"/>
              </w:numPr>
              <w:suppressLineNumbers w:val="0"/>
              <w:kinsoku/>
              <w:overflowPunct/>
              <w:topLinePunct w:val="0"/>
              <w:autoSpaceDE w:val="0"/>
              <w:autoSpaceDN w:val="0"/>
              <w:bidi w:val="0"/>
              <w:adjustRightInd w:val="0"/>
              <w:spacing w:before="0" w:beforeAutospacing="0" w:after="0" w:afterAutospacing="0" w:line="300" w:lineRule="exact"/>
              <w:ind w:left="0" w:right="0"/>
              <w:textAlignment w:val="auto"/>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1.提供学位或学历证书以及学信网查询记录；学信网无法查询的，可提供其他佐证材料：如毕业院校、人社部门等颁发机构或监管机构等单位出具的证明，留学归国人员如无法提供学信网查询记录截图，提供国（境）外学历证书（以及中文翻译件）和教育部留学服务中心出具的国外学历学位认证证书【或教育部留学服务中心网站（http://zwfw.cscse.edu.cn/）在线查询截图】也予以认可）。</w:t>
            </w:r>
          </w:p>
          <w:p>
            <w:pPr>
              <w:keepNext w:val="0"/>
              <w:keepLines w:val="0"/>
              <w:pageBreakBefore w:val="0"/>
              <w:numPr>
                <w:ilvl w:val="0"/>
                <w:numId w:val="0"/>
              </w:numPr>
              <w:suppressLineNumbers w:val="0"/>
              <w:kinsoku/>
              <w:overflowPunct/>
              <w:topLinePunct w:val="0"/>
              <w:autoSpaceDE w:val="0"/>
              <w:autoSpaceDN w:val="0"/>
              <w:bidi w:val="0"/>
              <w:adjustRightInd w:val="0"/>
              <w:spacing w:before="0" w:beforeAutospacing="0" w:after="0" w:afterAutospacing="0" w:line="300" w:lineRule="exact"/>
              <w:ind w:left="0" w:right="0"/>
              <w:textAlignment w:val="auto"/>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2.提供人员的资质证书复印件或扫描件。同一成员具有多种证书，不可重复得分。</w:t>
            </w:r>
          </w:p>
          <w:p>
            <w:pPr>
              <w:keepNext w:val="0"/>
              <w:keepLines w:val="0"/>
              <w:pageBreakBefore w:val="0"/>
              <w:numPr>
                <w:ilvl w:val="0"/>
                <w:numId w:val="0"/>
              </w:numPr>
              <w:suppressLineNumbers w:val="0"/>
              <w:kinsoku/>
              <w:overflowPunct/>
              <w:topLinePunct w:val="0"/>
              <w:autoSpaceDE w:val="0"/>
              <w:autoSpaceDN w:val="0"/>
              <w:bidi w:val="0"/>
              <w:adjustRightInd w:val="0"/>
              <w:spacing w:before="0" w:beforeAutospacing="0" w:after="0" w:afterAutospacing="0" w:line="300" w:lineRule="exact"/>
              <w:ind w:left="0" w:right="0"/>
              <w:textAlignment w:val="auto"/>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3.涉及考察人员工作经验，要求提供项目合同或劳动合同关键信息（需体现相应工作经验年限）作为得分依据，通过合同关键信息无法判断是否得分的，可以提供其他证明文件（加盖公章或业务章）。</w:t>
            </w:r>
          </w:p>
          <w:p>
            <w:pPr>
              <w:keepNext w:val="0"/>
              <w:keepLines w:val="0"/>
              <w:pageBreakBefore w:val="0"/>
              <w:numPr>
                <w:ilvl w:val="0"/>
                <w:numId w:val="0"/>
              </w:numPr>
              <w:suppressLineNumbers w:val="0"/>
              <w:kinsoku/>
              <w:overflowPunct/>
              <w:topLinePunct w:val="0"/>
              <w:autoSpaceDE w:val="0"/>
              <w:autoSpaceDN w:val="0"/>
              <w:bidi w:val="0"/>
              <w:adjustRightInd w:val="0"/>
              <w:spacing w:before="0" w:beforeAutospacing="0" w:after="0" w:afterAutospacing="0" w:line="300" w:lineRule="exact"/>
              <w:ind w:left="0" w:right="0"/>
              <w:textAlignment w:val="auto"/>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4.提供上述人员近一个月投标方为其购买的社保证明；如开标日上一个月的社保材料因社保部门或税务部门原因暂时无法取得，则可以往前顺延一个月；如投标方注册成立时间不足1个月的，可提供承诺函（格式自拟）。退休返聘人员提供相关人员退休证及劳动合同。</w:t>
            </w:r>
          </w:p>
          <w:p>
            <w:pPr>
              <w:keepNext w:val="0"/>
              <w:keepLines w:val="0"/>
              <w:pageBreakBefore w:val="0"/>
              <w:numPr>
                <w:ilvl w:val="0"/>
                <w:numId w:val="0"/>
              </w:numPr>
              <w:suppressLineNumbers w:val="0"/>
              <w:kinsoku/>
              <w:overflowPunct/>
              <w:topLinePunct w:val="0"/>
              <w:autoSpaceDE w:val="0"/>
              <w:autoSpaceDN w:val="0"/>
              <w:bidi w:val="0"/>
              <w:adjustRightInd w:val="0"/>
              <w:spacing w:before="0" w:beforeAutospacing="0" w:after="0" w:afterAutospacing="0" w:line="300" w:lineRule="exact"/>
              <w:ind w:left="0" w:right="0"/>
              <w:textAlignment w:val="auto"/>
              <w:rPr>
                <w:rFonts w:hint="eastAsia" w:ascii="仿宋" w:hAnsi="仿宋" w:eastAsia="仿宋" w:cs="仿宋"/>
                <w:b w:val="0"/>
                <w:bCs w:val="0"/>
                <w:color w:val="auto"/>
                <w:kern w:val="0"/>
                <w:sz w:val="21"/>
                <w:szCs w:val="21"/>
                <w:lang w:val="en-US"/>
              </w:rPr>
            </w:pPr>
            <w:r>
              <w:rPr>
                <w:rFonts w:hint="eastAsia" w:ascii="仿宋" w:hAnsi="仿宋" w:eastAsia="仿宋" w:cs="仿宋"/>
                <w:b w:val="0"/>
                <w:bCs w:val="0"/>
                <w:color w:val="auto"/>
                <w:kern w:val="0"/>
                <w:sz w:val="21"/>
                <w:szCs w:val="21"/>
                <w:highlight w:val="none"/>
                <w:lang w:val="en-US" w:eastAsia="zh-CN"/>
              </w:rPr>
              <w:t>5.以上证明文件原件备查，未按要求提供或提供不清晰、不完整导致专家无法判断的不得分。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222"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6</w:t>
            </w:r>
          </w:p>
        </w:tc>
        <w:tc>
          <w:tcPr>
            <w:tcW w:w="482" w:type="pct"/>
            <w:vMerge w:val="continue"/>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rPr>
            </w:pPr>
          </w:p>
        </w:tc>
        <w:tc>
          <w:tcPr>
            <w:tcW w:w="552"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获奖情况</w:t>
            </w:r>
          </w:p>
        </w:tc>
        <w:tc>
          <w:tcPr>
            <w:tcW w:w="413"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2</w:t>
            </w:r>
          </w:p>
        </w:tc>
        <w:tc>
          <w:tcPr>
            <w:tcW w:w="3329" w:type="pct"/>
            <w:vAlign w:val="center"/>
          </w:tcPr>
          <w:p>
            <w:pPr>
              <w:keepNext w:val="0"/>
              <w:keepLines w:val="0"/>
              <w:pageBreakBefore w:val="0"/>
              <w:suppressLineNumbers w:val="0"/>
              <w:kinsoku/>
              <w:overflowPunct/>
              <w:topLinePunct w:val="0"/>
              <w:bidi w:val="0"/>
              <w:snapToGrid/>
              <w:spacing w:before="0" w:beforeAutospacing="0" w:after="0" w:afterAutospacing="0" w:line="300" w:lineRule="exact"/>
              <w:ind w:left="0" w:right="0"/>
              <w:textAlignment w:val="auto"/>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rPr>
              <w:t>（一）评</w:t>
            </w:r>
            <w:r>
              <w:rPr>
                <w:rFonts w:hint="eastAsia" w:ascii="仿宋" w:hAnsi="仿宋" w:eastAsia="仿宋" w:cs="仿宋"/>
                <w:b/>
                <w:bCs/>
                <w:color w:val="auto"/>
                <w:sz w:val="21"/>
                <w:szCs w:val="21"/>
                <w:lang w:val="en-US" w:eastAsia="zh-CN"/>
              </w:rPr>
              <w:t>分</w:t>
            </w:r>
            <w:r>
              <w:rPr>
                <w:rFonts w:hint="eastAsia" w:ascii="仿宋" w:hAnsi="仿宋" w:eastAsia="仿宋" w:cs="仿宋"/>
                <w:b/>
                <w:bCs/>
                <w:color w:val="auto"/>
                <w:sz w:val="21"/>
                <w:szCs w:val="21"/>
              </w:rPr>
              <w:t>内容：</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投标人提供</w:t>
            </w:r>
            <w:r>
              <w:rPr>
                <w:rFonts w:hint="eastAsia" w:ascii="仿宋" w:hAnsi="仿宋" w:eastAsia="仿宋" w:cs="仿宋"/>
                <w:color w:val="auto"/>
                <w:sz w:val="21"/>
                <w:szCs w:val="21"/>
                <w:highlight w:val="none"/>
                <w:lang w:val="en-US" w:eastAsia="zh-CN"/>
              </w:rPr>
              <w:t>自2022年1月1日至本项目投标截止日</w:t>
            </w:r>
            <w:r>
              <w:rPr>
                <w:rFonts w:hint="eastAsia" w:ascii="仿宋" w:hAnsi="仿宋" w:eastAsia="仿宋" w:cs="仿宋"/>
                <w:color w:val="auto"/>
                <w:sz w:val="21"/>
                <w:szCs w:val="21"/>
              </w:rPr>
              <w:t>行业内</w:t>
            </w:r>
            <w:r>
              <w:rPr>
                <w:rFonts w:hint="eastAsia" w:ascii="仿宋" w:hAnsi="仿宋" w:eastAsia="仿宋" w:cs="仿宋"/>
                <w:color w:val="auto"/>
                <w:sz w:val="21"/>
                <w:szCs w:val="21"/>
                <w:lang w:val="en-US" w:eastAsia="zh-CN"/>
              </w:rPr>
              <w:t>与招标采购相关的</w:t>
            </w:r>
            <w:r>
              <w:rPr>
                <w:rFonts w:hint="eastAsia" w:ascii="仿宋" w:hAnsi="仿宋" w:eastAsia="仿宋" w:cs="仿宋"/>
                <w:color w:val="auto"/>
                <w:sz w:val="21"/>
                <w:szCs w:val="21"/>
              </w:rPr>
              <w:t>获奖</w:t>
            </w:r>
            <w:r>
              <w:rPr>
                <w:rFonts w:hint="eastAsia" w:ascii="仿宋" w:hAnsi="仿宋" w:eastAsia="仿宋" w:cs="仿宋"/>
                <w:color w:val="auto"/>
                <w:sz w:val="21"/>
                <w:szCs w:val="21"/>
                <w:lang w:val="en-US" w:eastAsia="zh-CN"/>
              </w:rPr>
              <w:t>证书</w:t>
            </w:r>
            <w:r>
              <w:rPr>
                <w:rFonts w:hint="eastAsia" w:ascii="仿宋" w:hAnsi="仿宋" w:eastAsia="仿宋" w:cs="仿宋"/>
                <w:color w:val="auto"/>
                <w:sz w:val="21"/>
                <w:szCs w:val="21"/>
              </w:rPr>
              <w:t>，评</w:t>
            </w:r>
            <w:r>
              <w:rPr>
                <w:rFonts w:hint="eastAsia" w:ascii="仿宋" w:hAnsi="仿宋" w:eastAsia="仿宋" w:cs="仿宋"/>
                <w:color w:val="auto"/>
                <w:sz w:val="21"/>
                <w:szCs w:val="21"/>
                <w:lang w:val="en-US" w:eastAsia="zh-CN"/>
              </w:rPr>
              <w:t>审</w:t>
            </w:r>
            <w:r>
              <w:rPr>
                <w:rFonts w:hint="eastAsia" w:ascii="仿宋" w:hAnsi="仿宋" w:eastAsia="仿宋" w:cs="仿宋"/>
                <w:color w:val="auto"/>
                <w:sz w:val="21"/>
                <w:szCs w:val="21"/>
              </w:rPr>
              <w:t>专家根据获奖情况进行评分；</w:t>
            </w:r>
            <w:r>
              <w:rPr>
                <w:rFonts w:hint="eastAsia" w:ascii="仿宋" w:hAnsi="仿宋" w:eastAsia="仿宋" w:cs="仿宋"/>
                <w:color w:val="auto"/>
                <w:sz w:val="21"/>
                <w:szCs w:val="21"/>
                <w:lang w:val="en-US" w:eastAsia="zh-CN"/>
              </w:rPr>
              <w:t>每提供一项得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lang w:val="en-US" w:eastAsia="zh-CN"/>
              </w:rPr>
              <w:t>分，最高得2分</w:t>
            </w:r>
            <w:r>
              <w:rPr>
                <w:rFonts w:hint="eastAsia" w:ascii="仿宋" w:hAnsi="仿宋" w:eastAsia="仿宋" w:cs="仿宋"/>
                <w:color w:val="auto"/>
                <w:sz w:val="21"/>
                <w:szCs w:val="21"/>
              </w:rPr>
              <w:t>。</w:t>
            </w:r>
          </w:p>
          <w:p>
            <w:pPr>
              <w:pStyle w:val="29"/>
              <w:keepNext w:val="0"/>
              <w:keepLines w:val="0"/>
              <w:pageBreakBefore w:val="0"/>
              <w:suppressLineNumbers w:val="0"/>
              <w:kinsoku/>
              <w:overflowPunct/>
              <w:topLinePunct w:val="0"/>
              <w:bidi w:val="0"/>
              <w:snapToGrid/>
              <w:spacing w:before="0" w:beforeAutospacing="0" w:after="0" w:afterAutospacing="0" w:line="300" w:lineRule="exact"/>
              <w:ind w:left="0" w:leftChars="0" w:right="0" w:firstLine="0" w:firstLineChars="0"/>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（二）评</w:t>
            </w:r>
            <w:r>
              <w:rPr>
                <w:rFonts w:hint="eastAsia" w:ascii="仿宋" w:hAnsi="仿宋" w:eastAsia="仿宋" w:cs="仿宋"/>
                <w:b/>
                <w:bCs/>
                <w:color w:val="auto"/>
                <w:sz w:val="21"/>
                <w:szCs w:val="21"/>
                <w:lang w:val="en-US" w:eastAsia="zh-CN"/>
              </w:rPr>
              <w:t>分依据</w:t>
            </w:r>
            <w:r>
              <w:rPr>
                <w:rFonts w:hint="eastAsia" w:ascii="仿宋" w:hAnsi="仿宋" w:eastAsia="仿宋" w:cs="仿宋"/>
                <w:b/>
                <w:bCs/>
                <w:color w:val="auto"/>
                <w:sz w:val="21"/>
                <w:szCs w:val="21"/>
              </w:rPr>
              <w:t>：</w:t>
            </w:r>
          </w:p>
          <w:p>
            <w:pPr>
              <w:keepNext w:val="0"/>
              <w:keepLines w:val="0"/>
              <w:pageBreakBefore w:val="0"/>
              <w:suppressLineNumbers w:val="0"/>
              <w:kinsoku/>
              <w:overflowPunct/>
              <w:topLinePunct w:val="0"/>
              <w:bidi w:val="0"/>
              <w:spacing w:before="0" w:beforeAutospacing="0" w:after="0" w:afterAutospacing="0" w:line="300" w:lineRule="exact"/>
              <w:ind w:left="0" w:right="0"/>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提供相关证书的扫描件。</w:t>
            </w:r>
            <w:r>
              <w:rPr>
                <w:rFonts w:hint="eastAsia" w:ascii="仿宋" w:hAnsi="仿宋" w:eastAsia="仿宋" w:cs="仿宋"/>
                <w:b w:val="0"/>
                <w:bCs w:val="0"/>
                <w:color w:val="auto"/>
                <w:kern w:val="0"/>
                <w:sz w:val="21"/>
                <w:szCs w:val="21"/>
                <w:lang w:val="en-US" w:eastAsia="zh-CN"/>
              </w:rPr>
              <w:t>以上证明文件原件备查，未按要求提供或提供不清晰导致专家无法判断的不得分。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22"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lang w:val="en-US" w:eastAsia="zh-CN"/>
              </w:rPr>
            </w:pP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lang w:val="en-US" w:eastAsia="zh-CN"/>
              </w:rPr>
            </w:pP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lang w:val="en-US" w:eastAsia="zh-CN"/>
              </w:rPr>
            </w:pP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lang w:val="en-US" w:eastAsia="zh-CN"/>
              </w:rPr>
            </w:pP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7</w:t>
            </w:r>
          </w:p>
        </w:tc>
        <w:tc>
          <w:tcPr>
            <w:tcW w:w="482" w:type="pct"/>
            <w:vMerge w:val="restar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rPr>
            </w:pP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rPr>
            </w:pP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rPr>
            </w:pP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rPr>
            </w:pP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业绩</w:t>
            </w:r>
          </w:p>
        </w:tc>
        <w:tc>
          <w:tcPr>
            <w:tcW w:w="552"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rPr>
            </w:pP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rPr>
            </w:pP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rPr>
            </w:pP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货物类招标业绩</w:t>
            </w:r>
          </w:p>
        </w:tc>
        <w:tc>
          <w:tcPr>
            <w:tcW w:w="413"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lang w:val="en-US" w:eastAsia="zh-CN"/>
              </w:rPr>
            </w:pP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3329" w:type="pct"/>
            <w:vAlign w:val="center"/>
          </w:tcPr>
          <w:p>
            <w:pPr>
              <w:keepNext w:val="0"/>
              <w:keepLines w:val="0"/>
              <w:pageBreakBefore w:val="0"/>
              <w:suppressLineNumbers w:val="0"/>
              <w:kinsoku/>
              <w:overflowPunct/>
              <w:topLinePunct w:val="0"/>
              <w:bidi w:val="0"/>
              <w:snapToGrid/>
              <w:spacing w:before="0" w:beforeAutospacing="0" w:after="0" w:afterAutospacing="0" w:line="300" w:lineRule="exact"/>
              <w:ind w:left="0" w:right="0"/>
              <w:textAlignment w:val="auto"/>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rPr>
              <w:t>（一）评</w:t>
            </w:r>
            <w:r>
              <w:rPr>
                <w:rFonts w:hint="eastAsia" w:ascii="仿宋" w:hAnsi="仿宋" w:eastAsia="仿宋" w:cs="仿宋"/>
                <w:b/>
                <w:bCs/>
                <w:color w:val="auto"/>
                <w:sz w:val="21"/>
                <w:szCs w:val="21"/>
                <w:lang w:val="en-US" w:eastAsia="zh-CN"/>
              </w:rPr>
              <w:t>分</w:t>
            </w:r>
            <w:r>
              <w:rPr>
                <w:rFonts w:hint="eastAsia" w:ascii="仿宋" w:hAnsi="仿宋" w:eastAsia="仿宋" w:cs="仿宋"/>
                <w:b/>
                <w:bCs/>
                <w:color w:val="auto"/>
                <w:sz w:val="21"/>
                <w:szCs w:val="21"/>
              </w:rPr>
              <w:t>内容：</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highlight w:val="yellow"/>
                <w:lang w:eastAsia="zh-CN"/>
              </w:rPr>
            </w:pPr>
            <w:r>
              <w:rPr>
                <w:rFonts w:hint="eastAsia" w:ascii="仿宋" w:hAnsi="仿宋" w:eastAsia="仿宋" w:cs="仿宋"/>
                <w:color w:val="auto"/>
                <w:sz w:val="21"/>
                <w:szCs w:val="21"/>
                <w:highlight w:val="none"/>
              </w:rPr>
              <w:t>投标人提供自202</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年1月1日至本项目投标截止</w:t>
            </w:r>
            <w:r>
              <w:rPr>
                <w:rFonts w:hint="eastAsia" w:ascii="仿宋" w:hAnsi="仿宋" w:eastAsia="仿宋" w:cs="仿宋"/>
                <w:color w:val="auto"/>
                <w:sz w:val="21"/>
                <w:szCs w:val="21"/>
                <w:highlight w:val="none"/>
                <w:lang w:val="en-US" w:eastAsia="zh-CN"/>
              </w:rPr>
              <w:t>日</w:t>
            </w:r>
            <w:r>
              <w:rPr>
                <w:rFonts w:hint="eastAsia" w:ascii="仿宋" w:hAnsi="仿宋" w:eastAsia="仿宋" w:cs="仿宋"/>
                <w:color w:val="auto"/>
                <w:sz w:val="21"/>
                <w:szCs w:val="21"/>
                <w:highlight w:val="none"/>
              </w:rPr>
              <w:t>关于</w:t>
            </w:r>
            <w:r>
              <w:rPr>
                <w:rFonts w:hint="eastAsia" w:ascii="仿宋" w:hAnsi="仿宋" w:eastAsia="仿宋" w:cs="仿宋"/>
                <w:color w:val="auto"/>
                <w:sz w:val="21"/>
                <w:szCs w:val="21"/>
                <w:highlight w:val="none"/>
                <w:lang w:val="en-US" w:eastAsia="zh-CN"/>
              </w:rPr>
              <w:t>医疗行业</w:t>
            </w:r>
            <w:r>
              <w:rPr>
                <w:rFonts w:hint="eastAsia" w:ascii="仿宋" w:hAnsi="仿宋" w:eastAsia="仿宋" w:cs="仿宋"/>
                <w:color w:val="auto"/>
                <w:sz w:val="21"/>
                <w:szCs w:val="21"/>
                <w:highlight w:val="none"/>
              </w:rPr>
              <w:t>货物类招标代理项目业绩（以中标日期为准）</w:t>
            </w:r>
            <w:r>
              <w:rPr>
                <w:rFonts w:hint="eastAsia" w:ascii="仿宋" w:hAnsi="仿宋" w:eastAsia="仿宋" w:cs="仿宋"/>
                <w:color w:val="auto"/>
                <w:sz w:val="21"/>
                <w:szCs w:val="21"/>
                <w:highlight w:val="none"/>
                <w:lang w:eastAsia="zh-CN"/>
              </w:rPr>
              <w:t>：</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1.中标项目数量250（含）个及以上的，得6分。</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2.中标项目数量200（含）-249个的，得3分。</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val="0"/>
                <w:bCs w:val="0"/>
                <w:color w:val="auto"/>
                <w:kern w:val="2"/>
                <w:sz w:val="21"/>
                <w:szCs w:val="21"/>
                <w:highlight w:val="none"/>
                <w:lang w:val="en-US" w:eastAsia="zh-CN" w:bidi="ar-SA"/>
              </w:rPr>
              <w:t>3.</w:t>
            </w:r>
            <w:r>
              <w:rPr>
                <w:rFonts w:hint="eastAsia" w:ascii="仿宋" w:hAnsi="仿宋" w:eastAsia="仿宋" w:cs="仿宋"/>
                <w:color w:val="auto"/>
                <w:sz w:val="21"/>
                <w:szCs w:val="21"/>
                <w:highlight w:val="none"/>
                <w:lang w:val="en-US" w:eastAsia="zh-CN"/>
              </w:rPr>
              <w:t>中标项目数量200个以下的，得1分。</w:t>
            </w:r>
          </w:p>
          <w:p>
            <w:pPr>
              <w:pStyle w:val="29"/>
              <w:keepNext w:val="0"/>
              <w:keepLines w:val="0"/>
              <w:pageBreakBefore w:val="0"/>
              <w:suppressLineNumbers w:val="0"/>
              <w:kinsoku/>
              <w:overflowPunct/>
              <w:topLinePunct w:val="0"/>
              <w:bidi w:val="0"/>
              <w:snapToGrid/>
              <w:spacing w:before="0" w:beforeAutospacing="0" w:after="0" w:afterAutospacing="0" w:line="300" w:lineRule="exact"/>
              <w:ind w:left="0" w:leftChars="0" w:right="0" w:firstLine="0" w:firstLineChars="0"/>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（二）评</w:t>
            </w:r>
            <w:r>
              <w:rPr>
                <w:rFonts w:hint="eastAsia" w:ascii="仿宋" w:hAnsi="仿宋" w:eastAsia="仿宋" w:cs="仿宋"/>
                <w:b/>
                <w:bCs/>
                <w:color w:val="auto"/>
                <w:sz w:val="21"/>
                <w:szCs w:val="21"/>
                <w:lang w:val="en-US" w:eastAsia="zh-CN"/>
              </w:rPr>
              <w:t>分依据</w:t>
            </w:r>
            <w:r>
              <w:rPr>
                <w:rFonts w:hint="eastAsia" w:ascii="仿宋" w:hAnsi="仿宋" w:eastAsia="仿宋" w:cs="仿宋"/>
                <w:b/>
                <w:bCs/>
                <w:color w:val="auto"/>
                <w:sz w:val="21"/>
                <w:szCs w:val="21"/>
              </w:rPr>
              <w:t>：</w:t>
            </w:r>
          </w:p>
          <w:p>
            <w:pPr>
              <w:keepNext w:val="0"/>
              <w:keepLines w:val="0"/>
              <w:pageBreakBefore w:val="0"/>
              <w:suppressLineNumbers w:val="0"/>
              <w:kinsoku/>
              <w:overflowPunct/>
              <w:topLinePunct w:val="0"/>
              <w:bidi w:val="0"/>
              <w:spacing w:before="0" w:beforeAutospacing="0" w:after="0" w:afterAutospacing="0" w:line="300" w:lineRule="exact"/>
              <w:ind w:left="0" w:right="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highlight w:val="none"/>
                <w:lang w:val="en-US" w:eastAsia="zh-CN"/>
              </w:rPr>
              <w:t>1.提供项目清单，项目清单需包含序号、项目编号、招标人单位名称、项目名称、中标时间</w:t>
            </w:r>
            <w:r>
              <w:rPr>
                <w:rFonts w:hint="eastAsia" w:ascii="仿宋" w:hAnsi="仿宋" w:eastAsia="仿宋" w:cs="仿宋"/>
                <w:color w:val="auto"/>
                <w:sz w:val="21"/>
                <w:szCs w:val="21"/>
                <w:lang w:val="en-US" w:eastAsia="zh-CN"/>
              </w:rPr>
              <w:t>。</w:t>
            </w:r>
          </w:p>
          <w:p>
            <w:pPr>
              <w:pStyle w:val="7"/>
              <w:keepNext w:val="0"/>
              <w:keepLines w:val="0"/>
              <w:pageBreakBefore w:val="0"/>
              <w:suppressLineNumbers w:val="0"/>
              <w:kinsoku/>
              <w:overflowPunct/>
              <w:topLinePunct w:val="0"/>
              <w:bidi w:val="0"/>
              <w:spacing w:before="0" w:beforeAutospacing="0" w:after="0" w:afterAutospacing="0" w:line="300" w:lineRule="exact"/>
              <w:ind w:left="0" w:right="0"/>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highlight w:val="none"/>
                <w:lang w:val="en-US" w:eastAsia="zh-CN"/>
              </w:rPr>
              <w:t>提供承诺函（格式自拟，加盖投标人公章），承诺以上业绩信息真实、有效，并加盖投标人公章。若后续抽查结果投标人为提供虚假信息，则视为投标无效。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22"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w:t>
            </w:r>
          </w:p>
        </w:tc>
        <w:tc>
          <w:tcPr>
            <w:tcW w:w="482" w:type="pct"/>
            <w:vMerge w:val="continue"/>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rPr>
            </w:pPr>
          </w:p>
        </w:tc>
        <w:tc>
          <w:tcPr>
            <w:tcW w:w="552"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leftChars="0" w:right="0" w:rightChars="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服务类招标业绩</w:t>
            </w:r>
          </w:p>
        </w:tc>
        <w:tc>
          <w:tcPr>
            <w:tcW w:w="413"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leftChars="0" w:right="0" w:rightChars="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6</w:t>
            </w:r>
          </w:p>
        </w:tc>
        <w:tc>
          <w:tcPr>
            <w:tcW w:w="3329" w:type="pct"/>
            <w:vAlign w:val="center"/>
          </w:tcPr>
          <w:p>
            <w:pPr>
              <w:keepNext w:val="0"/>
              <w:keepLines w:val="0"/>
              <w:pageBreakBefore w:val="0"/>
              <w:suppressLineNumbers w:val="0"/>
              <w:kinsoku/>
              <w:overflowPunct/>
              <w:topLinePunct w:val="0"/>
              <w:bidi w:val="0"/>
              <w:snapToGrid/>
              <w:spacing w:before="0" w:beforeAutospacing="0" w:after="0" w:afterAutospacing="0" w:line="300" w:lineRule="exact"/>
              <w:ind w:left="0" w:right="0"/>
              <w:textAlignment w:val="auto"/>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rPr>
              <w:t>（一）评</w:t>
            </w:r>
            <w:r>
              <w:rPr>
                <w:rFonts w:hint="eastAsia" w:ascii="仿宋" w:hAnsi="仿宋" w:eastAsia="仿宋" w:cs="仿宋"/>
                <w:b/>
                <w:bCs/>
                <w:color w:val="auto"/>
                <w:sz w:val="21"/>
                <w:szCs w:val="21"/>
                <w:lang w:val="en-US" w:eastAsia="zh-CN"/>
              </w:rPr>
              <w:t>分</w:t>
            </w:r>
            <w:r>
              <w:rPr>
                <w:rFonts w:hint="eastAsia" w:ascii="仿宋" w:hAnsi="仿宋" w:eastAsia="仿宋" w:cs="仿宋"/>
                <w:b/>
                <w:bCs/>
                <w:color w:val="auto"/>
                <w:sz w:val="21"/>
                <w:szCs w:val="21"/>
              </w:rPr>
              <w:t>内容：</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highlight w:val="none"/>
              </w:rPr>
              <w:t>投标人提供自202</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年1月1日至本项目投标截止前关于</w:t>
            </w:r>
            <w:r>
              <w:rPr>
                <w:rFonts w:hint="eastAsia" w:ascii="仿宋" w:hAnsi="仿宋" w:eastAsia="仿宋" w:cs="仿宋"/>
                <w:color w:val="auto"/>
                <w:sz w:val="21"/>
                <w:szCs w:val="21"/>
                <w:highlight w:val="none"/>
                <w:lang w:val="en-US" w:eastAsia="zh-CN"/>
              </w:rPr>
              <w:t>医疗行业</w:t>
            </w:r>
            <w:r>
              <w:rPr>
                <w:rFonts w:hint="eastAsia" w:ascii="仿宋" w:hAnsi="仿宋" w:eastAsia="仿宋" w:cs="仿宋"/>
                <w:color w:val="auto"/>
                <w:sz w:val="21"/>
                <w:szCs w:val="21"/>
              </w:rPr>
              <w:t>服务类</w:t>
            </w:r>
            <w:r>
              <w:rPr>
                <w:rFonts w:hint="eastAsia" w:ascii="仿宋" w:hAnsi="仿宋" w:eastAsia="仿宋" w:cs="仿宋"/>
                <w:color w:val="auto"/>
                <w:sz w:val="21"/>
                <w:szCs w:val="21"/>
                <w:highlight w:val="none"/>
              </w:rPr>
              <w:t>招标代理项目业绩（以中标日期为准）</w:t>
            </w:r>
            <w:r>
              <w:rPr>
                <w:rFonts w:hint="eastAsia" w:ascii="仿宋" w:hAnsi="仿宋" w:eastAsia="仿宋" w:cs="仿宋"/>
                <w:color w:val="auto"/>
                <w:sz w:val="21"/>
                <w:szCs w:val="21"/>
                <w:highlight w:val="none"/>
                <w:lang w:eastAsia="zh-CN"/>
              </w:rPr>
              <w:t>：</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1.中标项目数量200（含）个及以上的，得6分。</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2.中标项目数量150（含）-199个的，得3分。</w:t>
            </w:r>
          </w:p>
          <w:p>
            <w:pPr>
              <w:keepNext w:val="0"/>
              <w:keepLines w:val="0"/>
              <w:pageBreakBefore w:val="0"/>
              <w:widowControl w:val="0"/>
              <w:numPr>
                <w:ilvl w:val="0"/>
                <w:numId w:val="0"/>
              </w:numPr>
              <w:suppressLineNumbers w:val="0"/>
              <w:tabs>
                <w:tab w:val="left" w:pos="1431"/>
              </w:tabs>
              <w:kinsoku/>
              <w:overflowPunct/>
              <w:topLinePunct w:val="0"/>
              <w:bidi w:val="0"/>
              <w:spacing w:before="0" w:beforeAutospacing="0" w:after="0" w:afterAutospacing="0" w:line="300" w:lineRule="exact"/>
              <w:ind w:left="0" w:right="0" w:right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3.中标项目数量150个以下的，得1分。</w:t>
            </w:r>
          </w:p>
          <w:p>
            <w:pPr>
              <w:pStyle w:val="29"/>
              <w:keepNext w:val="0"/>
              <w:keepLines w:val="0"/>
              <w:pageBreakBefore w:val="0"/>
              <w:suppressLineNumbers w:val="0"/>
              <w:kinsoku/>
              <w:overflowPunct/>
              <w:topLinePunct w:val="0"/>
              <w:bidi w:val="0"/>
              <w:snapToGrid/>
              <w:spacing w:before="0" w:beforeAutospacing="0" w:after="0" w:afterAutospacing="0" w:line="300" w:lineRule="exact"/>
              <w:ind w:left="0" w:leftChars="0" w:right="0" w:firstLine="0" w:firstLineChars="0"/>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（二）评</w:t>
            </w:r>
            <w:r>
              <w:rPr>
                <w:rFonts w:hint="eastAsia" w:ascii="仿宋" w:hAnsi="仿宋" w:eastAsia="仿宋" w:cs="仿宋"/>
                <w:b/>
                <w:bCs/>
                <w:color w:val="auto"/>
                <w:sz w:val="21"/>
                <w:szCs w:val="21"/>
                <w:lang w:val="en-US" w:eastAsia="zh-CN"/>
              </w:rPr>
              <w:t>分依据</w:t>
            </w:r>
            <w:r>
              <w:rPr>
                <w:rFonts w:hint="eastAsia" w:ascii="仿宋" w:hAnsi="仿宋" w:eastAsia="仿宋" w:cs="仿宋"/>
                <w:b/>
                <w:bCs/>
                <w:color w:val="auto"/>
                <w:sz w:val="21"/>
                <w:szCs w:val="21"/>
              </w:rPr>
              <w:t>：</w:t>
            </w:r>
          </w:p>
          <w:p>
            <w:pPr>
              <w:keepNext w:val="0"/>
              <w:keepLines w:val="0"/>
              <w:pageBreakBefore w:val="0"/>
              <w:suppressLineNumbers w:val="0"/>
              <w:kinsoku/>
              <w:overflowPunct/>
              <w:topLinePunct w:val="0"/>
              <w:bidi w:val="0"/>
              <w:spacing w:before="0" w:beforeAutospacing="0" w:after="0" w:afterAutospacing="0" w:line="300" w:lineRule="exact"/>
              <w:ind w:left="0" w:right="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highlight w:val="none"/>
                <w:lang w:val="en-US" w:eastAsia="zh-CN"/>
              </w:rPr>
              <w:t>1.提供项目清单，项目清单需包含序号、项目编号、招标人单位名称、项目名称、中标时间</w:t>
            </w:r>
            <w:r>
              <w:rPr>
                <w:rFonts w:hint="eastAsia" w:ascii="仿宋" w:hAnsi="仿宋" w:eastAsia="仿宋" w:cs="仿宋"/>
                <w:color w:val="auto"/>
                <w:sz w:val="21"/>
                <w:szCs w:val="21"/>
                <w:lang w:val="en-US" w:eastAsia="zh-CN"/>
              </w:rPr>
              <w:t>。</w:t>
            </w:r>
          </w:p>
          <w:p>
            <w:pPr>
              <w:keepNext w:val="0"/>
              <w:keepLines w:val="0"/>
              <w:pageBreakBefore w:val="0"/>
              <w:suppressLineNumbers w:val="0"/>
              <w:kinsoku/>
              <w:overflowPunct/>
              <w:topLinePunct w:val="0"/>
              <w:bidi w:val="0"/>
              <w:spacing w:before="0" w:beforeAutospacing="0" w:after="0" w:afterAutospacing="0" w:line="300" w:lineRule="exact"/>
              <w:ind w:left="0" w:leftChars="0" w:right="0" w:rightChars="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highlight w:val="none"/>
                <w:lang w:val="en-US" w:eastAsia="zh-CN"/>
              </w:rPr>
              <w:t>提供承诺函（格式自拟），承诺以上业绩信息真实、有效，并加盖投标人公章。若后续抽查结果投标人为提供虚假信息，则视为投标无效。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22"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482" w:type="pct"/>
            <w:vMerge w:val="continue"/>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rPr>
            </w:pPr>
          </w:p>
        </w:tc>
        <w:tc>
          <w:tcPr>
            <w:tcW w:w="552"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工程类招标业绩</w:t>
            </w:r>
          </w:p>
        </w:tc>
        <w:tc>
          <w:tcPr>
            <w:tcW w:w="413"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3329" w:type="pct"/>
            <w:vAlign w:val="center"/>
          </w:tcPr>
          <w:p>
            <w:pPr>
              <w:keepNext w:val="0"/>
              <w:keepLines w:val="0"/>
              <w:pageBreakBefore w:val="0"/>
              <w:suppressLineNumbers w:val="0"/>
              <w:kinsoku/>
              <w:overflowPunct/>
              <w:topLinePunct w:val="0"/>
              <w:bidi w:val="0"/>
              <w:snapToGrid/>
              <w:spacing w:before="0" w:beforeAutospacing="0" w:after="0" w:afterAutospacing="0" w:line="300" w:lineRule="exact"/>
              <w:ind w:left="0" w:right="0"/>
              <w:textAlignment w:val="auto"/>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rPr>
              <w:t>（一）评</w:t>
            </w:r>
            <w:r>
              <w:rPr>
                <w:rFonts w:hint="eastAsia" w:ascii="仿宋" w:hAnsi="仿宋" w:eastAsia="仿宋" w:cs="仿宋"/>
                <w:b/>
                <w:bCs/>
                <w:color w:val="auto"/>
                <w:sz w:val="21"/>
                <w:szCs w:val="21"/>
                <w:lang w:val="en-US" w:eastAsia="zh-CN"/>
              </w:rPr>
              <w:t>分</w:t>
            </w:r>
            <w:r>
              <w:rPr>
                <w:rFonts w:hint="eastAsia" w:ascii="仿宋" w:hAnsi="仿宋" w:eastAsia="仿宋" w:cs="仿宋"/>
                <w:b/>
                <w:bCs/>
                <w:color w:val="auto"/>
                <w:sz w:val="21"/>
                <w:szCs w:val="21"/>
              </w:rPr>
              <w:t>内容：</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highlight w:val="none"/>
              </w:rPr>
              <w:t>投标人提供自202</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年1月1日至本项目投标截止</w:t>
            </w:r>
            <w:r>
              <w:rPr>
                <w:rFonts w:hint="eastAsia" w:ascii="仿宋" w:hAnsi="仿宋" w:eastAsia="仿宋" w:cs="仿宋"/>
                <w:color w:val="auto"/>
                <w:sz w:val="21"/>
                <w:szCs w:val="21"/>
                <w:highlight w:val="none"/>
                <w:lang w:val="en-US" w:eastAsia="zh-CN"/>
              </w:rPr>
              <w:t>日</w:t>
            </w:r>
            <w:r>
              <w:rPr>
                <w:rFonts w:hint="eastAsia" w:ascii="仿宋" w:hAnsi="仿宋" w:eastAsia="仿宋" w:cs="仿宋"/>
                <w:color w:val="auto"/>
                <w:sz w:val="21"/>
                <w:szCs w:val="21"/>
                <w:highlight w:val="none"/>
              </w:rPr>
              <w:t>关于</w:t>
            </w:r>
            <w:r>
              <w:rPr>
                <w:rFonts w:hint="eastAsia" w:ascii="仿宋" w:hAnsi="仿宋" w:eastAsia="仿宋" w:cs="仿宋"/>
                <w:color w:val="auto"/>
                <w:sz w:val="21"/>
                <w:szCs w:val="21"/>
                <w:highlight w:val="none"/>
                <w:lang w:val="en-US" w:eastAsia="zh-CN"/>
              </w:rPr>
              <w:t>医疗行业</w:t>
            </w:r>
            <w:r>
              <w:rPr>
                <w:rFonts w:hint="eastAsia" w:ascii="仿宋" w:hAnsi="仿宋" w:eastAsia="仿宋" w:cs="仿宋"/>
                <w:color w:val="auto"/>
                <w:sz w:val="21"/>
                <w:szCs w:val="21"/>
              </w:rPr>
              <w:t>工程类</w:t>
            </w:r>
            <w:r>
              <w:rPr>
                <w:rFonts w:hint="eastAsia" w:ascii="仿宋" w:hAnsi="仿宋" w:eastAsia="仿宋" w:cs="仿宋"/>
                <w:color w:val="auto"/>
                <w:sz w:val="21"/>
                <w:szCs w:val="21"/>
                <w:highlight w:val="none"/>
              </w:rPr>
              <w:t>招标代理项目业绩（以中标日期为准）</w:t>
            </w:r>
            <w:r>
              <w:rPr>
                <w:rFonts w:hint="eastAsia" w:ascii="仿宋" w:hAnsi="仿宋" w:eastAsia="仿宋" w:cs="仿宋"/>
                <w:color w:val="auto"/>
                <w:sz w:val="21"/>
                <w:szCs w:val="21"/>
                <w:highlight w:val="none"/>
                <w:lang w:eastAsia="zh-CN"/>
              </w:rPr>
              <w:t>：</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1.中标项目数量30（含）个及以上的，得5分。</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2.中标项目数量20（含）-29个的，得3分。</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val="0"/>
                <w:bCs w:val="0"/>
                <w:color w:val="auto"/>
                <w:kern w:val="2"/>
                <w:sz w:val="21"/>
                <w:szCs w:val="21"/>
                <w:highlight w:val="none"/>
                <w:lang w:val="en-US" w:eastAsia="zh-CN" w:bidi="ar-SA"/>
              </w:rPr>
              <w:t>3.</w:t>
            </w:r>
            <w:r>
              <w:rPr>
                <w:rFonts w:hint="eastAsia" w:ascii="仿宋" w:hAnsi="仿宋" w:eastAsia="仿宋" w:cs="仿宋"/>
                <w:color w:val="auto"/>
                <w:sz w:val="21"/>
                <w:szCs w:val="21"/>
                <w:highlight w:val="none"/>
                <w:lang w:val="en-US" w:eastAsia="zh-CN"/>
              </w:rPr>
              <w:t>中标项目数量20个以下的，得1分。</w:t>
            </w:r>
          </w:p>
          <w:p>
            <w:pPr>
              <w:pStyle w:val="29"/>
              <w:keepNext w:val="0"/>
              <w:keepLines w:val="0"/>
              <w:pageBreakBefore w:val="0"/>
              <w:suppressLineNumbers w:val="0"/>
              <w:kinsoku/>
              <w:overflowPunct/>
              <w:topLinePunct w:val="0"/>
              <w:bidi w:val="0"/>
              <w:snapToGrid/>
              <w:spacing w:before="0" w:beforeAutospacing="0" w:after="0" w:afterAutospacing="0" w:line="300" w:lineRule="exact"/>
              <w:ind w:left="0" w:leftChars="0" w:right="0" w:firstLine="0" w:firstLineChars="0"/>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（二）评</w:t>
            </w:r>
            <w:r>
              <w:rPr>
                <w:rFonts w:hint="eastAsia" w:ascii="仿宋" w:hAnsi="仿宋" w:eastAsia="仿宋" w:cs="仿宋"/>
                <w:b/>
                <w:bCs/>
                <w:color w:val="auto"/>
                <w:sz w:val="21"/>
                <w:szCs w:val="21"/>
                <w:lang w:val="en-US" w:eastAsia="zh-CN"/>
              </w:rPr>
              <w:t>分依据</w:t>
            </w:r>
            <w:r>
              <w:rPr>
                <w:rFonts w:hint="eastAsia" w:ascii="仿宋" w:hAnsi="仿宋" w:eastAsia="仿宋" w:cs="仿宋"/>
                <w:b/>
                <w:bCs/>
                <w:color w:val="auto"/>
                <w:sz w:val="21"/>
                <w:szCs w:val="21"/>
              </w:rPr>
              <w:t>：</w:t>
            </w:r>
          </w:p>
          <w:p>
            <w:pPr>
              <w:keepNext w:val="0"/>
              <w:keepLines w:val="0"/>
              <w:pageBreakBefore w:val="0"/>
              <w:suppressLineNumbers w:val="0"/>
              <w:kinsoku/>
              <w:overflowPunct/>
              <w:topLinePunct w:val="0"/>
              <w:bidi w:val="0"/>
              <w:spacing w:before="0" w:beforeAutospacing="0" w:after="0" w:afterAutospacing="0" w:line="300" w:lineRule="exact"/>
              <w:ind w:left="0" w:right="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highlight w:val="none"/>
                <w:lang w:val="en-US" w:eastAsia="zh-CN"/>
              </w:rPr>
              <w:t>1.提供项目清单，项目清单需包含序号、项目编号、招标人单位名称、项目名称、中标时间</w:t>
            </w:r>
            <w:r>
              <w:rPr>
                <w:rFonts w:hint="eastAsia" w:ascii="仿宋" w:hAnsi="仿宋" w:eastAsia="仿宋" w:cs="仿宋"/>
                <w:color w:val="auto"/>
                <w:sz w:val="21"/>
                <w:szCs w:val="21"/>
                <w:lang w:val="en-US" w:eastAsia="zh-CN"/>
              </w:rPr>
              <w:t>。</w:t>
            </w:r>
          </w:p>
          <w:p>
            <w:pPr>
              <w:keepNext w:val="0"/>
              <w:keepLines w:val="0"/>
              <w:pageBreakBefore w:val="0"/>
              <w:suppressLineNumbers w:val="0"/>
              <w:kinsoku/>
              <w:overflowPunct/>
              <w:topLinePunct w:val="0"/>
              <w:bidi w:val="0"/>
              <w:spacing w:before="0" w:beforeAutospacing="0" w:after="0" w:afterAutospacing="0" w:line="300" w:lineRule="exact"/>
              <w:ind w:left="0" w:right="0"/>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highlight w:val="none"/>
                <w:lang w:val="en-US" w:eastAsia="zh-CN"/>
              </w:rPr>
              <w:t>提供承诺函（格式自拟），承诺以上业绩信息真实、有效，并加盖投标人公章。若后续抽查结果投标人为提供虚假信息，则视为投标无效。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222"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482" w:type="pct"/>
            <w:vMerge w:val="continue"/>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rPr>
            </w:pPr>
          </w:p>
        </w:tc>
        <w:tc>
          <w:tcPr>
            <w:tcW w:w="552"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医疗领域合作单位业绩</w:t>
            </w:r>
          </w:p>
        </w:tc>
        <w:tc>
          <w:tcPr>
            <w:tcW w:w="413"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3329" w:type="pct"/>
            <w:vAlign w:val="center"/>
          </w:tcPr>
          <w:p>
            <w:pPr>
              <w:keepNext w:val="0"/>
              <w:keepLines w:val="0"/>
              <w:pageBreakBefore w:val="0"/>
              <w:suppressLineNumbers w:val="0"/>
              <w:kinsoku/>
              <w:overflowPunct/>
              <w:topLinePunct w:val="0"/>
              <w:bidi w:val="0"/>
              <w:snapToGrid/>
              <w:spacing w:before="0" w:beforeAutospacing="0" w:after="0" w:afterAutospacing="0" w:line="300" w:lineRule="exact"/>
              <w:ind w:left="0" w:right="0"/>
              <w:textAlignment w:val="auto"/>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rPr>
              <w:t>（一）评</w:t>
            </w:r>
            <w:r>
              <w:rPr>
                <w:rFonts w:hint="eastAsia" w:ascii="仿宋" w:hAnsi="仿宋" w:eastAsia="仿宋" w:cs="仿宋"/>
                <w:b/>
                <w:bCs/>
                <w:color w:val="auto"/>
                <w:sz w:val="21"/>
                <w:szCs w:val="21"/>
                <w:lang w:val="en-US" w:eastAsia="zh-CN"/>
              </w:rPr>
              <w:t>分</w:t>
            </w:r>
            <w:r>
              <w:rPr>
                <w:rFonts w:hint="eastAsia" w:ascii="仿宋" w:hAnsi="仿宋" w:eastAsia="仿宋" w:cs="仿宋"/>
                <w:b/>
                <w:bCs/>
                <w:color w:val="auto"/>
                <w:sz w:val="21"/>
                <w:szCs w:val="21"/>
              </w:rPr>
              <w:t>内容：</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highlight w:val="none"/>
              </w:rPr>
              <w:t>投标人提供自202</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年1月1日至本项目投标截止</w:t>
            </w:r>
            <w:r>
              <w:rPr>
                <w:rFonts w:hint="eastAsia" w:ascii="仿宋" w:hAnsi="仿宋" w:eastAsia="仿宋" w:cs="仿宋"/>
                <w:color w:val="auto"/>
                <w:sz w:val="21"/>
                <w:szCs w:val="21"/>
                <w:highlight w:val="none"/>
                <w:lang w:val="en-US" w:eastAsia="zh-CN"/>
              </w:rPr>
              <w:t>日与医疗领域</w:t>
            </w:r>
            <w:r>
              <w:rPr>
                <w:rFonts w:hint="eastAsia" w:ascii="仿宋" w:hAnsi="仿宋" w:eastAsia="仿宋" w:cs="仿宋"/>
                <w:color w:val="auto"/>
                <w:sz w:val="21"/>
                <w:szCs w:val="21"/>
                <w:lang w:val="en-US" w:eastAsia="zh-CN"/>
              </w:rPr>
              <w:t>合作单位</w:t>
            </w:r>
            <w:r>
              <w:rPr>
                <w:rFonts w:hint="eastAsia" w:ascii="仿宋" w:hAnsi="仿宋" w:eastAsia="仿宋" w:cs="仿宋"/>
                <w:color w:val="auto"/>
                <w:sz w:val="21"/>
                <w:szCs w:val="21"/>
                <w:highlight w:val="none"/>
              </w:rPr>
              <w:t>业绩（以合同签订时间为准）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每提供1份</w:t>
            </w:r>
            <w:r>
              <w:rPr>
                <w:rFonts w:hint="eastAsia" w:ascii="仿宋" w:hAnsi="仿宋" w:eastAsia="仿宋" w:cs="仿宋"/>
                <w:color w:val="auto"/>
                <w:sz w:val="21"/>
                <w:szCs w:val="21"/>
                <w:lang w:val="en-US" w:eastAsia="zh-CN"/>
              </w:rPr>
              <w:t>得1分，最高得10分。</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（二）评分依据：</w:t>
            </w:r>
          </w:p>
          <w:p>
            <w:pPr>
              <w:pStyle w:val="7"/>
              <w:keepNext w:val="0"/>
              <w:keepLines w:val="0"/>
              <w:pageBreakBefore w:val="0"/>
              <w:numPr>
                <w:ilvl w:val="0"/>
                <w:numId w:val="0"/>
              </w:numPr>
              <w:suppressLineNumbers w:val="0"/>
              <w:kinsoku/>
              <w:overflowPunct/>
              <w:topLinePunct w:val="0"/>
              <w:bidi w:val="0"/>
              <w:spacing w:before="0" w:beforeAutospacing="0" w:after="0" w:afterAutospacing="0" w:line="300" w:lineRule="exact"/>
              <w:ind w:left="0" w:right="0"/>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val="en-US" w:eastAsia="zh-CN"/>
              </w:rPr>
              <w:t>1.</w:t>
            </w:r>
            <w:r>
              <w:rPr>
                <w:rFonts w:hint="eastAsia" w:ascii="仿宋" w:hAnsi="仿宋" w:eastAsia="仿宋" w:cs="仿宋"/>
                <w:b w:val="0"/>
                <w:bCs w:val="0"/>
                <w:color w:val="auto"/>
                <w:sz w:val="21"/>
                <w:szCs w:val="21"/>
              </w:rPr>
              <w:t>同一服务单位不累计得分</w:t>
            </w:r>
            <w:r>
              <w:rPr>
                <w:rFonts w:hint="eastAsia" w:ascii="仿宋" w:hAnsi="仿宋" w:eastAsia="仿宋" w:cs="仿宋"/>
                <w:b w:val="0"/>
                <w:bCs w:val="0"/>
                <w:color w:val="auto"/>
                <w:sz w:val="21"/>
                <w:szCs w:val="21"/>
                <w:lang w:eastAsia="zh-CN"/>
              </w:rPr>
              <w:t>。</w:t>
            </w:r>
          </w:p>
          <w:p>
            <w:pPr>
              <w:pStyle w:val="7"/>
              <w:keepNext w:val="0"/>
              <w:keepLines w:val="0"/>
              <w:pageBreakBefore w:val="0"/>
              <w:numPr>
                <w:ilvl w:val="0"/>
                <w:numId w:val="0"/>
              </w:numPr>
              <w:suppressLineNumbers w:val="0"/>
              <w:kinsoku/>
              <w:overflowPunct/>
              <w:topLinePunct w:val="0"/>
              <w:bidi w:val="0"/>
              <w:spacing w:before="0" w:beforeAutospacing="0" w:after="0" w:afterAutospacing="0" w:line="300" w:lineRule="exact"/>
              <w:ind w:left="0" w:right="0"/>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val="en-US" w:eastAsia="zh-CN"/>
              </w:rPr>
              <w:t>2.</w:t>
            </w:r>
            <w:r>
              <w:rPr>
                <w:rFonts w:hint="eastAsia" w:ascii="仿宋" w:hAnsi="仿宋" w:eastAsia="仿宋" w:cs="仿宋"/>
                <w:b w:val="0"/>
                <w:bCs w:val="0"/>
                <w:color w:val="auto"/>
                <w:sz w:val="21"/>
                <w:szCs w:val="21"/>
              </w:rPr>
              <w:t>提供合同关键页扫描件，内容能体现项目类型、合同期限、合同双方盖章等关键信息。</w:t>
            </w:r>
          </w:p>
          <w:p>
            <w:pPr>
              <w:pStyle w:val="7"/>
              <w:keepNext w:val="0"/>
              <w:keepLines w:val="0"/>
              <w:pageBreakBefore w:val="0"/>
              <w:numPr>
                <w:ilvl w:val="0"/>
                <w:numId w:val="0"/>
              </w:numPr>
              <w:suppressLineNumbers w:val="0"/>
              <w:kinsoku/>
              <w:overflowPunct/>
              <w:topLinePunct w:val="0"/>
              <w:bidi w:val="0"/>
              <w:spacing w:before="0" w:beforeAutospacing="0" w:after="0" w:afterAutospacing="0" w:line="300" w:lineRule="exact"/>
              <w:ind w:left="0" w:right="0"/>
              <w:textAlignment w:val="auto"/>
              <w:rPr>
                <w:rFonts w:hint="eastAsia" w:ascii="仿宋" w:hAnsi="仿宋" w:eastAsia="仿宋" w:cs="仿宋"/>
                <w:color w:val="auto"/>
                <w:sz w:val="21"/>
                <w:szCs w:val="21"/>
                <w:lang w:val="en-US" w:eastAsia="zh-CN"/>
              </w:rPr>
            </w:pPr>
            <w:r>
              <w:rPr>
                <w:rFonts w:hint="eastAsia" w:ascii="仿宋" w:hAnsi="仿宋" w:eastAsia="仿宋" w:cs="仿宋"/>
                <w:b w:val="0"/>
                <w:bCs w:val="0"/>
                <w:color w:val="auto"/>
                <w:sz w:val="21"/>
                <w:szCs w:val="21"/>
                <w:lang w:val="en-US" w:eastAsia="zh-CN"/>
              </w:rPr>
              <w:t>3.</w:t>
            </w:r>
            <w:r>
              <w:rPr>
                <w:rFonts w:hint="eastAsia" w:ascii="仿宋" w:hAnsi="仿宋" w:eastAsia="仿宋" w:cs="仿宋"/>
                <w:b w:val="0"/>
                <w:bCs w:val="0"/>
                <w:color w:val="auto"/>
                <w:kern w:val="0"/>
                <w:sz w:val="21"/>
                <w:szCs w:val="21"/>
                <w:lang w:val="en-US" w:eastAsia="zh-CN"/>
              </w:rPr>
              <w:t>以上证明文件原件备查，未按要求提供或提供不清晰导致专家无法判断的不得分。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222" w:type="pct"/>
            <w:vMerge w:val="restar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w:t>
            </w:r>
          </w:p>
        </w:tc>
        <w:tc>
          <w:tcPr>
            <w:tcW w:w="482" w:type="pct"/>
            <w:vMerge w:val="restar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信息化建设情况</w:t>
            </w:r>
            <w:r>
              <w:rPr>
                <w:rFonts w:hint="eastAsia" w:ascii="仿宋" w:hAnsi="仿宋" w:eastAsia="仿宋" w:cs="仿宋"/>
                <w:color w:val="auto"/>
                <w:sz w:val="21"/>
                <w:szCs w:val="21"/>
                <w:highlight w:val="none"/>
              </w:rPr>
              <w:t>（深圳）</w:t>
            </w:r>
          </w:p>
        </w:tc>
        <w:tc>
          <w:tcPr>
            <w:tcW w:w="552"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全流程电子招投标交易平台</w:t>
            </w:r>
          </w:p>
        </w:tc>
        <w:tc>
          <w:tcPr>
            <w:tcW w:w="413"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2</w:t>
            </w:r>
          </w:p>
        </w:tc>
        <w:tc>
          <w:tcPr>
            <w:tcW w:w="3329" w:type="pct"/>
            <w:vAlign w:val="center"/>
          </w:tcPr>
          <w:p>
            <w:pPr>
              <w:keepNext w:val="0"/>
              <w:keepLines w:val="0"/>
              <w:pageBreakBefore w:val="0"/>
              <w:suppressLineNumbers w:val="0"/>
              <w:kinsoku/>
              <w:overflowPunct/>
              <w:topLinePunct w:val="0"/>
              <w:bidi w:val="0"/>
              <w:snapToGrid/>
              <w:spacing w:before="0" w:beforeAutospacing="0" w:after="0" w:afterAutospacing="0" w:line="300" w:lineRule="exact"/>
              <w:ind w:left="0" w:right="0"/>
              <w:textAlignment w:val="auto"/>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rPr>
              <w:t>（一）评</w:t>
            </w:r>
            <w:r>
              <w:rPr>
                <w:rFonts w:hint="eastAsia" w:ascii="仿宋" w:hAnsi="仿宋" w:eastAsia="仿宋" w:cs="仿宋"/>
                <w:b/>
                <w:bCs/>
                <w:color w:val="auto"/>
                <w:sz w:val="21"/>
                <w:szCs w:val="21"/>
                <w:lang w:val="en-US" w:eastAsia="zh-CN"/>
              </w:rPr>
              <w:t>分</w:t>
            </w:r>
            <w:r>
              <w:rPr>
                <w:rFonts w:hint="eastAsia" w:ascii="仿宋" w:hAnsi="仿宋" w:eastAsia="仿宋" w:cs="仿宋"/>
                <w:b/>
                <w:bCs/>
                <w:color w:val="auto"/>
                <w:sz w:val="21"/>
                <w:szCs w:val="21"/>
              </w:rPr>
              <w:t>内容：</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1.与中国招标投标公共服务平台对接；</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2.属于政府指定的政府采购信息发布媒体。</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满足以上任意一点得2分。</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（二）评分依据：</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highlight w:val="none"/>
                <w:lang w:val="en-US" w:eastAsia="zh-CN"/>
              </w:rPr>
              <w:t>提供相关证明文件。</w:t>
            </w:r>
            <w:r>
              <w:rPr>
                <w:rFonts w:hint="eastAsia" w:ascii="仿宋" w:hAnsi="仿宋" w:eastAsia="仿宋" w:cs="仿宋"/>
                <w:b w:val="0"/>
                <w:bCs w:val="0"/>
                <w:color w:val="auto"/>
                <w:kern w:val="0"/>
                <w:sz w:val="21"/>
                <w:szCs w:val="21"/>
                <w:lang w:val="en-US" w:eastAsia="zh-CN"/>
              </w:rPr>
              <w:t>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22" w:type="pct"/>
            <w:vMerge w:val="continue"/>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rPr>
            </w:pPr>
          </w:p>
        </w:tc>
        <w:tc>
          <w:tcPr>
            <w:tcW w:w="482" w:type="pct"/>
            <w:vMerge w:val="continue"/>
            <w:vAlign w:val="top"/>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left"/>
              <w:textAlignment w:val="auto"/>
              <w:rPr>
                <w:rFonts w:hint="eastAsia" w:ascii="仿宋" w:hAnsi="仿宋" w:eastAsia="仿宋" w:cs="仿宋"/>
                <w:color w:val="auto"/>
                <w:sz w:val="21"/>
                <w:szCs w:val="21"/>
              </w:rPr>
            </w:pPr>
          </w:p>
        </w:tc>
        <w:tc>
          <w:tcPr>
            <w:tcW w:w="552"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自有</w:t>
            </w:r>
            <w:r>
              <w:rPr>
                <w:rFonts w:hint="eastAsia" w:ascii="仿宋" w:hAnsi="仿宋" w:eastAsia="仿宋" w:cs="仿宋"/>
                <w:color w:val="auto"/>
                <w:sz w:val="21"/>
                <w:szCs w:val="21"/>
              </w:rPr>
              <w:t>电子</w:t>
            </w:r>
            <w:r>
              <w:rPr>
                <w:rFonts w:hint="eastAsia" w:ascii="仿宋" w:hAnsi="仿宋" w:eastAsia="仿宋" w:cs="仿宋"/>
                <w:color w:val="auto"/>
                <w:sz w:val="21"/>
                <w:szCs w:val="21"/>
                <w:lang w:val="en-US" w:eastAsia="zh-CN"/>
              </w:rPr>
              <w:t>评标</w:t>
            </w:r>
            <w:r>
              <w:rPr>
                <w:rFonts w:hint="eastAsia" w:ascii="仿宋" w:hAnsi="仿宋" w:eastAsia="仿宋" w:cs="仿宋"/>
                <w:color w:val="auto"/>
                <w:sz w:val="21"/>
                <w:szCs w:val="21"/>
              </w:rPr>
              <w:t>系统</w:t>
            </w:r>
          </w:p>
        </w:tc>
        <w:tc>
          <w:tcPr>
            <w:tcW w:w="413"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3329" w:type="pct"/>
            <w:vAlign w:val="center"/>
          </w:tcPr>
          <w:p>
            <w:pPr>
              <w:keepNext w:val="0"/>
              <w:keepLines w:val="0"/>
              <w:pageBreakBefore w:val="0"/>
              <w:suppressLineNumbers w:val="0"/>
              <w:kinsoku/>
              <w:overflowPunct/>
              <w:topLinePunct w:val="0"/>
              <w:bidi w:val="0"/>
              <w:snapToGrid/>
              <w:spacing w:before="0" w:beforeAutospacing="0" w:after="0" w:afterAutospacing="0" w:line="300" w:lineRule="exact"/>
              <w:ind w:left="0" w:right="0"/>
              <w:textAlignment w:val="auto"/>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rPr>
              <w:t>（一）评</w:t>
            </w:r>
            <w:r>
              <w:rPr>
                <w:rFonts w:hint="eastAsia" w:ascii="仿宋" w:hAnsi="仿宋" w:eastAsia="仿宋" w:cs="仿宋"/>
                <w:b/>
                <w:bCs/>
                <w:color w:val="auto"/>
                <w:sz w:val="21"/>
                <w:szCs w:val="21"/>
                <w:lang w:val="en-US" w:eastAsia="zh-CN"/>
              </w:rPr>
              <w:t>分</w:t>
            </w:r>
            <w:r>
              <w:rPr>
                <w:rFonts w:hint="eastAsia" w:ascii="仿宋" w:hAnsi="仿宋" w:eastAsia="仿宋" w:cs="仿宋"/>
                <w:b/>
                <w:bCs/>
                <w:color w:val="auto"/>
                <w:sz w:val="21"/>
                <w:szCs w:val="21"/>
              </w:rPr>
              <w:t>内容：</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具有</w:t>
            </w:r>
            <w:r>
              <w:rPr>
                <w:rFonts w:hint="eastAsia" w:ascii="仿宋" w:hAnsi="仿宋" w:eastAsia="仿宋" w:cs="仿宋"/>
                <w:color w:val="auto"/>
                <w:sz w:val="21"/>
                <w:szCs w:val="21"/>
              </w:rPr>
              <w:t>电子</w:t>
            </w:r>
            <w:r>
              <w:rPr>
                <w:rFonts w:hint="eastAsia" w:ascii="仿宋" w:hAnsi="仿宋" w:eastAsia="仿宋" w:cs="仿宋"/>
                <w:color w:val="auto"/>
                <w:sz w:val="21"/>
                <w:szCs w:val="21"/>
                <w:lang w:val="en-US" w:eastAsia="zh-CN"/>
              </w:rPr>
              <w:t>评标</w:t>
            </w:r>
            <w:r>
              <w:rPr>
                <w:rFonts w:hint="eastAsia" w:ascii="仿宋" w:hAnsi="仿宋" w:eastAsia="仿宋" w:cs="仿宋"/>
                <w:color w:val="auto"/>
                <w:sz w:val="21"/>
                <w:szCs w:val="21"/>
              </w:rPr>
              <w:t>系统</w:t>
            </w:r>
            <w:r>
              <w:rPr>
                <w:rFonts w:hint="eastAsia" w:ascii="仿宋" w:hAnsi="仿宋" w:eastAsia="仿宋" w:cs="仿宋"/>
                <w:color w:val="auto"/>
                <w:sz w:val="21"/>
                <w:szCs w:val="21"/>
                <w:lang w:val="en-US" w:eastAsia="zh-CN"/>
              </w:rPr>
              <w:t>的</w:t>
            </w:r>
            <w:r>
              <w:rPr>
                <w:rFonts w:hint="eastAsia" w:ascii="仿宋" w:hAnsi="仿宋" w:eastAsia="仿宋" w:cs="仿宋"/>
                <w:color w:val="auto"/>
                <w:sz w:val="21"/>
                <w:szCs w:val="21"/>
              </w:rPr>
              <w:t>，得</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没有不得分</w:t>
            </w:r>
            <w:r>
              <w:rPr>
                <w:rFonts w:hint="eastAsia" w:ascii="仿宋" w:hAnsi="仿宋" w:eastAsia="仿宋" w:cs="仿宋"/>
                <w:color w:val="auto"/>
                <w:sz w:val="21"/>
                <w:szCs w:val="21"/>
                <w:lang w:eastAsia="zh-CN"/>
              </w:rPr>
              <w:t>。</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（二）评分依据：</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textAlignment w:val="auto"/>
              <w:rPr>
                <w:rFonts w:hint="eastAsia" w:ascii="仿宋" w:hAnsi="仿宋" w:eastAsia="仿宋" w:cs="仿宋"/>
                <w:color w:val="auto"/>
                <w:sz w:val="21"/>
                <w:szCs w:val="21"/>
              </w:rPr>
            </w:pPr>
            <w:r>
              <w:rPr>
                <w:rFonts w:hint="eastAsia" w:ascii="仿宋" w:hAnsi="仿宋" w:eastAsia="仿宋" w:cs="仿宋"/>
                <w:color w:val="auto"/>
                <w:sz w:val="21"/>
                <w:szCs w:val="21"/>
                <w:highlight w:val="none"/>
                <w:lang w:val="en-US" w:eastAsia="zh-CN"/>
              </w:rPr>
              <w:t>提供相关证明文件。</w:t>
            </w:r>
            <w:r>
              <w:rPr>
                <w:rFonts w:hint="eastAsia" w:ascii="仿宋" w:hAnsi="仿宋" w:eastAsia="仿宋" w:cs="仿宋"/>
                <w:b w:val="0"/>
                <w:bCs w:val="0"/>
                <w:color w:val="auto"/>
                <w:kern w:val="0"/>
                <w:sz w:val="21"/>
                <w:szCs w:val="21"/>
                <w:lang w:val="en-US" w:eastAsia="zh-CN"/>
              </w:rPr>
              <w:t>以上证明文件原件备查，未按要求提供或提供不清晰导致专家无法判断的不得分。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2" w:type="pct"/>
            <w:vMerge w:val="continue"/>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rPr>
            </w:pPr>
          </w:p>
        </w:tc>
        <w:tc>
          <w:tcPr>
            <w:tcW w:w="482" w:type="pct"/>
            <w:vMerge w:val="continue"/>
            <w:vAlign w:val="top"/>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left"/>
              <w:textAlignment w:val="auto"/>
              <w:rPr>
                <w:rFonts w:hint="eastAsia" w:ascii="仿宋" w:hAnsi="仿宋" w:eastAsia="仿宋" w:cs="仿宋"/>
                <w:color w:val="auto"/>
                <w:sz w:val="21"/>
                <w:szCs w:val="21"/>
              </w:rPr>
            </w:pPr>
          </w:p>
        </w:tc>
        <w:tc>
          <w:tcPr>
            <w:tcW w:w="552"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市场</w:t>
            </w:r>
            <w:r>
              <w:rPr>
                <w:rFonts w:hint="eastAsia" w:ascii="仿宋" w:hAnsi="仿宋" w:eastAsia="仿宋" w:cs="仿宋"/>
                <w:color w:val="auto"/>
                <w:sz w:val="21"/>
                <w:szCs w:val="21"/>
              </w:rPr>
              <w:t>信息化</w:t>
            </w:r>
            <w:r>
              <w:rPr>
                <w:rFonts w:hint="eastAsia" w:ascii="仿宋" w:hAnsi="仿宋" w:eastAsia="仿宋" w:cs="仿宋"/>
                <w:color w:val="auto"/>
                <w:sz w:val="21"/>
                <w:szCs w:val="21"/>
                <w:lang w:eastAsia="zh-CN"/>
              </w:rPr>
              <w:t>调研</w:t>
            </w:r>
            <w:r>
              <w:rPr>
                <w:rFonts w:hint="eastAsia" w:ascii="仿宋" w:hAnsi="仿宋" w:eastAsia="仿宋" w:cs="仿宋"/>
                <w:color w:val="auto"/>
                <w:sz w:val="21"/>
                <w:szCs w:val="21"/>
              </w:rPr>
              <w:t>平台</w:t>
            </w:r>
          </w:p>
        </w:tc>
        <w:tc>
          <w:tcPr>
            <w:tcW w:w="413"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3329" w:type="pct"/>
            <w:vAlign w:val="center"/>
          </w:tcPr>
          <w:p>
            <w:pPr>
              <w:keepNext w:val="0"/>
              <w:keepLines w:val="0"/>
              <w:pageBreakBefore w:val="0"/>
              <w:widowControl w:val="0"/>
              <w:numPr>
                <w:ilvl w:val="0"/>
                <w:numId w:val="0"/>
              </w:numPr>
              <w:suppressLineNumbers w:val="0"/>
              <w:tabs>
                <w:tab w:val="left" w:pos="1431"/>
              </w:tabs>
              <w:kinsoku/>
              <w:overflowPunct/>
              <w:topLinePunct w:val="0"/>
              <w:bidi w:val="0"/>
              <w:spacing w:before="0" w:beforeAutospacing="0" w:after="0" w:afterAutospacing="0" w:line="300" w:lineRule="exact"/>
              <w:ind w:left="0" w:leftChars="0" w:right="0" w:rightChars="0"/>
              <w:jc w:val="both"/>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kern w:val="2"/>
                <w:sz w:val="21"/>
                <w:szCs w:val="21"/>
                <w:lang w:val="en-US" w:eastAsia="zh-CN" w:bidi="ar-SA"/>
              </w:rPr>
              <w:t>（一）</w:t>
            </w:r>
            <w:r>
              <w:rPr>
                <w:rFonts w:hint="eastAsia" w:ascii="仿宋" w:hAnsi="仿宋" w:eastAsia="仿宋" w:cs="仿宋"/>
                <w:b/>
                <w:bCs/>
                <w:color w:val="auto"/>
                <w:sz w:val="21"/>
                <w:szCs w:val="21"/>
                <w:lang w:val="en-US" w:eastAsia="zh-CN"/>
              </w:rPr>
              <w:t>评分内容：</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具有</w:t>
            </w:r>
            <w:r>
              <w:rPr>
                <w:rFonts w:hint="eastAsia" w:ascii="仿宋" w:hAnsi="仿宋" w:eastAsia="仿宋" w:cs="仿宋"/>
                <w:color w:val="auto"/>
                <w:sz w:val="21"/>
                <w:szCs w:val="21"/>
                <w:highlight w:val="none"/>
                <w:lang w:eastAsia="zh-CN"/>
              </w:rPr>
              <w:t>市场</w:t>
            </w:r>
            <w:r>
              <w:rPr>
                <w:rFonts w:hint="eastAsia" w:ascii="仿宋" w:hAnsi="仿宋" w:eastAsia="仿宋" w:cs="仿宋"/>
                <w:color w:val="auto"/>
                <w:sz w:val="21"/>
                <w:szCs w:val="21"/>
                <w:highlight w:val="none"/>
              </w:rPr>
              <w:t>信息化</w:t>
            </w:r>
            <w:r>
              <w:rPr>
                <w:rFonts w:hint="eastAsia" w:ascii="仿宋" w:hAnsi="仿宋" w:eastAsia="仿宋" w:cs="仿宋"/>
                <w:color w:val="auto"/>
                <w:sz w:val="21"/>
                <w:szCs w:val="21"/>
                <w:highlight w:val="none"/>
                <w:lang w:eastAsia="zh-CN"/>
              </w:rPr>
              <w:t>调研</w:t>
            </w:r>
            <w:r>
              <w:rPr>
                <w:rFonts w:hint="eastAsia" w:ascii="仿宋" w:hAnsi="仿宋" w:eastAsia="仿宋" w:cs="仿宋"/>
                <w:color w:val="auto"/>
                <w:sz w:val="21"/>
                <w:szCs w:val="21"/>
                <w:highlight w:val="none"/>
              </w:rPr>
              <w:t>平台</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能查询</w:t>
            </w:r>
            <w:r>
              <w:rPr>
                <w:rFonts w:hint="eastAsia" w:ascii="仿宋" w:hAnsi="仿宋" w:eastAsia="仿宋" w:cs="仿宋"/>
                <w:color w:val="auto"/>
                <w:sz w:val="21"/>
                <w:szCs w:val="21"/>
                <w:highlight w:val="none"/>
                <w:lang w:eastAsia="zh-CN"/>
              </w:rPr>
              <w:t>医疗行业</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lang w:eastAsia="zh-CN"/>
              </w:rPr>
              <w:t>采购信息（查询信息不局限于本公司项目信息）。</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（二）评分依据：</w:t>
            </w:r>
          </w:p>
          <w:p>
            <w:pPr>
              <w:keepNext w:val="0"/>
              <w:keepLines w:val="0"/>
              <w:pageBreakBefore w:val="0"/>
              <w:widowControl/>
              <w:suppressLineNumbers w:val="0"/>
              <w:kinsoku/>
              <w:overflowPunct/>
              <w:topLinePunct w:val="0"/>
              <w:bidi w:val="0"/>
              <w:spacing w:before="0" w:beforeAutospacing="0" w:after="0" w:afterAutospacing="0" w:line="300" w:lineRule="exact"/>
              <w:ind w:left="0" w:right="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1.提供</w:t>
            </w:r>
            <w:r>
              <w:rPr>
                <w:rFonts w:hint="eastAsia" w:ascii="仿宋" w:hAnsi="仿宋" w:eastAsia="仿宋" w:cs="仿宋"/>
                <w:color w:val="auto"/>
                <w:sz w:val="21"/>
                <w:szCs w:val="21"/>
                <w:lang w:eastAsia="zh-CN"/>
              </w:rPr>
              <w:t>市场</w:t>
            </w:r>
            <w:r>
              <w:rPr>
                <w:rFonts w:hint="eastAsia" w:ascii="仿宋" w:hAnsi="仿宋" w:eastAsia="仿宋" w:cs="仿宋"/>
                <w:color w:val="auto"/>
                <w:sz w:val="21"/>
                <w:szCs w:val="21"/>
              </w:rPr>
              <w:t>信息化</w:t>
            </w:r>
            <w:r>
              <w:rPr>
                <w:rFonts w:hint="eastAsia" w:ascii="仿宋" w:hAnsi="仿宋" w:eastAsia="仿宋" w:cs="仿宋"/>
                <w:color w:val="auto"/>
                <w:sz w:val="21"/>
                <w:szCs w:val="21"/>
                <w:lang w:eastAsia="zh-CN"/>
              </w:rPr>
              <w:t>调研</w:t>
            </w:r>
            <w:r>
              <w:rPr>
                <w:rFonts w:hint="eastAsia" w:ascii="仿宋" w:hAnsi="仿宋" w:eastAsia="仿宋" w:cs="仿宋"/>
                <w:color w:val="auto"/>
                <w:sz w:val="21"/>
                <w:szCs w:val="21"/>
              </w:rPr>
              <w:t>平台</w:t>
            </w:r>
            <w:r>
              <w:rPr>
                <w:rFonts w:hint="eastAsia" w:ascii="仿宋" w:hAnsi="仿宋" w:eastAsia="仿宋" w:cs="仿宋"/>
                <w:color w:val="auto"/>
                <w:sz w:val="21"/>
                <w:szCs w:val="21"/>
                <w:lang w:eastAsia="zh-CN"/>
              </w:rPr>
              <w:t>医疗行业</w:t>
            </w:r>
            <w:r>
              <w:rPr>
                <w:rFonts w:hint="eastAsia" w:ascii="仿宋" w:hAnsi="仿宋" w:eastAsia="仿宋" w:cs="仿宋"/>
                <w:color w:val="auto"/>
                <w:sz w:val="21"/>
                <w:szCs w:val="21"/>
                <w:lang w:val="en-US" w:eastAsia="zh-CN"/>
              </w:rPr>
              <w:t>的</w:t>
            </w:r>
            <w:r>
              <w:rPr>
                <w:rFonts w:hint="eastAsia" w:ascii="仿宋" w:hAnsi="仿宋" w:eastAsia="仿宋" w:cs="仿宋"/>
                <w:color w:val="auto"/>
                <w:sz w:val="21"/>
                <w:szCs w:val="21"/>
                <w:lang w:eastAsia="zh-CN"/>
              </w:rPr>
              <w:t>查询</w:t>
            </w:r>
            <w:r>
              <w:rPr>
                <w:rFonts w:hint="eastAsia" w:ascii="仿宋" w:hAnsi="仿宋" w:eastAsia="仿宋" w:cs="仿宋"/>
                <w:color w:val="auto"/>
                <w:sz w:val="21"/>
                <w:szCs w:val="21"/>
                <w:lang w:val="en-US" w:eastAsia="zh-CN"/>
              </w:rPr>
              <w:t>界面</w:t>
            </w:r>
            <w:r>
              <w:rPr>
                <w:rFonts w:hint="eastAsia" w:ascii="仿宋" w:hAnsi="仿宋" w:eastAsia="仿宋" w:cs="仿宋"/>
                <w:color w:val="auto"/>
                <w:sz w:val="21"/>
                <w:szCs w:val="21"/>
                <w:lang w:eastAsia="zh-CN"/>
              </w:rPr>
              <w:t>截图（需显示调研平台名称），</w:t>
            </w:r>
            <w:r>
              <w:rPr>
                <w:rFonts w:hint="eastAsia" w:ascii="仿宋" w:hAnsi="仿宋" w:eastAsia="仿宋" w:cs="仿宋"/>
                <w:color w:val="auto"/>
                <w:sz w:val="21"/>
                <w:szCs w:val="21"/>
              </w:rPr>
              <w:t>得</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分</w:t>
            </w:r>
            <w:r>
              <w:rPr>
                <w:rFonts w:hint="eastAsia" w:ascii="仿宋" w:hAnsi="仿宋" w:eastAsia="仿宋" w:cs="仿宋"/>
                <w:color w:val="auto"/>
                <w:sz w:val="21"/>
                <w:szCs w:val="21"/>
                <w:lang w:eastAsia="zh-CN"/>
              </w:rPr>
              <w:t>。</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2.提供以上证明资料及承诺函。评分中出现无证明资料或专家无法凭所提供资料判断是否得分的情况，一律作不得分处理。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2"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w:t>
            </w:r>
          </w:p>
        </w:tc>
        <w:tc>
          <w:tcPr>
            <w:tcW w:w="482"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质疑、投诉</w:t>
            </w:r>
            <w:r>
              <w:rPr>
                <w:rFonts w:hint="eastAsia" w:ascii="仿宋" w:hAnsi="仿宋" w:eastAsia="仿宋" w:cs="仿宋"/>
                <w:color w:val="auto"/>
                <w:sz w:val="21"/>
                <w:szCs w:val="21"/>
                <w:lang w:eastAsia="zh-CN"/>
              </w:rPr>
              <w:t>等</w:t>
            </w:r>
            <w:r>
              <w:rPr>
                <w:rFonts w:hint="eastAsia" w:ascii="仿宋" w:hAnsi="仿宋" w:eastAsia="仿宋" w:cs="仿宋"/>
                <w:color w:val="auto"/>
                <w:sz w:val="21"/>
                <w:szCs w:val="21"/>
              </w:rPr>
              <w:t>处理</w:t>
            </w:r>
          </w:p>
        </w:tc>
        <w:tc>
          <w:tcPr>
            <w:tcW w:w="552"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质疑、投诉处理等能力</w:t>
            </w:r>
          </w:p>
        </w:tc>
        <w:tc>
          <w:tcPr>
            <w:tcW w:w="413"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3329" w:type="pct"/>
            <w:vAlign w:val="center"/>
          </w:tcPr>
          <w:p>
            <w:pPr>
              <w:keepNext w:val="0"/>
              <w:keepLines w:val="0"/>
              <w:pageBreakBefore w:val="0"/>
              <w:widowControl w:val="0"/>
              <w:numPr>
                <w:ilvl w:val="0"/>
                <w:numId w:val="0"/>
              </w:numPr>
              <w:suppressLineNumbers w:val="0"/>
              <w:tabs>
                <w:tab w:val="left" w:pos="1431"/>
              </w:tabs>
              <w:kinsoku/>
              <w:overflowPunct/>
              <w:topLinePunct w:val="0"/>
              <w:bidi w:val="0"/>
              <w:spacing w:before="0" w:beforeAutospacing="0" w:after="0" w:afterAutospacing="0" w:line="300" w:lineRule="exact"/>
              <w:ind w:left="0" w:leftChars="0" w:right="0" w:rightChars="0"/>
              <w:jc w:val="both"/>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kern w:val="2"/>
                <w:sz w:val="21"/>
                <w:szCs w:val="21"/>
                <w:lang w:val="en-US" w:eastAsia="zh-CN" w:bidi="ar-SA"/>
              </w:rPr>
              <w:t>（一）</w:t>
            </w:r>
            <w:r>
              <w:rPr>
                <w:rFonts w:hint="eastAsia" w:ascii="仿宋" w:hAnsi="仿宋" w:eastAsia="仿宋" w:cs="仿宋"/>
                <w:b/>
                <w:bCs/>
                <w:color w:val="auto"/>
                <w:sz w:val="21"/>
                <w:szCs w:val="21"/>
                <w:lang w:val="en-US" w:eastAsia="zh-CN"/>
              </w:rPr>
              <w:t>评分内容：</w:t>
            </w:r>
          </w:p>
          <w:p>
            <w:pPr>
              <w:keepNext w:val="0"/>
              <w:keepLines w:val="0"/>
              <w:pageBreakBefore w:val="0"/>
              <w:widowControl w:val="0"/>
              <w:numPr>
                <w:ilvl w:val="0"/>
                <w:numId w:val="0"/>
              </w:numPr>
              <w:suppressLineNumbers w:val="0"/>
              <w:tabs>
                <w:tab w:val="left" w:pos="1431"/>
              </w:tabs>
              <w:kinsoku/>
              <w:overflowPunct/>
              <w:topLinePunct w:val="0"/>
              <w:bidi w:val="0"/>
              <w:spacing w:before="0" w:beforeAutospacing="0" w:after="0" w:afterAutospacing="0" w:line="300" w:lineRule="exact"/>
              <w:ind w:left="0" w:right="0" w:rightChars="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评选专家根据</w:t>
            </w:r>
            <w:r>
              <w:rPr>
                <w:rFonts w:hint="eastAsia" w:ascii="仿宋" w:hAnsi="仿宋" w:eastAsia="仿宋" w:cs="仿宋"/>
                <w:color w:val="auto"/>
                <w:sz w:val="21"/>
                <w:szCs w:val="21"/>
                <w:lang w:val="en-US" w:eastAsia="zh-CN"/>
              </w:rPr>
              <w:t>投标人提供的</w:t>
            </w:r>
            <w:r>
              <w:rPr>
                <w:rFonts w:hint="eastAsia" w:ascii="仿宋" w:hAnsi="仿宋" w:eastAsia="仿宋" w:cs="仿宋"/>
                <w:color w:val="auto"/>
                <w:sz w:val="21"/>
                <w:szCs w:val="21"/>
                <w:lang w:eastAsia="zh-CN"/>
              </w:rPr>
              <w:t>质疑、投诉、信访、举报、涉诉</w:t>
            </w:r>
            <w:r>
              <w:rPr>
                <w:rFonts w:hint="eastAsia" w:ascii="仿宋" w:hAnsi="仿宋" w:eastAsia="仿宋" w:cs="仿宋"/>
                <w:color w:val="auto"/>
                <w:sz w:val="21"/>
                <w:szCs w:val="21"/>
                <w:lang w:val="en-US" w:eastAsia="zh-CN"/>
              </w:rPr>
              <w:t>等处理方案进行打分，方案内容包括但不限于以下内容：</w:t>
            </w:r>
          </w:p>
          <w:p>
            <w:pPr>
              <w:keepNext w:val="0"/>
              <w:keepLines w:val="0"/>
              <w:pageBreakBefore w:val="0"/>
              <w:widowControl w:val="0"/>
              <w:numPr>
                <w:ilvl w:val="0"/>
                <w:numId w:val="0"/>
              </w:numPr>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1.建立处理机制：包含</w:t>
            </w:r>
            <w:r>
              <w:rPr>
                <w:rFonts w:hint="eastAsia" w:ascii="仿宋" w:hAnsi="仿宋" w:eastAsia="仿宋" w:cs="仿宋"/>
                <w:color w:val="auto"/>
                <w:sz w:val="21"/>
                <w:szCs w:val="21"/>
                <w:lang w:eastAsia="zh-CN"/>
              </w:rPr>
              <w:t>质疑、投诉、信访、举报、涉诉</w:t>
            </w:r>
            <w:r>
              <w:rPr>
                <w:rFonts w:hint="eastAsia" w:ascii="仿宋" w:hAnsi="仿宋" w:eastAsia="仿宋" w:cs="仿宋"/>
                <w:color w:val="auto"/>
                <w:sz w:val="21"/>
                <w:szCs w:val="21"/>
                <w:lang w:val="en-US" w:eastAsia="zh-CN"/>
              </w:rPr>
              <w:t>等</w:t>
            </w:r>
            <w:r>
              <w:rPr>
                <w:rFonts w:hint="eastAsia" w:ascii="仿宋" w:hAnsi="仿宋" w:eastAsia="仿宋" w:cs="仿宋"/>
                <w:color w:val="auto"/>
                <w:sz w:val="21"/>
                <w:szCs w:val="21"/>
                <w:lang w:bidi="ar"/>
              </w:rPr>
              <w:t>处理</w:t>
            </w:r>
            <w:r>
              <w:rPr>
                <w:rFonts w:hint="eastAsia" w:ascii="仿宋" w:hAnsi="仿宋" w:eastAsia="仿宋" w:cs="仿宋"/>
                <w:color w:val="auto"/>
                <w:sz w:val="21"/>
                <w:szCs w:val="21"/>
                <w:lang w:val="en-US" w:eastAsia="zh-CN" w:bidi="ar"/>
              </w:rPr>
              <w:t>措施，</w:t>
            </w:r>
            <w:r>
              <w:rPr>
                <w:rFonts w:hint="eastAsia" w:ascii="仿宋" w:hAnsi="仿宋" w:eastAsia="仿宋" w:cs="仿宋"/>
                <w:color w:val="auto"/>
                <w:sz w:val="21"/>
                <w:szCs w:val="21"/>
                <w:lang w:val="en-US" w:eastAsia="zh-CN"/>
              </w:rPr>
              <w:t>预防机制等。</w:t>
            </w:r>
          </w:p>
          <w:p>
            <w:pPr>
              <w:keepNext w:val="0"/>
              <w:keepLines w:val="0"/>
              <w:pageBreakBefore w:val="0"/>
              <w:widowControl w:val="0"/>
              <w:numPr>
                <w:ilvl w:val="0"/>
                <w:numId w:val="0"/>
              </w:numPr>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kern w:val="2"/>
                <w:sz w:val="21"/>
                <w:szCs w:val="21"/>
                <w:lang w:val="en-US" w:eastAsia="zh-CN" w:bidi="ar-SA"/>
              </w:rPr>
              <w:t>2.</w:t>
            </w:r>
            <w:r>
              <w:rPr>
                <w:rFonts w:hint="eastAsia" w:ascii="仿宋" w:hAnsi="仿宋" w:eastAsia="仿宋" w:cs="仿宋"/>
                <w:color w:val="auto"/>
                <w:sz w:val="21"/>
                <w:szCs w:val="21"/>
                <w:lang w:val="en-US" w:eastAsia="zh-CN"/>
              </w:rPr>
              <w:t>建立情况档案。</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（二）评分依据：</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1.提供上述一项内容的得0.5分，最高1分，其他不得分。</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2.在此基础上，按照下列要求进行加分：</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（1）方案整体科学合理、针对性强、可操作性强，评审为优得9分；</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（2）方案较合理、有一定针对性、一定可操作性，评审为良得5分；</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（3）方案较一般、针对性一般、可操作性一般，评审为中得3分；</w:t>
            </w:r>
          </w:p>
          <w:p>
            <w:pPr>
              <w:keepNext w:val="0"/>
              <w:keepLines w:val="0"/>
              <w:pageBreakBefore w:val="0"/>
              <w:widowControl w:val="0"/>
              <w:numPr>
                <w:ilvl w:val="0"/>
                <w:numId w:val="0"/>
              </w:numPr>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（4）方案较差、无针对性、无可操作性，评审为差得0分。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22"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13</w:t>
            </w:r>
          </w:p>
        </w:tc>
        <w:tc>
          <w:tcPr>
            <w:tcW w:w="482"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服务方案</w:t>
            </w:r>
          </w:p>
        </w:tc>
        <w:tc>
          <w:tcPr>
            <w:tcW w:w="552"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招标流程、</w:t>
            </w:r>
            <w:r>
              <w:rPr>
                <w:rFonts w:hint="eastAsia" w:ascii="仿宋" w:hAnsi="仿宋" w:eastAsia="仿宋" w:cs="仿宋"/>
                <w:color w:val="auto"/>
                <w:sz w:val="21"/>
                <w:szCs w:val="21"/>
              </w:rPr>
              <w:t>服务</w:t>
            </w:r>
            <w:r>
              <w:rPr>
                <w:rFonts w:hint="eastAsia" w:ascii="仿宋" w:hAnsi="仿宋" w:eastAsia="仿宋" w:cs="仿宋"/>
                <w:color w:val="auto"/>
                <w:sz w:val="21"/>
                <w:szCs w:val="21"/>
                <w:lang w:val="en-US" w:eastAsia="zh-CN"/>
              </w:rPr>
              <w:t>质量、</w:t>
            </w:r>
            <w:r>
              <w:rPr>
                <w:rFonts w:hint="eastAsia" w:ascii="仿宋" w:hAnsi="仿宋" w:eastAsia="仿宋" w:cs="仿宋"/>
                <w:color w:val="auto"/>
                <w:sz w:val="21"/>
                <w:szCs w:val="21"/>
              </w:rPr>
              <w:t>响应</w:t>
            </w:r>
            <w:r>
              <w:rPr>
                <w:rFonts w:hint="eastAsia" w:ascii="仿宋" w:hAnsi="仿宋" w:eastAsia="仿宋" w:cs="仿宋"/>
                <w:color w:val="auto"/>
                <w:sz w:val="21"/>
                <w:szCs w:val="21"/>
                <w:lang w:val="en-US" w:eastAsia="zh-CN"/>
              </w:rPr>
              <w:t>时效、内部管理制度、档案管理</w:t>
            </w:r>
          </w:p>
        </w:tc>
        <w:tc>
          <w:tcPr>
            <w:tcW w:w="413"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w:t>
            </w:r>
          </w:p>
        </w:tc>
        <w:tc>
          <w:tcPr>
            <w:tcW w:w="3329"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（一）评分内容：</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投标人按照招标需求，针对本项目提供项目服务方案，包括但不限于以下内容：</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1.招标流程</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2.服务质量、响应时效</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3.内部管理制度</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4.档案管理</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（二）评分依据：</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1.每提供上述一项内容的得0.5分，最高2分。</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2.在此基础上，按照下列要求进行加分：</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（1）方案整体科学合理、针对性强、可操作性强，评审为优得10分；</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（2）方案较合理、有一定针对性、一定可操作性，评审为良得5分；</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（3）方案较一般、针对性一般、可操作性一般，评审为中得1分；</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（4）方案较差、无针对性、无可操作性，评审为差得0分。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2"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14</w:t>
            </w:r>
          </w:p>
        </w:tc>
        <w:tc>
          <w:tcPr>
            <w:tcW w:w="482"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其他</w:t>
            </w:r>
          </w:p>
        </w:tc>
        <w:tc>
          <w:tcPr>
            <w:tcW w:w="552" w:type="pct"/>
            <w:vAlign w:val="center"/>
          </w:tcPr>
          <w:p>
            <w:pPr>
              <w:keepNext w:val="0"/>
              <w:keepLines w:val="0"/>
              <w:pageBreakBefore w:val="0"/>
              <w:widowControl/>
              <w:suppressLineNumbers w:val="0"/>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服务便利性</w:t>
            </w:r>
          </w:p>
        </w:tc>
        <w:tc>
          <w:tcPr>
            <w:tcW w:w="413"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3329" w:type="pct"/>
            <w:vAlign w:val="center"/>
          </w:tcPr>
          <w:p>
            <w:pPr>
              <w:keepNext w:val="0"/>
              <w:keepLines w:val="0"/>
              <w:pageBreakBefore w:val="0"/>
              <w:suppressLineNumbers w:val="0"/>
              <w:kinsoku/>
              <w:overflowPunct/>
              <w:topLinePunct w:val="0"/>
              <w:bidi w:val="0"/>
              <w:snapToGrid/>
              <w:spacing w:before="0" w:beforeAutospacing="0" w:after="0" w:afterAutospacing="0" w:line="300" w:lineRule="exact"/>
              <w:ind w:left="0" w:right="0"/>
              <w:textAlignment w:val="auto"/>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rPr>
              <w:t>（一）评</w:t>
            </w:r>
            <w:r>
              <w:rPr>
                <w:rFonts w:hint="eastAsia" w:ascii="仿宋" w:hAnsi="仿宋" w:eastAsia="仿宋" w:cs="仿宋"/>
                <w:b/>
                <w:bCs/>
                <w:color w:val="auto"/>
                <w:sz w:val="21"/>
                <w:szCs w:val="21"/>
                <w:lang w:val="en-US" w:eastAsia="zh-CN"/>
              </w:rPr>
              <w:t>分</w:t>
            </w:r>
            <w:r>
              <w:rPr>
                <w:rFonts w:hint="eastAsia" w:ascii="仿宋" w:hAnsi="仿宋" w:eastAsia="仿宋" w:cs="仿宋"/>
                <w:b/>
                <w:bCs/>
                <w:color w:val="auto"/>
                <w:sz w:val="21"/>
                <w:szCs w:val="21"/>
              </w:rPr>
              <w:t>内容：</w:t>
            </w:r>
          </w:p>
          <w:p>
            <w:pPr>
              <w:keepNext w:val="0"/>
              <w:keepLines w:val="0"/>
              <w:pageBreakBefore w:val="0"/>
              <w:suppressLineNumbers w:val="0"/>
              <w:kinsoku/>
              <w:overflowPunct/>
              <w:topLinePunct w:val="0"/>
              <w:bidi w:val="0"/>
              <w:spacing w:before="0" w:beforeAutospacing="0" w:after="0" w:afterAutospacing="0" w:line="300" w:lineRule="exact"/>
              <w:ind w:left="0" w:right="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在</w:t>
            </w:r>
            <w:r>
              <w:rPr>
                <w:rFonts w:hint="eastAsia" w:ascii="仿宋" w:hAnsi="仿宋" w:eastAsia="仿宋" w:cs="仿宋"/>
                <w:color w:val="auto"/>
                <w:sz w:val="21"/>
                <w:szCs w:val="21"/>
              </w:rPr>
              <w:t>深圳</w:t>
            </w:r>
            <w:r>
              <w:rPr>
                <w:rFonts w:hint="eastAsia" w:ascii="仿宋" w:hAnsi="仿宋" w:eastAsia="仿宋" w:cs="仿宋"/>
                <w:color w:val="auto"/>
                <w:sz w:val="21"/>
                <w:szCs w:val="21"/>
                <w:lang w:val="en-US" w:eastAsia="zh-CN"/>
              </w:rPr>
              <w:t>市龙岗区设有评标场地的</w:t>
            </w:r>
            <w:r>
              <w:rPr>
                <w:rFonts w:hint="eastAsia" w:ascii="仿宋" w:hAnsi="仿宋" w:eastAsia="仿宋" w:cs="仿宋"/>
                <w:color w:val="auto"/>
                <w:sz w:val="21"/>
                <w:szCs w:val="21"/>
              </w:rPr>
              <w:t>；</w:t>
            </w:r>
          </w:p>
          <w:p>
            <w:pPr>
              <w:keepNext w:val="0"/>
              <w:keepLines w:val="0"/>
              <w:pageBreakBefore w:val="0"/>
              <w:widowControl w:val="0"/>
              <w:suppressLineNumbers w:val="0"/>
              <w:kinsoku/>
              <w:wordWrap w:val="0"/>
              <w:overflowPunct/>
              <w:topLinePunct w:val="0"/>
              <w:bidi w:val="0"/>
              <w:spacing w:before="0" w:beforeAutospacing="0" w:after="0" w:afterAutospacing="0" w:line="300" w:lineRule="exact"/>
              <w:ind w:left="0" w:right="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2.投标单位承诺中标后在</w:t>
            </w:r>
            <w:r>
              <w:rPr>
                <w:rFonts w:hint="eastAsia" w:ascii="仿宋" w:hAnsi="仿宋" w:eastAsia="仿宋" w:cs="仿宋"/>
                <w:color w:val="auto"/>
                <w:sz w:val="21"/>
                <w:szCs w:val="21"/>
              </w:rPr>
              <w:t>深圳</w:t>
            </w:r>
            <w:r>
              <w:rPr>
                <w:rFonts w:hint="eastAsia" w:ascii="仿宋" w:hAnsi="仿宋" w:eastAsia="仿宋" w:cs="仿宋"/>
                <w:color w:val="auto"/>
                <w:sz w:val="21"/>
                <w:szCs w:val="21"/>
                <w:lang w:val="en-US" w:eastAsia="zh-CN"/>
              </w:rPr>
              <w:t>市</w:t>
            </w:r>
            <w:r>
              <w:rPr>
                <w:rFonts w:hint="eastAsia" w:ascii="仿宋" w:hAnsi="仿宋" w:eastAsia="仿宋" w:cs="仿宋"/>
                <w:color w:val="auto"/>
                <w:sz w:val="21"/>
                <w:szCs w:val="21"/>
                <w:highlight w:val="none"/>
                <w:lang w:val="en-US" w:eastAsia="zh-CN"/>
              </w:rPr>
              <w:t>龙岗区</w:t>
            </w:r>
            <w:r>
              <w:rPr>
                <w:rFonts w:hint="eastAsia" w:ascii="仿宋" w:hAnsi="仿宋" w:eastAsia="仿宋" w:cs="仿宋"/>
                <w:color w:val="auto"/>
                <w:sz w:val="21"/>
                <w:szCs w:val="21"/>
                <w:lang w:val="en-US" w:eastAsia="zh-CN"/>
              </w:rPr>
              <w:t>范围内设立服务场地的。</w:t>
            </w:r>
          </w:p>
          <w:p>
            <w:pPr>
              <w:keepNext w:val="0"/>
              <w:keepLines w:val="0"/>
              <w:pageBreakBefore w:val="0"/>
              <w:widowControl w:val="0"/>
              <w:suppressLineNumbers w:val="0"/>
              <w:kinsoku/>
              <w:wordWrap w:val="0"/>
              <w:overflowPunct/>
              <w:topLinePunct w:val="0"/>
              <w:bidi w:val="0"/>
              <w:spacing w:before="0" w:beforeAutospacing="0" w:after="0" w:afterAutospacing="0" w:line="300" w:lineRule="exact"/>
              <w:ind w:left="0" w:right="0"/>
              <w:jc w:val="left"/>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满足以上任意一点得2分，最高得2分。</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（二）评分依据：</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textAlignment w:val="auto"/>
              <w:rPr>
                <w:rFonts w:hint="eastAsia" w:ascii="仿宋" w:hAnsi="仿宋" w:eastAsia="仿宋" w:cs="仿宋"/>
                <w:i w:val="0"/>
                <w:iCs w:val="0"/>
                <w:caps w:val="0"/>
                <w:color w:val="auto"/>
                <w:spacing w:val="0"/>
                <w:kern w:val="2"/>
                <w:sz w:val="21"/>
                <w:szCs w:val="21"/>
                <w:highlight w:val="none"/>
                <w:shd w:val="clear" w:color="auto" w:fill="auto"/>
                <w:lang w:eastAsia="zh-CN"/>
              </w:rPr>
            </w:pPr>
            <w:r>
              <w:rPr>
                <w:rFonts w:hint="eastAsia" w:ascii="仿宋" w:hAnsi="仿宋" w:eastAsia="仿宋" w:cs="仿宋"/>
                <w:color w:val="auto"/>
                <w:sz w:val="21"/>
                <w:szCs w:val="21"/>
                <w:highlight w:val="none"/>
                <w:lang w:eastAsia="zh-CN"/>
              </w:rPr>
              <w:t>1.在龙岗已有评标场地的</w:t>
            </w:r>
            <w:r>
              <w:rPr>
                <w:rFonts w:hint="eastAsia" w:ascii="仿宋" w:hAnsi="仿宋" w:eastAsia="仿宋" w:cs="仿宋"/>
                <w:color w:val="auto"/>
                <w:kern w:val="2"/>
                <w:sz w:val="21"/>
                <w:szCs w:val="21"/>
                <w:highlight w:val="none"/>
                <w:shd w:val="clear" w:color="auto" w:fill="auto"/>
                <w:lang w:val="en-US" w:eastAsia="zh-CN" w:bidi="ar-SA"/>
              </w:rPr>
              <w:t>提供有效的加盖</w:t>
            </w:r>
            <w:r>
              <w:rPr>
                <w:rFonts w:hint="eastAsia" w:ascii="仿宋" w:hAnsi="仿宋" w:eastAsia="仿宋" w:cs="仿宋"/>
                <w:i w:val="0"/>
                <w:iCs w:val="0"/>
                <w:caps w:val="0"/>
                <w:color w:val="auto"/>
                <w:spacing w:val="0"/>
                <w:kern w:val="2"/>
                <w:sz w:val="21"/>
                <w:szCs w:val="21"/>
                <w:highlight w:val="none"/>
                <w:shd w:val="clear" w:color="auto" w:fill="auto"/>
              </w:rPr>
              <w:t>投标人公</w:t>
            </w:r>
            <w:r>
              <w:rPr>
                <w:rFonts w:hint="eastAsia" w:ascii="仿宋" w:hAnsi="仿宋" w:eastAsia="仿宋" w:cs="仿宋"/>
                <w:i w:val="0"/>
                <w:iCs w:val="0"/>
                <w:caps w:val="0"/>
                <w:color w:val="auto"/>
                <w:spacing w:val="0"/>
                <w:kern w:val="2"/>
                <w:sz w:val="21"/>
                <w:szCs w:val="21"/>
                <w:highlight w:val="none"/>
                <w:shd w:val="clear" w:color="auto" w:fill="auto"/>
                <w:lang w:eastAsia="zh-CN"/>
              </w:rPr>
              <w:t>章的资料：</w:t>
            </w:r>
            <w:r>
              <w:rPr>
                <w:rFonts w:hint="eastAsia" w:ascii="仿宋" w:hAnsi="仿宋" w:eastAsia="仿宋" w:cs="仿宋"/>
                <w:color w:val="auto"/>
                <w:kern w:val="2"/>
                <w:sz w:val="21"/>
                <w:szCs w:val="21"/>
                <w:highlight w:val="none"/>
                <w:shd w:val="clear" w:color="auto" w:fill="auto"/>
                <w:lang w:val="en-US" w:eastAsia="zh-CN" w:bidi="ar-SA"/>
              </w:rPr>
              <w:t>①场地租赁合同关键页或产权证明或合法使用证明；②场地实拍图</w:t>
            </w:r>
            <w:r>
              <w:rPr>
                <w:rFonts w:hint="eastAsia" w:ascii="仿宋" w:hAnsi="仿宋" w:eastAsia="仿宋" w:cs="仿宋"/>
                <w:i w:val="0"/>
                <w:iCs w:val="0"/>
                <w:caps w:val="0"/>
                <w:color w:val="auto"/>
                <w:spacing w:val="0"/>
                <w:kern w:val="2"/>
                <w:sz w:val="21"/>
                <w:szCs w:val="21"/>
                <w:highlight w:val="none"/>
                <w:shd w:val="clear" w:color="auto" w:fill="auto"/>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textAlignment w:val="auto"/>
              <w:rPr>
                <w:rFonts w:hint="eastAsia" w:ascii="仿宋" w:hAnsi="仿宋" w:eastAsia="仿宋" w:cs="仿宋"/>
                <w:color w:val="auto"/>
                <w:sz w:val="21"/>
                <w:szCs w:val="21"/>
                <w:lang w:val="en-US" w:eastAsia="zh-CN"/>
              </w:rPr>
            </w:pPr>
            <w:r>
              <w:rPr>
                <w:rFonts w:hint="eastAsia" w:ascii="仿宋" w:hAnsi="仿宋" w:eastAsia="仿宋" w:cs="仿宋"/>
                <w:i w:val="0"/>
                <w:iCs w:val="0"/>
                <w:caps w:val="0"/>
                <w:color w:val="auto"/>
                <w:spacing w:val="0"/>
                <w:kern w:val="2"/>
                <w:sz w:val="21"/>
                <w:szCs w:val="21"/>
                <w:highlight w:val="none"/>
                <w:shd w:val="clear" w:color="auto" w:fill="auto"/>
                <w:lang w:eastAsia="zh-CN"/>
              </w:rPr>
              <w:t>2.中标后设立场地的</w:t>
            </w:r>
            <w:r>
              <w:rPr>
                <w:rFonts w:hint="eastAsia" w:ascii="仿宋" w:hAnsi="仿宋" w:eastAsia="仿宋" w:cs="仿宋"/>
                <w:color w:val="auto"/>
                <w:sz w:val="21"/>
                <w:szCs w:val="21"/>
                <w:lang w:val="en-US" w:eastAsia="zh-CN"/>
              </w:rPr>
              <w:t>承诺</w:t>
            </w:r>
            <w:r>
              <w:rPr>
                <w:rFonts w:hint="eastAsia" w:ascii="仿宋" w:hAnsi="仿宋" w:eastAsia="仿宋" w:cs="仿宋"/>
                <w:color w:val="auto"/>
                <w:sz w:val="21"/>
                <w:szCs w:val="21"/>
                <w:lang w:eastAsia="zh-CN"/>
              </w:rPr>
              <w:t>函（</w:t>
            </w:r>
            <w:r>
              <w:rPr>
                <w:rFonts w:hint="eastAsia" w:ascii="仿宋" w:hAnsi="仿宋" w:eastAsia="仿宋" w:cs="仿宋"/>
                <w:color w:val="auto"/>
                <w:sz w:val="21"/>
                <w:szCs w:val="21"/>
                <w:lang w:val="en-US" w:eastAsia="zh-CN"/>
              </w:rPr>
              <w:t>格式自拟</w:t>
            </w:r>
            <w:r>
              <w:rPr>
                <w:rFonts w:hint="eastAsia" w:ascii="仿宋" w:hAnsi="仿宋" w:eastAsia="仿宋" w:cs="仿宋"/>
                <w:color w:val="auto"/>
                <w:sz w:val="21"/>
                <w:szCs w:val="21"/>
                <w:lang w:eastAsia="zh-CN"/>
              </w:rPr>
              <w:t>，</w:t>
            </w:r>
            <w:r>
              <w:rPr>
                <w:rFonts w:hint="eastAsia" w:ascii="仿宋" w:hAnsi="仿宋" w:eastAsia="仿宋" w:cs="仿宋"/>
                <w:color w:val="auto"/>
                <w:kern w:val="2"/>
                <w:sz w:val="21"/>
                <w:szCs w:val="21"/>
                <w:highlight w:val="none"/>
                <w:shd w:val="clear" w:color="auto" w:fill="auto"/>
                <w:lang w:val="en-US" w:eastAsia="zh-CN" w:bidi="ar-SA"/>
              </w:rPr>
              <w:t>加盖</w:t>
            </w:r>
            <w:r>
              <w:rPr>
                <w:rFonts w:hint="eastAsia" w:ascii="仿宋" w:hAnsi="仿宋" w:eastAsia="仿宋" w:cs="仿宋"/>
                <w:i w:val="0"/>
                <w:iCs w:val="0"/>
                <w:caps w:val="0"/>
                <w:color w:val="auto"/>
                <w:spacing w:val="0"/>
                <w:kern w:val="2"/>
                <w:sz w:val="21"/>
                <w:szCs w:val="21"/>
                <w:highlight w:val="none"/>
                <w:shd w:val="clear" w:color="auto" w:fill="auto"/>
              </w:rPr>
              <w:t>投标人公章</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2"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w:t>
            </w:r>
          </w:p>
        </w:tc>
        <w:tc>
          <w:tcPr>
            <w:tcW w:w="482"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诚信</w:t>
            </w:r>
          </w:p>
        </w:tc>
        <w:tc>
          <w:tcPr>
            <w:tcW w:w="552" w:type="pct"/>
            <w:vAlign w:val="center"/>
          </w:tcPr>
          <w:p>
            <w:pPr>
              <w:keepNext w:val="0"/>
              <w:keepLines w:val="0"/>
              <w:pageBreakBefore w:val="0"/>
              <w:widowControl/>
              <w:suppressLineNumbers w:val="0"/>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kern w:val="0"/>
                <w:sz w:val="21"/>
                <w:szCs w:val="21"/>
                <w:lang w:val="en-US" w:eastAsia="zh-CN" w:bidi="ar"/>
              </w:rPr>
            </w:pPr>
            <w:r>
              <w:rPr>
                <w:rFonts w:hint="eastAsia" w:ascii="仿宋" w:hAnsi="仿宋" w:eastAsia="仿宋" w:cs="仿宋"/>
                <w:color w:val="auto"/>
                <w:sz w:val="21"/>
                <w:szCs w:val="21"/>
                <w:lang w:val="en-US" w:eastAsia="zh-CN"/>
              </w:rPr>
              <w:t>诚信情况</w:t>
            </w:r>
          </w:p>
        </w:tc>
        <w:tc>
          <w:tcPr>
            <w:tcW w:w="413"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3329" w:type="pct"/>
            <w:vAlign w:val="center"/>
          </w:tcPr>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投标人存在《深圳市财政局政府采购供应商信用信息管理办法》（深财规〔2023〕3号）列明的一般行政处罚信息、一般违法失信记录信息的，本项不得分，不存在上述情形的本项得5分。</w:t>
            </w:r>
          </w:p>
          <w:p>
            <w:pPr>
              <w:keepNext w:val="0"/>
              <w:keepLines w:val="0"/>
              <w:pageBreakBefore w:val="0"/>
              <w:widowControl w:val="0"/>
              <w:suppressLineNumbers w:val="0"/>
              <w:tabs>
                <w:tab w:val="left" w:pos="1431"/>
              </w:tabs>
              <w:kinsoku/>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查询渠道：通过“信用中国”（www.creditchina.gov.cn，下载信用信息报告）、“中国政府采购网”（www.ccgp.gov.cn），以及“深圳市政府采购监管网”（http://zfcg.sz.gov.cn）查询供应商信用信息，信用信息以开标当日的查询结果为准。</w:t>
            </w:r>
          </w:p>
        </w:tc>
      </w:tr>
    </w:tbl>
    <w:p>
      <w:pPr>
        <w:pStyle w:val="19"/>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十一、规则</w:t>
      </w:r>
    </w:p>
    <w:p>
      <w:pPr>
        <w:pStyle w:val="19"/>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lang w:val="en-US" w:eastAsia="zh-CN" w:bidi="ar-SA"/>
        </w:rPr>
        <w:t>规则：本项目采用遴选，按评审得分排名确定前三名入围机构，采购人可以根据实际情况启动备选或者重新采购。</w:t>
      </w:r>
    </w:p>
    <w:p>
      <w:pPr>
        <w:pStyle w:val="19"/>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lang w:val="en-US" w:eastAsia="zh-CN" w:bidi="ar-SA"/>
        </w:rPr>
        <w:t>如通过审查机构数量等于3名，则综合得分排名前3名的作为入围机构；</w:t>
      </w:r>
    </w:p>
    <w:p>
      <w:pPr>
        <w:pStyle w:val="19"/>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lang w:val="en-US" w:eastAsia="zh-CN" w:bidi="ar-SA"/>
        </w:rPr>
        <w:t>如通过审查机构数量等于4名，则综合得分排名前3名的作为入围机构，第四名为备选；</w:t>
      </w:r>
    </w:p>
    <w:p>
      <w:pPr>
        <w:pStyle w:val="19"/>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lang w:val="en-US" w:eastAsia="zh-CN" w:bidi="ar-SA"/>
        </w:rPr>
        <w:t>如果出现有机构并列时，则可由采购人决定以下方式确定，抽签或票决的方式确定入围社会采购代理机构名单。（例：第1名两家，第2名有一家，则第1名和第2名直接入围中标供应商名单；如果第1名两家，第2名两家并列的，由评审专家通过抽签或票决的方式确定1名入围，或可通过按照对比人员资质优劣、有效业绩数量，择优选择入围机构）。</w:t>
      </w:r>
    </w:p>
    <w:p>
      <w:pPr>
        <w:pStyle w:val="19"/>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十二、政策导向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（1）投标人提供的服务全部均由优惠主体承接，则对其投标总价给予</w:t>
      </w:r>
      <w:r>
        <w:rPr>
          <w:rFonts w:hint="eastAsia" w:ascii="仿宋_GB2312" w:hAnsi="仿宋_GB2312" w:eastAsia="仿宋_GB2312" w:cs="仿宋_GB2312"/>
          <w:b/>
          <w:bCs w:val="0"/>
          <w:kern w:val="0"/>
          <w:sz w:val="28"/>
          <w:szCs w:val="28"/>
          <w:u w:val="single"/>
          <w:lang w:val="en-US" w:eastAsia="zh-CN"/>
        </w:rPr>
        <w:t>/</w:t>
      </w:r>
      <w:r>
        <w:rPr>
          <w:rFonts w:hint="eastAsia" w:ascii="仿宋_GB2312" w:hAnsi="仿宋_GB2312" w:eastAsia="仿宋_GB2312" w:cs="仿宋_GB2312"/>
          <w:bCs/>
          <w:kern w:val="0"/>
          <w:sz w:val="28"/>
          <w:szCs w:val="28"/>
        </w:rPr>
        <w:t>的扣除，用扣除后的价格参与评审。满足多项优惠政策的企业，不重复享受多项价格扣除政策。</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仿宋_GB2312" w:hAnsi="仿宋_GB2312" w:eastAsia="仿宋_GB2312" w:cs="仿宋_GB2312"/>
          <w:bCs/>
          <w:kern w:val="0"/>
          <w:sz w:val="28"/>
          <w:szCs w:val="28"/>
          <w:lang w:eastAsia="zh-CN"/>
        </w:rPr>
        <w:t>（</w:t>
      </w:r>
      <w:r>
        <w:rPr>
          <w:rFonts w:hint="eastAsia" w:ascii="仿宋_GB2312" w:hAnsi="仿宋_GB2312" w:eastAsia="仿宋_GB2312" w:cs="仿宋_GB2312"/>
          <w:bCs/>
          <w:kern w:val="0"/>
          <w:sz w:val="28"/>
          <w:szCs w:val="28"/>
        </w:rPr>
        <w:t>b</w:t>
      </w:r>
      <w:r>
        <w:rPr>
          <w:rFonts w:hint="eastAsia" w:ascii="仿宋_GB2312" w:hAnsi="仿宋_GB2312" w:eastAsia="仿宋_GB2312" w:cs="仿宋_GB2312"/>
          <w:bCs/>
          <w:kern w:val="0"/>
          <w:sz w:val="28"/>
          <w:szCs w:val="28"/>
          <w:lang w:eastAsia="zh-CN"/>
        </w:rPr>
        <w:t>）</w:t>
      </w:r>
      <w:r>
        <w:rPr>
          <w:rFonts w:hint="eastAsia" w:ascii="仿宋_GB2312" w:hAnsi="仿宋_GB2312" w:eastAsia="仿宋_GB2312" w:cs="仿宋_GB2312"/>
          <w:bCs/>
          <w:kern w:val="0"/>
          <w:sz w:val="28"/>
          <w:szCs w:val="28"/>
        </w:rPr>
        <w:t>优惠主体承接是指提供服务的人员为中小企业依照《中华人民共和国劳动合同法》订立劳动合同的从业人员。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根据《工业和信息化部、国家统计局、国家发展和改革委员会、财政部关于印发中小企业划型标准规定的通知》（工信部联企业〔2011〕300号），本项目采购标的（项目需求）对应的中小企业划分标准所属行业为</w:t>
      </w:r>
      <w:r>
        <w:rPr>
          <w:rFonts w:hint="eastAsia" w:ascii="仿宋_GB2312" w:hAnsi="仿宋_GB2312" w:eastAsia="仿宋_GB2312" w:cs="仿宋_GB2312"/>
          <w:b/>
          <w:bCs w:val="0"/>
          <w:kern w:val="0"/>
          <w:sz w:val="28"/>
          <w:szCs w:val="28"/>
          <w:u w:val="single"/>
          <w:lang w:val="en-US" w:eastAsia="zh-CN"/>
        </w:rPr>
        <w:t>其他未列明行业</w:t>
      </w:r>
      <w:r>
        <w:rPr>
          <w:rFonts w:hint="eastAsia" w:ascii="仿宋_GB2312" w:hAnsi="仿宋_GB2312" w:eastAsia="仿宋_GB2312" w:cs="仿宋_GB2312"/>
          <w:bCs/>
          <w:kern w:val="0"/>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（3）小型企业、微型企业、残疾人福利性单位作为优惠主体的认定资料为《中小企业声明函</w:t>
      </w:r>
      <w:r>
        <w:rPr>
          <w:rFonts w:hint="eastAsia" w:ascii="仿宋_GB2312" w:hAnsi="仿宋_GB2312" w:eastAsia="仿宋_GB2312" w:cs="仿宋_GB2312"/>
          <w:bCs/>
          <w:kern w:val="0"/>
          <w:sz w:val="28"/>
          <w:szCs w:val="28"/>
          <w:lang w:eastAsia="zh-CN"/>
        </w:rPr>
        <w:t>》《</w:t>
      </w:r>
      <w:r>
        <w:rPr>
          <w:rFonts w:hint="eastAsia" w:ascii="仿宋_GB2312" w:hAnsi="仿宋_GB2312" w:eastAsia="仿宋_GB2312" w:cs="仿宋_GB2312"/>
          <w:bCs/>
          <w:kern w:val="0"/>
          <w:sz w:val="28"/>
          <w:szCs w:val="28"/>
        </w:rPr>
        <w:t>残疾人福利性单位声明函》；监狱企业作为优惠主体的认定资料为省级以上监狱管理局、戒毒管理局出具的监狱企业证明文件。监狱企业或者代理提供监狱企业货物的供应商如须享受优惠政策，除上述资料外，还须提供省级以上监狱管理局、戒毒管理局出具的监狱企业证明文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4）享受价格扣除获得政府采购合同的，小微企业不得将合同分包给大中型企业。根据《工业和信息化部、国家统计局、国家发展和改革委员会、财政部关于印发中小企业划型标准规定的通知》（工信部联企业〔2011〕300号），本项目采购标的（项目需求）对应的中小企业划分标准所属行业为</w:t>
      </w:r>
      <w:r>
        <w:rPr>
          <w:rFonts w:hint="eastAsia" w:ascii="仿宋_GB2312" w:hAnsi="仿宋_GB2312" w:eastAsia="仿宋_GB2312" w:cs="仿宋_GB2312"/>
          <w:b w:val="0"/>
          <w:bCs/>
          <w:kern w:val="0"/>
          <w:sz w:val="28"/>
          <w:szCs w:val="28"/>
          <w:u w:val="none"/>
          <w:lang w:val="en-US" w:eastAsia="zh-CN"/>
        </w:rPr>
        <w:t>工</w:t>
      </w:r>
      <w:r>
        <w:rPr>
          <w:rFonts w:hint="eastAsia" w:ascii="仿宋_GB2312" w:hAnsi="仿宋_GB2312" w:eastAsia="仿宋_GB2312" w:cs="仿宋_GB2312"/>
          <w:b w:val="0"/>
          <w:bCs/>
          <w:kern w:val="0"/>
          <w:sz w:val="28"/>
          <w:szCs w:val="28"/>
          <w:u w:val="none"/>
          <w:lang w:eastAsia="zh-CN"/>
        </w:rPr>
        <w:t>业</w:t>
      </w:r>
      <w:r>
        <w:rPr>
          <w:rFonts w:hint="eastAsia" w:ascii="仿宋_GB2312" w:hAnsi="仿宋_GB2312" w:eastAsia="仿宋_GB2312" w:cs="仿宋_GB2312"/>
          <w:bCs/>
          <w:kern w:val="0"/>
          <w:sz w:val="28"/>
          <w:szCs w:val="28"/>
        </w:rPr>
        <w:t>。</w:t>
      </w:r>
    </w:p>
    <w:p>
      <w:pPr>
        <w:numPr>
          <w:ilvl w:val="0"/>
          <w:numId w:val="0"/>
        </w:numPr>
        <w:jc w:val="center"/>
        <w:rPr>
          <w:rFonts w:ascii="仿宋_GB2312" w:hAnsi="仿宋_GB2312" w:eastAsia="仿宋_GB2312" w:cs="仿宋_GB2312"/>
          <w:b/>
          <w:bCs/>
          <w:kern w:val="2"/>
          <w:sz w:val="36"/>
          <w:szCs w:val="36"/>
          <w:lang w:val="en-US" w:eastAsia="zh-CN" w:bidi="ar-SA"/>
        </w:rPr>
      </w:pPr>
    </w:p>
    <w:p>
      <w:pPr>
        <w:numPr>
          <w:ilvl w:val="0"/>
          <w:numId w:val="0"/>
        </w:numPr>
        <w:jc w:val="center"/>
        <w:rPr>
          <w:rFonts w:ascii="仿宋_GB2312" w:hAnsi="仿宋_GB2312" w:eastAsia="仿宋_GB2312" w:cs="仿宋_GB2312"/>
          <w:b/>
          <w:bCs/>
          <w:kern w:val="2"/>
          <w:sz w:val="36"/>
          <w:szCs w:val="36"/>
          <w:lang w:val="en-US" w:eastAsia="zh-CN" w:bidi="ar-SA"/>
        </w:rPr>
      </w:pPr>
    </w:p>
    <w:p>
      <w:pPr>
        <w:pStyle w:val="22"/>
        <w:rPr>
          <w:rFonts w:ascii="仿宋_GB2312" w:hAnsi="仿宋_GB2312" w:eastAsia="仿宋_GB2312" w:cs="仿宋_GB2312"/>
          <w:b/>
          <w:bCs/>
          <w:kern w:val="2"/>
          <w:sz w:val="36"/>
          <w:szCs w:val="36"/>
          <w:lang w:val="en-US" w:eastAsia="zh-CN" w:bidi="ar-SA"/>
        </w:rPr>
      </w:pPr>
    </w:p>
    <w:p>
      <w:pPr>
        <w:rPr>
          <w:rFonts w:ascii="仿宋_GB2312" w:hAnsi="仿宋_GB2312" w:eastAsia="仿宋_GB2312" w:cs="仿宋_GB2312"/>
          <w:b/>
          <w:bCs/>
          <w:kern w:val="2"/>
          <w:sz w:val="36"/>
          <w:szCs w:val="36"/>
          <w:lang w:val="en-US" w:eastAsia="zh-CN" w:bidi="ar-SA"/>
        </w:rPr>
      </w:pPr>
    </w:p>
    <w:p>
      <w:pPr>
        <w:jc w:val="center"/>
        <w:rPr>
          <w:rFonts w:ascii="仿宋_GB2312" w:hAnsi="仿宋_GB2312" w:eastAsia="仿宋_GB2312" w:cs="仿宋_GB2312"/>
          <w:b/>
          <w:bCs/>
          <w:sz w:val="36"/>
          <w:szCs w:val="36"/>
        </w:rPr>
      </w:pPr>
      <w:r>
        <w:rPr>
          <w:rFonts w:ascii="仿宋_GB2312" w:hAnsi="仿宋_GB2312" w:eastAsia="仿宋_GB2312" w:cs="仿宋_GB2312"/>
          <w:b/>
          <w:bCs/>
          <w:sz w:val="36"/>
          <w:szCs w:val="36"/>
        </w:rPr>
        <w:t>第三章</w:t>
      </w:r>
      <w:r>
        <w:rPr>
          <w:rFonts w:hint="eastAsia" w:ascii="仿宋_GB2312" w:hAnsi="仿宋_GB2312" w:eastAsia="仿宋_GB2312" w:cs="仿宋_GB2312"/>
          <w:b/>
          <w:bCs/>
          <w:sz w:val="36"/>
          <w:szCs w:val="36"/>
        </w:rPr>
        <w:t xml:space="preserve"> </w:t>
      </w:r>
      <w:r>
        <w:rPr>
          <w:rFonts w:hint="eastAsia" w:ascii="仿宋_GB2312" w:hAnsi="仿宋_GB2312" w:eastAsia="仿宋_GB2312" w:cs="仿宋_GB2312"/>
          <w:b/>
          <w:bCs/>
          <w:sz w:val="36"/>
          <w:szCs w:val="36"/>
          <w:lang w:val="en-US" w:eastAsia="zh-CN"/>
        </w:rPr>
        <w:t xml:space="preserve"> </w:t>
      </w:r>
      <w:r>
        <w:rPr>
          <w:rFonts w:hint="eastAsia" w:ascii="仿宋_GB2312" w:hAnsi="仿宋_GB2312" w:eastAsia="仿宋_GB2312" w:cs="仿宋_GB2312"/>
          <w:b/>
          <w:bCs/>
          <w:sz w:val="36"/>
          <w:szCs w:val="36"/>
        </w:rPr>
        <w:t>投标文件初审表</w:t>
      </w:r>
    </w:p>
    <w:p>
      <w:pPr>
        <w:jc w:val="center"/>
        <w:rPr>
          <w:rFonts w:asciiTheme="majorEastAsia" w:hAnsiTheme="majorEastAsia" w:eastAsiaTheme="majorEastAsia"/>
          <w:sz w:val="30"/>
          <w:szCs w:val="30"/>
        </w:rPr>
      </w:pPr>
      <w:r>
        <w:rPr>
          <w:rFonts w:hint="eastAsia" w:ascii="仿宋" w:hAnsi="仿宋" w:eastAsia="仿宋" w:cs="仿宋"/>
          <w:b/>
          <w:sz w:val="22"/>
          <w:szCs w:val="28"/>
        </w:rPr>
        <w:t>（凡未满足下列情形的，投标文件无效，投标作废标处理）</w:t>
      </w:r>
    </w:p>
    <w:p>
      <w:pPr>
        <w:pStyle w:val="2"/>
        <w:spacing w:line="400" w:lineRule="exact"/>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（一）资格性审查表</w:t>
      </w:r>
    </w:p>
    <w:tbl>
      <w:tblPr>
        <w:tblStyle w:val="16"/>
        <w:tblW w:w="87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86" w:type="dxa"/>
            <w:vAlign w:val="center"/>
          </w:tcPr>
          <w:p>
            <w:pPr>
              <w:jc w:val="center"/>
              <w:rPr>
                <w:rFonts w:ascii="宋体" w:cs="宋体"/>
                <w:b/>
              </w:rPr>
            </w:pPr>
            <w:r>
              <w:rPr>
                <w:rFonts w:hint="eastAsia" w:ascii="宋体" w:cs="宋体"/>
                <w:b/>
              </w:rPr>
              <w:t>序号</w:t>
            </w:r>
          </w:p>
        </w:tc>
        <w:tc>
          <w:tcPr>
            <w:tcW w:w="8014" w:type="dxa"/>
            <w:vAlign w:val="center"/>
          </w:tcPr>
          <w:p>
            <w:pPr>
              <w:jc w:val="center"/>
              <w:rPr>
                <w:rFonts w:ascii="宋体" w:cs="宋体"/>
                <w:b/>
              </w:rPr>
            </w:pPr>
            <w:r>
              <w:rPr>
                <w:rFonts w:hint="eastAsia" w:ascii="宋体" w:hAnsi="宋体" w:cs="宋体"/>
                <w:b/>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1"/>
              </w:numPr>
              <w:tabs>
                <w:tab w:val="left" w:pos="176"/>
                <w:tab w:val="left" w:pos="612"/>
              </w:tabs>
              <w:ind w:left="342"/>
              <w:jc w:val="center"/>
              <w:rPr>
                <w:rFonts w:ascii="宋体" w:hAnsi="宋体" w:cs="宋体"/>
              </w:rPr>
            </w:pPr>
          </w:p>
        </w:tc>
        <w:tc>
          <w:tcPr>
            <w:tcW w:w="8014" w:type="dxa"/>
            <w:vAlign w:val="center"/>
          </w:tcPr>
          <w:p>
            <w:pP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具备招标文件中规定要求的资格，且资格证明文件齐全</w:t>
            </w:r>
            <w:r>
              <w:rPr>
                <w:rFonts w:hint="eastAsia" w:ascii="宋体" w:hAnsi="宋体" w:cs="宋体"/>
                <w:color w:val="000000" w:themeColor="text1"/>
                <w:sz w:val="22"/>
                <w:szCs w:val="2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1"/>
              </w:numPr>
              <w:tabs>
                <w:tab w:val="left" w:pos="176"/>
                <w:tab w:val="left" w:pos="612"/>
              </w:tabs>
              <w:ind w:left="342"/>
              <w:jc w:val="center"/>
              <w:rPr>
                <w:rFonts w:ascii="宋体" w:hAnsi="宋体" w:cs="宋体"/>
              </w:rPr>
            </w:pPr>
          </w:p>
        </w:tc>
        <w:tc>
          <w:tcPr>
            <w:tcW w:w="8014" w:type="dxa"/>
            <w:vAlign w:val="center"/>
          </w:tcPr>
          <w:p>
            <w:pP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投标及履约承诺函已提交并符合招标文件要求的</w:t>
            </w:r>
            <w:r>
              <w:rPr>
                <w:rFonts w:hint="eastAsia" w:ascii="宋体" w:hAnsi="宋体" w:cs="宋体"/>
                <w:color w:val="000000" w:themeColor="text1"/>
                <w:sz w:val="22"/>
                <w:szCs w:val="2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1"/>
              </w:numPr>
              <w:tabs>
                <w:tab w:val="left" w:pos="176"/>
                <w:tab w:val="left" w:pos="612"/>
              </w:tabs>
              <w:ind w:left="342"/>
              <w:jc w:val="center"/>
              <w:rPr>
                <w:rFonts w:ascii="宋体" w:hAnsi="宋体" w:cs="宋体"/>
              </w:rPr>
            </w:pPr>
            <w:bookmarkStart w:id="1" w:name="_Toc15975"/>
          </w:p>
        </w:tc>
        <w:tc>
          <w:tcPr>
            <w:tcW w:w="8014" w:type="dxa"/>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供应商基本情况表已提交，提供法定代表人、主要经营负责人、项目投标授权代表人、项目负责人</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如有</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、主要技术人员</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如有</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最近一个月的社会保险证明。</w:t>
            </w:r>
          </w:p>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备注：</w:t>
            </w:r>
          </w:p>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1.法定代表人、主要经营负责人、项目投标授权代表人的社会保险未由投标人单位缴纳，亦须提供相应单位为其缴纳的社会保险证明。</w:t>
            </w:r>
          </w:p>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2.项目负责人和主要技术人员的社会保险须由投标人单位缴纳。</w:t>
            </w:r>
          </w:p>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3.投标人为新成立企业且成立时间不足一个月可提供加盖投标人公章的情况说明或者证明材料亦视为符合。</w:t>
            </w:r>
          </w:p>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4.若为退休人员，提供退休证明。如依法不需要缴纳社会保险的，应提供相应文件证明。</w:t>
            </w:r>
          </w:p>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5.若因社保部门原因无法提供的，需提供劳动合同及社保部门官方通知证明</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或官网公告截图</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w:t>
            </w:r>
          </w:p>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6.如本项目未安排项目负责人、主要技术人员的，无需提供项目负责人、主要技术人员的社保。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1"/>
              </w:numPr>
              <w:tabs>
                <w:tab w:val="left" w:pos="176"/>
                <w:tab w:val="left" w:pos="612"/>
              </w:tabs>
              <w:ind w:left="342"/>
              <w:jc w:val="center"/>
              <w:rPr>
                <w:rFonts w:ascii="宋体" w:hAnsi="宋体" w:cs="宋体"/>
              </w:rPr>
            </w:pPr>
          </w:p>
        </w:tc>
        <w:tc>
          <w:tcPr>
            <w:tcW w:w="8014" w:type="dxa"/>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不同供应商的法定代表人、主要经营负责人、项目投标授权代表人、项目负责人</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如有</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、主要技术人员</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如有</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不存在为同一人或在同一单位缴纳社会保险；或者不存在直接控股、管理关系；不存在因违法行为而被禁止参加政府采购活动等情形。</w:t>
            </w:r>
          </w:p>
        </w:tc>
      </w:tr>
    </w:tbl>
    <w:p>
      <w:pPr>
        <w:adjustRightInd w:val="0"/>
        <w:snapToGrid w:val="0"/>
        <w:spacing w:line="360" w:lineRule="auto"/>
        <w:jc w:val="left"/>
        <w:rPr>
          <w:rFonts w:ascii="宋体" w:hAnsi="宋体" w:cs="宋体"/>
        </w:rPr>
      </w:pPr>
    </w:p>
    <w:bookmarkEnd w:id="1"/>
    <w:p/>
    <w:p>
      <w:pPr>
        <w:pStyle w:val="9"/>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2"/>
        <w:spacing w:line="400" w:lineRule="exact"/>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（二）符合性检查表</w:t>
      </w:r>
    </w:p>
    <w:tbl>
      <w:tblPr>
        <w:tblStyle w:val="16"/>
        <w:tblW w:w="8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7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95" w:type="dxa"/>
            <w:noWrap/>
            <w:vAlign w:val="center"/>
          </w:tcPr>
          <w:p>
            <w:pPr>
              <w:jc w:val="center"/>
              <w:rPr>
                <w:rFonts w:ascii="宋体" w:hAnsi="宋体" w:cs="宋体"/>
                <w:b/>
              </w:rPr>
            </w:pPr>
            <w:r>
              <w:rPr>
                <w:rFonts w:hint="eastAsia" w:ascii="宋体" w:hAnsi="宋体" w:cs="宋体"/>
                <w:b/>
              </w:rPr>
              <w:t>序号</w:t>
            </w:r>
          </w:p>
        </w:tc>
        <w:tc>
          <w:tcPr>
            <w:tcW w:w="7929" w:type="dxa"/>
            <w:noWrap/>
            <w:vAlign w:val="center"/>
          </w:tcPr>
          <w:p>
            <w:pPr>
              <w:jc w:val="center"/>
              <w:rPr>
                <w:rFonts w:ascii="宋体" w:hAnsi="宋体" w:cs="宋体"/>
                <w:b/>
              </w:rPr>
            </w:pPr>
            <w:r>
              <w:rPr>
                <w:rFonts w:hint="eastAsia" w:ascii="宋体" w:hAnsi="宋体" w:cs="宋体"/>
                <w:b/>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w:t>
            </w:r>
          </w:p>
        </w:tc>
        <w:tc>
          <w:tcPr>
            <w:tcW w:w="7929" w:type="dxa"/>
            <w:noWrap/>
            <w:vAlign w:val="center"/>
          </w:tcPr>
          <w:p>
            <w:pPr>
              <w:rPr>
                <w:rFonts w:ascii="宋体" w:hAnsi="宋体" w:cs="宋体"/>
                <w:bCs/>
                <w:sz w:val="22"/>
                <w:szCs w:val="22"/>
              </w:rPr>
            </w:pPr>
            <w:r>
              <w:rPr>
                <w:rFonts w:hint="eastAsia"/>
              </w:rPr>
              <w:t>未</w:t>
            </w:r>
            <w:r>
              <w:rPr>
                <w:rFonts w:hint="eastAsia" w:ascii="宋体" w:hAnsi="宋体" w:cs="宋体"/>
                <w:bCs/>
                <w:sz w:val="22"/>
                <w:szCs w:val="22"/>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2</w:t>
            </w:r>
          </w:p>
        </w:tc>
        <w:tc>
          <w:tcPr>
            <w:tcW w:w="7929" w:type="dxa"/>
            <w:noWrap/>
            <w:vAlign w:val="center"/>
          </w:tcPr>
          <w:p>
            <w:pPr>
              <w:rPr>
                <w:rFonts w:ascii="宋体" w:hAnsi="宋体" w:cs="宋体"/>
                <w:bCs/>
                <w:sz w:val="22"/>
                <w:szCs w:val="22"/>
              </w:rPr>
            </w:pPr>
            <w:r>
              <w:rPr>
                <w:rFonts w:hint="eastAsia" w:ascii="宋体" w:hAnsi="宋体" w:cs="宋体"/>
                <w:bCs/>
                <w:sz w:val="22"/>
                <w:szCs w:val="22"/>
              </w:rPr>
              <w:t>招标文件未规定允许有替代方案时，对同一货物投标时，</w:t>
            </w:r>
            <w:r>
              <w:rPr>
                <w:rFonts w:hint="eastAsia"/>
              </w:rPr>
              <w:t>未</w:t>
            </w:r>
            <w:r>
              <w:rPr>
                <w:rFonts w:hint="eastAsia" w:ascii="宋体" w:hAnsi="宋体" w:cs="宋体"/>
                <w:bCs/>
                <w:sz w:val="22"/>
                <w:szCs w:val="22"/>
              </w:rPr>
              <w:t>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3</w:t>
            </w:r>
          </w:p>
        </w:tc>
        <w:tc>
          <w:tcPr>
            <w:tcW w:w="7929" w:type="dxa"/>
            <w:noWrap/>
            <w:vAlign w:val="center"/>
          </w:tcPr>
          <w:p>
            <w:pPr>
              <w:rPr>
                <w:rFonts w:ascii="宋体" w:hAnsi="宋体" w:cs="宋体"/>
                <w:bCs/>
                <w:sz w:val="22"/>
                <w:szCs w:val="22"/>
              </w:rPr>
            </w:pPr>
            <w:r>
              <w:rPr>
                <w:rFonts w:hint="eastAsia" w:ascii="宋体" w:hAnsi="宋体" w:cs="宋体"/>
                <w:color w:val="000000" w:themeColor="text1"/>
                <w:szCs w:val="21"/>
                <w14:textFill>
                  <w14:solidFill>
                    <w14:schemeClr w14:val="tx1"/>
                  </w14:solidFill>
                </w14:textFill>
              </w:rPr>
              <w:t>投标报价按照招标文件要求进行报价，</w:t>
            </w:r>
            <w:r>
              <w:rPr>
                <w:rFonts w:hint="eastAsia" w:ascii="宋体" w:hAnsi="宋体" w:cs="宋体"/>
                <w:bCs/>
                <w:sz w:val="22"/>
                <w:szCs w:val="22"/>
              </w:rPr>
              <w:t>投标总价或分项报价</w:t>
            </w:r>
            <w:r>
              <w:rPr>
                <w:rFonts w:hint="eastAsia"/>
              </w:rPr>
              <w:t>未</w:t>
            </w:r>
            <w:r>
              <w:rPr>
                <w:rFonts w:hint="eastAsia" w:ascii="宋体" w:hAnsi="宋体" w:cs="宋体"/>
                <w:bCs/>
                <w:sz w:val="22"/>
                <w:szCs w:val="22"/>
              </w:rPr>
              <w:t>高于项目预算限额。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4</w:t>
            </w:r>
          </w:p>
        </w:tc>
        <w:tc>
          <w:tcPr>
            <w:tcW w:w="7929" w:type="dxa"/>
            <w:noWrap/>
            <w:vAlign w:val="center"/>
          </w:tcPr>
          <w:p>
            <w:pPr>
              <w:rPr>
                <w:rFonts w:ascii="宋体" w:hAnsi="宋体" w:cs="宋体"/>
                <w:bCs/>
                <w:sz w:val="22"/>
                <w:szCs w:val="22"/>
              </w:rPr>
            </w:pPr>
            <w:r>
              <w:rPr>
                <w:rFonts w:hint="eastAsia" w:ascii="宋体" w:hAnsi="宋体" w:cs="宋体"/>
                <w:bCs/>
                <w:sz w:val="22"/>
                <w:szCs w:val="22"/>
              </w:rPr>
              <w:t>投标人的报价未明显低于其他通过符合性审查投标人的报价，不会影响产品质量或者诚信履约。评委会有权要求投标供应商在规定时间内提供书面说明以及必要的证明材料，投标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5</w:t>
            </w:r>
          </w:p>
        </w:tc>
        <w:tc>
          <w:tcPr>
            <w:tcW w:w="7929" w:type="dxa"/>
            <w:noWrap/>
            <w:vAlign w:val="center"/>
          </w:tcPr>
          <w:p>
            <w:pPr>
              <w:rPr>
                <w:rFonts w:ascii="宋体" w:hAnsi="宋体" w:cs="宋体"/>
                <w:bCs/>
                <w:sz w:val="22"/>
                <w:szCs w:val="22"/>
              </w:rPr>
            </w:pPr>
            <w:r>
              <w:rPr>
                <w:rFonts w:hint="eastAsia" w:ascii="宋体" w:hAnsi="宋体" w:cs="宋体"/>
                <w:bCs/>
                <w:sz w:val="22"/>
                <w:szCs w:val="22"/>
              </w:rPr>
              <w:t>同一项目未出现两个或以上报价、单价汇总与总价不符的情况。评委会有权要求投标供应商在规定时间内进行书面澄清说明，投标供应商不能及时进行澄清说明的，评标委员会应当将其作为无效投标处理。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6</w:t>
            </w:r>
          </w:p>
        </w:tc>
        <w:tc>
          <w:tcPr>
            <w:tcW w:w="7929" w:type="dxa"/>
            <w:noWrap/>
            <w:vAlign w:val="center"/>
          </w:tcPr>
          <w:p>
            <w:pPr>
              <w:rPr>
                <w:rFonts w:ascii="宋体" w:hAnsi="宋体" w:cs="宋体"/>
                <w:bCs/>
                <w:sz w:val="22"/>
                <w:szCs w:val="22"/>
              </w:rPr>
            </w:pPr>
            <w:r>
              <w:rPr>
                <w:rFonts w:hint="eastAsia" w:ascii="宋体" w:hAnsi="宋体" w:cs="宋体"/>
                <w:bCs/>
                <w:sz w:val="22"/>
                <w:szCs w:val="22"/>
              </w:rPr>
              <w:t>投标报价无缺漏项目或未对采购文件规定的服务清单项目及数量进行修改。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7</w:t>
            </w:r>
          </w:p>
        </w:tc>
        <w:tc>
          <w:tcPr>
            <w:tcW w:w="7929" w:type="dxa"/>
            <w:noWrap/>
            <w:vAlign w:val="center"/>
          </w:tcPr>
          <w:p>
            <w:pPr>
              <w:rPr>
                <w:rFonts w:ascii="宋体" w:hAnsi="宋体" w:cs="宋体"/>
                <w:bCs/>
                <w:sz w:val="22"/>
                <w:szCs w:val="22"/>
              </w:rPr>
            </w:pPr>
            <w:r>
              <w:rPr>
                <w:rFonts w:hint="eastAsia" w:ascii="宋体" w:hAnsi="宋体" w:cs="宋体"/>
                <w:bCs/>
                <w:sz w:val="22"/>
                <w:szCs w:val="22"/>
              </w:rPr>
              <w:t>所投产品、工程、服务在质量、技术、方案等方面实质性满足采购文件要求，本项目实质性条款以标注“★”条款为准（是否实质性满足招标文件要求，由评审委员会根据《实质性条款响应情况表》作出评判）。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8</w:t>
            </w:r>
          </w:p>
        </w:tc>
        <w:tc>
          <w:tcPr>
            <w:tcW w:w="7929" w:type="dxa"/>
            <w:noWrap/>
            <w:vAlign w:val="center"/>
          </w:tcPr>
          <w:p>
            <w:pPr>
              <w:rPr>
                <w:rFonts w:ascii="宋体" w:hAnsi="宋体" w:cs="宋体"/>
                <w:bCs/>
                <w:sz w:val="22"/>
                <w:szCs w:val="22"/>
              </w:rPr>
            </w:pPr>
            <w:r>
              <w:rPr>
                <w:rFonts w:hint="eastAsia" w:ascii="宋体" w:hAnsi="宋体" w:cs="宋体"/>
                <w:bCs/>
                <w:sz w:val="22"/>
                <w:szCs w:val="22"/>
              </w:rPr>
              <w:t>《开标一览表》《投标及履约承诺函》按采购文件规定的格式和内容响应；按采购文件对投标文件组成的要求提供投标文件的（投标文件组成完整）；按照招标文件要求提供密封投标文件；投标文件的数量、密封、签字盖章符合采购文件要求，提供投标文件电子文档；按照采购文件规定的样式及要求填写“法定代表人资格证明书”或“</w:t>
            </w:r>
            <w:r>
              <w:rPr>
                <w:rFonts w:hint="eastAsia" w:ascii="宋体" w:hAnsi="宋体" w:cs="宋体"/>
                <w:bCs/>
                <w:sz w:val="22"/>
                <w:szCs w:val="22"/>
                <w:lang w:bidi="ar"/>
              </w:rPr>
              <w:t>法定代表人授权书</w:t>
            </w:r>
            <w:r>
              <w:rPr>
                <w:rFonts w:hint="eastAsia" w:ascii="宋体" w:hAnsi="宋体" w:cs="宋体"/>
                <w:bCs/>
                <w:sz w:val="22"/>
                <w:szCs w:val="22"/>
              </w:rPr>
              <w:t>”或“分项报价表”。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9</w:t>
            </w:r>
          </w:p>
        </w:tc>
        <w:tc>
          <w:tcPr>
            <w:tcW w:w="7929" w:type="dxa"/>
            <w:noWrap/>
            <w:vAlign w:val="center"/>
          </w:tcPr>
          <w:p>
            <w:pPr>
              <w:rPr>
                <w:rFonts w:ascii="宋体" w:hAnsi="宋体" w:cs="宋体"/>
                <w:bCs/>
                <w:sz w:val="22"/>
                <w:szCs w:val="22"/>
              </w:rPr>
            </w:pPr>
            <w:r>
              <w:rPr>
                <w:rFonts w:hint="eastAsia" w:ascii="宋体" w:hAnsi="宋体" w:cs="宋体"/>
                <w:bCs/>
                <w:sz w:val="22"/>
                <w:szCs w:val="22"/>
              </w:rPr>
              <w:t>与其他投标供应商的投标文件未存在异常雷同现象的。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10</w:t>
            </w:r>
          </w:p>
        </w:tc>
        <w:tc>
          <w:tcPr>
            <w:tcW w:w="7929" w:type="dxa"/>
            <w:noWrap/>
            <w:vAlign w:val="center"/>
          </w:tcPr>
          <w:p>
            <w:pPr>
              <w:rPr>
                <w:rFonts w:ascii="宋体" w:hAnsi="宋体" w:cs="宋体"/>
                <w:bCs/>
                <w:sz w:val="22"/>
                <w:szCs w:val="22"/>
              </w:rPr>
            </w:pPr>
            <w:r>
              <w:rPr>
                <w:rFonts w:hint="eastAsia" w:ascii="宋体" w:hAnsi="宋体" w:cs="宋体"/>
                <w:bCs/>
                <w:sz w:val="22"/>
                <w:szCs w:val="22"/>
              </w:rPr>
              <w:t>未存在招标文件规定的其他投标无效情形。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11</w:t>
            </w:r>
          </w:p>
        </w:tc>
        <w:tc>
          <w:tcPr>
            <w:tcW w:w="7929" w:type="dxa"/>
            <w:noWrap/>
            <w:vAlign w:val="center"/>
          </w:tcPr>
          <w:p>
            <w:pPr>
              <w:rPr>
                <w:rFonts w:ascii="宋体" w:hAnsi="宋体" w:cs="宋体"/>
                <w:bCs/>
                <w:sz w:val="22"/>
                <w:szCs w:val="22"/>
              </w:rPr>
            </w:pPr>
            <w:r>
              <w:rPr>
                <w:rFonts w:hint="eastAsia" w:ascii="宋体" w:hAnsi="宋体" w:cs="宋体"/>
                <w:bCs/>
                <w:sz w:val="22"/>
                <w:szCs w:val="22"/>
              </w:rPr>
              <w:t>法律、法规规定的其他情形。</w:t>
            </w:r>
          </w:p>
        </w:tc>
      </w:tr>
    </w:tbl>
    <w:p>
      <w:pPr>
        <w:adjustRightInd w:val="0"/>
        <w:snapToGrid w:val="0"/>
        <w:spacing w:line="360" w:lineRule="auto"/>
        <w:jc w:val="left"/>
        <w:rPr>
          <w:rFonts w:hint="eastAsia" w:ascii="宋体" w:hAnsi="宋体" w:cs="宋体"/>
        </w:rPr>
      </w:pPr>
    </w:p>
    <w:p>
      <w:pPr>
        <w:adjustRightInd w:val="0"/>
        <w:snapToGrid w:val="0"/>
        <w:spacing w:line="360" w:lineRule="auto"/>
        <w:jc w:val="left"/>
        <w:rPr>
          <w:rFonts w:hint="eastAsia" w:ascii="宋体" w:cs="宋体"/>
          <w:szCs w:val="21"/>
        </w:rPr>
      </w:pPr>
      <w:r>
        <w:rPr>
          <w:rFonts w:hint="eastAsia" w:ascii="宋体" w:hAnsi="宋体" w:cs="宋体"/>
        </w:rPr>
        <w:t>说明：</w:t>
      </w:r>
      <w:r>
        <w:rPr>
          <w:rFonts w:hint="eastAsia" w:ascii="宋体" w:hAnsi="宋体"/>
        </w:rPr>
        <w:t>投标人必须严格按照《资格性审查表》《符合性检查表》的评审内容的要求如实提供材料</w:t>
      </w:r>
      <w:r>
        <w:rPr>
          <w:rFonts w:hint="eastAsia" w:ascii="宋体" w:hAnsi="宋体"/>
          <w:bCs/>
        </w:rPr>
        <w:t>并应加盖投标人公章</w:t>
      </w:r>
      <w:r>
        <w:rPr>
          <w:rFonts w:hint="eastAsia" w:ascii="宋体" w:hAnsi="宋体"/>
          <w:bCs/>
          <w:lang w:eastAsia="zh-CN"/>
        </w:rPr>
        <w:t>，</w:t>
      </w:r>
      <w:r>
        <w:rPr>
          <w:rFonts w:hint="eastAsia" w:ascii="宋体" w:hAnsi="宋体"/>
        </w:rPr>
        <w:t>对缺漏或不符合项将直接导致无效投标</w:t>
      </w:r>
      <w:r>
        <w:rPr>
          <w:rFonts w:hint="eastAsia" w:ascii="宋体" w:cs="宋体"/>
          <w:szCs w:val="21"/>
        </w:rPr>
        <w:t>。</w:t>
      </w:r>
    </w:p>
    <w:p>
      <w:pPr>
        <w:adjustRightInd w:val="0"/>
        <w:snapToGrid w:val="0"/>
        <w:spacing w:line="360" w:lineRule="auto"/>
        <w:jc w:val="left"/>
        <w:rPr>
          <w:rFonts w:hint="eastAsia" w:ascii="宋体" w:cs="宋体"/>
          <w:szCs w:val="21"/>
        </w:rPr>
      </w:pPr>
    </w:p>
    <w:p>
      <w:pPr>
        <w:adjustRightInd w:val="0"/>
        <w:snapToGrid w:val="0"/>
        <w:spacing w:line="360" w:lineRule="auto"/>
        <w:jc w:val="left"/>
        <w:rPr>
          <w:rFonts w:hint="eastAsia" w:ascii="宋体" w:cs="宋体"/>
          <w:szCs w:val="21"/>
        </w:rPr>
      </w:pPr>
    </w:p>
    <w:p>
      <w:pPr>
        <w:adjustRightInd w:val="0"/>
        <w:snapToGrid w:val="0"/>
        <w:spacing w:line="360" w:lineRule="auto"/>
        <w:jc w:val="left"/>
        <w:rPr>
          <w:rFonts w:hint="eastAsia" w:ascii="宋体" w:cs="宋体"/>
          <w:szCs w:val="21"/>
        </w:rPr>
      </w:pPr>
    </w:p>
    <w:p>
      <w:pPr>
        <w:adjustRightInd w:val="0"/>
        <w:snapToGrid w:val="0"/>
        <w:spacing w:line="360" w:lineRule="auto"/>
        <w:jc w:val="left"/>
        <w:rPr>
          <w:rFonts w:hint="eastAsia" w:ascii="宋体" w:cs="宋体"/>
          <w:szCs w:val="21"/>
        </w:rPr>
      </w:pPr>
    </w:p>
    <w:p>
      <w:pPr>
        <w:adjustRightInd w:val="0"/>
        <w:snapToGrid w:val="0"/>
        <w:spacing w:line="360" w:lineRule="auto"/>
        <w:jc w:val="left"/>
        <w:rPr>
          <w:rFonts w:hint="eastAsia" w:ascii="宋体" w:cs="宋体"/>
          <w:szCs w:val="21"/>
        </w:rPr>
      </w:pPr>
    </w:p>
    <w:p>
      <w:pPr>
        <w:adjustRightInd w:val="0"/>
        <w:snapToGrid w:val="0"/>
        <w:spacing w:line="360" w:lineRule="auto"/>
        <w:jc w:val="left"/>
        <w:rPr>
          <w:rFonts w:hint="eastAsia" w:ascii="宋体" w:cs="宋体"/>
          <w:szCs w:val="21"/>
        </w:rPr>
      </w:pPr>
    </w:p>
    <w:p/>
    <w:p>
      <w:pPr>
        <w:pStyle w:val="2"/>
        <w:spacing w:line="400" w:lineRule="exact"/>
        <w:jc w:val="center"/>
        <w:rPr>
          <w:rFonts w:hint="eastAsia" w:ascii="宋体" w:hAnsi="宋体" w:eastAsia="宋体" w:cs="宋体"/>
          <w:b/>
          <w:bCs/>
          <w:color w:val="auto"/>
          <w:sz w:val="32"/>
          <w:szCs w:val="32"/>
        </w:rPr>
      </w:pPr>
      <w:bookmarkStart w:id="2" w:name="_Toc417"/>
      <w:bookmarkStart w:id="3" w:name="_Toc20190"/>
      <w:bookmarkStart w:id="4" w:name="_Toc24877"/>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lang w:eastAsia="zh-CN"/>
        </w:rPr>
        <w:t>）供应商自查</w:t>
      </w:r>
      <w:r>
        <w:rPr>
          <w:rFonts w:hint="eastAsia" w:ascii="宋体" w:hAnsi="宋体" w:eastAsia="宋体" w:cs="宋体"/>
          <w:b/>
          <w:bCs/>
          <w:color w:val="auto"/>
          <w:sz w:val="28"/>
          <w:szCs w:val="28"/>
        </w:rPr>
        <w:t>表</w:t>
      </w:r>
      <w:bookmarkEnd w:id="2"/>
      <w:bookmarkEnd w:id="3"/>
      <w:bookmarkEnd w:id="4"/>
    </w:p>
    <w:p>
      <w:pPr>
        <w:spacing w:before="157" w:line="198" w:lineRule="auto"/>
        <w:ind w:left="126" w:right="-21" w:rightChars="-10"/>
        <w:jc w:val="center"/>
        <w:rPr>
          <w:color w:val="auto"/>
        </w:rPr>
      </w:pPr>
      <w:r>
        <w:rPr>
          <w:rFonts w:hint="eastAsia" w:ascii="宋体" w:hAnsi="宋体" w:eastAsia="宋体" w:cs="宋体"/>
          <w:color w:val="auto"/>
          <w:sz w:val="21"/>
          <w:szCs w:val="21"/>
        </w:rPr>
        <w:t>填表单位：（加盖单位公章）</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4"/>
          <w:sz w:val="21"/>
          <w:szCs w:val="21"/>
          <w:lang w:val="en-US" w:eastAsia="zh-CN"/>
        </w:rPr>
        <w:t xml:space="preserve">      </w:t>
      </w:r>
      <w:r>
        <w:rPr>
          <w:rFonts w:hint="eastAsia" w:ascii="宋体" w:hAnsi="宋体" w:eastAsia="宋体" w:cs="宋体"/>
          <w:color w:val="auto"/>
          <w:sz w:val="21"/>
          <w:szCs w:val="21"/>
        </w:rPr>
        <w:t>填表日期：</w:t>
      </w:r>
      <w:r>
        <w:rPr>
          <w:rFonts w:hint="eastAsia" w:ascii="宋体" w:hAnsi="宋体" w:eastAsia="宋体" w:cs="宋体"/>
          <w:color w:val="auto"/>
          <w:spacing w:val="13"/>
          <w:sz w:val="21"/>
          <w:szCs w:val="21"/>
        </w:rPr>
        <w:t xml:space="preserve">   </w:t>
      </w:r>
      <w:r>
        <w:rPr>
          <w:rFonts w:hint="eastAsia" w:ascii="宋体" w:hAnsi="宋体" w:eastAsia="宋体" w:cs="宋体"/>
          <w:color w:val="auto"/>
          <w:sz w:val="21"/>
          <w:szCs w:val="21"/>
        </w:rPr>
        <w:t xml:space="preserve">年   月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w:t>
      </w:r>
    </w:p>
    <w:tbl>
      <w:tblPr>
        <w:tblStyle w:val="16"/>
        <w:tblW w:w="10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5995"/>
        <w:gridCol w:w="2907"/>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57" w:type="dxa"/>
            <w:noWrap w:val="0"/>
            <w:vAlign w:val="center"/>
          </w:tcPr>
          <w:p>
            <w:pPr>
              <w:spacing w:line="360" w:lineRule="exact"/>
              <w:jc w:val="center"/>
              <w:rPr>
                <w:rFonts w:hint="eastAsia" w:ascii="宋体" w:hAnsi="宋体" w:eastAsia="宋体"/>
                <w:color w:val="auto"/>
                <w:szCs w:val="21"/>
                <w:lang w:eastAsia="zh-CN"/>
              </w:rPr>
            </w:pPr>
            <w:r>
              <w:rPr>
                <w:rFonts w:hint="eastAsia" w:ascii="宋体" w:hAnsi="宋体"/>
                <w:color w:val="auto"/>
                <w:szCs w:val="21"/>
                <w:lang w:eastAsia="zh-CN"/>
              </w:rPr>
              <w:t>序号</w:t>
            </w:r>
          </w:p>
        </w:tc>
        <w:tc>
          <w:tcPr>
            <w:tcW w:w="5995" w:type="dxa"/>
            <w:noWrap w:val="0"/>
            <w:vAlign w:val="center"/>
          </w:tcPr>
          <w:p>
            <w:pPr>
              <w:spacing w:line="360" w:lineRule="exact"/>
              <w:jc w:val="center"/>
              <w:rPr>
                <w:rFonts w:hint="eastAsia" w:ascii="宋体" w:hAnsi="宋体" w:eastAsia="宋体"/>
                <w:color w:val="auto"/>
                <w:szCs w:val="21"/>
                <w:lang w:eastAsia="zh-CN"/>
              </w:rPr>
            </w:pPr>
            <w:r>
              <w:rPr>
                <w:rFonts w:hint="eastAsia" w:ascii="宋体" w:hAnsi="宋体" w:eastAsia="宋体"/>
                <w:color w:val="auto"/>
                <w:szCs w:val="21"/>
                <w:lang w:eastAsia="zh-CN"/>
              </w:rPr>
              <w:t>是否存在以下投标违规行为</w:t>
            </w:r>
          </w:p>
        </w:tc>
        <w:tc>
          <w:tcPr>
            <w:tcW w:w="2907" w:type="dxa"/>
            <w:noWrap w:val="0"/>
            <w:vAlign w:val="center"/>
          </w:tcPr>
          <w:p>
            <w:pPr>
              <w:spacing w:line="360" w:lineRule="exact"/>
              <w:jc w:val="center"/>
              <w:rPr>
                <w:rFonts w:hint="eastAsia" w:ascii="宋体" w:hAnsi="宋体"/>
                <w:color w:val="auto"/>
                <w:szCs w:val="21"/>
                <w:lang w:eastAsia="zh-CN"/>
              </w:rPr>
            </w:pPr>
            <w:r>
              <w:rPr>
                <w:rFonts w:hint="eastAsia" w:ascii="宋体" w:hAnsi="宋体"/>
                <w:color w:val="auto"/>
                <w:szCs w:val="21"/>
                <w:lang w:eastAsia="zh-CN"/>
              </w:rPr>
              <w:t>自查情况</w:t>
            </w:r>
          </w:p>
          <w:p>
            <w:pPr>
              <w:spacing w:line="360" w:lineRule="exact"/>
              <w:jc w:val="center"/>
              <w:rPr>
                <w:rFonts w:hint="eastAsia" w:ascii="宋体" w:hAnsi="宋体" w:eastAsia="宋体"/>
                <w:color w:val="auto"/>
                <w:szCs w:val="21"/>
                <w:lang w:eastAsia="zh-CN"/>
              </w:rPr>
            </w:pPr>
            <w:r>
              <w:rPr>
                <w:rFonts w:hint="eastAsia" w:ascii="宋体" w:hAnsi="宋体"/>
                <w:color w:val="auto"/>
                <w:szCs w:val="21"/>
                <w:lang w:eastAsia="zh-CN"/>
              </w:rPr>
              <w:t>（填写“不存在”或“存在”）</w:t>
            </w:r>
          </w:p>
        </w:tc>
        <w:tc>
          <w:tcPr>
            <w:tcW w:w="919" w:type="dxa"/>
            <w:noWrap w:val="0"/>
            <w:vAlign w:val="center"/>
          </w:tcPr>
          <w:p>
            <w:pPr>
              <w:spacing w:line="360" w:lineRule="exact"/>
              <w:jc w:val="center"/>
              <w:rPr>
                <w:rFonts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57" w:type="dxa"/>
            <w:noWrap w:val="0"/>
            <w:vAlign w:val="center"/>
          </w:tcPr>
          <w:p>
            <w:pPr>
              <w:spacing w:line="36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1</w:t>
            </w:r>
          </w:p>
        </w:tc>
        <w:tc>
          <w:tcPr>
            <w:tcW w:w="5995" w:type="dxa"/>
            <w:noWrap w:val="0"/>
            <w:vAlign w:val="center"/>
          </w:tcPr>
          <w:p>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07" w:type="dxa"/>
            <w:noWrap w:val="0"/>
            <w:vAlign w:val="center"/>
          </w:tcPr>
          <w:p>
            <w:pPr>
              <w:spacing w:line="360" w:lineRule="exact"/>
              <w:jc w:val="center"/>
              <w:rPr>
                <w:rFonts w:ascii="宋体" w:hAnsi="宋体"/>
                <w:b/>
                <w:color w:val="auto"/>
                <w:szCs w:val="21"/>
              </w:rPr>
            </w:pPr>
          </w:p>
        </w:tc>
        <w:tc>
          <w:tcPr>
            <w:tcW w:w="919" w:type="dxa"/>
            <w:noWrap w:val="0"/>
            <w:vAlign w:val="center"/>
          </w:tcPr>
          <w:p>
            <w:pPr>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7" w:type="dxa"/>
            <w:noWrap w:val="0"/>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2</w:t>
            </w:r>
          </w:p>
        </w:tc>
        <w:tc>
          <w:tcPr>
            <w:tcW w:w="5995" w:type="dxa"/>
            <w:noWrap w:val="0"/>
            <w:vAlign w:val="center"/>
          </w:tcPr>
          <w:p>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07" w:type="dxa"/>
            <w:noWrap w:val="0"/>
            <w:vAlign w:val="center"/>
          </w:tcPr>
          <w:p>
            <w:pPr>
              <w:spacing w:line="360" w:lineRule="exact"/>
              <w:jc w:val="center"/>
              <w:rPr>
                <w:rFonts w:ascii="宋体" w:hAnsi="宋体"/>
                <w:b/>
                <w:color w:val="auto"/>
                <w:szCs w:val="21"/>
              </w:rPr>
            </w:pPr>
          </w:p>
        </w:tc>
        <w:tc>
          <w:tcPr>
            <w:tcW w:w="919" w:type="dxa"/>
            <w:noWrap w:val="0"/>
            <w:vAlign w:val="center"/>
          </w:tcPr>
          <w:p>
            <w:pPr>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57" w:type="dxa"/>
            <w:noWrap w:val="0"/>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3</w:t>
            </w:r>
          </w:p>
        </w:tc>
        <w:tc>
          <w:tcPr>
            <w:tcW w:w="5995" w:type="dxa"/>
            <w:noWrap w:val="0"/>
            <w:vAlign w:val="center"/>
          </w:tcPr>
          <w:p>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07" w:type="dxa"/>
            <w:noWrap w:val="0"/>
            <w:vAlign w:val="center"/>
          </w:tcPr>
          <w:p>
            <w:pPr>
              <w:spacing w:line="360" w:lineRule="exact"/>
              <w:jc w:val="center"/>
              <w:rPr>
                <w:rFonts w:ascii="宋体" w:hAnsi="宋体"/>
                <w:b/>
                <w:color w:val="auto"/>
                <w:szCs w:val="21"/>
              </w:rPr>
            </w:pPr>
          </w:p>
        </w:tc>
        <w:tc>
          <w:tcPr>
            <w:tcW w:w="919" w:type="dxa"/>
            <w:noWrap w:val="0"/>
            <w:vAlign w:val="center"/>
          </w:tcPr>
          <w:p>
            <w:pPr>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57" w:type="dxa"/>
            <w:noWrap w:val="0"/>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4</w:t>
            </w:r>
          </w:p>
        </w:tc>
        <w:tc>
          <w:tcPr>
            <w:tcW w:w="5995" w:type="dxa"/>
            <w:noWrap w:val="0"/>
            <w:vAlign w:val="center"/>
          </w:tcPr>
          <w:p>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07" w:type="dxa"/>
            <w:noWrap w:val="0"/>
            <w:vAlign w:val="center"/>
          </w:tcPr>
          <w:p>
            <w:pPr>
              <w:spacing w:line="360" w:lineRule="exact"/>
              <w:jc w:val="center"/>
              <w:rPr>
                <w:rFonts w:ascii="宋体" w:hAnsi="宋体"/>
                <w:b/>
                <w:color w:val="auto"/>
                <w:szCs w:val="21"/>
              </w:rPr>
            </w:pPr>
          </w:p>
        </w:tc>
        <w:tc>
          <w:tcPr>
            <w:tcW w:w="919" w:type="dxa"/>
            <w:noWrap w:val="0"/>
            <w:vAlign w:val="center"/>
          </w:tcPr>
          <w:p>
            <w:pPr>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noWrap w:val="0"/>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5</w:t>
            </w:r>
          </w:p>
        </w:tc>
        <w:tc>
          <w:tcPr>
            <w:tcW w:w="5995" w:type="dxa"/>
            <w:noWrap w:val="0"/>
            <w:vAlign w:val="center"/>
          </w:tcPr>
          <w:p>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07" w:type="dxa"/>
            <w:noWrap w:val="0"/>
            <w:vAlign w:val="center"/>
          </w:tcPr>
          <w:p>
            <w:pPr>
              <w:spacing w:line="360" w:lineRule="exact"/>
              <w:jc w:val="center"/>
              <w:rPr>
                <w:rFonts w:ascii="宋体" w:hAnsi="宋体"/>
                <w:b/>
                <w:color w:val="auto"/>
                <w:szCs w:val="21"/>
              </w:rPr>
            </w:pPr>
          </w:p>
        </w:tc>
        <w:tc>
          <w:tcPr>
            <w:tcW w:w="919" w:type="dxa"/>
            <w:noWrap w:val="0"/>
            <w:vAlign w:val="center"/>
          </w:tcPr>
          <w:p>
            <w:pPr>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noWrap w:val="0"/>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6</w:t>
            </w:r>
          </w:p>
        </w:tc>
        <w:tc>
          <w:tcPr>
            <w:tcW w:w="5995" w:type="dxa"/>
            <w:noWrap w:val="0"/>
            <w:vAlign w:val="center"/>
          </w:tcPr>
          <w:p>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07" w:type="dxa"/>
            <w:noWrap w:val="0"/>
            <w:vAlign w:val="center"/>
          </w:tcPr>
          <w:p>
            <w:pPr>
              <w:spacing w:line="360" w:lineRule="exact"/>
              <w:jc w:val="center"/>
              <w:rPr>
                <w:rFonts w:ascii="宋体" w:hAnsi="宋体"/>
                <w:b/>
                <w:color w:val="auto"/>
                <w:szCs w:val="21"/>
              </w:rPr>
            </w:pPr>
          </w:p>
        </w:tc>
        <w:tc>
          <w:tcPr>
            <w:tcW w:w="919" w:type="dxa"/>
            <w:noWrap w:val="0"/>
            <w:vAlign w:val="center"/>
          </w:tcPr>
          <w:p>
            <w:pPr>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57" w:type="dxa"/>
            <w:noWrap w:val="0"/>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7</w:t>
            </w:r>
          </w:p>
        </w:tc>
        <w:tc>
          <w:tcPr>
            <w:tcW w:w="5995" w:type="dxa"/>
            <w:noWrap w:val="0"/>
            <w:vAlign w:val="center"/>
          </w:tcPr>
          <w:p>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07" w:type="dxa"/>
            <w:noWrap w:val="0"/>
            <w:vAlign w:val="center"/>
          </w:tcPr>
          <w:p>
            <w:pPr>
              <w:spacing w:line="360" w:lineRule="exact"/>
              <w:jc w:val="center"/>
              <w:rPr>
                <w:rFonts w:ascii="宋体" w:hAnsi="宋体"/>
                <w:b/>
                <w:color w:val="auto"/>
                <w:szCs w:val="21"/>
              </w:rPr>
            </w:pPr>
          </w:p>
        </w:tc>
        <w:tc>
          <w:tcPr>
            <w:tcW w:w="919" w:type="dxa"/>
            <w:noWrap w:val="0"/>
            <w:vAlign w:val="center"/>
          </w:tcPr>
          <w:p>
            <w:pPr>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7" w:type="dxa"/>
            <w:noWrap w:val="0"/>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8</w:t>
            </w:r>
          </w:p>
        </w:tc>
        <w:tc>
          <w:tcPr>
            <w:tcW w:w="5995" w:type="dxa"/>
            <w:noWrap w:val="0"/>
            <w:vAlign w:val="center"/>
          </w:tcPr>
          <w:p>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07" w:type="dxa"/>
            <w:noWrap w:val="0"/>
            <w:vAlign w:val="center"/>
          </w:tcPr>
          <w:p>
            <w:pPr>
              <w:spacing w:line="360" w:lineRule="exact"/>
              <w:jc w:val="center"/>
              <w:rPr>
                <w:rFonts w:ascii="宋体" w:hAnsi="宋体"/>
                <w:b/>
                <w:color w:val="auto"/>
                <w:szCs w:val="21"/>
              </w:rPr>
            </w:pPr>
          </w:p>
        </w:tc>
        <w:tc>
          <w:tcPr>
            <w:tcW w:w="919" w:type="dxa"/>
            <w:noWrap w:val="0"/>
            <w:vAlign w:val="center"/>
          </w:tcPr>
          <w:p>
            <w:pPr>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57" w:type="dxa"/>
            <w:noWrap w:val="0"/>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9</w:t>
            </w:r>
          </w:p>
        </w:tc>
        <w:tc>
          <w:tcPr>
            <w:tcW w:w="5995" w:type="dxa"/>
            <w:noWrap w:val="0"/>
            <w:vAlign w:val="center"/>
          </w:tcPr>
          <w:p>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07" w:type="dxa"/>
            <w:noWrap w:val="0"/>
            <w:vAlign w:val="center"/>
          </w:tcPr>
          <w:p>
            <w:pPr>
              <w:spacing w:line="360" w:lineRule="exact"/>
              <w:jc w:val="center"/>
              <w:rPr>
                <w:rFonts w:ascii="宋体" w:hAnsi="宋体"/>
                <w:b/>
                <w:color w:val="auto"/>
                <w:szCs w:val="21"/>
              </w:rPr>
            </w:pPr>
          </w:p>
        </w:tc>
        <w:tc>
          <w:tcPr>
            <w:tcW w:w="919" w:type="dxa"/>
            <w:noWrap w:val="0"/>
            <w:vAlign w:val="center"/>
          </w:tcPr>
          <w:p>
            <w:pPr>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noWrap w:val="0"/>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10</w:t>
            </w:r>
          </w:p>
        </w:tc>
        <w:tc>
          <w:tcPr>
            <w:tcW w:w="5995" w:type="dxa"/>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color w:val="auto"/>
                <w:sz w:val="21"/>
                <w:szCs w:val="21"/>
              </w:rPr>
              <w:t>投标人之间协商投标报价等投标文件的实质性内容</w:t>
            </w:r>
            <w:r>
              <w:rPr>
                <w:rFonts w:hint="eastAsia" w:ascii="宋体" w:hAnsi="宋体" w:eastAsia="宋体"/>
                <w:color w:val="auto"/>
                <w:sz w:val="21"/>
                <w:szCs w:val="21"/>
                <w:lang w:eastAsia="zh-CN"/>
              </w:rPr>
              <w:t>。</w:t>
            </w:r>
          </w:p>
        </w:tc>
        <w:tc>
          <w:tcPr>
            <w:tcW w:w="2907" w:type="dxa"/>
            <w:noWrap w:val="0"/>
            <w:vAlign w:val="center"/>
          </w:tcPr>
          <w:p>
            <w:pPr>
              <w:spacing w:line="360" w:lineRule="exact"/>
              <w:jc w:val="center"/>
              <w:rPr>
                <w:rFonts w:ascii="宋体" w:hAnsi="宋体"/>
                <w:b/>
                <w:color w:val="auto"/>
                <w:szCs w:val="21"/>
              </w:rPr>
            </w:pPr>
          </w:p>
        </w:tc>
        <w:tc>
          <w:tcPr>
            <w:tcW w:w="919" w:type="dxa"/>
            <w:noWrap w:val="0"/>
            <w:vAlign w:val="center"/>
          </w:tcPr>
          <w:p>
            <w:pPr>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noWrap w:val="0"/>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11</w:t>
            </w:r>
          </w:p>
        </w:tc>
        <w:tc>
          <w:tcPr>
            <w:tcW w:w="5995" w:type="dxa"/>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color w:val="auto"/>
                <w:sz w:val="21"/>
                <w:szCs w:val="21"/>
              </w:rPr>
              <w:t>投标人之间约定中标人</w:t>
            </w:r>
            <w:r>
              <w:rPr>
                <w:rFonts w:hint="eastAsia" w:ascii="宋体" w:hAnsi="宋体" w:eastAsia="宋体"/>
                <w:color w:val="auto"/>
                <w:sz w:val="21"/>
                <w:szCs w:val="21"/>
                <w:lang w:eastAsia="zh-CN"/>
              </w:rPr>
              <w:t>。</w:t>
            </w:r>
          </w:p>
        </w:tc>
        <w:tc>
          <w:tcPr>
            <w:tcW w:w="2907" w:type="dxa"/>
            <w:noWrap w:val="0"/>
            <w:vAlign w:val="center"/>
          </w:tcPr>
          <w:p>
            <w:pPr>
              <w:spacing w:line="360" w:lineRule="exact"/>
              <w:jc w:val="center"/>
              <w:rPr>
                <w:rFonts w:ascii="宋体" w:hAnsi="宋体"/>
                <w:b/>
                <w:color w:val="auto"/>
                <w:szCs w:val="21"/>
              </w:rPr>
            </w:pPr>
          </w:p>
        </w:tc>
        <w:tc>
          <w:tcPr>
            <w:tcW w:w="919" w:type="dxa"/>
            <w:noWrap w:val="0"/>
            <w:vAlign w:val="center"/>
          </w:tcPr>
          <w:p>
            <w:pPr>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noWrap w:val="0"/>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12</w:t>
            </w:r>
          </w:p>
        </w:tc>
        <w:tc>
          <w:tcPr>
            <w:tcW w:w="5995" w:type="dxa"/>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color w:val="auto"/>
                <w:sz w:val="21"/>
                <w:szCs w:val="21"/>
              </w:rPr>
              <w:t>投标人之间约定部分投标人放弃投标或者中标</w:t>
            </w:r>
            <w:r>
              <w:rPr>
                <w:rFonts w:hint="eastAsia" w:ascii="宋体" w:hAnsi="宋体" w:eastAsia="宋体"/>
                <w:color w:val="auto"/>
                <w:sz w:val="21"/>
                <w:szCs w:val="21"/>
                <w:lang w:eastAsia="zh-CN"/>
              </w:rPr>
              <w:t>。</w:t>
            </w:r>
          </w:p>
        </w:tc>
        <w:tc>
          <w:tcPr>
            <w:tcW w:w="2907" w:type="dxa"/>
            <w:noWrap w:val="0"/>
            <w:vAlign w:val="center"/>
          </w:tcPr>
          <w:p>
            <w:pPr>
              <w:spacing w:line="360" w:lineRule="exact"/>
              <w:jc w:val="center"/>
              <w:rPr>
                <w:rFonts w:ascii="宋体" w:hAnsi="宋体"/>
                <w:b/>
                <w:color w:val="auto"/>
                <w:szCs w:val="21"/>
              </w:rPr>
            </w:pPr>
          </w:p>
        </w:tc>
        <w:tc>
          <w:tcPr>
            <w:tcW w:w="919" w:type="dxa"/>
            <w:noWrap w:val="0"/>
            <w:vAlign w:val="center"/>
          </w:tcPr>
          <w:p>
            <w:pPr>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noWrap w:val="0"/>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13</w:t>
            </w:r>
          </w:p>
        </w:tc>
        <w:tc>
          <w:tcPr>
            <w:tcW w:w="5995" w:type="dxa"/>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color w:val="auto"/>
                <w:sz w:val="21"/>
                <w:szCs w:val="21"/>
              </w:rPr>
              <w:t>属于同一集团、协会、商会等组织成员的投标人按照该组织要求协同投标</w:t>
            </w:r>
            <w:r>
              <w:rPr>
                <w:rFonts w:hint="eastAsia" w:ascii="宋体" w:hAnsi="宋体" w:eastAsia="宋体"/>
                <w:color w:val="auto"/>
                <w:sz w:val="21"/>
                <w:szCs w:val="21"/>
                <w:lang w:eastAsia="zh-CN"/>
              </w:rPr>
              <w:t>。</w:t>
            </w:r>
          </w:p>
        </w:tc>
        <w:tc>
          <w:tcPr>
            <w:tcW w:w="2907" w:type="dxa"/>
            <w:noWrap w:val="0"/>
            <w:vAlign w:val="center"/>
          </w:tcPr>
          <w:p>
            <w:pPr>
              <w:spacing w:line="360" w:lineRule="exact"/>
              <w:jc w:val="center"/>
              <w:rPr>
                <w:rFonts w:ascii="宋体" w:hAnsi="宋体"/>
                <w:b/>
                <w:color w:val="auto"/>
                <w:szCs w:val="21"/>
              </w:rPr>
            </w:pPr>
          </w:p>
        </w:tc>
        <w:tc>
          <w:tcPr>
            <w:tcW w:w="919" w:type="dxa"/>
            <w:noWrap w:val="0"/>
            <w:vAlign w:val="center"/>
          </w:tcPr>
          <w:p>
            <w:pPr>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noWrap w:val="0"/>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14</w:t>
            </w:r>
          </w:p>
        </w:tc>
        <w:tc>
          <w:tcPr>
            <w:tcW w:w="5995" w:type="dxa"/>
            <w:noWrap w:val="0"/>
            <w:vAlign w:val="center"/>
          </w:tcPr>
          <w:p>
            <w:pPr>
              <w:jc w:val="left"/>
              <w:rPr>
                <w:rFonts w:hint="eastAsia" w:ascii="宋体" w:hAnsi="宋体" w:eastAsia="宋体" w:cs="宋体"/>
                <w:color w:val="auto"/>
                <w:sz w:val="21"/>
                <w:szCs w:val="21"/>
              </w:rPr>
            </w:pPr>
            <w:r>
              <w:rPr>
                <w:rFonts w:hint="eastAsia" w:ascii="宋体" w:hAnsi="宋体" w:eastAsia="宋体"/>
                <w:color w:val="auto"/>
                <w:sz w:val="21"/>
                <w:szCs w:val="21"/>
              </w:rPr>
              <w:t>投标人之间为谋取中标或者排斥特定投标人而采取的其他联合行动。</w:t>
            </w:r>
          </w:p>
        </w:tc>
        <w:tc>
          <w:tcPr>
            <w:tcW w:w="2907" w:type="dxa"/>
            <w:noWrap w:val="0"/>
            <w:vAlign w:val="center"/>
          </w:tcPr>
          <w:p>
            <w:pPr>
              <w:spacing w:line="360" w:lineRule="exact"/>
              <w:jc w:val="center"/>
              <w:rPr>
                <w:rFonts w:ascii="宋体" w:hAnsi="宋体"/>
                <w:b/>
                <w:color w:val="auto"/>
                <w:szCs w:val="21"/>
              </w:rPr>
            </w:pPr>
          </w:p>
        </w:tc>
        <w:tc>
          <w:tcPr>
            <w:tcW w:w="919" w:type="dxa"/>
            <w:noWrap w:val="0"/>
            <w:vAlign w:val="center"/>
          </w:tcPr>
          <w:p>
            <w:pPr>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noWrap w:val="0"/>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15</w:t>
            </w:r>
          </w:p>
        </w:tc>
        <w:tc>
          <w:tcPr>
            <w:tcW w:w="5995" w:type="dxa"/>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07" w:type="dxa"/>
            <w:noWrap w:val="0"/>
            <w:vAlign w:val="center"/>
          </w:tcPr>
          <w:p>
            <w:pPr>
              <w:spacing w:line="360" w:lineRule="exact"/>
              <w:jc w:val="center"/>
              <w:rPr>
                <w:rFonts w:ascii="宋体" w:hAnsi="宋体"/>
                <w:b/>
                <w:color w:val="auto"/>
                <w:szCs w:val="21"/>
              </w:rPr>
            </w:pPr>
          </w:p>
        </w:tc>
        <w:tc>
          <w:tcPr>
            <w:tcW w:w="919" w:type="dxa"/>
            <w:noWrap w:val="0"/>
            <w:vAlign w:val="center"/>
          </w:tcPr>
          <w:p>
            <w:pPr>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noWrap w:val="0"/>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16</w:t>
            </w:r>
          </w:p>
        </w:tc>
        <w:tc>
          <w:tcPr>
            <w:tcW w:w="5995" w:type="dxa"/>
            <w:noWrap w:val="0"/>
            <w:vAlign w:val="center"/>
          </w:tcPr>
          <w:p>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07" w:type="dxa"/>
            <w:noWrap w:val="0"/>
            <w:vAlign w:val="center"/>
          </w:tcPr>
          <w:p>
            <w:pPr>
              <w:spacing w:line="360" w:lineRule="exact"/>
              <w:jc w:val="center"/>
              <w:rPr>
                <w:rFonts w:ascii="宋体" w:hAnsi="宋体"/>
                <w:b/>
                <w:color w:val="auto"/>
                <w:szCs w:val="21"/>
              </w:rPr>
            </w:pPr>
          </w:p>
        </w:tc>
        <w:tc>
          <w:tcPr>
            <w:tcW w:w="919" w:type="dxa"/>
            <w:noWrap w:val="0"/>
            <w:vAlign w:val="center"/>
          </w:tcPr>
          <w:p>
            <w:pPr>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57" w:type="dxa"/>
            <w:noWrap w:val="0"/>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17</w:t>
            </w:r>
          </w:p>
        </w:tc>
        <w:tc>
          <w:tcPr>
            <w:tcW w:w="5995" w:type="dxa"/>
            <w:noWrap w:val="0"/>
            <w:vAlign w:val="center"/>
          </w:tcPr>
          <w:p>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07" w:type="dxa"/>
            <w:noWrap w:val="0"/>
            <w:vAlign w:val="center"/>
          </w:tcPr>
          <w:p>
            <w:pPr>
              <w:spacing w:line="360" w:lineRule="exact"/>
              <w:jc w:val="center"/>
              <w:rPr>
                <w:rFonts w:ascii="宋体" w:hAnsi="宋体"/>
                <w:b/>
                <w:color w:val="auto"/>
                <w:szCs w:val="21"/>
              </w:rPr>
            </w:pPr>
          </w:p>
        </w:tc>
        <w:tc>
          <w:tcPr>
            <w:tcW w:w="919" w:type="dxa"/>
            <w:noWrap w:val="0"/>
            <w:vAlign w:val="center"/>
          </w:tcPr>
          <w:p>
            <w:pPr>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7" w:type="dxa"/>
            <w:noWrap w:val="0"/>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18</w:t>
            </w:r>
          </w:p>
        </w:tc>
        <w:tc>
          <w:tcPr>
            <w:tcW w:w="5995" w:type="dxa"/>
            <w:noWrap w:val="0"/>
            <w:vAlign w:val="center"/>
          </w:tcPr>
          <w:p>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07" w:type="dxa"/>
            <w:noWrap w:val="0"/>
            <w:vAlign w:val="center"/>
          </w:tcPr>
          <w:p>
            <w:pPr>
              <w:spacing w:line="360" w:lineRule="exact"/>
              <w:jc w:val="center"/>
              <w:rPr>
                <w:rFonts w:ascii="宋体" w:hAnsi="宋体"/>
                <w:b/>
                <w:color w:val="auto"/>
                <w:szCs w:val="21"/>
              </w:rPr>
            </w:pPr>
          </w:p>
        </w:tc>
        <w:tc>
          <w:tcPr>
            <w:tcW w:w="919" w:type="dxa"/>
            <w:noWrap w:val="0"/>
            <w:vAlign w:val="center"/>
          </w:tcPr>
          <w:p>
            <w:pPr>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57" w:type="dxa"/>
            <w:noWrap w:val="0"/>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19</w:t>
            </w:r>
          </w:p>
        </w:tc>
        <w:tc>
          <w:tcPr>
            <w:tcW w:w="5995" w:type="dxa"/>
            <w:noWrap w:val="0"/>
            <w:vAlign w:val="center"/>
          </w:tcPr>
          <w:p>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07" w:type="dxa"/>
            <w:noWrap w:val="0"/>
            <w:vAlign w:val="center"/>
          </w:tcPr>
          <w:p>
            <w:pPr>
              <w:spacing w:line="360" w:lineRule="exact"/>
              <w:jc w:val="center"/>
              <w:rPr>
                <w:rFonts w:ascii="宋体" w:hAnsi="宋体"/>
                <w:b/>
                <w:color w:val="auto"/>
                <w:szCs w:val="21"/>
              </w:rPr>
            </w:pPr>
          </w:p>
        </w:tc>
        <w:tc>
          <w:tcPr>
            <w:tcW w:w="919" w:type="dxa"/>
            <w:noWrap w:val="0"/>
            <w:vAlign w:val="center"/>
          </w:tcPr>
          <w:p>
            <w:pPr>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57" w:type="dxa"/>
            <w:noWrap w:val="0"/>
            <w:vAlign w:val="center"/>
          </w:tcPr>
          <w:p>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20</w:t>
            </w:r>
          </w:p>
        </w:tc>
        <w:tc>
          <w:tcPr>
            <w:tcW w:w="5995" w:type="dxa"/>
            <w:noWrap w:val="0"/>
            <w:vAlign w:val="center"/>
          </w:tcPr>
          <w:p>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07" w:type="dxa"/>
            <w:noWrap w:val="0"/>
            <w:vAlign w:val="center"/>
          </w:tcPr>
          <w:p>
            <w:pPr>
              <w:spacing w:line="360" w:lineRule="exact"/>
              <w:jc w:val="center"/>
              <w:rPr>
                <w:rFonts w:ascii="宋体" w:hAnsi="宋体"/>
                <w:b/>
                <w:color w:val="auto"/>
                <w:szCs w:val="21"/>
              </w:rPr>
            </w:pPr>
          </w:p>
        </w:tc>
        <w:tc>
          <w:tcPr>
            <w:tcW w:w="919" w:type="dxa"/>
            <w:noWrap w:val="0"/>
            <w:vAlign w:val="center"/>
          </w:tcPr>
          <w:p>
            <w:pPr>
              <w:spacing w:line="360" w:lineRule="exact"/>
              <w:jc w:val="center"/>
              <w:rPr>
                <w:rFonts w:ascii="宋体" w:hAnsi="宋体"/>
                <w:b/>
                <w:color w:val="auto"/>
                <w:szCs w:val="21"/>
              </w:rPr>
            </w:pP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注：投标供应商出现上述与其他采购参加人串通投标、隐瞒真实情况</w:t>
      </w:r>
      <w:r>
        <w:rPr>
          <w:rFonts w:hint="eastAsia" w:cs="宋体"/>
          <w:color w:val="auto"/>
          <w:sz w:val="21"/>
          <w:szCs w:val="21"/>
          <w:lang w:eastAsia="zh-CN"/>
        </w:rPr>
        <w:t>或者</w:t>
      </w:r>
      <w:r>
        <w:rPr>
          <w:rFonts w:hint="eastAsia" w:ascii="宋体" w:hAnsi="宋体" w:eastAsia="宋体" w:cs="宋体"/>
          <w:color w:val="auto"/>
          <w:sz w:val="21"/>
          <w:szCs w:val="21"/>
          <w:lang w:eastAsia="zh-CN"/>
        </w:rPr>
        <w:t>提供虚假资料行为的，将依法承担法律责任。</w:t>
      </w:r>
    </w:p>
    <w:p>
      <w:pPr>
        <w:pStyle w:val="22"/>
      </w:pPr>
    </w:p>
    <w:p>
      <w:pPr>
        <w:pStyle w:val="22"/>
        <w:ind w:firstLine="0" w:firstLineChars="0"/>
      </w:pPr>
    </w:p>
    <w:p>
      <w:pPr>
        <w:jc w:val="center"/>
        <w:rPr>
          <w:rFonts w:hint="eastAsia" w:ascii="仿宋_GB2312" w:hAnsi="仿宋_GB2312" w:eastAsia="仿宋_GB2312" w:cs="仿宋_GB2312"/>
          <w:b/>
          <w:bCs/>
          <w:sz w:val="36"/>
          <w:szCs w:val="36"/>
        </w:rPr>
      </w:pPr>
      <w:r>
        <w:rPr>
          <w:rFonts w:ascii="仿宋_GB2312" w:hAnsi="仿宋_GB2312" w:eastAsia="仿宋_GB2312" w:cs="仿宋_GB2312"/>
          <w:b/>
          <w:bCs/>
          <w:sz w:val="36"/>
          <w:szCs w:val="36"/>
        </w:rPr>
        <w:t>第四章</w:t>
      </w:r>
      <w:r>
        <w:rPr>
          <w:rFonts w:hint="eastAsia" w:ascii="仿宋_GB2312" w:hAnsi="仿宋_GB2312" w:eastAsia="仿宋_GB2312" w:cs="仿宋_GB2312"/>
          <w:b/>
          <w:bCs/>
          <w:sz w:val="36"/>
          <w:szCs w:val="36"/>
          <w:lang w:val="en-US" w:eastAsia="zh-CN"/>
        </w:rPr>
        <w:t xml:space="preserve">  </w:t>
      </w:r>
      <w:r>
        <w:rPr>
          <w:rFonts w:hint="eastAsia" w:ascii="仿宋_GB2312" w:hAnsi="仿宋_GB2312" w:eastAsia="仿宋_GB2312" w:cs="仿宋_GB2312"/>
          <w:b/>
          <w:bCs/>
          <w:sz w:val="36"/>
          <w:szCs w:val="36"/>
        </w:rPr>
        <w:t>投标须知</w:t>
      </w:r>
    </w:p>
    <w:p>
      <w:pPr>
        <w:pStyle w:val="2"/>
      </w:pPr>
    </w:p>
    <w:p>
      <w:pPr>
        <w:keepNext w:val="0"/>
        <w:keepLines w:val="0"/>
        <w:pageBreakBefore w:val="0"/>
        <w:widowControl w:val="0"/>
        <w:kinsoku/>
        <w:wordWrap/>
        <w:overflowPunct/>
        <w:topLinePunct w:val="0"/>
        <w:autoSpaceDE/>
        <w:autoSpaceDN/>
        <w:bidi w:val="0"/>
        <w:adjustRightInd/>
        <w:snapToGrid w:val="0"/>
        <w:spacing w:line="40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一、为充分体现公平、公正、公开原则，择优选择供应商，参加投标的单位必须满足本项目投标供应商的资质要求</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（一）本项目的潜在供应商应在递交投标文件截止日之前到医院招采办报名投标。</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b/>
          <w:bCs/>
          <w:sz w:val="28"/>
          <w:szCs w:val="28"/>
        </w:rPr>
      </w:pPr>
      <w:r>
        <w:rPr>
          <w:rFonts w:hint="eastAsia" w:ascii="仿宋" w:hAnsi="仿宋" w:eastAsia="仿宋" w:cs="仿宋"/>
          <w:sz w:val="28"/>
          <w:szCs w:val="28"/>
        </w:rPr>
        <w:t>（二）符合条件的供应商严格按照采购单位提供的招标文件，认真填写投标资料，并在规定时间内将</w:t>
      </w:r>
      <w:r>
        <w:rPr>
          <w:rFonts w:hint="eastAsia" w:ascii="仿宋" w:hAnsi="仿宋" w:eastAsia="仿宋" w:cs="仿宋"/>
          <w:b/>
          <w:bCs/>
          <w:sz w:val="28"/>
          <w:szCs w:val="28"/>
        </w:rPr>
        <w:t>投标文件密封</w:t>
      </w:r>
      <w:r>
        <w:rPr>
          <w:rFonts w:hint="eastAsia" w:ascii="仿宋" w:hAnsi="仿宋" w:eastAsia="仿宋" w:cs="仿宋"/>
          <w:sz w:val="28"/>
          <w:szCs w:val="28"/>
        </w:rPr>
        <w:t>送达指定地点。投标单位法定代表人或授权代表人在规定的时间内未递交投标资料的，视为自动放弃。</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（三）院内公开招标有效投标的供应商不足三家，不得开标。</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（四）存在下列情形的，应予废标：</w:t>
      </w:r>
    </w:p>
    <w:p>
      <w:pPr>
        <w:keepNext w:val="0"/>
        <w:keepLines w:val="0"/>
        <w:pageBreakBefore w:val="0"/>
        <w:widowControl w:val="0"/>
        <w:kinsoku/>
        <w:wordWrap/>
        <w:overflowPunct/>
        <w:topLinePunct w:val="0"/>
        <w:autoSpaceDE/>
        <w:autoSpaceDN/>
        <w:bidi w:val="0"/>
        <w:adjustRightInd/>
        <w:snapToGrid w:val="0"/>
        <w:spacing w:line="400" w:lineRule="exact"/>
        <w:ind w:firstLine="638" w:firstLineChars="228"/>
        <w:textAlignment w:val="auto"/>
        <w:rPr>
          <w:rFonts w:ascii="仿宋" w:hAnsi="仿宋" w:eastAsia="仿宋" w:cs="仿宋"/>
          <w:sz w:val="28"/>
          <w:szCs w:val="28"/>
        </w:rPr>
      </w:pPr>
      <w:r>
        <w:rPr>
          <w:rFonts w:hint="eastAsia" w:ascii="仿宋" w:hAnsi="仿宋" w:eastAsia="仿宋" w:cs="仿宋"/>
          <w:sz w:val="28"/>
          <w:szCs w:val="28"/>
        </w:rPr>
        <w:t>1.符合专业条件的供应商或者对招标文件作实质性响应的供应商不足三家的；</w:t>
      </w:r>
    </w:p>
    <w:p>
      <w:pPr>
        <w:keepNext w:val="0"/>
        <w:keepLines w:val="0"/>
        <w:pageBreakBefore w:val="0"/>
        <w:widowControl w:val="0"/>
        <w:kinsoku/>
        <w:wordWrap/>
        <w:overflowPunct/>
        <w:topLinePunct w:val="0"/>
        <w:autoSpaceDE/>
        <w:autoSpaceDN/>
        <w:bidi w:val="0"/>
        <w:adjustRightInd/>
        <w:snapToGrid w:val="0"/>
        <w:spacing w:line="400" w:lineRule="exact"/>
        <w:ind w:firstLine="638" w:firstLineChars="228"/>
        <w:textAlignment w:val="auto"/>
        <w:rPr>
          <w:rFonts w:ascii="仿宋" w:hAnsi="仿宋" w:eastAsia="仿宋" w:cs="仿宋"/>
          <w:sz w:val="28"/>
          <w:szCs w:val="28"/>
        </w:rPr>
      </w:pPr>
      <w:r>
        <w:rPr>
          <w:rFonts w:hint="eastAsia" w:ascii="仿宋" w:hAnsi="仿宋" w:eastAsia="仿宋" w:cs="仿宋"/>
          <w:sz w:val="28"/>
          <w:szCs w:val="28"/>
        </w:rPr>
        <w:t>2.出现影响采购公正的违法、违规行为的；</w:t>
      </w:r>
    </w:p>
    <w:p>
      <w:pPr>
        <w:keepNext w:val="0"/>
        <w:keepLines w:val="0"/>
        <w:pageBreakBefore w:val="0"/>
        <w:widowControl w:val="0"/>
        <w:kinsoku/>
        <w:wordWrap/>
        <w:overflowPunct/>
        <w:topLinePunct w:val="0"/>
        <w:autoSpaceDE/>
        <w:autoSpaceDN/>
        <w:bidi w:val="0"/>
        <w:adjustRightInd/>
        <w:snapToGrid w:val="0"/>
        <w:spacing w:line="400" w:lineRule="exact"/>
        <w:ind w:firstLine="638" w:firstLineChars="228"/>
        <w:textAlignment w:val="auto"/>
        <w:rPr>
          <w:rFonts w:ascii="仿宋" w:hAnsi="仿宋" w:eastAsia="仿宋" w:cs="仿宋"/>
          <w:sz w:val="28"/>
          <w:szCs w:val="28"/>
        </w:rPr>
      </w:pPr>
      <w:r>
        <w:rPr>
          <w:rFonts w:hint="eastAsia" w:ascii="仿宋" w:hAnsi="仿宋" w:eastAsia="仿宋" w:cs="仿宋"/>
          <w:sz w:val="28"/>
          <w:szCs w:val="28"/>
        </w:rPr>
        <w:t>3.投标人的报价均超过采购预算或最高限价，采购人不能支付的；</w:t>
      </w:r>
    </w:p>
    <w:p>
      <w:pPr>
        <w:keepNext w:val="0"/>
        <w:keepLines w:val="0"/>
        <w:pageBreakBefore w:val="0"/>
        <w:widowControl w:val="0"/>
        <w:kinsoku/>
        <w:wordWrap/>
        <w:overflowPunct/>
        <w:topLinePunct w:val="0"/>
        <w:autoSpaceDE/>
        <w:autoSpaceDN/>
        <w:bidi w:val="0"/>
        <w:adjustRightInd/>
        <w:snapToGrid w:val="0"/>
        <w:spacing w:line="400" w:lineRule="exact"/>
        <w:ind w:firstLine="638" w:firstLineChars="228"/>
        <w:textAlignment w:val="auto"/>
        <w:rPr>
          <w:rFonts w:ascii="仿宋" w:hAnsi="仿宋" w:eastAsia="仿宋" w:cs="仿宋"/>
          <w:kern w:val="0"/>
          <w:sz w:val="28"/>
          <w:szCs w:val="28"/>
        </w:rPr>
      </w:pPr>
      <w:r>
        <w:rPr>
          <w:rFonts w:hint="eastAsia" w:ascii="仿宋" w:hAnsi="仿宋" w:eastAsia="仿宋" w:cs="仿宋"/>
          <w:sz w:val="28"/>
          <w:szCs w:val="28"/>
        </w:rPr>
        <w:t>4.因重大变故，采购任务取消的。</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（五）投标文件有效期</w:t>
      </w:r>
    </w:p>
    <w:p>
      <w:pPr>
        <w:keepNext w:val="0"/>
        <w:keepLines w:val="0"/>
        <w:pageBreakBefore w:val="0"/>
        <w:widowControl w:val="0"/>
        <w:kinsoku/>
        <w:wordWrap/>
        <w:overflowPunct/>
        <w:topLinePunct w:val="0"/>
        <w:autoSpaceDE/>
        <w:autoSpaceDN/>
        <w:bidi w:val="0"/>
        <w:adjustRightInd/>
        <w:snapToGrid w:val="0"/>
        <w:spacing w:line="400" w:lineRule="exact"/>
        <w:ind w:firstLine="638" w:firstLineChars="228"/>
        <w:textAlignment w:val="auto"/>
        <w:rPr>
          <w:rFonts w:ascii="仿宋" w:hAnsi="仿宋" w:eastAsia="仿宋" w:cs="仿宋"/>
          <w:sz w:val="28"/>
          <w:szCs w:val="28"/>
        </w:rPr>
      </w:pPr>
      <w:r>
        <w:rPr>
          <w:rFonts w:hint="eastAsia" w:ascii="仿宋" w:hAnsi="仿宋" w:eastAsia="仿宋" w:cs="仿宋"/>
          <w:sz w:val="28"/>
          <w:szCs w:val="28"/>
        </w:rPr>
        <w:t>1.在递交投标文件截止日期之后的60天内有效；</w:t>
      </w:r>
    </w:p>
    <w:p>
      <w:pPr>
        <w:keepNext w:val="0"/>
        <w:keepLines w:val="0"/>
        <w:pageBreakBefore w:val="0"/>
        <w:widowControl w:val="0"/>
        <w:kinsoku/>
        <w:wordWrap/>
        <w:overflowPunct/>
        <w:topLinePunct w:val="0"/>
        <w:autoSpaceDE/>
        <w:autoSpaceDN/>
        <w:bidi w:val="0"/>
        <w:adjustRightInd/>
        <w:snapToGrid w:val="0"/>
        <w:spacing w:line="400" w:lineRule="exact"/>
        <w:ind w:firstLine="638" w:firstLineChars="228"/>
        <w:textAlignment w:val="auto"/>
        <w:rPr>
          <w:rFonts w:ascii="仿宋" w:hAnsi="仿宋" w:eastAsia="仿宋" w:cs="仿宋"/>
          <w:sz w:val="28"/>
          <w:szCs w:val="28"/>
        </w:rPr>
      </w:pPr>
      <w:r>
        <w:rPr>
          <w:rFonts w:hint="eastAsia" w:ascii="仿宋" w:hAnsi="仿宋" w:eastAsia="仿宋" w:cs="仿宋"/>
          <w:sz w:val="28"/>
          <w:szCs w:val="28"/>
        </w:rPr>
        <w:t>2.在原定投标文件有效期满之前，如果出现特殊情况，招采办可以书面形式向供应商提出延长投标文件有效期的要求。</w:t>
      </w:r>
    </w:p>
    <w:p>
      <w:pPr>
        <w:keepNext w:val="0"/>
        <w:keepLines w:val="0"/>
        <w:pageBreakBefore w:val="0"/>
        <w:widowControl w:val="0"/>
        <w:kinsoku/>
        <w:wordWrap/>
        <w:overflowPunct/>
        <w:topLinePunct w:val="0"/>
        <w:autoSpaceDE/>
        <w:autoSpaceDN/>
        <w:bidi w:val="0"/>
        <w:adjustRightInd/>
        <w:snapToGrid w:val="0"/>
        <w:spacing w:line="400" w:lineRule="exact"/>
        <w:ind w:firstLine="562"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二、需提供资料及标准</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sz w:val="28"/>
          <w:szCs w:val="36"/>
        </w:rPr>
        <w:t>（一）投标文件的规定。投标文件</w:t>
      </w:r>
      <w:r>
        <w:rPr>
          <w:rFonts w:hint="eastAsia" w:ascii="仿宋_GB2312" w:hAnsi="仿宋_GB2312" w:eastAsia="仿宋_GB2312" w:cs="仿宋_GB2312"/>
          <w:b/>
          <w:bCs/>
          <w:sz w:val="28"/>
          <w:szCs w:val="36"/>
        </w:rPr>
        <w:t>须密封装袋</w:t>
      </w:r>
      <w:r>
        <w:rPr>
          <w:rFonts w:hint="eastAsia" w:ascii="仿宋_GB2312" w:hAnsi="仿宋_GB2312" w:eastAsia="仿宋_GB2312" w:cs="仿宋_GB2312"/>
          <w:sz w:val="28"/>
          <w:szCs w:val="36"/>
        </w:rPr>
        <w:t>，制作</w:t>
      </w:r>
      <w:r>
        <w:rPr>
          <w:rFonts w:hint="eastAsia" w:ascii="仿宋_GB2312" w:hAnsi="仿宋_GB2312" w:eastAsia="仿宋_GB2312" w:cs="仿宋_GB2312"/>
          <w:b/>
          <w:bCs/>
          <w:sz w:val="28"/>
          <w:szCs w:val="36"/>
        </w:rPr>
        <w:t>一本正本，2本副本（另：提交一本电子投标文件，用U盘拷贝，U盘不退还，并标明项目名称和公司名称）</w:t>
      </w:r>
      <w:r>
        <w:rPr>
          <w:rFonts w:hint="eastAsia" w:ascii="仿宋_GB2312" w:hAnsi="仿宋_GB2312" w:eastAsia="仿宋_GB2312" w:cs="仿宋_GB2312"/>
          <w:sz w:val="28"/>
          <w:szCs w:val="36"/>
        </w:rPr>
        <w:t>，每份投标文件必须装订且须在封面上清楚标明“</w:t>
      </w:r>
      <w:r>
        <w:rPr>
          <w:rFonts w:hint="eastAsia" w:ascii="仿宋_GB2312" w:hAnsi="仿宋_GB2312" w:eastAsia="仿宋_GB2312" w:cs="仿宋_GB2312"/>
          <w:b/>
          <w:bCs/>
          <w:sz w:val="28"/>
          <w:szCs w:val="36"/>
        </w:rPr>
        <w:t>正本</w:t>
      </w:r>
      <w:r>
        <w:rPr>
          <w:rFonts w:hint="eastAsia" w:ascii="仿宋_GB2312" w:hAnsi="仿宋_GB2312" w:eastAsia="仿宋_GB2312" w:cs="仿宋_GB2312"/>
          <w:sz w:val="28"/>
          <w:szCs w:val="36"/>
        </w:rPr>
        <w:t>”或“</w:t>
      </w:r>
      <w:r>
        <w:rPr>
          <w:rFonts w:hint="eastAsia" w:ascii="仿宋_GB2312" w:hAnsi="仿宋_GB2312" w:eastAsia="仿宋_GB2312" w:cs="仿宋_GB2312"/>
          <w:b/>
          <w:bCs/>
          <w:sz w:val="28"/>
          <w:szCs w:val="36"/>
        </w:rPr>
        <w:t>副本</w:t>
      </w:r>
      <w:r>
        <w:rPr>
          <w:rFonts w:hint="eastAsia" w:ascii="仿宋_GB2312" w:hAnsi="仿宋_GB2312" w:eastAsia="仿宋_GB2312" w:cs="仿宋_GB2312"/>
          <w:sz w:val="28"/>
          <w:szCs w:val="36"/>
        </w:rPr>
        <w:t>”字样。一旦正本与副本不符，以正本为准。 投标文件不得涂改和增删，如要修改错漏处，必须由同一签署人</w:t>
      </w:r>
      <w:r>
        <w:rPr>
          <w:rFonts w:hint="eastAsia" w:ascii="仿宋_GB2312" w:hAnsi="仿宋_GB2312" w:eastAsia="仿宋_GB2312" w:cs="仿宋_GB2312"/>
          <w:b/>
          <w:bCs/>
          <w:sz w:val="28"/>
          <w:szCs w:val="36"/>
        </w:rPr>
        <w:t>在修改处签字或盖章</w:t>
      </w:r>
      <w:r>
        <w:rPr>
          <w:rFonts w:hint="eastAsia" w:ascii="仿宋_GB2312" w:hAnsi="仿宋_GB2312" w:eastAsia="仿宋_GB2312" w:cs="仿宋_GB2312"/>
          <w:sz w:val="28"/>
          <w:szCs w:val="36"/>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（二）提供本项目开标一览表一份，开标一览表须加盖公章并单独密封，供应商须在开标一览表上签名确认。</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（三）资料封面注有公司名称、地址、联系人、手机号码、办公电话和邮箱地址。</w:t>
      </w:r>
    </w:p>
    <w:p>
      <w:pPr>
        <w:keepNext w:val="0"/>
        <w:keepLines w:val="0"/>
        <w:pageBreakBefore w:val="0"/>
        <w:widowControl w:val="0"/>
        <w:numPr>
          <w:ilvl w:val="255"/>
          <w:numId w:val="0"/>
        </w:numPr>
        <w:kinsoku/>
        <w:wordWrap/>
        <w:overflowPunct/>
        <w:topLinePunct w:val="0"/>
        <w:autoSpaceDE/>
        <w:autoSpaceDN/>
        <w:bidi w:val="0"/>
        <w:adjustRightInd/>
        <w:snapToGrid w:val="0"/>
        <w:spacing w:line="400" w:lineRule="exact"/>
        <w:ind w:left="-5" w:firstLine="560" w:firstLineChars="200"/>
        <w:jc w:val="left"/>
        <w:textAlignment w:val="auto"/>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1.所有资料要有封面、目录、页码、装订成册。</w:t>
      </w:r>
    </w:p>
    <w:p>
      <w:pPr>
        <w:keepNext w:val="0"/>
        <w:keepLines w:val="0"/>
        <w:pageBreakBefore w:val="0"/>
        <w:widowControl w:val="0"/>
        <w:numPr>
          <w:ilvl w:val="255"/>
          <w:numId w:val="0"/>
        </w:numPr>
        <w:kinsoku/>
        <w:wordWrap/>
        <w:overflowPunct/>
        <w:topLinePunct w:val="0"/>
        <w:autoSpaceDE/>
        <w:autoSpaceDN/>
        <w:bidi w:val="0"/>
        <w:adjustRightInd/>
        <w:snapToGrid w:val="0"/>
        <w:spacing w:line="400" w:lineRule="exact"/>
        <w:ind w:left="-5" w:firstLine="560" w:firstLineChars="200"/>
        <w:jc w:val="left"/>
        <w:textAlignment w:val="auto"/>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2.所有资料</w:t>
      </w:r>
      <w:r>
        <w:rPr>
          <w:rFonts w:hint="eastAsia" w:ascii="仿宋_GB2312" w:hAnsi="仿宋_GB2312" w:eastAsia="仿宋_GB2312" w:cs="仿宋_GB2312"/>
          <w:b/>
          <w:bCs/>
          <w:snapToGrid w:val="0"/>
          <w:kern w:val="144"/>
          <w:sz w:val="28"/>
          <w:szCs w:val="28"/>
        </w:rPr>
        <w:t>每页须加盖公章</w:t>
      </w:r>
      <w:r>
        <w:rPr>
          <w:rFonts w:hint="eastAsia" w:ascii="仿宋_GB2312" w:hAnsi="仿宋_GB2312" w:eastAsia="仿宋_GB2312" w:cs="仿宋_GB2312"/>
          <w:snapToGrid w:val="0"/>
          <w:kern w:val="144"/>
          <w:sz w:val="28"/>
          <w:szCs w:val="28"/>
        </w:rPr>
        <w:t>。</w:t>
      </w:r>
    </w:p>
    <w:p>
      <w:pPr>
        <w:keepNext w:val="0"/>
        <w:keepLines w:val="0"/>
        <w:pageBreakBefore w:val="0"/>
        <w:widowControl w:val="0"/>
        <w:numPr>
          <w:ilvl w:val="255"/>
          <w:numId w:val="0"/>
        </w:numPr>
        <w:kinsoku/>
        <w:wordWrap/>
        <w:overflowPunct/>
        <w:topLinePunct w:val="0"/>
        <w:autoSpaceDE/>
        <w:autoSpaceDN/>
        <w:bidi w:val="0"/>
        <w:adjustRightInd/>
        <w:snapToGrid w:val="0"/>
        <w:spacing w:line="400" w:lineRule="exact"/>
        <w:ind w:left="-5" w:firstLine="560" w:firstLineChars="200"/>
        <w:jc w:val="left"/>
        <w:textAlignment w:val="auto"/>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3.所有资料须</w:t>
      </w:r>
      <w:r>
        <w:rPr>
          <w:rFonts w:hint="eastAsia" w:ascii="仿宋_GB2312" w:hAnsi="仿宋_GB2312" w:eastAsia="仿宋_GB2312" w:cs="仿宋_GB2312"/>
          <w:b/>
          <w:bCs/>
          <w:snapToGrid w:val="0"/>
          <w:kern w:val="144"/>
          <w:sz w:val="28"/>
          <w:szCs w:val="28"/>
        </w:rPr>
        <w:t>密封并加盖公章</w:t>
      </w:r>
      <w:r>
        <w:rPr>
          <w:rFonts w:hint="eastAsia" w:ascii="仿宋_GB2312" w:hAnsi="仿宋_GB2312" w:eastAsia="仿宋_GB2312" w:cs="仿宋_GB2312"/>
          <w:snapToGrid w:val="0"/>
          <w:kern w:val="144"/>
          <w:sz w:val="28"/>
          <w:szCs w:val="28"/>
        </w:rPr>
        <w:t>。</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（四）携带完整资料到招采办报名登记好公司名称、业务代表姓名、联系电话及提供的产品项目。</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五）经取得院内公开采购的项目在验收时，其实际质量与其参加院内公开采购时提供的条件不符或在规定时间内拒签合同以及不按合同条款执行合同者均视为不履行合约，我院将其供应商列入我院黑名单及上报有关部门，在一年内不允许该公司参加我院</w:t>
      </w:r>
      <w:r>
        <w:rPr>
          <w:rFonts w:hint="eastAsia" w:ascii="仿宋_GB2312" w:hAnsi="仿宋_GB2312" w:eastAsia="仿宋_GB2312" w:cs="仿宋_GB2312"/>
          <w:snapToGrid w:val="0"/>
          <w:kern w:val="144"/>
          <w:sz w:val="28"/>
          <w:szCs w:val="28"/>
          <w:lang w:val="en-US" w:eastAsia="zh-CN"/>
        </w:rPr>
        <w:t>院</w:t>
      </w:r>
      <w:r>
        <w:rPr>
          <w:rFonts w:hint="eastAsia" w:ascii="仿宋_GB2312" w:hAnsi="仿宋_GB2312" w:eastAsia="仿宋_GB2312" w:cs="仿宋_GB2312"/>
          <w:snapToGrid w:val="0"/>
          <w:kern w:val="144"/>
          <w:sz w:val="28"/>
          <w:szCs w:val="28"/>
        </w:rPr>
        <w:t>内公开采购活动。</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_GB2312" w:hAnsi="仿宋_GB2312" w:eastAsia="仿宋_GB2312" w:cs="仿宋_GB2312"/>
          <w:sz w:val="28"/>
          <w:szCs w:val="36"/>
        </w:rPr>
      </w:pPr>
      <w:r>
        <w:rPr>
          <w:rFonts w:hint="eastAsia" w:ascii="仿宋_GB2312" w:hAnsi="仿宋_GB2312" w:eastAsia="仿宋_GB2312" w:cs="仿宋_GB2312"/>
          <w:sz w:val="28"/>
          <w:szCs w:val="36"/>
        </w:rPr>
        <w:t>（六）投标人的产品质量及服务承诺书不能严重低于招标文件中的服务要求标准作出响应，允许出现负偏差，但不得出现严重负偏差。</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sz w:val="28"/>
          <w:szCs w:val="36"/>
        </w:rPr>
        <w:t>（七）评审结束，中标结果公示3天，中标供应商须在收到我院中标通知书后</w:t>
      </w:r>
      <w:r>
        <w:rPr>
          <w:rFonts w:hint="eastAsia" w:ascii="仿宋_GB2312" w:hAnsi="仿宋_GB2312" w:eastAsia="仿宋_GB2312" w:cs="仿宋_GB2312"/>
          <w:b/>
          <w:bCs/>
          <w:sz w:val="28"/>
          <w:szCs w:val="36"/>
        </w:rPr>
        <w:t>10个工作日内</w:t>
      </w:r>
      <w:r>
        <w:rPr>
          <w:rFonts w:hint="eastAsia" w:ascii="仿宋_GB2312" w:hAnsi="仿宋_GB2312" w:eastAsia="仿宋_GB2312" w:cs="仿宋_GB2312"/>
          <w:sz w:val="28"/>
          <w:szCs w:val="36"/>
        </w:rPr>
        <w:t>到我院签署合同，超过</w:t>
      </w:r>
      <w:r>
        <w:rPr>
          <w:rFonts w:hint="eastAsia" w:ascii="仿宋_GB2312" w:hAnsi="仿宋_GB2312" w:eastAsia="仿宋_GB2312" w:cs="仿宋_GB2312"/>
          <w:b/>
          <w:bCs/>
          <w:sz w:val="28"/>
          <w:szCs w:val="36"/>
        </w:rPr>
        <w:t>10个工作日</w:t>
      </w:r>
      <w:r>
        <w:rPr>
          <w:rFonts w:hint="eastAsia" w:ascii="仿宋_GB2312" w:hAnsi="仿宋_GB2312" w:eastAsia="仿宋_GB2312" w:cs="仿宋_GB2312"/>
          <w:sz w:val="28"/>
          <w:szCs w:val="36"/>
        </w:rPr>
        <w:t>未前来签合同的，我院有权宣布本次采购结果作废，重新确定供应商。</w:t>
      </w:r>
    </w:p>
    <w:p>
      <w:pPr>
        <w:keepNext w:val="0"/>
        <w:keepLines w:val="0"/>
        <w:pageBreakBefore w:val="0"/>
        <w:widowControl w:val="0"/>
        <w:kinsoku/>
        <w:wordWrap/>
        <w:overflowPunct/>
        <w:topLinePunct w:val="0"/>
        <w:autoSpaceDE/>
        <w:autoSpaceDN/>
        <w:bidi w:val="0"/>
        <w:adjustRightInd/>
        <w:snapToGrid w:val="0"/>
        <w:spacing w:line="40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三、招标文件的澄清</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投标人在收到招标文件后，可以对已发出的招标文件进行必要的澄清或者修改。澄清或者修改应当在原公告发布媒体上发布澄清（更正/变更）公告。</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无论出于何种原因，采购人可以主动地或在解答投标人提出的疑问时对已发出的招标文件进行必要的澄清或修改（更正）的，于投标截止时间前在指定媒体上发布公告，并通知所有报名及购买招标文件的投标人，报名招标文件的投标人在收到澄清或修改（更正）通知后应按要求以书面形式（传真有效）予以确认，如在24小时之内无书面回函则视为同意修改内容，并有责任履行相应的义务。</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采购人发出的澄清或修改（更正/变更）的内容为招标文件的组成部分，并对供应商具有约束力。</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对招标文件中描述有歧义或前后不一致的地方，评标委员会有权进行评判，但对同一条款的评判应适用于每个投标人。</w:t>
      </w:r>
    </w:p>
    <w:p>
      <w:pPr>
        <w:keepNext w:val="0"/>
        <w:keepLines w:val="0"/>
        <w:pageBreakBefore w:val="0"/>
        <w:widowControl w:val="0"/>
        <w:kinsoku/>
        <w:wordWrap/>
        <w:overflowPunct/>
        <w:topLinePunct w:val="0"/>
        <w:autoSpaceDE/>
        <w:autoSpaceDN/>
        <w:bidi w:val="0"/>
        <w:adjustRightInd/>
        <w:snapToGrid w:val="0"/>
        <w:spacing w:line="400" w:lineRule="exact"/>
        <w:ind w:firstLine="562" w:firstLineChars="200"/>
        <w:textAlignment w:val="auto"/>
        <w:rPr>
          <w:rFonts w:ascii="仿宋" w:hAnsi="仿宋" w:eastAsia="仿宋" w:cs="仿宋"/>
          <w:sz w:val="28"/>
          <w:szCs w:val="28"/>
        </w:rPr>
      </w:pPr>
      <w:r>
        <w:rPr>
          <w:rFonts w:hint="eastAsia" w:ascii="仿宋" w:hAnsi="仿宋" w:eastAsia="仿宋" w:cs="仿宋"/>
          <w:b/>
          <w:bCs/>
          <w:sz w:val="28"/>
          <w:szCs w:val="28"/>
        </w:rPr>
        <w:t>四、招标文件的补充和修正</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采购人可以对已发出的招标文件进行必要的澄清或者修改。澄清或者修改应当在原公告发布媒体上发布澄清（更正/变更）公告。</w:t>
      </w:r>
    </w:p>
    <w:p>
      <w:pPr>
        <w:pStyle w:val="2"/>
        <w:keepNext w:val="0"/>
        <w:keepLines w:val="0"/>
        <w:pageBreakBefore w:val="0"/>
        <w:widowControl w:val="0"/>
        <w:kinsoku/>
        <w:wordWrap/>
        <w:overflowPunct/>
        <w:topLinePunct w:val="0"/>
        <w:autoSpaceDE/>
        <w:autoSpaceDN/>
        <w:bidi w:val="0"/>
        <w:adjustRightInd/>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ascii="仿宋" w:hAnsi="仿宋" w:eastAsia="仿宋" w:cs="仿宋"/>
          <w:sz w:val="28"/>
          <w:szCs w:val="28"/>
        </w:rPr>
        <w:t>采购人对招标文件的补充和修正，将以电子文件等方式发给所有获得招标文件的供应商，补充通知作为招标文件的组成部分，对同意参与招标单位起约束作用。</w:t>
      </w:r>
    </w:p>
    <w:p>
      <w:pPr>
        <w:keepNext w:val="0"/>
        <w:keepLines w:val="0"/>
        <w:pageBreakBefore w:val="0"/>
        <w:widowControl w:val="0"/>
        <w:kinsoku/>
        <w:wordWrap/>
        <w:overflowPunct/>
        <w:topLinePunct w:val="0"/>
        <w:autoSpaceDE/>
        <w:autoSpaceDN/>
        <w:bidi w:val="0"/>
        <w:adjustRightInd/>
        <w:snapToGrid w:val="0"/>
        <w:spacing w:line="40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五、投标文件有效期</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在递交投标文件截止日期之后的60天内有效。</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在原定投标文件有效期满之前，如果出现特殊情况，招采办可以书面形式向投标人提出延长投标文件有效期的要求。</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质疑期限：凡对招标文件有任何质疑的（包括认为招标文件的技术指标或参数存在排他性或歧视性条款），请于开标之日前提出疑问，逾期不予处理。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四</w:t>
      </w:r>
      <w:r>
        <w:rPr>
          <w:rFonts w:hint="eastAsia" w:ascii="仿宋" w:hAnsi="仿宋" w:eastAsia="仿宋" w:cs="仿宋"/>
          <w:sz w:val="28"/>
          <w:szCs w:val="28"/>
          <w:lang w:eastAsia="zh-CN"/>
        </w:rPr>
        <w:t>）</w:t>
      </w:r>
      <w:r>
        <w:rPr>
          <w:rFonts w:hint="eastAsia" w:ascii="仿宋" w:hAnsi="仿宋" w:eastAsia="仿宋" w:cs="仿宋"/>
          <w:sz w:val="28"/>
          <w:szCs w:val="28"/>
        </w:rPr>
        <w:t>招采办将作出澄清和解答，逾期未提交质疑文件的视同无问题。</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sectPr>
          <w:footerReference r:id="rId3" w:type="default"/>
          <w:pgSz w:w="11906" w:h="16838"/>
          <w:pgMar w:top="1440" w:right="1576" w:bottom="1440" w:left="1576" w:header="851" w:footer="992" w:gutter="0"/>
          <w:cols w:space="425" w:num="1"/>
          <w:docGrid w:type="lines" w:linePitch="312" w:charSpace="0"/>
        </w:sectPr>
      </w:pPr>
    </w:p>
    <w:p>
      <w:pPr>
        <w:jc w:val="center"/>
        <w:outlineLvl w:val="0"/>
        <w:rPr>
          <w:rFonts w:ascii="宋体" w:hAnsi="宋体"/>
          <w:color w:val="auto"/>
          <w:sz w:val="24"/>
        </w:rPr>
      </w:pPr>
      <w:bookmarkStart w:id="5" w:name="_Toc20472"/>
      <w:r>
        <w:rPr>
          <w:rFonts w:hint="eastAsia" w:asciiTheme="minorEastAsia" w:hAnsiTheme="minorEastAsia" w:eastAsiaTheme="minorEastAsia"/>
          <w:b/>
          <w:bCs/>
          <w:color w:val="auto"/>
          <w:sz w:val="44"/>
          <w:szCs w:val="44"/>
        </w:rPr>
        <w:t>特别警示条款</w:t>
      </w:r>
      <w:bookmarkEnd w:id="5"/>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bookmarkStart w:id="6" w:name="_Toc4719"/>
      <w:bookmarkStart w:id="7" w:name="_Toc16742"/>
      <w:bookmarkStart w:id="8" w:name="_Toc28128"/>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一、《深圳经济特区政府采购条例》</w:t>
      </w:r>
      <w:bookmarkEnd w:id="6"/>
      <w:bookmarkEnd w:id="7"/>
      <w:bookmarkEnd w:id="8"/>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第五十七条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（一）在采购活动中应当回避而未回避的；</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（二）未按本条例规定签订、履行采购合同，造成严重后果的；</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（三）隐瞒真实情况，提供虚假资料的；</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（四）以非法手段排斥其他供应商参与竞争的；</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（五）与其他采购参加人串通投标的；</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（六）恶意投诉的；</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（七）向采购项目相关人行贿或者提供其他不当利益的；</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（八）阻碍、抗拒主管部门监督检查的；</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ascii="仿宋" w:hAnsi="仿宋" w:eastAsia="仿宋"/>
          <w:color w:val="auto"/>
          <w:sz w:val="28"/>
          <w:szCs w:val="28"/>
        </w:rPr>
      </w:pPr>
      <w:r>
        <w:rPr>
          <w:rFonts w:hint="eastAsia" w:ascii="仿宋" w:hAnsi="仿宋" w:eastAsia="仿宋" w:cs="仿宋"/>
          <w:sz w:val="28"/>
          <w:szCs w:val="28"/>
        </w:rPr>
        <w:t>（九）其他违反本条例规定的行为。</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bookmarkStart w:id="9" w:name="_Toc6288"/>
      <w:bookmarkStart w:id="10" w:name="_Toc4026"/>
      <w:bookmarkStart w:id="11" w:name="_Toc17680"/>
      <w:r>
        <w:rPr>
          <w:rFonts w:hint="eastAsia" w:ascii="仿宋" w:hAnsi="仿宋" w:eastAsia="仿宋" w:cs="仿宋"/>
          <w:sz w:val="28"/>
          <w:szCs w:val="28"/>
        </w:rPr>
        <w:t>二、《深圳经济特区政府采购条例实施细则》</w:t>
      </w:r>
      <w:bookmarkEnd w:id="9"/>
      <w:bookmarkEnd w:id="10"/>
      <w:bookmarkEnd w:id="11"/>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第七十五条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供应商有下列情形的，属于采购条例所称的串通投标行为，按照采购条例第五十七条有关规定处理：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（一）投标供应商之间相互约定给予未中标的供应商利益补偿；</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（二）不同投标供应商的法定代表人、主要经营负责人、项目投标授权代表人、项目负责人、主要技术人员为同一人、属同一单位或者在同一单位缴纳社会保险；</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（三）不同投标供应商的投标文件由同一单位或者同一人编制，或者由同一人分阶段参与编制的；</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（四）不同投标供应商的投标文件或部分投标文件相互混装；</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（五）不同投标供应商的投标文件内容存在非正常一致；</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（六）由同一单位工作人员为两家以上（含两家）供应商进行同一项投标活动的；</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（七）主管部门依照</w:t>
      </w:r>
      <w:r>
        <w:rPr>
          <w:rFonts w:hint="eastAsia" w:ascii="仿宋" w:hAnsi="仿宋" w:eastAsia="仿宋" w:cs="仿宋"/>
          <w:sz w:val="28"/>
          <w:szCs w:val="28"/>
          <w:lang w:eastAsia="zh-CN"/>
        </w:rPr>
        <w:t>法律法规</w:t>
      </w:r>
      <w:r>
        <w:rPr>
          <w:rFonts w:hint="eastAsia" w:ascii="仿宋" w:hAnsi="仿宋" w:eastAsia="仿宋" w:cs="仿宋"/>
          <w:sz w:val="28"/>
          <w:szCs w:val="28"/>
        </w:rPr>
        <w:t>认定的其他情形。</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第七十七条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供应商有下列情形之一的，属于隐瞒真实情况，提供虚假资料，按照采购条例第五十</w:t>
      </w:r>
      <w:r>
        <w:rPr>
          <w:rFonts w:hint="eastAsia" w:ascii="仿宋" w:hAnsi="仿宋" w:eastAsia="仿宋" w:cs="仿宋"/>
          <w:sz w:val="28"/>
          <w:szCs w:val="28"/>
          <w:lang w:eastAsia="zh-CN"/>
        </w:rPr>
        <w:t>七条</w:t>
      </w:r>
      <w:r>
        <w:rPr>
          <w:rFonts w:hint="eastAsia" w:ascii="仿宋" w:hAnsi="仿宋" w:eastAsia="仿宋" w:cs="仿宋"/>
          <w:sz w:val="28"/>
          <w:szCs w:val="28"/>
        </w:rPr>
        <w:t>的有关规定处理：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（一）通过转让或者租借等方式从其他单位获取资格或者资质证书投标的；</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（二）由其他单位或者其他单位负责人在投标供应商编制的投标文件上加盖印章或者签字的；</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（三）项目负责人或者主要技术人员不是本单位人员的；</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（四）投标保证金不是从投标供应商基本账户转出的；</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（五）其他隐瞒真实情况、提供虚假资料的行为。</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投标供应商不能提供项目负责人或者主要技术人员的劳动合同、社会保险等劳动关系证明材料的，视为存在前款第（三）项规定的情形。</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bookmarkStart w:id="12" w:name="_Toc5544"/>
      <w:bookmarkStart w:id="13" w:name="_Toc12769"/>
      <w:bookmarkStart w:id="14" w:name="_Toc13409"/>
      <w:r>
        <w:rPr>
          <w:rFonts w:hint="eastAsia" w:ascii="仿宋" w:hAnsi="仿宋" w:eastAsia="仿宋" w:cs="仿宋"/>
          <w:sz w:val="28"/>
          <w:szCs w:val="28"/>
        </w:rPr>
        <w:t>三、《中华人民共和国政府采购法实施条例》</w:t>
      </w:r>
      <w:bookmarkEnd w:id="12"/>
      <w:bookmarkEnd w:id="13"/>
      <w:bookmarkEnd w:id="14"/>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第十八条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单位负责人为同一人或者存在直接控股、管理关系的不同供应商，不得参加同一合同项下的政府采购活动。</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除单一来源采购项目外，为采购项目提供整体设计、规范编制或者项目管理、监理、检测等服务的供应商，不得再参加该采购项目的其他采购活动。</w:t>
      </w:r>
    </w:p>
    <w:p>
      <w:pPr>
        <w:pageBreakBefore w:val="0"/>
        <w:widowControl w:val="0"/>
        <w:kinsoku/>
        <w:wordWrap/>
        <w:overflowPunct/>
        <w:topLinePunct w:val="0"/>
        <w:autoSpaceDE w:val="0"/>
        <w:autoSpaceDN w:val="0"/>
        <w:bidi w:val="0"/>
        <w:adjustRightInd/>
        <w:snapToGrid/>
        <w:spacing w:line="320" w:lineRule="exact"/>
        <w:ind w:firstLine="498" w:firstLineChars="177"/>
        <w:textAlignment w:val="auto"/>
        <w:rPr>
          <w:rFonts w:ascii="仿宋_GB2312" w:eastAsia="仿宋_GB2312" w:hAnsiTheme="minorEastAsia"/>
          <w:b/>
          <w:color w:val="auto"/>
          <w:sz w:val="28"/>
          <w:szCs w:val="24"/>
        </w:rPr>
      </w:pPr>
      <w:r>
        <w:rPr>
          <w:rFonts w:hint="eastAsia" w:ascii="仿宋_GB2312" w:eastAsia="仿宋_GB2312" w:hAnsiTheme="minorEastAsia"/>
          <w:b/>
          <w:color w:val="auto"/>
          <w:sz w:val="28"/>
          <w:szCs w:val="28"/>
        </w:rPr>
        <w:t>投标供应商涉嫌存在串通投标等违法行为的，将书面报告财政主管部门依法处理。</w:t>
      </w: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rPr>
          <w:rFonts w:hint="eastAsia" w:ascii="仿宋" w:hAnsi="仿宋" w:eastAsia="仿宋" w:cs="仿宋"/>
          <w:sz w:val="44"/>
          <w:szCs w:val="44"/>
        </w:rPr>
      </w:pPr>
    </w:p>
    <w:p>
      <w:pPr>
        <w:spacing w:line="560" w:lineRule="exact"/>
        <w:ind w:left="2882"/>
      </w:pPr>
      <w:r>
        <w:rPr>
          <w:rFonts w:hint="eastAsia" w:ascii="仿宋" w:hAnsi="仿宋" w:eastAsia="仿宋" w:cs="仿宋"/>
          <w:sz w:val="44"/>
          <w:szCs w:val="44"/>
        </w:rPr>
        <w:t xml:space="preserve">第五章 </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供应商标书</w:t>
      </w:r>
    </w:p>
    <w:tbl>
      <w:tblPr>
        <w:tblStyle w:val="16"/>
        <w:tblW w:w="882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0" w:hRule="atLeast"/>
        </w:trPr>
        <w:tc>
          <w:tcPr>
            <w:tcW w:w="8820" w:type="dxa"/>
            <w:noWrap/>
            <w:vAlign w:val="center"/>
          </w:tcPr>
          <w:p>
            <w:pPr>
              <w:jc w:val="center"/>
              <w:rPr>
                <w:rFonts w:ascii="仿宋" w:hAnsi="仿宋" w:eastAsia="仿宋" w:cs="仿宋"/>
                <w:b/>
                <w:bCs/>
                <w:sz w:val="96"/>
                <w:szCs w:val="96"/>
              </w:rPr>
            </w:pPr>
          </w:p>
          <w:p>
            <w:pPr>
              <w:jc w:val="center"/>
              <w:rPr>
                <w:rFonts w:ascii="仿宋" w:hAnsi="仿宋" w:eastAsia="仿宋" w:cs="仿宋"/>
                <w:sz w:val="72"/>
                <w:szCs w:val="72"/>
              </w:rPr>
            </w:pPr>
            <w:r>
              <w:rPr>
                <w:rFonts w:hint="eastAsia" w:ascii="仿宋" w:hAnsi="仿宋" w:eastAsia="仿宋" w:cs="仿宋"/>
                <w:b/>
                <w:bCs/>
                <w:sz w:val="96"/>
                <w:szCs w:val="96"/>
              </w:rPr>
              <w:t>投标书</w:t>
            </w:r>
          </w:p>
          <w:p>
            <w:pPr>
              <w:rPr>
                <w:rFonts w:ascii="仿宋" w:hAnsi="仿宋" w:eastAsia="仿宋" w:cs="仿宋"/>
                <w:sz w:val="72"/>
                <w:szCs w:val="72"/>
              </w:rPr>
            </w:pPr>
          </w:p>
          <w:p>
            <w:pPr>
              <w:pStyle w:val="19"/>
              <w:spacing w:line="460" w:lineRule="exact"/>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项目名称</w:t>
            </w:r>
            <w:r>
              <w:rPr>
                <w:rFonts w:hint="eastAsia" w:ascii="仿宋_GB2312" w:hAnsi="仿宋_GB2312" w:eastAsia="仿宋_GB2312" w:cs="仿宋_GB2312"/>
                <w:sz w:val="44"/>
                <w:szCs w:val="44"/>
                <w:lang w:eastAsia="zh-CN"/>
              </w:rPr>
              <w:t>：</w:t>
            </w:r>
            <w:r>
              <w:rPr>
                <w:rFonts w:hint="eastAsia" w:ascii="仿宋_GB2312" w:hAnsi="仿宋_GB2312" w:eastAsia="仿宋_GB2312" w:cs="仿宋_GB2312"/>
                <w:sz w:val="44"/>
                <w:szCs w:val="44"/>
                <w:lang w:val="en-US" w:eastAsia="zh-CN"/>
              </w:rPr>
              <w:t>深圳市龙岗区第七人民医院社会采购代理机构遴选项目</w:t>
            </w:r>
          </w:p>
          <w:p>
            <w:pPr>
              <w:snapToGrid w:val="0"/>
              <w:spacing w:line="360" w:lineRule="auto"/>
              <w:rPr>
                <w:rFonts w:ascii="仿宋_GB2312" w:hAnsi="仿宋_GB2312" w:eastAsia="仿宋_GB2312" w:cs="仿宋_GB2312"/>
                <w:sz w:val="44"/>
                <w:szCs w:val="44"/>
              </w:rPr>
            </w:pPr>
          </w:p>
          <w:p>
            <w:pPr>
              <w:pStyle w:val="26"/>
              <w:spacing w:line="480" w:lineRule="exact"/>
              <w:ind w:firstLine="0" w:firstLineChars="0"/>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w:t>
            </w:r>
            <w:r>
              <w:rPr>
                <w:rFonts w:hint="eastAsia" w:ascii="仿宋_GB2312" w:hAnsi="仿宋_GB2312" w:eastAsia="仿宋_GB2312" w:cs="仿宋_GB2312"/>
                <w:sz w:val="36"/>
                <w:szCs w:val="36"/>
              </w:rPr>
              <w:t>深龙七医采[LGQY2025</w:t>
            </w:r>
            <w:r>
              <w:rPr>
                <w:rFonts w:hint="eastAsia" w:ascii="仿宋_GB2312" w:hAnsi="仿宋_GB2312" w:eastAsia="仿宋_GB2312" w:cs="仿宋_GB2312"/>
                <w:sz w:val="36"/>
                <w:szCs w:val="36"/>
                <w:lang w:val="en-US" w:eastAsia="zh-CN"/>
              </w:rPr>
              <w:t>ZC</w:t>
            </w:r>
            <w:r>
              <w:rPr>
                <w:rFonts w:hint="eastAsia" w:ascii="仿宋_GB2312" w:hAnsi="仿宋_GB2312" w:eastAsia="仿宋_GB2312" w:cs="仿宋_GB2312"/>
                <w:sz w:val="36"/>
                <w:szCs w:val="36"/>
              </w:rPr>
              <w:t>00</w:t>
            </w:r>
            <w:r>
              <w:rPr>
                <w:rFonts w:hint="eastAsia" w:ascii="仿宋_GB2312" w:hAnsi="仿宋_GB2312" w:eastAsia="仿宋_GB2312" w:cs="仿宋_GB2312"/>
                <w:sz w:val="36"/>
                <w:szCs w:val="36"/>
                <w:lang w:val="en-US" w:eastAsia="zh-CN"/>
              </w:rPr>
              <w:t>1</w:t>
            </w:r>
            <w:r>
              <w:rPr>
                <w:rFonts w:hint="eastAsia" w:ascii="仿宋_GB2312" w:hAnsi="仿宋_GB2312" w:eastAsia="仿宋_GB2312" w:cs="仿宋_GB2312"/>
                <w:sz w:val="36"/>
                <w:szCs w:val="36"/>
              </w:rPr>
              <w:t>]</w:t>
            </w:r>
            <w:r>
              <w:rPr>
                <w:rFonts w:hint="eastAsia" w:ascii="仿宋_GB2312" w:hAnsi="仿宋_GB2312" w:eastAsia="仿宋_GB2312" w:cs="仿宋_GB2312"/>
                <w:sz w:val="44"/>
                <w:szCs w:val="44"/>
              </w:rPr>
              <w:t>）</w:t>
            </w:r>
          </w:p>
          <w:p>
            <w:pPr>
              <w:pStyle w:val="26"/>
              <w:spacing w:line="480" w:lineRule="exact"/>
              <w:ind w:firstLine="0" w:firstLineChars="0"/>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采购单位：深圳市龙岗区第七人民医院</w:t>
            </w:r>
          </w:p>
          <w:p>
            <w:pPr>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w:t>
            </w:r>
            <w:r>
              <w:rPr>
                <w:rFonts w:hint="eastAsia" w:ascii="仿宋_GB2312" w:hAnsi="仿宋_GB2312" w:eastAsia="仿宋_GB2312" w:cs="仿宋_GB2312"/>
                <w:sz w:val="44"/>
                <w:szCs w:val="44"/>
              </w:rPr>
              <w:t>2025年</w:t>
            </w:r>
            <w:r>
              <w:rPr>
                <w:rFonts w:hint="eastAsia" w:ascii="仿宋_GB2312" w:hAnsi="仿宋_GB2312" w:eastAsia="仿宋_GB2312" w:cs="仿宋_GB2312"/>
                <w:b/>
                <w:sz w:val="44"/>
                <w:szCs w:val="44"/>
              </w:rPr>
              <w:t>）</w:t>
            </w:r>
          </w:p>
          <w:p>
            <w:pPr>
              <w:rPr>
                <w:rFonts w:ascii="仿宋" w:hAnsi="仿宋" w:eastAsia="仿宋" w:cs="仿宋"/>
                <w:b/>
                <w:sz w:val="36"/>
                <w:szCs w:val="36"/>
              </w:rPr>
            </w:pPr>
          </w:p>
          <w:p>
            <w:pPr>
              <w:jc w:val="left"/>
              <w:rPr>
                <w:rFonts w:ascii="仿宋" w:hAnsi="仿宋" w:eastAsia="仿宋" w:cs="仿宋"/>
                <w:b/>
                <w:sz w:val="40"/>
                <w:szCs w:val="40"/>
              </w:rPr>
            </w:pPr>
            <w:r>
              <w:rPr>
                <w:rFonts w:hint="eastAsia" w:ascii="仿宋" w:hAnsi="仿宋" w:eastAsia="仿宋" w:cs="仿宋"/>
                <w:b/>
                <w:sz w:val="40"/>
                <w:szCs w:val="40"/>
              </w:rPr>
              <w:t>投标人：</w:t>
            </w:r>
          </w:p>
          <w:p>
            <w:pPr>
              <w:jc w:val="left"/>
              <w:rPr>
                <w:rFonts w:ascii="仿宋" w:hAnsi="仿宋" w:eastAsia="仿宋" w:cs="仿宋"/>
                <w:b/>
                <w:sz w:val="40"/>
                <w:szCs w:val="40"/>
              </w:rPr>
            </w:pPr>
            <w:r>
              <w:rPr>
                <w:rFonts w:hint="eastAsia" w:ascii="仿宋" w:hAnsi="仿宋" w:eastAsia="仿宋" w:cs="仿宋"/>
                <w:b/>
                <w:sz w:val="40"/>
                <w:szCs w:val="40"/>
              </w:rPr>
              <w:t>地  址：</w:t>
            </w:r>
          </w:p>
          <w:p>
            <w:pPr>
              <w:jc w:val="left"/>
              <w:rPr>
                <w:rFonts w:ascii="仿宋" w:hAnsi="仿宋" w:eastAsia="仿宋" w:cs="仿宋"/>
                <w:b/>
                <w:sz w:val="40"/>
                <w:szCs w:val="40"/>
              </w:rPr>
            </w:pPr>
            <w:r>
              <w:rPr>
                <w:rFonts w:hint="eastAsia" w:ascii="仿宋" w:hAnsi="仿宋" w:eastAsia="仿宋" w:cs="仿宋"/>
                <w:b/>
                <w:sz w:val="40"/>
                <w:szCs w:val="40"/>
              </w:rPr>
              <w:t>联系人：</w:t>
            </w:r>
          </w:p>
          <w:p>
            <w:pPr>
              <w:jc w:val="left"/>
              <w:rPr>
                <w:rFonts w:ascii="仿宋" w:hAnsi="仿宋" w:eastAsia="仿宋" w:cs="仿宋"/>
                <w:b/>
                <w:sz w:val="40"/>
                <w:szCs w:val="40"/>
              </w:rPr>
            </w:pPr>
            <w:r>
              <w:rPr>
                <w:rFonts w:hint="eastAsia" w:ascii="仿宋" w:hAnsi="仿宋" w:eastAsia="仿宋" w:cs="仿宋"/>
                <w:b/>
                <w:sz w:val="40"/>
                <w:szCs w:val="40"/>
              </w:rPr>
              <w:t>电  话：</w:t>
            </w:r>
          </w:p>
          <w:p>
            <w:pPr>
              <w:jc w:val="left"/>
              <w:rPr>
                <w:rFonts w:ascii="仿宋" w:hAnsi="仿宋" w:eastAsia="仿宋" w:cs="仿宋"/>
                <w:sz w:val="28"/>
              </w:rPr>
            </w:pPr>
            <w:r>
              <w:rPr>
                <w:rFonts w:hint="eastAsia" w:ascii="仿宋" w:hAnsi="仿宋" w:eastAsia="仿宋" w:cs="仿宋"/>
                <w:b/>
                <w:sz w:val="40"/>
                <w:szCs w:val="40"/>
              </w:rPr>
              <w:t>邮  箱：</w:t>
            </w:r>
          </w:p>
        </w:tc>
      </w:tr>
    </w:tbl>
    <w:p>
      <w:pPr>
        <w:jc w:val="both"/>
        <w:rPr>
          <w:rFonts w:ascii="宋体" w:hAnsi="宋体" w:cs="宋体"/>
          <w:b/>
          <w:bCs/>
          <w:sz w:val="44"/>
          <w:szCs w:val="44"/>
        </w:rPr>
      </w:pPr>
    </w:p>
    <w:p>
      <w:pPr>
        <w:jc w:val="center"/>
        <w:rPr>
          <w:rFonts w:hint="eastAsia" w:ascii="宋体" w:hAnsi="宋体" w:eastAsia="宋体" w:cs="宋体"/>
          <w:b/>
          <w:bCs/>
          <w:sz w:val="44"/>
          <w:szCs w:val="44"/>
          <w:lang w:eastAsia="zh-CN"/>
        </w:rPr>
      </w:pPr>
      <w:r>
        <w:rPr>
          <w:rFonts w:hint="eastAsia" w:ascii="宋体" w:hAnsi="宋体" w:cs="宋体"/>
          <w:b/>
          <w:bCs/>
          <w:sz w:val="44"/>
          <w:szCs w:val="44"/>
        </w:rPr>
        <w:t>目录</w:t>
      </w:r>
      <w:r>
        <w:rPr>
          <w:rFonts w:hint="eastAsia" w:ascii="宋体" w:hAnsi="宋体" w:cs="宋体"/>
          <w:b/>
          <w:bCs/>
          <w:sz w:val="28"/>
          <w:szCs w:val="28"/>
          <w:lang w:eastAsia="zh-CN"/>
        </w:rPr>
        <w:t>（</w:t>
      </w:r>
      <w:r>
        <w:rPr>
          <w:rFonts w:hint="eastAsia" w:ascii="宋体" w:hAnsi="宋体" w:cs="宋体"/>
          <w:b/>
          <w:bCs/>
          <w:sz w:val="28"/>
          <w:szCs w:val="28"/>
          <w:lang w:val="en-US" w:eastAsia="zh-CN"/>
        </w:rPr>
        <w:t>附页码</w:t>
      </w:r>
      <w:r>
        <w:rPr>
          <w:rFonts w:hint="eastAsia" w:ascii="宋体" w:hAnsi="宋体" w:cs="宋体"/>
          <w:b/>
          <w:bCs/>
          <w:sz w:val="28"/>
          <w:szCs w:val="28"/>
          <w:lang w:eastAsia="zh-CN"/>
        </w:rPr>
        <w:t>）</w:t>
      </w:r>
    </w:p>
    <w:p>
      <w:pPr>
        <w:spacing w:line="500" w:lineRule="exact"/>
        <w:jc w:val="left"/>
        <w:rPr>
          <w:rFonts w:ascii="仿宋_GB2312" w:hAnsi="仿宋_GB2312" w:eastAsia="仿宋_GB2312" w:cs="仿宋_GB2312"/>
          <w:sz w:val="28"/>
          <w:szCs w:val="28"/>
        </w:rPr>
      </w:pP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1.封面</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2.目录</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3.法定代表人资格证明书及身份证复印件</w:t>
      </w:r>
    </w:p>
    <w:p>
      <w:pPr>
        <w:widowControl/>
        <w:tabs>
          <w:tab w:val="left" w:pos="630"/>
          <w:tab w:val="left" w:pos="840"/>
        </w:tabs>
        <w:spacing w:line="500" w:lineRule="exact"/>
        <w:ind w:left="42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bidi="ar"/>
        </w:rPr>
        <w:t>法定代表人授权书</w:t>
      </w:r>
      <w:r>
        <w:rPr>
          <w:rFonts w:hint="eastAsia" w:ascii="仿宋_GB2312" w:hAnsi="仿宋_GB2312" w:eastAsia="仿宋_GB2312" w:cs="仿宋_GB2312"/>
          <w:sz w:val="28"/>
          <w:szCs w:val="28"/>
        </w:rPr>
        <w:t>及授权代表人身份证复印件（如有）</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5.独立承担民事责任能力的法人或其他组织或个体工商户的营业执照或法人证书等证明材料复印件或扫描件</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6.投标文件初审表</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7.供应商自查表</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8.投标函</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9.投标及履约承诺函</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10.供应商基本情况表</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11.社会保险证明</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12.开标一览表</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13.实质性条款响应情况表</w:t>
      </w:r>
    </w:p>
    <w:p>
      <w:pPr>
        <w:tabs>
          <w:tab w:val="left" w:pos="630"/>
          <w:tab w:val="left" w:pos="840"/>
        </w:tabs>
        <w:spacing w:line="500" w:lineRule="exact"/>
        <w:ind w:left="42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14.服务条款偏离表</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15.企业资质</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16.场地条件</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17.拟安排的项目负责人（仅限一人）</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18.拟安排的团队成员（项目负责人除外）</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19.获奖情况</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20.货物类招标业绩</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21.工程类招标业绩</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22.服务类招标业绩</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23.医疗领域合作单位业绩</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24.全流程电子招投标交易平台</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25.自有电子评标系统</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26.市场信息化调研平台</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27.质疑、投诉处理等能力</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28.招标流程、服务质量、保密措施、响应时效、档案管理</w:t>
      </w:r>
    </w:p>
    <w:p>
      <w:pPr>
        <w:tabs>
          <w:tab w:val="left" w:pos="630"/>
          <w:tab w:val="left" w:pos="840"/>
        </w:tabs>
        <w:spacing w:line="500" w:lineRule="exact"/>
        <w:ind w:left="42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29.服务便利性</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30.其他证明材料</w:t>
      </w:r>
    </w:p>
    <w:p>
      <w:pPr>
        <w:pStyle w:val="9"/>
      </w:pPr>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b/>
          <w:bCs/>
          <w:sz w:val="44"/>
          <w:szCs w:val="44"/>
        </w:rPr>
      </w:pPr>
      <w:r>
        <w:rPr>
          <w:rFonts w:hint="eastAsia" w:ascii="宋体" w:hAnsi="宋体" w:cs="宋体"/>
          <w:b/>
          <w:bCs/>
          <w:sz w:val="44"/>
          <w:szCs w:val="44"/>
        </w:rPr>
        <w:t>投标函</w:t>
      </w:r>
    </w:p>
    <w:p>
      <w:pPr>
        <w:keepNext w:val="0"/>
        <w:keepLines w:val="0"/>
        <w:pageBreakBefore w:val="0"/>
        <w:widowControl w:val="0"/>
        <w:kinsoku/>
        <w:wordWrap/>
        <w:overflowPunct/>
        <w:topLinePunct w:val="0"/>
        <w:bidi w:val="0"/>
        <w:adjustRightInd/>
        <w:snapToGrid/>
        <w:spacing w:line="460" w:lineRule="exact"/>
        <w:jc w:val="center"/>
        <w:textAlignment w:val="auto"/>
        <w:rPr>
          <w:rFonts w:ascii="仿宋" w:hAnsi="仿宋" w:eastAsia="仿宋" w:cs="仿宋"/>
          <w:b/>
          <w:bCs/>
          <w:sz w:val="36"/>
          <w:szCs w:val="44"/>
        </w:rPr>
      </w:pPr>
    </w:p>
    <w:p>
      <w:pPr>
        <w:keepNext w:val="0"/>
        <w:keepLines w:val="0"/>
        <w:pageBreakBefore w:val="0"/>
        <w:widowControl w:val="0"/>
        <w:kinsoku/>
        <w:wordWrap/>
        <w:overflowPunct/>
        <w:topLinePunct w:val="0"/>
        <w:bidi w:val="0"/>
        <w:adjustRightInd/>
        <w:snapToGrid/>
        <w:spacing w:line="48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深圳市龙岗区第七人民医院：</w:t>
      </w:r>
    </w:p>
    <w:p>
      <w:pPr>
        <w:keepNext w:val="0"/>
        <w:keepLines w:val="0"/>
        <w:pageBreakBefore w:val="0"/>
        <w:widowControl w:val="0"/>
        <w:kinsoku/>
        <w:wordWrap/>
        <w:overflowPunct/>
        <w:topLinePunct w:val="0"/>
        <w:bidi w:val="0"/>
        <w:adjustRightInd/>
        <w:snapToGrid/>
        <w:spacing w:line="480" w:lineRule="exact"/>
        <w:ind w:firstLine="560" w:firstLineChars="200"/>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我司已经认真仔细阅读了贵单位关于</w:t>
      </w: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bidi w:val="0"/>
        <w:adjustRightInd/>
        <w:snapToGrid/>
        <w:spacing w:line="48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项目的招标文件，完全同意招标文件中的所有条款，愿意按招标文件要求，决定以投标</w:t>
      </w:r>
      <w:r>
        <w:rPr>
          <w:rFonts w:hint="eastAsia" w:ascii="仿宋_GB2312" w:hAnsi="仿宋_GB2312" w:eastAsia="仿宋_GB2312" w:cs="仿宋_GB2312"/>
          <w:sz w:val="28"/>
          <w:szCs w:val="28"/>
          <w:lang w:val="en-US" w:eastAsia="zh-CN"/>
        </w:rPr>
        <w:t>折扣率</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参与投标并按招标文件要求承包上述项目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并许以如下承诺：</w:t>
      </w:r>
    </w:p>
    <w:p>
      <w:pPr>
        <w:keepNext w:val="0"/>
        <w:keepLines w:val="0"/>
        <w:pageBreakBefore w:val="0"/>
        <w:widowControl w:val="0"/>
        <w:kinsoku/>
        <w:wordWrap/>
        <w:overflowPunct/>
        <w:topLinePunct w:val="0"/>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1.我方愿意向招标人提供与本次招标的相关资料，并对其真实性、合法性、有效性负责。</w:t>
      </w:r>
    </w:p>
    <w:p>
      <w:pPr>
        <w:keepNext w:val="0"/>
        <w:keepLines w:val="0"/>
        <w:pageBreakBefore w:val="0"/>
        <w:widowControl w:val="0"/>
        <w:kinsoku/>
        <w:wordWrap/>
        <w:overflowPunct/>
        <w:topLinePunct w:val="0"/>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2.我方将严格履行本投标文件中的全部承诺和责任，并遵守招标文件中对投标人的所有规定。</w:t>
      </w:r>
    </w:p>
    <w:p>
      <w:pPr>
        <w:keepNext w:val="0"/>
        <w:keepLines w:val="0"/>
        <w:pageBreakBefore w:val="0"/>
        <w:widowControl w:val="0"/>
        <w:kinsoku/>
        <w:wordWrap/>
        <w:overflowPunct/>
        <w:topLinePunct w:val="0"/>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3.我方完全理解招标人有保留在授标之前，任何时候根据评标委员会的意见接受或拒绝任何投标的权利，并完全理解招标人对此无解释的义务。</w:t>
      </w:r>
    </w:p>
    <w:p>
      <w:pPr>
        <w:keepNext w:val="0"/>
        <w:keepLines w:val="0"/>
        <w:pageBreakBefore w:val="0"/>
        <w:widowControl w:val="0"/>
        <w:kinsoku/>
        <w:wordWrap/>
        <w:overflowPunct/>
        <w:topLinePunct w:val="0"/>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4.我方完全理解招标人不保证投标价最低的投标人中标。</w:t>
      </w:r>
    </w:p>
    <w:p>
      <w:pPr>
        <w:keepNext w:val="0"/>
        <w:keepLines w:val="0"/>
        <w:pageBreakBefore w:val="0"/>
        <w:widowControl w:val="0"/>
        <w:kinsoku/>
        <w:wordWrap/>
        <w:overflowPunct/>
        <w:topLinePunct w:val="0"/>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5.我方承诺在此次招标过程中涉及的一切应当保密的事项，不向任何第三方泄露，否则承担一切法律责任。</w:t>
      </w:r>
    </w:p>
    <w:p>
      <w:pPr>
        <w:keepNext w:val="0"/>
        <w:keepLines w:val="0"/>
        <w:pageBreakBefore w:val="0"/>
        <w:widowControl w:val="0"/>
        <w:kinsoku/>
        <w:wordWrap/>
        <w:overflowPunct/>
        <w:topLinePunct w:val="0"/>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我方如果中标，我方承诺中标后按照采购相关规定与采购人签订合同，将保证履行我方投标文件所响</w:t>
      </w:r>
      <w:r>
        <w:rPr>
          <w:rFonts w:hint="eastAsia" w:ascii="仿宋_GB2312" w:hAnsi="仿宋_GB2312" w:eastAsia="仿宋_GB2312" w:cs="仿宋_GB2312"/>
          <w:sz w:val="28"/>
          <w:szCs w:val="28"/>
          <w:lang w:eastAsia="zh-CN"/>
        </w:rPr>
        <w:t>应的</w:t>
      </w:r>
      <w:r>
        <w:rPr>
          <w:rFonts w:hint="eastAsia" w:ascii="仿宋_GB2312" w:hAnsi="仿宋_GB2312" w:eastAsia="仿宋_GB2312" w:cs="仿宋_GB2312"/>
          <w:sz w:val="28"/>
          <w:szCs w:val="28"/>
        </w:rPr>
        <w:t>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pPr>
        <w:pStyle w:val="9"/>
        <w:keepNext w:val="0"/>
        <w:keepLines w:val="0"/>
        <w:pageBreakBefore w:val="0"/>
        <w:widowControl w:val="0"/>
        <w:kinsoku/>
        <w:wordWrap/>
        <w:overflowPunct/>
        <w:topLinePunct w:val="0"/>
        <w:bidi w:val="0"/>
        <w:adjustRightInd/>
        <w:snapToGrid/>
        <w:spacing w:line="480" w:lineRule="exact"/>
        <w:textAlignment w:val="auto"/>
        <w:rPr>
          <w:sz w:val="28"/>
          <w:szCs w:val="28"/>
        </w:rPr>
      </w:pPr>
    </w:p>
    <w:p>
      <w:pPr>
        <w:keepNext w:val="0"/>
        <w:keepLines w:val="0"/>
        <w:pageBreakBefore w:val="0"/>
        <w:widowControl w:val="0"/>
        <w:kinsoku/>
        <w:wordWrap/>
        <w:overflowPunct/>
        <w:topLinePunct w:val="0"/>
        <w:bidi w:val="0"/>
        <w:adjustRightInd/>
        <w:snapToGrid/>
        <w:spacing w:line="480" w:lineRule="exact"/>
        <w:textAlignment w:val="auto"/>
        <w:rPr>
          <w:sz w:val="28"/>
          <w:szCs w:val="28"/>
        </w:rPr>
      </w:pPr>
    </w:p>
    <w:p>
      <w:pPr>
        <w:keepNext w:val="0"/>
        <w:keepLines w:val="0"/>
        <w:pageBreakBefore w:val="0"/>
        <w:widowControl w:val="0"/>
        <w:kinsoku/>
        <w:wordWrap/>
        <w:overflowPunct/>
        <w:topLinePunct w:val="0"/>
        <w:bidi w:val="0"/>
        <w:adjustRightInd/>
        <w:snapToGrid/>
        <w:spacing w:line="48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法定代表人或其授权代表人（签字）：</w:t>
      </w:r>
    </w:p>
    <w:p>
      <w:pPr>
        <w:keepNext w:val="0"/>
        <w:keepLines w:val="0"/>
        <w:pageBreakBefore w:val="0"/>
        <w:widowControl w:val="0"/>
        <w:kinsoku/>
        <w:wordWrap/>
        <w:overflowPunct/>
        <w:topLinePunct w:val="0"/>
        <w:bidi w:val="0"/>
        <w:adjustRightInd/>
        <w:snapToGrid/>
        <w:spacing w:line="480" w:lineRule="exact"/>
        <w:textAlignment w:val="auto"/>
        <w:rPr>
          <w:rFonts w:ascii="宋体" w:hAnsi="宋体" w:cs="宋体"/>
          <w:b/>
          <w:bCs/>
          <w:sz w:val="28"/>
          <w:szCs w:val="28"/>
        </w:rPr>
      </w:pPr>
      <w:r>
        <w:rPr>
          <w:rFonts w:hint="eastAsia" w:ascii="仿宋_GB2312" w:hAnsi="仿宋_GB2312" w:eastAsia="仿宋_GB2312" w:cs="仿宋_GB2312"/>
          <w:sz w:val="28"/>
          <w:szCs w:val="28"/>
        </w:rPr>
        <w:t xml:space="preserve">                投标单位全称（加盖公章）：</w:t>
      </w:r>
    </w:p>
    <w:p>
      <w:pPr>
        <w:spacing w:line="440" w:lineRule="exact"/>
        <w:jc w:val="center"/>
        <w:rPr>
          <w:rFonts w:ascii="宋体" w:hAnsi="宋体" w:cs="宋体"/>
          <w:b/>
          <w:bCs/>
          <w:sz w:val="28"/>
          <w:szCs w:val="28"/>
        </w:rPr>
      </w:pPr>
    </w:p>
    <w:p>
      <w:pPr>
        <w:spacing w:line="440" w:lineRule="exact"/>
        <w:jc w:val="center"/>
        <w:rPr>
          <w:rFonts w:hint="eastAsia" w:ascii="宋体" w:hAnsi="宋体" w:cs="宋体"/>
          <w:b/>
          <w:bCs/>
          <w:sz w:val="44"/>
          <w:szCs w:val="44"/>
        </w:rPr>
      </w:pPr>
    </w:p>
    <w:p>
      <w:pPr>
        <w:spacing w:line="440" w:lineRule="exact"/>
        <w:jc w:val="center"/>
        <w:rPr>
          <w:rFonts w:ascii="宋体" w:hAnsi="宋体" w:cs="宋体"/>
          <w:b/>
          <w:bCs/>
          <w:sz w:val="44"/>
          <w:szCs w:val="44"/>
        </w:rPr>
      </w:pPr>
      <w:r>
        <w:rPr>
          <w:rFonts w:hint="eastAsia" w:ascii="宋体" w:hAnsi="宋体" w:cs="宋体"/>
          <w:b/>
          <w:bCs/>
          <w:sz w:val="44"/>
          <w:szCs w:val="44"/>
        </w:rPr>
        <w:t>投标及履约承诺函</w:t>
      </w:r>
    </w:p>
    <w:p>
      <w:pPr>
        <w:spacing w:line="440" w:lineRule="exact"/>
        <w:rPr>
          <w:rFonts w:ascii="仿宋_GB2312" w:hAnsi="仿宋_GB2312" w:eastAsia="仿宋_GB2312" w:cs="仿宋_GB2312"/>
          <w:sz w:val="32"/>
          <w:szCs w:val="32"/>
        </w:rPr>
      </w:pP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深圳市龙岗区第七人民医院：</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我公司参与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eastAsia="zh-CN"/>
        </w:rPr>
        <w:t>，编号：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（以下简称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本项目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院内</w:t>
      </w:r>
      <w:r>
        <w:rPr>
          <w:rFonts w:hint="eastAsia" w:ascii="仿宋_GB2312" w:hAnsi="仿宋_GB2312" w:eastAsia="仿宋_GB2312" w:cs="仿宋_GB2312"/>
          <w:sz w:val="28"/>
          <w:szCs w:val="28"/>
        </w:rPr>
        <w:t>采购活动，承诺：</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公司参与本项目所提供的货物或服务未侵犯知识产权。我公司具备《中华人民共和国政府采购法》第二十二条第一款规定的六项条件具有独立承担民事责任的能力；具有良好的商业信誉和健全的财务会计制度；具有履行合同所必需的设备和专业技术能力</w:t>
      </w:r>
      <w:r>
        <w:rPr>
          <w:rFonts w:hint="eastAsia" w:ascii="仿宋_GB2312" w:hAnsi="仿宋_GB2312" w:eastAsia="仿宋_GB2312" w:cs="仿宋_GB2312"/>
          <w:sz w:val="28"/>
          <w:szCs w:val="28"/>
          <w:lang w:eastAsia="zh-CN"/>
        </w:rPr>
        <w:t>；具</w:t>
      </w:r>
      <w:r>
        <w:rPr>
          <w:rFonts w:hint="eastAsia" w:ascii="仿宋_GB2312" w:hAnsi="仿宋_GB2312" w:eastAsia="仿宋_GB2312" w:cs="仿宋_GB2312"/>
          <w:sz w:val="28"/>
          <w:szCs w:val="28"/>
        </w:rPr>
        <w:t>有依法缴纳税收和社会保障资金的良好记录；参加采购活动前三年内，在经营活动中没有重大违法记录；法律、行政法规规定的其他条件。</w:t>
      </w:r>
      <w:r>
        <w:rPr>
          <w:rFonts w:hint="eastAsia" w:ascii="仿宋_GB2312" w:hAnsi="仿宋_GB2312" w:eastAsia="仿宋_GB2312" w:cs="仿宋_GB2312"/>
          <w:sz w:val="28"/>
          <w:szCs w:val="28"/>
          <w:lang w:eastAsia="zh-CN"/>
        </w:rPr>
        <w:t>包括</w:t>
      </w:r>
      <w:r>
        <w:rPr>
          <w:rFonts w:hint="eastAsia" w:ascii="仿宋_GB2312" w:hAnsi="仿宋_GB2312" w:eastAsia="仿宋_GB2312" w:cs="仿宋_GB2312"/>
          <w:sz w:val="28"/>
          <w:szCs w:val="28"/>
        </w:rPr>
        <w:t>法律、行政法规和国家有关规定对供应商从事特定经营活动有资质、资格规定的，</w:t>
      </w:r>
      <w:r>
        <w:rPr>
          <w:rFonts w:hint="eastAsia" w:ascii="仿宋_GB2312" w:hAnsi="仿宋_GB2312" w:eastAsia="仿宋_GB2312" w:cs="仿宋_GB2312"/>
          <w:sz w:val="28"/>
          <w:szCs w:val="28"/>
          <w:lang w:eastAsia="zh-CN"/>
        </w:rPr>
        <w:t>本公司</w:t>
      </w:r>
      <w:r>
        <w:rPr>
          <w:rFonts w:hint="eastAsia" w:ascii="仿宋_GB2312" w:hAnsi="仿宋_GB2312" w:eastAsia="仿宋_GB2312" w:cs="仿宋_GB2312"/>
          <w:sz w:val="28"/>
          <w:szCs w:val="28"/>
        </w:rPr>
        <w:t>具备相应条件</w:t>
      </w:r>
      <w:r>
        <w:rPr>
          <w:rFonts w:hint="eastAsia" w:ascii="仿宋_GB2312" w:hAnsi="仿宋_GB2312" w:eastAsia="仿宋_GB2312" w:cs="仿宋_GB2312"/>
          <w:sz w:val="28"/>
          <w:szCs w:val="28"/>
          <w:lang w:eastAsia="zh-CN"/>
        </w:rPr>
        <w:t>。</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我公司参与本项目政府采购活动前三年内，在经营活动中没有《中华人民共和国政府采购法实施条例》第十九条规定的重大违法记录。</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我公司参与本项目政府采购活动时不存在被有关部门禁止参与政府采购活动且在有效期内的情况。</w:t>
      </w:r>
    </w:p>
    <w:p>
      <w:pPr>
        <w:widowControl/>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除单一来源采购项目外，为采购项目提供整体设计、规范编制或者项目管理、监理、检测等服务的供应商，不得再参加该采购项目的其他采购活动</w:t>
      </w:r>
      <w:r>
        <w:rPr>
          <w:rFonts w:hint="eastAsia" w:ascii="仿宋_GB2312" w:hAnsi="仿宋_GB2312" w:eastAsia="仿宋_GB2312" w:cs="仿宋_GB2312"/>
          <w:sz w:val="28"/>
          <w:szCs w:val="28"/>
          <w:lang w:eastAsia="zh-CN"/>
        </w:rPr>
        <w:t>。</w:t>
      </w:r>
    </w:p>
    <w:p>
      <w:pPr>
        <w:widowControl/>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我公司参与本项目政府采购活动，严格遵守政府采购相关法律，做到诚实，不造假，不围标、串标、陪标。参与本项目采购活动不存在与其他采购参加人串通投标，隐瞒真实情况，提供虚假资料等违法违规情形，不存在《深圳市财政局政府采购供应商信用信息管理办法》（深财规〔2023〕3号）列明的严重违法失信行为；我公司已清楚，如违反上述要求，将作无效响应处理，被列入不良记录名单并在网上曝光，同时将被提请政府采购监督管理部门给予一定年限内禁止参与政府采购活动或其他处罚。</w:t>
      </w:r>
    </w:p>
    <w:p>
      <w:pPr>
        <w:widowControl/>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我公司参加本项</w:t>
      </w:r>
      <w:r>
        <w:rPr>
          <w:rFonts w:hint="eastAsia" w:ascii="仿宋_GB2312" w:hAnsi="仿宋_GB2312" w:eastAsia="仿宋_GB2312" w:cs="仿宋_GB2312"/>
          <w:sz w:val="28"/>
          <w:szCs w:val="28"/>
          <w:lang w:eastAsia="zh-CN"/>
        </w:rPr>
        <w:t>目的</w:t>
      </w:r>
      <w:r>
        <w:rPr>
          <w:rFonts w:hint="eastAsia" w:ascii="仿宋_GB2312" w:hAnsi="仿宋_GB2312" w:eastAsia="仿宋_GB2312" w:cs="仿宋_GB2312"/>
          <w:sz w:val="28"/>
          <w:szCs w:val="28"/>
        </w:rPr>
        <w:t>政府采购活动时，不存在《中华人民共和国政府采购法实施条例》第十八条规定的与参加同一项目的其他供应商“单位负责人为同一人或者存在直接控股、管理关系”的情形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w:t>
      </w:r>
      <w:r>
        <w:rPr>
          <w:rFonts w:hint="eastAsia" w:ascii="仿宋_GB2312" w:hAnsi="仿宋_GB2312" w:eastAsia="仿宋_GB2312" w:cs="仿宋_GB2312"/>
          <w:sz w:val="28"/>
          <w:szCs w:val="28"/>
          <w:lang w:eastAsia="zh-CN"/>
        </w:rPr>
        <w:t>，参加同一项目的不同供应商之间不存在直接控股或管理关系</w:t>
      </w:r>
      <w:r>
        <w:rPr>
          <w:rFonts w:hint="eastAsia" w:ascii="仿宋_GB2312" w:hAnsi="仿宋_GB2312" w:eastAsia="仿宋_GB2312" w:cs="仿宋_GB2312"/>
          <w:sz w:val="28"/>
          <w:szCs w:val="28"/>
        </w:rPr>
        <w:t>”的情形。</w:t>
      </w:r>
      <w:r>
        <w:rPr>
          <w:rFonts w:hint="eastAsia" w:ascii="仿宋_GB2312" w:hAnsi="仿宋_GB2312" w:eastAsia="仿宋_GB2312" w:cs="仿宋_GB2312"/>
          <w:sz w:val="28"/>
          <w:szCs w:val="28"/>
          <w:lang w:eastAsia="zh-CN"/>
        </w:rPr>
        <w:t>并</w:t>
      </w:r>
      <w:r>
        <w:rPr>
          <w:rFonts w:hint="eastAsia" w:ascii="仿宋_GB2312" w:hAnsi="仿宋_GB2312" w:eastAsia="仿宋_GB2312" w:cs="仿宋_GB2312"/>
          <w:sz w:val="28"/>
          <w:szCs w:val="28"/>
        </w:rPr>
        <w:t>按本项目投标文件格式要求提供《供应商基本情况表》相关信息</w:t>
      </w:r>
      <w:r>
        <w:rPr>
          <w:rFonts w:hint="eastAsia" w:ascii="仿宋_GB2312" w:hAnsi="仿宋_GB2312" w:eastAsia="仿宋_GB2312" w:cs="仿宋_GB2312"/>
          <w:sz w:val="28"/>
          <w:szCs w:val="28"/>
          <w:lang w:eastAsia="zh-CN"/>
        </w:rPr>
        <w:t>。</w:t>
      </w:r>
    </w:p>
    <w:p>
      <w:pPr>
        <w:widowControl/>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我公司未被列入失信被执行人、重大税收违法案件当事人名单、政府采购严重违法失信行为记录名单（信用中国网“信用服务”栏的“重大税收违法失信主体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失信被执行人”，中国政府采购网“政府采购严重违法失信行为记录名单”，深圳信用网以及深圳市政府采购监管网为投标人信用信息查询渠道）</w:t>
      </w:r>
      <w:r>
        <w:rPr>
          <w:rFonts w:hint="eastAsia" w:ascii="仿宋_GB2312" w:hAnsi="仿宋_GB2312" w:eastAsia="仿宋_GB2312" w:cs="仿宋_GB2312"/>
          <w:sz w:val="28"/>
          <w:szCs w:val="28"/>
          <w:lang w:eastAsia="zh-CN"/>
        </w:rPr>
        <w:t>。</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我公司</w:t>
      </w:r>
      <w:r>
        <w:rPr>
          <w:rFonts w:hint="eastAsia" w:ascii="仿宋_GB2312" w:hAnsi="仿宋_GB2312" w:eastAsia="仿宋_GB2312" w:cs="仿宋_GB2312"/>
          <w:sz w:val="28"/>
          <w:szCs w:val="28"/>
          <w:lang w:eastAsia="zh-CN"/>
        </w:rPr>
        <w:t>符合</w:t>
      </w:r>
      <w:r>
        <w:rPr>
          <w:rFonts w:hint="eastAsia" w:ascii="仿宋_GB2312" w:hAnsi="仿宋_GB2312" w:eastAsia="仿宋_GB2312" w:cs="仿宋_GB2312"/>
          <w:sz w:val="28"/>
          <w:szCs w:val="28"/>
        </w:rPr>
        <w:t>法律、行政法规和国家有关规定对</w:t>
      </w:r>
      <w:r>
        <w:rPr>
          <w:rFonts w:hint="eastAsia" w:ascii="仿宋_GB2312" w:hAnsi="仿宋_GB2312" w:eastAsia="仿宋_GB2312" w:cs="仿宋_GB2312"/>
          <w:sz w:val="28"/>
          <w:szCs w:val="28"/>
          <w:lang w:eastAsia="zh-CN"/>
        </w:rPr>
        <w:t>本项目</w:t>
      </w:r>
      <w:r>
        <w:rPr>
          <w:rFonts w:hint="eastAsia" w:ascii="仿宋_GB2312" w:hAnsi="仿宋_GB2312" w:eastAsia="仿宋_GB2312" w:cs="仿宋_GB2312"/>
          <w:sz w:val="28"/>
          <w:szCs w:val="28"/>
        </w:rPr>
        <w:t>从事特定经营活动有资质、资格规定的，供应商应当</w:t>
      </w:r>
      <w:r>
        <w:rPr>
          <w:rFonts w:hint="eastAsia" w:ascii="仿宋_GB2312" w:hAnsi="仿宋_GB2312" w:eastAsia="仿宋_GB2312" w:cs="仿宋_GB2312"/>
          <w:sz w:val="28"/>
          <w:szCs w:val="28"/>
          <w:lang w:eastAsia="zh-CN"/>
        </w:rPr>
        <w:t>具备</w:t>
      </w:r>
      <w:r>
        <w:rPr>
          <w:rFonts w:hint="eastAsia" w:ascii="仿宋_GB2312" w:hAnsi="仿宋_GB2312" w:eastAsia="仿宋_GB2312" w:cs="仿宋_GB2312"/>
          <w:sz w:val="28"/>
          <w:szCs w:val="28"/>
        </w:rPr>
        <w:t>相应条件</w:t>
      </w:r>
      <w:r>
        <w:rPr>
          <w:rFonts w:hint="eastAsia" w:ascii="仿宋_GB2312" w:hAnsi="仿宋_GB2312" w:eastAsia="仿宋_GB2312" w:cs="仿宋_GB2312"/>
          <w:sz w:val="28"/>
          <w:szCs w:val="28"/>
          <w:lang w:eastAsia="zh-CN"/>
        </w:rPr>
        <w:t>的要求。</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我公司承诺不</w:t>
      </w:r>
      <w:r>
        <w:rPr>
          <w:rFonts w:hint="eastAsia" w:ascii="仿宋_GB2312" w:hAnsi="仿宋_GB2312" w:eastAsia="仿宋_GB2312" w:cs="仿宋_GB2312"/>
          <w:sz w:val="28"/>
          <w:szCs w:val="28"/>
          <w:lang w:eastAsia="zh-CN"/>
        </w:rPr>
        <w:t>存在</w:t>
      </w:r>
      <w:r>
        <w:rPr>
          <w:rFonts w:hint="eastAsia" w:ascii="仿宋_GB2312" w:hAnsi="仿宋_GB2312" w:eastAsia="仿宋_GB2312" w:cs="仿宋_GB2312"/>
          <w:sz w:val="28"/>
          <w:szCs w:val="28"/>
        </w:rPr>
        <w:t>联合体投标，不非法分包、转包。</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若我公司未按上述要求履约，我公司愿意接受政府采购监督管理部门的处理。</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政府采购监督管理部门作出的行政处罚。</w:t>
      </w:r>
    </w:p>
    <w:p>
      <w:pPr>
        <w:widowControl/>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以上承诺，如有违反，愿依照国家相关法律法规处理，并承担由此给采购人带来的损失。</w:t>
      </w:r>
    </w:p>
    <w:p>
      <w:pPr>
        <w:widowControl/>
        <w:spacing w:line="560" w:lineRule="exact"/>
        <w:ind w:firstLine="560" w:firstLineChars="200"/>
        <w:jc w:val="left"/>
        <w:rPr>
          <w:rFonts w:hint="eastAsia" w:ascii="仿宋_GB2312" w:hAnsi="仿宋_GB2312" w:eastAsia="仿宋_GB2312" w:cs="仿宋_GB2312"/>
          <w:sz w:val="28"/>
          <w:szCs w:val="28"/>
        </w:rPr>
      </w:pPr>
    </w:p>
    <w:p>
      <w:pPr>
        <w:widowControl/>
        <w:spacing w:line="560" w:lineRule="exact"/>
        <w:ind w:firstLine="560" w:firstLineChars="200"/>
        <w:jc w:val="left"/>
        <w:rPr>
          <w:rFonts w:hint="eastAsia" w:ascii="仿宋_GB2312" w:hAnsi="仿宋_GB2312" w:eastAsia="仿宋_GB2312" w:cs="仿宋_GB2312"/>
          <w:sz w:val="28"/>
          <w:szCs w:val="28"/>
        </w:rPr>
      </w:pPr>
    </w:p>
    <w:p>
      <w:pPr>
        <w:widowControl/>
        <w:spacing w:line="560" w:lineRule="exact"/>
        <w:ind w:firstLine="3080" w:firstLineChars="1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投标人（公章）：</w:t>
      </w:r>
    </w:p>
    <w:p>
      <w:pPr>
        <w:widowControl/>
        <w:spacing w:line="560" w:lineRule="exact"/>
        <w:ind w:firstLine="3080" w:firstLineChars="1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法定代表人或其授权代表签名：</w:t>
      </w:r>
    </w:p>
    <w:p>
      <w:pPr>
        <w:widowControl/>
        <w:spacing w:line="560" w:lineRule="exact"/>
        <w:ind w:firstLine="3080" w:firstLineChars="1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jc w:val="center"/>
        <w:textAlignment w:val="center"/>
        <w:rPr>
          <w:rFonts w:ascii="宋体" w:hAnsi="宋体" w:cs="宋体"/>
          <w:color w:val="000000"/>
          <w:kern w:val="0"/>
          <w:sz w:val="44"/>
          <w:szCs w:val="44"/>
          <w:lang w:bidi="ar"/>
        </w:rPr>
      </w:pPr>
      <w:bookmarkStart w:id="15" w:name="_Toc24111"/>
    </w:p>
    <w:p>
      <w:pPr>
        <w:widowControl/>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法定代表人证明书</w:t>
      </w:r>
    </w:p>
    <w:p>
      <w:pPr>
        <w:rPr>
          <w:rFonts w:ascii="仿宋" w:hAnsi="仿宋" w:eastAsia="仿宋" w:cs="仿宋"/>
          <w:color w:val="000000"/>
          <w:sz w:val="28"/>
          <w:szCs w:val="28"/>
        </w:rPr>
      </w:pP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先生/小姐，现任我单位职务，为法定代表人，特此证明。</w:t>
      </w:r>
    </w:p>
    <w:p>
      <w:pPr>
        <w:spacing w:line="560" w:lineRule="exact"/>
        <w:ind w:firstLine="560" w:firstLineChars="200"/>
        <w:rPr>
          <w:rFonts w:ascii="仿宋" w:hAnsi="仿宋" w:eastAsia="仿宋" w:cs="仿宋"/>
          <w:color w:val="000000"/>
          <w:sz w:val="28"/>
          <w:szCs w:val="28"/>
        </w:rPr>
      </w:pP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有效日期：               签发日期：  </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单位：                   （盖章）</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附：</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代表人性别：        年龄：       身份证号码：</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营业执照号码：                   经济性质：</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主营（产）：</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兼营（产）：</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进口物品经营许可证号码：</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主营（产）：</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兼营（产）：</w:t>
      </w:r>
    </w:p>
    <w:p>
      <w:pPr>
        <w:spacing w:line="560" w:lineRule="exact"/>
        <w:ind w:firstLine="560" w:firstLineChars="200"/>
        <w:rPr>
          <w:rFonts w:ascii="仿宋" w:hAnsi="仿宋" w:eastAsia="仿宋" w:cs="仿宋"/>
          <w:color w:val="000000"/>
          <w:sz w:val="28"/>
          <w:szCs w:val="28"/>
        </w:rPr>
      </w:pP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身份证复印件：</w:t>
      </w:r>
    </w:p>
    <w:tbl>
      <w:tblPr>
        <w:tblStyle w:val="16"/>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5460" w:type="dxa"/>
            <w:noWrap/>
          </w:tcPr>
          <w:p/>
          <w:p/>
          <w:p>
            <w:pPr>
              <w:pStyle w:val="9"/>
            </w:pPr>
          </w:p>
          <w:p>
            <w:pPr>
              <w:ind w:firstLine="2100" w:firstLineChars="1000"/>
            </w:pPr>
            <w:r>
              <w:rPr>
                <w:rFonts w:hint="eastAsia"/>
              </w:rPr>
              <w:t>正反面</w:t>
            </w:r>
          </w:p>
        </w:tc>
      </w:tr>
    </w:tbl>
    <w:p>
      <w:pPr>
        <w:widowControl/>
        <w:spacing w:line="440" w:lineRule="exact"/>
        <w:jc w:val="center"/>
        <w:textAlignment w:val="center"/>
        <w:rPr>
          <w:rFonts w:ascii="宋体" w:hAnsi="宋体" w:cs="宋体"/>
          <w:color w:val="000000"/>
          <w:kern w:val="0"/>
          <w:sz w:val="44"/>
          <w:szCs w:val="44"/>
          <w:lang w:bidi="ar"/>
        </w:rPr>
      </w:pPr>
    </w:p>
    <w:p>
      <w:pPr>
        <w:widowControl/>
        <w:spacing w:line="440" w:lineRule="exact"/>
        <w:jc w:val="center"/>
        <w:textAlignment w:val="center"/>
        <w:rPr>
          <w:rFonts w:hint="eastAsia" w:ascii="宋体" w:hAnsi="宋体" w:cs="宋体"/>
          <w:color w:val="000000"/>
          <w:kern w:val="0"/>
          <w:sz w:val="44"/>
          <w:szCs w:val="44"/>
          <w:lang w:bidi="ar"/>
        </w:rPr>
      </w:pPr>
    </w:p>
    <w:p>
      <w:pPr>
        <w:widowControl/>
        <w:spacing w:line="440" w:lineRule="exact"/>
        <w:jc w:val="center"/>
        <w:textAlignment w:val="center"/>
        <w:rPr>
          <w:rFonts w:hint="eastAsia" w:ascii="宋体" w:hAnsi="宋体" w:cs="宋体"/>
          <w:color w:val="000000"/>
          <w:kern w:val="0"/>
          <w:sz w:val="44"/>
          <w:szCs w:val="44"/>
          <w:lang w:bidi="ar"/>
        </w:rPr>
      </w:pPr>
    </w:p>
    <w:p>
      <w:pPr>
        <w:widowControl/>
        <w:spacing w:line="440" w:lineRule="exact"/>
        <w:jc w:val="center"/>
        <w:textAlignment w:val="center"/>
        <w:rPr>
          <w:rFonts w:hint="eastAsia" w:ascii="宋体" w:hAnsi="宋体" w:cs="宋体"/>
          <w:color w:val="000000"/>
          <w:kern w:val="0"/>
          <w:sz w:val="44"/>
          <w:szCs w:val="44"/>
          <w:lang w:bidi="ar"/>
        </w:rPr>
      </w:pPr>
    </w:p>
    <w:p>
      <w:pPr>
        <w:widowControl/>
        <w:spacing w:line="440" w:lineRule="exact"/>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法定代表人授权书</w:t>
      </w:r>
    </w:p>
    <w:p>
      <w:pPr>
        <w:spacing w:line="440" w:lineRule="exact"/>
        <w:rPr>
          <w:color w:val="000000"/>
        </w:rPr>
      </w:pP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授权书声明：注册于（国家或地区的名称）的（公司名称）的在下面签字的（法定代表人姓名、职务）代表本公司授权（单位名称）的在下面签字的（被授权人的姓名、职务）为本公司的合法代理人，就（项目名称）投标及参加项目谈判，以本公司名义处理一切与之有关的事务。</w:t>
      </w:r>
    </w:p>
    <w:p>
      <w:pPr>
        <w:spacing w:line="44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本授权书于</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日签字生效，有效期至</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none"/>
          <w:lang w:val="en-US" w:eastAsia="zh-CN"/>
        </w:rPr>
        <w:t>。</w:t>
      </w:r>
    </w:p>
    <w:p>
      <w:p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特此声明。</w:t>
      </w:r>
    </w:p>
    <w:p>
      <w:pPr>
        <w:spacing w:line="440" w:lineRule="exact"/>
        <w:ind w:firstLine="560" w:firstLineChars="200"/>
        <w:rPr>
          <w:rFonts w:ascii="仿宋" w:hAnsi="仿宋" w:eastAsia="仿宋" w:cs="仿宋"/>
          <w:color w:val="000000"/>
          <w:sz w:val="28"/>
          <w:szCs w:val="28"/>
        </w:rPr>
      </w:pP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法定代表人签字： </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被授权人签字：　</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单位盖章：　</w:t>
      </w:r>
    </w:p>
    <w:p>
      <w:pPr>
        <w:spacing w:line="440" w:lineRule="exact"/>
        <w:rPr>
          <w:rFonts w:ascii="仿宋" w:hAnsi="仿宋" w:eastAsia="仿宋" w:cs="仿宋"/>
          <w:color w:val="000000"/>
          <w:sz w:val="28"/>
          <w:szCs w:val="28"/>
        </w:rPr>
      </w:pP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附：</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被授权人姓名：                       身份证号：</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职务：</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详细通信地址：</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邮政编码：</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联系电话：</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移动电话：</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传真：</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身份证复印件：</w:t>
      </w:r>
    </w:p>
    <w:tbl>
      <w:tblPr>
        <w:tblStyle w:val="16"/>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5580" w:type="dxa"/>
            <w:noWrap/>
          </w:tcPr>
          <w:p/>
          <w:p/>
          <w:p>
            <w:pPr>
              <w:ind w:firstLine="2310" w:firstLineChars="1100"/>
            </w:pPr>
          </w:p>
          <w:p>
            <w:pPr>
              <w:ind w:firstLine="2310" w:firstLineChars="1100"/>
            </w:pPr>
            <w:r>
              <w:rPr>
                <w:rFonts w:hint="eastAsia"/>
              </w:rPr>
              <w:t>正反面</w:t>
            </w:r>
          </w:p>
        </w:tc>
      </w:tr>
    </w:tbl>
    <w:p>
      <w:pPr>
        <w:pStyle w:val="2"/>
        <w:ind w:left="420" w:hanging="420"/>
        <w:jc w:val="center"/>
        <w:rPr>
          <w:rFonts w:ascii="宋体" w:hAnsi="宋体" w:cs="宋体"/>
          <w:b/>
          <w:bCs/>
          <w:sz w:val="44"/>
          <w:szCs w:val="44"/>
        </w:rPr>
      </w:pPr>
    </w:p>
    <w:p>
      <w:pPr>
        <w:pStyle w:val="2"/>
        <w:ind w:left="420" w:hanging="420"/>
        <w:jc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供应商基本情况表</w:t>
      </w:r>
      <w:bookmarkEnd w:id="15"/>
    </w:p>
    <w:p>
      <w:pPr>
        <w:rPr>
          <w:u w:val="single"/>
        </w:rPr>
      </w:pPr>
      <w:r>
        <w:rPr>
          <w:rFonts w:hint="eastAsia"/>
        </w:rPr>
        <w:t>填表单位：</w:t>
      </w:r>
      <w:r>
        <w:rPr>
          <w:rFonts w:hint="eastAsia"/>
          <w:u w:val="single"/>
        </w:rPr>
        <w:t xml:space="preserve">           </w:t>
      </w:r>
      <w:r>
        <w:rPr>
          <w:rFonts w:hint="eastAsia"/>
        </w:rPr>
        <w:t xml:space="preserve"> （加盖单位公章）                       填表日期：      年  月  日</w:t>
      </w:r>
    </w:p>
    <w:tbl>
      <w:tblPr>
        <w:tblStyle w:val="17"/>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957"/>
        <w:gridCol w:w="1429"/>
        <w:gridCol w:w="1583"/>
        <w:gridCol w:w="1583"/>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362" w:type="dxa"/>
            <w:vAlign w:val="center"/>
          </w:tcPr>
          <w:p>
            <w:pPr>
              <w:spacing w:line="360" w:lineRule="auto"/>
              <w:jc w:val="center"/>
              <w:rPr>
                <w:rFonts w:hint="eastAsia" w:ascii="宋体" w:hAnsi="宋体" w:eastAsia="宋体" w:cs="宋体"/>
                <w:szCs w:val="21"/>
                <w:lang w:eastAsia="zh-CN"/>
              </w:rPr>
            </w:pPr>
            <w:r>
              <w:rPr>
                <w:rFonts w:hint="eastAsia" w:ascii="宋体" w:hAnsi="宋体" w:cs="宋体"/>
                <w:szCs w:val="21"/>
              </w:rPr>
              <w:t>采购</w:t>
            </w:r>
            <w:r>
              <w:rPr>
                <w:rFonts w:hint="eastAsia" w:ascii="宋体" w:hAnsi="宋体" w:cs="宋体"/>
                <w:szCs w:val="21"/>
                <w:lang w:val="en-US" w:eastAsia="zh-CN"/>
              </w:rPr>
              <w:t>单位</w:t>
            </w:r>
          </w:p>
        </w:tc>
        <w:tc>
          <w:tcPr>
            <w:tcW w:w="3386" w:type="dxa"/>
            <w:gridSpan w:val="2"/>
            <w:vAlign w:val="center"/>
          </w:tcPr>
          <w:p>
            <w:pPr>
              <w:spacing w:line="360" w:lineRule="auto"/>
              <w:jc w:val="center"/>
              <w:rPr>
                <w:rFonts w:ascii="宋体" w:hAnsi="宋体" w:cs="宋体"/>
                <w:szCs w:val="21"/>
              </w:rPr>
            </w:pPr>
          </w:p>
        </w:tc>
        <w:tc>
          <w:tcPr>
            <w:tcW w:w="3166" w:type="dxa"/>
            <w:gridSpan w:val="2"/>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投标（响应）供应商</w:t>
            </w:r>
          </w:p>
        </w:tc>
        <w:tc>
          <w:tcPr>
            <w:tcW w:w="3386" w:type="dxa"/>
            <w:gridSpan w:val="2"/>
            <w:vAlign w:val="center"/>
          </w:tcPr>
          <w:p>
            <w:pPr>
              <w:spacing w:line="360" w:lineRule="auto"/>
              <w:jc w:val="center"/>
              <w:rPr>
                <w:rFonts w:ascii="宋体" w:hAnsi="宋体" w:cs="宋体"/>
                <w:szCs w:val="21"/>
              </w:rPr>
            </w:pPr>
          </w:p>
        </w:tc>
        <w:tc>
          <w:tcPr>
            <w:tcW w:w="3166" w:type="dxa"/>
            <w:gridSpan w:val="2"/>
            <w:vAlign w:val="center"/>
          </w:tcPr>
          <w:p>
            <w:pPr>
              <w:spacing w:line="360" w:lineRule="auto"/>
              <w:jc w:val="center"/>
              <w:rPr>
                <w:rFonts w:ascii="宋体" w:hAnsi="宋体" w:cs="宋体"/>
                <w:szCs w:val="21"/>
              </w:rPr>
            </w:pPr>
            <w:r>
              <w:rPr>
                <w:rFonts w:hint="eastAsia" w:ascii="宋体" w:hAnsi="宋体" w:cs="宋体"/>
                <w:szCs w:val="21"/>
              </w:rPr>
              <w:t>供应商统一社会信用代码</w:t>
            </w: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497" w:type="dxa"/>
            <w:gridSpan w:val="6"/>
            <w:vAlign w:val="center"/>
          </w:tcPr>
          <w:p>
            <w:pPr>
              <w:spacing w:line="360" w:lineRule="auto"/>
              <w:jc w:val="center"/>
              <w:rPr>
                <w:rFonts w:ascii="宋体" w:hAnsi="宋体" w:cs="宋体"/>
                <w:szCs w:val="21"/>
              </w:rPr>
            </w:pPr>
            <w:r>
              <w:rPr>
                <w:rFonts w:hint="eastAsia" w:ascii="宋体" w:hAnsi="宋体" w:cs="宋体"/>
                <w:szCs w:val="21"/>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职务</w:t>
            </w:r>
          </w:p>
        </w:tc>
        <w:tc>
          <w:tcPr>
            <w:tcW w:w="1429" w:type="dxa"/>
            <w:vAlign w:val="center"/>
          </w:tcPr>
          <w:p>
            <w:pPr>
              <w:spacing w:line="360" w:lineRule="auto"/>
              <w:jc w:val="center"/>
              <w:rPr>
                <w:rFonts w:ascii="宋体" w:hAnsi="宋体" w:cs="宋体"/>
                <w:szCs w:val="21"/>
              </w:rPr>
            </w:pPr>
            <w:r>
              <w:rPr>
                <w:rFonts w:hint="eastAsia" w:ascii="宋体" w:hAnsi="宋体" w:cs="宋体"/>
                <w:szCs w:val="21"/>
              </w:rPr>
              <w:t>姓名</w:t>
            </w:r>
          </w:p>
        </w:tc>
        <w:tc>
          <w:tcPr>
            <w:tcW w:w="1583" w:type="dxa"/>
            <w:vAlign w:val="center"/>
          </w:tcPr>
          <w:p>
            <w:pPr>
              <w:spacing w:line="360" w:lineRule="auto"/>
              <w:jc w:val="center"/>
              <w:rPr>
                <w:rFonts w:ascii="宋体" w:hAnsi="宋体" w:cs="宋体"/>
                <w:szCs w:val="21"/>
              </w:rPr>
            </w:pPr>
            <w:r>
              <w:rPr>
                <w:rFonts w:hint="eastAsia" w:ascii="宋体" w:hAnsi="宋体" w:cs="宋体"/>
                <w:szCs w:val="21"/>
              </w:rPr>
              <w:t>身份证号码</w:t>
            </w:r>
          </w:p>
        </w:tc>
        <w:tc>
          <w:tcPr>
            <w:tcW w:w="1583" w:type="dxa"/>
            <w:vAlign w:val="center"/>
          </w:tcPr>
          <w:p>
            <w:pPr>
              <w:spacing w:line="360" w:lineRule="auto"/>
              <w:jc w:val="center"/>
              <w:rPr>
                <w:rFonts w:ascii="宋体" w:hAnsi="宋体" w:cs="宋体"/>
                <w:szCs w:val="21"/>
              </w:rPr>
            </w:pPr>
            <w:r>
              <w:rPr>
                <w:rFonts w:hint="eastAsia" w:ascii="宋体" w:hAnsi="宋体" w:cs="宋体"/>
                <w:szCs w:val="21"/>
              </w:rPr>
              <w:t>劳动合同</w:t>
            </w:r>
          </w:p>
          <w:p>
            <w:pPr>
              <w:spacing w:line="360" w:lineRule="auto"/>
              <w:jc w:val="center"/>
              <w:rPr>
                <w:rFonts w:ascii="宋体" w:hAnsi="宋体" w:cs="宋体"/>
                <w:szCs w:val="21"/>
              </w:rPr>
            </w:pPr>
            <w:r>
              <w:rPr>
                <w:rFonts w:hint="eastAsia" w:ascii="宋体" w:hAnsi="宋体" w:cs="宋体"/>
                <w:szCs w:val="21"/>
              </w:rPr>
              <w:t>关系单位</w:t>
            </w:r>
          </w:p>
        </w:tc>
        <w:tc>
          <w:tcPr>
            <w:tcW w:w="1583" w:type="dxa"/>
            <w:vAlign w:val="center"/>
          </w:tcPr>
          <w:p>
            <w:pPr>
              <w:spacing w:line="360" w:lineRule="auto"/>
              <w:jc w:val="center"/>
              <w:rPr>
                <w:rFonts w:ascii="宋体" w:hAnsi="宋体" w:cs="宋体"/>
                <w:szCs w:val="21"/>
              </w:rPr>
            </w:pPr>
            <w:r>
              <w:rPr>
                <w:rFonts w:hint="eastAsia" w:ascii="宋体" w:hAnsi="宋体" w:cs="宋体"/>
                <w:szCs w:val="21"/>
              </w:rPr>
              <w:t>缴纳社会</w:t>
            </w:r>
          </w:p>
          <w:p>
            <w:pPr>
              <w:spacing w:line="360" w:lineRule="auto"/>
              <w:jc w:val="center"/>
              <w:rPr>
                <w:rFonts w:ascii="宋体" w:hAnsi="宋体" w:cs="宋体"/>
                <w:szCs w:val="21"/>
              </w:rPr>
            </w:pPr>
            <w:r>
              <w:rPr>
                <w:rFonts w:hint="eastAsia" w:ascii="宋体" w:hAnsi="宋体" w:cs="宋体"/>
                <w:szCs w:val="21"/>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1</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法定代表人/单位负责人</w:t>
            </w:r>
          </w:p>
        </w:tc>
        <w:tc>
          <w:tcPr>
            <w:tcW w:w="1429"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2</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主要经营负责人</w:t>
            </w:r>
          </w:p>
        </w:tc>
        <w:tc>
          <w:tcPr>
            <w:tcW w:w="1429"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3</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项目投标授权代表人</w:t>
            </w:r>
          </w:p>
        </w:tc>
        <w:tc>
          <w:tcPr>
            <w:tcW w:w="1429"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4</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项目负责人</w:t>
            </w:r>
          </w:p>
        </w:tc>
        <w:tc>
          <w:tcPr>
            <w:tcW w:w="1429"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5</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主要技术人员</w:t>
            </w:r>
          </w:p>
        </w:tc>
        <w:tc>
          <w:tcPr>
            <w:tcW w:w="1429"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6</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投标文件编制人员</w:t>
            </w:r>
          </w:p>
        </w:tc>
        <w:tc>
          <w:tcPr>
            <w:tcW w:w="1429"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pPr>
              <w:spacing w:line="360" w:lineRule="auto"/>
              <w:jc w:val="left"/>
              <w:rPr>
                <w:rFonts w:ascii="宋体" w:hAnsi="宋体" w:cs="宋体"/>
                <w:szCs w:val="21"/>
              </w:rPr>
            </w:pPr>
            <w:r>
              <w:rPr>
                <w:rFonts w:hint="eastAsia" w:ascii="宋体" w:hAnsi="宋体" w:cs="宋体"/>
                <w:b/>
                <w:bCs/>
                <w:szCs w:val="21"/>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pPr>
              <w:spacing w:line="360" w:lineRule="auto"/>
              <w:jc w:val="center"/>
              <w:rPr>
                <w:rFonts w:ascii="宋体" w:hAnsi="宋体" w:cs="宋体"/>
                <w:szCs w:val="21"/>
              </w:rPr>
            </w:pPr>
            <w:r>
              <w:rPr>
                <w:rFonts w:hint="eastAsia" w:ascii="宋体" w:hAnsi="宋体" w:cs="宋体"/>
                <w:b/>
                <w:bCs/>
                <w:szCs w:val="21"/>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3386" w:type="dxa"/>
            <w:gridSpan w:val="2"/>
            <w:vAlign w:val="center"/>
          </w:tcPr>
          <w:p>
            <w:pPr>
              <w:spacing w:line="360" w:lineRule="auto"/>
              <w:jc w:val="center"/>
              <w:rPr>
                <w:rFonts w:ascii="宋体" w:hAnsi="宋体" w:cs="宋体"/>
                <w:szCs w:val="21"/>
              </w:rPr>
            </w:pPr>
            <w:r>
              <w:rPr>
                <w:rFonts w:hint="eastAsia" w:ascii="宋体" w:hAnsi="宋体" w:cs="宋体"/>
                <w:szCs w:val="21"/>
              </w:rPr>
              <w:t>关联关系类型</w:t>
            </w:r>
          </w:p>
        </w:tc>
        <w:tc>
          <w:tcPr>
            <w:tcW w:w="1583" w:type="dxa"/>
            <w:vAlign w:val="center"/>
          </w:tcPr>
          <w:p>
            <w:pPr>
              <w:spacing w:line="360" w:lineRule="auto"/>
              <w:jc w:val="center"/>
              <w:rPr>
                <w:rFonts w:ascii="宋体" w:hAnsi="宋体" w:cs="宋体"/>
                <w:szCs w:val="21"/>
              </w:rPr>
            </w:pPr>
            <w:r>
              <w:rPr>
                <w:rFonts w:hint="eastAsia" w:ascii="宋体" w:hAnsi="宋体" w:cs="宋体"/>
                <w:szCs w:val="21"/>
              </w:rPr>
              <w:t>关联主体名称</w:t>
            </w:r>
          </w:p>
        </w:tc>
        <w:tc>
          <w:tcPr>
            <w:tcW w:w="3166" w:type="dxa"/>
            <w:gridSpan w:val="2"/>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1</w:t>
            </w:r>
          </w:p>
        </w:tc>
        <w:tc>
          <w:tcPr>
            <w:tcW w:w="3386" w:type="dxa"/>
            <w:gridSpan w:val="2"/>
            <w:vAlign w:val="center"/>
          </w:tcPr>
          <w:p>
            <w:pPr>
              <w:spacing w:line="360" w:lineRule="auto"/>
              <w:jc w:val="center"/>
              <w:rPr>
                <w:rFonts w:ascii="宋体" w:hAnsi="宋体" w:cs="宋体"/>
                <w:szCs w:val="21"/>
              </w:rPr>
            </w:pPr>
            <w:r>
              <w:rPr>
                <w:rFonts w:hint="eastAsia" w:ascii="宋体" w:hAnsi="宋体" w:cs="宋体"/>
                <w:szCs w:val="21"/>
              </w:rPr>
              <w:t>控股股东</w:t>
            </w:r>
          </w:p>
        </w:tc>
        <w:tc>
          <w:tcPr>
            <w:tcW w:w="1583" w:type="dxa"/>
            <w:vAlign w:val="center"/>
          </w:tcPr>
          <w:p>
            <w:pPr>
              <w:spacing w:line="360" w:lineRule="auto"/>
              <w:jc w:val="center"/>
              <w:rPr>
                <w:rFonts w:ascii="宋体" w:hAnsi="宋体" w:cs="宋体"/>
                <w:szCs w:val="21"/>
              </w:rPr>
            </w:pPr>
          </w:p>
        </w:tc>
        <w:tc>
          <w:tcPr>
            <w:tcW w:w="3166" w:type="dxa"/>
            <w:gridSpan w:val="2"/>
            <w:vAlign w:val="center"/>
          </w:tcPr>
          <w:p>
            <w:pPr>
              <w:spacing w:line="360" w:lineRule="auto"/>
              <w:jc w:val="center"/>
              <w:rPr>
                <w:rFonts w:ascii="宋体" w:hAnsi="宋体" w:cs="宋体"/>
                <w:szCs w:val="21"/>
              </w:rPr>
            </w:pPr>
            <w:r>
              <w:rPr>
                <w:rFonts w:hint="eastAsia" w:ascii="宋体" w:hAnsi="宋体" w:cs="宋体"/>
                <w:szCs w:val="21"/>
              </w:rPr>
              <w:t xml:space="preserve">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 </w:t>
            </w:r>
          </w:p>
          <w:p>
            <w:pPr>
              <w:spacing w:line="360" w:lineRule="auto"/>
              <w:rPr>
                <w:rFonts w:ascii="宋体" w:hAnsi="宋体" w:cs="宋体"/>
                <w:szCs w:val="21"/>
              </w:rPr>
            </w:pPr>
            <w:r>
              <w:rPr>
                <w:rFonts w:hint="eastAsia" w:ascii="宋体" w:hAnsi="宋体" w:cs="宋体"/>
                <w:szCs w:val="21"/>
              </w:rPr>
              <w:t>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2</w:t>
            </w:r>
          </w:p>
        </w:tc>
        <w:tc>
          <w:tcPr>
            <w:tcW w:w="3386" w:type="dxa"/>
            <w:gridSpan w:val="2"/>
            <w:vAlign w:val="center"/>
          </w:tcPr>
          <w:p>
            <w:pPr>
              <w:spacing w:line="360" w:lineRule="auto"/>
              <w:jc w:val="center"/>
              <w:rPr>
                <w:rFonts w:ascii="宋体" w:hAnsi="宋体" w:cs="宋体"/>
                <w:szCs w:val="21"/>
              </w:rPr>
            </w:pPr>
            <w:r>
              <w:rPr>
                <w:rFonts w:hint="eastAsia" w:ascii="宋体" w:hAnsi="宋体" w:cs="宋体"/>
                <w:szCs w:val="21"/>
              </w:rPr>
              <w:t>管理关系</w:t>
            </w:r>
          </w:p>
        </w:tc>
        <w:tc>
          <w:tcPr>
            <w:tcW w:w="1583" w:type="dxa"/>
            <w:vAlign w:val="center"/>
          </w:tcPr>
          <w:p>
            <w:pPr>
              <w:spacing w:line="360" w:lineRule="auto"/>
              <w:jc w:val="center"/>
              <w:rPr>
                <w:rFonts w:ascii="宋体" w:hAnsi="宋体" w:cs="宋体"/>
                <w:szCs w:val="21"/>
              </w:rPr>
            </w:pPr>
          </w:p>
        </w:tc>
        <w:tc>
          <w:tcPr>
            <w:tcW w:w="3166" w:type="dxa"/>
            <w:gridSpan w:val="2"/>
            <w:vAlign w:val="center"/>
          </w:tcPr>
          <w:p>
            <w:pPr>
              <w:spacing w:line="360" w:lineRule="auto"/>
              <w:jc w:val="center"/>
              <w:rPr>
                <w:rFonts w:ascii="宋体" w:hAnsi="宋体" w:cs="宋体"/>
                <w:szCs w:val="21"/>
              </w:rPr>
            </w:pPr>
            <w:r>
              <w:rPr>
                <w:rFonts w:hint="eastAsia" w:ascii="宋体" w:hAnsi="宋体" w:cs="宋体"/>
                <w:szCs w:val="21"/>
              </w:rPr>
              <w:t xml:space="preserve">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 </w:t>
            </w:r>
          </w:p>
          <w:p>
            <w:pPr>
              <w:spacing w:line="360" w:lineRule="auto"/>
              <w:rPr>
                <w:rFonts w:ascii="宋体" w:hAnsi="宋体" w:cs="宋体"/>
                <w:szCs w:val="21"/>
              </w:rPr>
            </w:pPr>
            <w:r>
              <w:rPr>
                <w:rFonts w:hint="eastAsia" w:ascii="宋体" w:hAnsi="宋体" w:cs="宋体"/>
                <w:szCs w:val="21"/>
              </w:rPr>
              <w:t>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497" w:type="dxa"/>
            <w:gridSpan w:val="6"/>
            <w:vAlign w:val="center"/>
          </w:tcPr>
          <w:p>
            <w:pPr>
              <w:spacing w:line="360" w:lineRule="auto"/>
              <w:jc w:val="left"/>
              <w:rPr>
                <w:rFonts w:ascii="宋体" w:hAnsi="宋体" w:cs="宋体"/>
                <w:szCs w:val="21"/>
              </w:rPr>
            </w:pPr>
            <w:r>
              <w:rPr>
                <w:rFonts w:hint="eastAsia" w:ascii="宋体" w:hAnsi="宋体" w:cs="宋体"/>
                <w:b/>
                <w:bCs/>
                <w:szCs w:val="21"/>
              </w:rPr>
              <w:t>说明：同一关联关系类型有多个主体的，应分行填写。</w:t>
            </w:r>
          </w:p>
        </w:tc>
      </w:tr>
    </w:tbl>
    <w:p>
      <w:pPr>
        <w:spacing w:line="360" w:lineRule="auto"/>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备注：</w:t>
      </w:r>
    </w:p>
    <w:p>
      <w:pPr>
        <w:spacing w:line="360" w:lineRule="auto"/>
        <w:rPr>
          <w:rFonts w:ascii="宋体" w:hAnsi="宋体" w:cs="宋体"/>
          <w:b/>
          <w:bCs/>
          <w:color w:val="auto"/>
          <w:highlight w:val="none"/>
        </w:rPr>
      </w:pPr>
      <w:r>
        <w:rPr>
          <w:rFonts w:hint="eastAsia" w:ascii="宋体" w:hAnsi="宋体" w:cs="宋体"/>
          <w:b/>
          <w:bCs/>
          <w:color w:val="auto"/>
          <w:highlight w:val="none"/>
          <w:lang w:val="en-US" w:eastAsia="zh-CN"/>
        </w:rPr>
        <w:t>1.</w:t>
      </w:r>
      <w:r>
        <w:rPr>
          <w:rFonts w:hint="eastAsia" w:ascii="宋体" w:hAnsi="宋体" w:cs="宋体"/>
          <w:b/>
          <w:bCs/>
          <w:color w:val="auto"/>
          <w:highlight w:val="none"/>
        </w:rPr>
        <w:t>本表中填报的人员姓名、身份证号码、缴纳社会保险单位应与社保证明材料中显示的信息相同。</w:t>
      </w:r>
    </w:p>
    <w:p>
      <w:pPr>
        <w:spacing w:line="360" w:lineRule="auto"/>
        <w:rPr>
          <w:rFonts w:ascii="宋体" w:hAnsi="宋体" w:cs="宋体"/>
          <w:b/>
          <w:bCs/>
          <w:color w:val="auto"/>
          <w:highlight w:val="none"/>
        </w:rPr>
      </w:pPr>
      <w:r>
        <w:rPr>
          <w:rFonts w:hint="eastAsia" w:ascii="宋体" w:hAnsi="宋体" w:cs="宋体"/>
          <w:b/>
          <w:bCs/>
          <w:color w:val="auto"/>
          <w:highlight w:val="none"/>
          <w:lang w:val="en-US" w:eastAsia="zh-CN"/>
        </w:rPr>
        <w:t>2.</w:t>
      </w:r>
      <w:r>
        <w:rPr>
          <w:rFonts w:hint="eastAsia" w:ascii="宋体" w:hAnsi="宋体" w:cs="宋体"/>
          <w:b/>
          <w:bCs/>
          <w:color w:val="auto"/>
          <w:highlight w:val="none"/>
        </w:rPr>
        <w:t>投标（响应）供应商未按要求填报《供应商基本情况表》或未加盖公章或未按要求提供证明材料的，将按投标（响应）无效处理。</w:t>
      </w:r>
    </w:p>
    <w:p>
      <w:pPr>
        <w:rPr>
          <w:rFonts w:ascii="宋体" w:hAnsi="宋体" w:cs="宋体"/>
          <w:sz w:val="30"/>
          <w:szCs w:val="30"/>
        </w:rPr>
      </w:pPr>
      <w:r>
        <w:rPr>
          <w:rFonts w:hint="eastAsia" w:ascii="宋体" w:hAnsi="宋体" w:cs="宋体"/>
          <w:sz w:val="30"/>
          <w:szCs w:val="30"/>
        </w:rPr>
        <w:br w:type="page"/>
      </w:r>
    </w:p>
    <w:p>
      <w:pPr>
        <w:pStyle w:val="2"/>
        <w:ind w:left="420" w:hanging="420"/>
        <w:jc w:val="center"/>
        <w:rPr>
          <w:rFonts w:ascii="宋体" w:hAnsi="宋体" w:cs="宋体"/>
          <w:color w:val="000000"/>
          <w:kern w:val="0"/>
          <w:sz w:val="44"/>
          <w:szCs w:val="44"/>
          <w:lang w:bidi="ar"/>
        </w:rPr>
      </w:pPr>
      <w:bookmarkStart w:id="16" w:name="_Toc17532"/>
      <w:bookmarkStart w:id="17" w:name="_Toc14311"/>
      <w:r>
        <w:rPr>
          <w:rFonts w:hint="eastAsia" w:ascii="宋体" w:hAnsi="宋体" w:cs="宋体"/>
          <w:color w:val="000000"/>
          <w:kern w:val="0"/>
          <w:sz w:val="44"/>
          <w:szCs w:val="44"/>
          <w:lang w:bidi="ar"/>
        </w:rPr>
        <w:t>提供社会保险证明</w:t>
      </w:r>
      <w:bookmarkEnd w:id="16"/>
      <w:bookmarkEnd w:id="17"/>
    </w:p>
    <w:p>
      <w:pPr>
        <w:pStyle w:val="27"/>
      </w:pP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提供法定代表人最近一个月的社保证明：</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提供主要经营负责人最近一个月的社保证明：</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项目投标授权代表人最近一个月的社保证明：</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提供项目负责人最近一个月的社保证明（如有）：</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提供主要技术人员最近一个月的社保证明（如有）：</w:t>
      </w:r>
    </w:p>
    <w:p>
      <w:pPr>
        <w:spacing w:line="500" w:lineRule="exact"/>
        <w:rPr>
          <w:rFonts w:ascii="宋体" w:hAnsi="宋体"/>
          <w:sz w:val="28"/>
          <w:szCs w:val="28"/>
        </w:rPr>
      </w:pPr>
    </w:p>
    <w:p>
      <w:pPr>
        <w:pStyle w:val="9"/>
        <w:ind w:firstLine="560" w:firstLineChars="200"/>
        <w:rPr>
          <w:sz w:val="28"/>
          <w:szCs w:val="28"/>
        </w:rPr>
      </w:pPr>
      <w:r>
        <w:rPr>
          <w:rFonts w:hint="eastAsia"/>
          <w:sz w:val="28"/>
          <w:szCs w:val="28"/>
        </w:rPr>
        <w:t>注：</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1.法定代表人、主要经营负责人、项目投标授权代表人的社会保险未由投标人单位缴纳，亦须提供相应单位为其缴纳的社会保险证明</w:t>
      </w:r>
      <w:r>
        <w:rPr>
          <w:rFonts w:hint="eastAsia" w:ascii="仿宋_GB2312" w:hAnsi="仿宋_GB2312" w:eastAsia="仿宋_GB2312" w:cs="仿宋_GB2312"/>
          <w:sz w:val="28"/>
          <w:szCs w:val="28"/>
          <w:lang w:val="en-US" w:eastAsia="zh-CN"/>
        </w:rPr>
        <w:t>（须体现投标人的单位信息）</w:t>
      </w:r>
      <w:r>
        <w:rPr>
          <w:rFonts w:hint="eastAsia" w:ascii="仿宋_GB2312" w:hAnsi="仿宋_GB2312" w:eastAsia="仿宋_GB2312" w:cs="仿宋_GB2312"/>
          <w:sz w:val="28"/>
          <w:szCs w:val="28"/>
        </w:rPr>
        <w:t>。</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2.项目负责人和主要技术人员的社会保险须由投标人单位缴纳</w:t>
      </w:r>
      <w:r>
        <w:rPr>
          <w:rFonts w:hint="eastAsia" w:ascii="仿宋_GB2312" w:hAnsi="仿宋_GB2312" w:eastAsia="仿宋_GB2312" w:cs="仿宋_GB2312"/>
          <w:sz w:val="28"/>
          <w:szCs w:val="28"/>
          <w:lang w:val="en-US" w:eastAsia="zh-CN"/>
        </w:rPr>
        <w:t>（须体现投标人的单位信息）</w:t>
      </w:r>
      <w:r>
        <w:rPr>
          <w:rFonts w:hint="eastAsia" w:ascii="仿宋_GB2312" w:hAnsi="仿宋_GB2312" w:eastAsia="仿宋_GB2312" w:cs="仿宋_GB2312"/>
          <w:sz w:val="28"/>
          <w:szCs w:val="28"/>
        </w:rPr>
        <w:t>。</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3.投标人为新成立企业且成立时间不足一个月可提供加盖投标人公章的情况说明或者证明材料亦视为符合。</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4.由于社保部门或税务部门的原因最近一个月的社保证明无法提供的可往前顺延一个月。</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5.如依法不需要缴纳社会保险的，应提供相应文件证明；如为退休返聘人员提供退休证明和聘用合同。</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6.若因社保部门原因无法提供的，需提供劳动合同及社保部门官方通知证明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或官网公告截图</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7.如本项目未安排项目负责人、主要技术人员的，无需提供项目负责人、主要技术人员的社会保险证明。</w:t>
      </w:r>
    </w:p>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ascii="仿宋" w:hAnsi="仿宋" w:eastAsia="仿宋" w:cs="仿宋"/>
          <w:b/>
          <w:bCs/>
          <w:sz w:val="28"/>
          <w:szCs w:val="36"/>
        </w:rPr>
      </w:pPr>
      <w:r>
        <w:rPr>
          <w:rFonts w:hint="eastAsia" w:ascii="宋体" w:hAnsi="宋体" w:cs="宋体"/>
          <w:b/>
          <w:bCs/>
          <w:sz w:val="44"/>
          <w:szCs w:val="44"/>
        </w:rPr>
        <w:t>政府采购优惠政策（根据实际情况提供）</w:t>
      </w:r>
    </w:p>
    <w:p>
      <w:pPr>
        <w:pStyle w:val="3"/>
        <w:spacing w:beforeAutospacing="0" w:afterAutospacing="0" w:line="500" w:lineRule="exact"/>
        <w:jc w:val="center"/>
        <w:rPr>
          <w:rFonts w:hint="default" w:ascii="黑体"/>
          <w:sz w:val="32"/>
          <w:szCs w:val="32"/>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firstLineChars="200"/>
        <w:jc w:val="both"/>
        <w:textAlignment w:val="auto"/>
        <w:rPr>
          <w:rFonts w:hint="default" w:ascii="黑体" w:hAnsi="黑体" w:eastAsia="黑体" w:cs="黑体"/>
          <w:bCs/>
          <w:sz w:val="28"/>
          <w:szCs w:val="28"/>
        </w:rPr>
      </w:pPr>
      <w:r>
        <w:rPr>
          <w:rFonts w:ascii="黑体" w:hAnsi="黑体" w:eastAsia="黑体" w:cs="黑体"/>
          <w:sz w:val="28"/>
          <w:szCs w:val="28"/>
        </w:rPr>
        <w:t>一、投标人情况及资格证明文件</w:t>
      </w:r>
      <w:bookmarkStart w:id="18" w:name="_Hlk72257590"/>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outlineLvl w:val="3"/>
        <w:rPr>
          <w:rFonts w:ascii="楷体" w:hAnsi="楷体" w:eastAsia="楷体" w:cs="楷体"/>
          <w:bCs/>
          <w:sz w:val="28"/>
          <w:szCs w:val="28"/>
        </w:rPr>
      </w:pPr>
      <w:r>
        <w:rPr>
          <w:rFonts w:hint="eastAsia" w:ascii="楷体" w:hAnsi="楷体" w:eastAsia="楷体" w:cs="楷体"/>
          <w:bCs/>
          <w:sz w:val="28"/>
          <w:szCs w:val="28"/>
        </w:rPr>
        <w:t>（一）投标人资格证明文件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eastAsia="仿宋_GB2312"/>
          <w:b/>
          <w:bCs/>
          <w:sz w:val="28"/>
          <w:szCs w:val="28"/>
          <w:lang w:val="en-US" w:eastAsia="zh-CN"/>
        </w:rPr>
      </w:pP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特别提示：投标人须按本招标文件第一册第一章招标公告“申请人的资格要求”（即投标人资格要求）提供相关的资格证明资料，未提供或提供不完整、不符合要求的，将作投标无效处理</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outlineLvl w:val="3"/>
        <w:rPr>
          <w:rFonts w:ascii="楷体" w:hAnsi="楷体" w:eastAsia="楷体" w:cs="楷体"/>
          <w:bCs/>
          <w:sz w:val="28"/>
          <w:szCs w:val="28"/>
        </w:rPr>
      </w:pPr>
      <w:r>
        <w:rPr>
          <w:rFonts w:hint="eastAsia" w:ascii="楷体" w:hAnsi="楷体" w:eastAsia="楷体" w:cs="楷体"/>
          <w:bCs/>
          <w:sz w:val="28"/>
          <w:szCs w:val="28"/>
        </w:rPr>
        <w:t>（二）中小企业声明函、残疾人福利性单位声明函及监狱企业声明函</w:t>
      </w:r>
      <w:bookmarkEnd w:id="18"/>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填写指引：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2.该部分内容填写需要参考的相关文件：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rPr>
        <w:t>财政部《政府采购促进中小企业发展管理办法》（财库〔2020〕46号）；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（2）</w:t>
      </w:r>
      <w:bookmarkStart w:id="19" w:name="_Hlk71925120"/>
      <w:r>
        <w:rPr>
          <w:rFonts w:hint="eastAsia" w:ascii="仿宋_GB2312" w:hAnsi="仿宋_GB2312" w:eastAsia="仿宋_GB2312" w:cs="仿宋_GB2312"/>
          <w:sz w:val="28"/>
          <w:szCs w:val="28"/>
        </w:rPr>
        <w:t>《工业和信息化部、国家统计局、国家发展和改革委员会、财政部关于印发中小企业划型标准规定的通知》（工信部联企业〔2011〕300号</w:t>
      </w:r>
      <w:bookmarkEnd w:id="19"/>
      <w:r>
        <w:rPr>
          <w:rFonts w:hint="eastAsia" w:ascii="仿宋_GB2312" w:hAnsi="仿宋_GB2312" w:eastAsia="仿宋_GB2312" w:cs="仿宋_GB2312"/>
          <w:sz w:val="28"/>
          <w:szCs w:val="28"/>
        </w:rPr>
        <w:t>，以下简称300号文）；</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rPr>
        <w:t>《政府采购促进中小企业发展管理办法》（财库〔2020〕46号）；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rPr>
        <w:t>《关于印发中小企业划型标准规定的通知》（工信部联企业〔2011〕300号）；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sz w:val="28"/>
          <w:szCs w:val="28"/>
        </w:rPr>
      </w:pPr>
      <w:r>
        <w:rPr>
          <w:rFonts w:hint="eastAsia" w:ascii="仿宋_GB2312" w:hAnsi="仿宋_GB2312" w:eastAsia="仿宋_GB2312" w:cs="仿宋_GB2312"/>
          <w:sz w:val="28"/>
          <w:szCs w:val="28"/>
          <w:lang w:eastAsia="zh-CN"/>
        </w:rPr>
        <w:t>（5）</w:t>
      </w:r>
      <w:r>
        <w:rPr>
          <w:rFonts w:hint="eastAsia" w:ascii="仿宋_GB2312" w:hAnsi="仿宋_GB2312" w:eastAsia="仿宋_GB2312" w:cs="仿宋_GB2312"/>
          <w:sz w:val="28"/>
          <w:szCs w:val="28"/>
        </w:rPr>
        <w:t>《统计上大中小微型企业划分办法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2017</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》（国统字〔2017〕213号）；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（6）</w:t>
      </w:r>
      <w:r>
        <w:rPr>
          <w:rFonts w:hint="eastAsia" w:ascii="仿宋_GB2312" w:hAnsi="仿宋_GB2312" w:eastAsia="仿宋_GB2312" w:cs="仿宋_GB2312"/>
          <w:sz w:val="28"/>
          <w:szCs w:val="28"/>
        </w:rPr>
        <w:t>《关于促进残疾人就业政府采购政策的通知》（财库〔2017〕141号）；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（7）</w:t>
      </w:r>
      <w:r>
        <w:rPr>
          <w:rFonts w:hint="eastAsia" w:ascii="仿宋_GB2312" w:hAnsi="仿宋_GB2312" w:eastAsia="仿宋_GB2312" w:cs="仿宋_GB2312"/>
          <w:sz w:val="28"/>
          <w:szCs w:val="28"/>
        </w:rPr>
        <w:t>《关于政府采购支持监狱企业发展有关问题的通知》（财库〔2014〕68号）。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请依照提供的格式和内容填写声明函，不要随意变更格式；声明函不需要盖章或签字；满足多项优惠政策的投标人，不重复享受多项价格扣除政策。</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声明函具体填写要求：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（1）声明是中小企业须填写《中小企业声明函》的以下内容：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第一处，在“单位名称”下划线处如实填写采购人名称（深圳公共资源交易中心不是本项目的采购人，而是组织实施机构）；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第二处，在“项目名称”下划线处如实填写采购项目名称；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第三处，在“标的名称”下划线处填写所采购货物（标的）的具体名称；如果涉及多项货物（标的）为同一企业制造，“标的名称”下划线处可以如实填写多项货物；</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第四处，在“招标文件中明确的所属行业”下划线处填写采购标的对应的中小企业划分标准所属行业；</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（2）声明：残疾人福利性单位须填写《残疾人福利性单位声明函》的相关内容，具体参照以上《中小企业声明函》填写要求执行。</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（3）声明：监狱企业须填写《监狱企业声明函》的三项内容（填写位置的字体已加粗），具体参照以上《中小企业声明函》填写要求执行。</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声明函的有效性最终由评审委员会判定；如评审委员会判定声明函无效，相关供应商不享受价格扣除（但不作投标无效处理）。</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firstLineChars="200"/>
        <w:jc w:val="both"/>
        <w:textAlignment w:val="auto"/>
        <w:rPr>
          <w:rFonts w:hint="default"/>
          <w:b/>
          <w:sz w:val="28"/>
          <w:szCs w:val="28"/>
        </w:rPr>
      </w:pPr>
      <w:r>
        <w:rPr>
          <w:rFonts w:ascii="黑体" w:hAnsi="黑体" w:eastAsia="黑体" w:cs="黑体"/>
          <w:sz w:val="28"/>
          <w:szCs w:val="28"/>
        </w:rPr>
        <w:t>二、相关模板</w:t>
      </w: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pStyle w:val="9"/>
        <w:rPr>
          <w:b/>
          <w:sz w:val="36"/>
          <w:szCs w:val="36"/>
        </w:rPr>
      </w:pPr>
    </w:p>
    <w:p>
      <w:pPr>
        <w:rPr>
          <w:b/>
          <w:sz w:val="36"/>
          <w:szCs w:val="36"/>
        </w:rPr>
      </w:pPr>
    </w:p>
    <w:p>
      <w:pPr>
        <w:pStyle w:val="9"/>
        <w:rPr>
          <w:b/>
          <w:sz w:val="36"/>
          <w:szCs w:val="36"/>
        </w:rPr>
      </w:pPr>
    </w:p>
    <w:p>
      <w:pPr>
        <w:rPr>
          <w:b/>
          <w:sz w:val="36"/>
          <w:szCs w:val="36"/>
        </w:rPr>
      </w:pPr>
    </w:p>
    <w:p>
      <w:pPr>
        <w:spacing w:line="5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6"/>
          <w:szCs w:val="36"/>
        </w:rPr>
        <w:t>（一）中小企业声明函</w:t>
      </w:r>
    </w:p>
    <w:p>
      <w:pPr>
        <w:spacing w:line="400" w:lineRule="exact"/>
        <w:ind w:firstLine="640" w:firstLineChars="200"/>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本企业已知悉《政府采购促进中小企业发展管理办法》（财库〔2020〕46号）、《中小企业划型》（工信部联企〔2011〕300号）、《统计上大中小微型企业划分办法（2017）》等规定，承诺提供的声明函内容是真实的，并知悉根据《政府采购促进中小企业发展管理办法》（财库〔2020〕46号）第二十条规定，供应商按照本办法规定提供声明函内容不实的，属于提供虚假材料谋取中标、成交，依照《中华人民共和国政府采购法》等政府采购有关法律法规规定追究相应责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本公司（联合体）郑重声明，根据《政府采购促进中小企业发展管理办法》（财库〔2020〕46号）的规定，本公司（联合体）参加</w:t>
      </w:r>
      <w:r>
        <w:rPr>
          <w:rFonts w:hint="eastAsia" w:ascii="仿宋_GB2312" w:hAnsi="仿宋_GB2312" w:eastAsia="仿宋_GB2312" w:cs="仿宋_GB2312"/>
          <w:sz w:val="28"/>
          <w:szCs w:val="28"/>
          <w:u w:val="single"/>
        </w:rPr>
        <w:t>（单位名称）</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u w:val="single"/>
        </w:rPr>
        <w:t>（项目名称）</w:t>
      </w:r>
      <w:r>
        <w:rPr>
          <w:rFonts w:hint="eastAsia" w:ascii="仿宋_GB2312" w:hAnsi="仿宋_GB2312" w:eastAsia="仿宋_GB2312" w:cs="仿宋_GB2312"/>
          <w:sz w:val="28"/>
          <w:szCs w:val="28"/>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u w:val="single"/>
        </w:rPr>
        <w:t>（标的名称）</w:t>
      </w:r>
      <w:r>
        <w:rPr>
          <w:rFonts w:hint="eastAsia" w:ascii="仿宋_GB2312" w:hAnsi="仿宋_GB2312" w:eastAsia="仿宋_GB2312" w:cs="仿宋_GB2312"/>
          <w:sz w:val="28"/>
          <w:szCs w:val="28"/>
        </w:rPr>
        <w:t>，属于</w:t>
      </w:r>
      <w:r>
        <w:rPr>
          <w:rFonts w:hint="eastAsia" w:ascii="仿宋_GB2312" w:hAnsi="仿宋_GB2312" w:eastAsia="仿宋_GB2312" w:cs="仿宋_GB2312"/>
          <w:sz w:val="28"/>
          <w:szCs w:val="28"/>
          <w:u w:val="single"/>
        </w:rPr>
        <w:t>（采购文件中明确的所属行业）</w:t>
      </w:r>
      <w:r>
        <w:rPr>
          <w:rFonts w:hint="eastAsia" w:ascii="仿宋_GB2312" w:hAnsi="仿宋_GB2312" w:eastAsia="仿宋_GB2312" w:cs="仿宋_GB2312"/>
          <w:sz w:val="28"/>
          <w:szCs w:val="28"/>
        </w:rPr>
        <w:t>行业；制造商为</w:t>
      </w:r>
      <w:r>
        <w:rPr>
          <w:rFonts w:hint="eastAsia" w:ascii="仿宋_GB2312" w:hAnsi="仿宋_GB2312" w:eastAsia="仿宋_GB2312" w:cs="仿宋_GB2312"/>
          <w:sz w:val="28"/>
          <w:szCs w:val="28"/>
          <w:u w:val="single"/>
        </w:rPr>
        <w:t>（企业名称）</w:t>
      </w:r>
      <w:r>
        <w:rPr>
          <w:rFonts w:hint="eastAsia" w:ascii="仿宋_GB2312" w:hAnsi="仿宋_GB2312" w:eastAsia="仿宋_GB2312" w:cs="仿宋_GB2312"/>
          <w:sz w:val="28"/>
          <w:szCs w:val="28"/>
        </w:rPr>
        <w:t>，从业人员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人，营业收入为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万元，资产总额为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万元，属于</w:t>
      </w:r>
      <w:r>
        <w:rPr>
          <w:rFonts w:hint="eastAsia" w:ascii="仿宋_GB2312" w:hAnsi="仿宋_GB2312" w:eastAsia="仿宋_GB2312" w:cs="仿宋_GB2312"/>
          <w:sz w:val="28"/>
          <w:szCs w:val="28"/>
          <w:u w:val="single"/>
        </w:rPr>
        <w:t>（中型企业、小型企业、微型企业）</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本企业对上述声明内容的真实性负责。如有虚假，将依法承担相应责任。</w:t>
      </w:r>
    </w:p>
    <w:p>
      <w:pPr>
        <w:pStyle w:val="9"/>
        <w:rPr>
          <w:sz w:val="28"/>
          <w:szCs w:val="28"/>
        </w:rPr>
      </w:pPr>
    </w:p>
    <w:p>
      <w:pPr>
        <w:spacing w:line="440" w:lineRule="exact"/>
        <w:ind w:firstLine="560" w:firstLineChars="200"/>
        <w:rPr>
          <w:rFonts w:ascii="仿宋_GB2312" w:hAnsi="仿宋_GB2312" w:eastAsia="仿宋_GB2312" w:cs="仿宋_GB2312"/>
          <w:sz w:val="28"/>
          <w:szCs w:val="28"/>
        </w:rPr>
      </w:pPr>
      <w:r>
        <w:rPr>
          <w:rFonts w:hint="eastAsia"/>
          <w:sz w:val="28"/>
          <w:szCs w:val="28"/>
        </w:rPr>
        <w:t xml:space="preserve">                                     </w:t>
      </w:r>
      <w:r>
        <w:rPr>
          <w:rFonts w:hint="eastAsia" w:ascii="仿宋_GB2312" w:hAnsi="仿宋_GB2312" w:eastAsia="仿宋_GB2312" w:cs="仿宋_GB2312"/>
          <w:sz w:val="28"/>
          <w:szCs w:val="28"/>
        </w:rPr>
        <w:t>企业名称（盖章）：</w:t>
      </w:r>
    </w:p>
    <w:p>
      <w:pPr>
        <w:spacing w:line="440" w:lineRule="exact"/>
        <w:ind w:firstLine="560" w:firstLineChars="200"/>
        <w:rPr>
          <w:b/>
          <w:sz w:val="36"/>
          <w:szCs w:val="36"/>
        </w:rPr>
      </w:pPr>
      <w:r>
        <w:rPr>
          <w:rFonts w:hint="eastAsia" w:ascii="仿宋_GB2312" w:hAnsi="仿宋_GB2312" w:eastAsia="仿宋_GB2312" w:cs="仿宋_GB2312"/>
          <w:sz w:val="28"/>
          <w:szCs w:val="28"/>
        </w:rPr>
        <w:t xml:space="preserve">                       日期：</w:t>
      </w:r>
      <w:r>
        <w:rPr>
          <w:rFonts w:hint="eastAsia" w:ascii="仿宋_GB2312" w:hAnsi="仿宋_GB2312" w:eastAsia="仿宋_GB2312" w:cs="仿宋_GB2312"/>
          <w:sz w:val="32"/>
          <w:szCs w:val="32"/>
        </w:rPr>
        <w:t xml:space="preserve"> </w:t>
      </w: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pStyle w:val="9"/>
      </w:pPr>
    </w:p>
    <w:p>
      <w:pPr>
        <w:spacing w:line="500" w:lineRule="exact"/>
        <w:jc w:val="center"/>
        <w:rPr>
          <w:b/>
          <w:sz w:val="36"/>
          <w:szCs w:val="36"/>
        </w:rPr>
      </w:pPr>
      <w:r>
        <w:rPr>
          <w:rFonts w:hint="eastAsia"/>
          <w:b/>
          <w:sz w:val="36"/>
          <w:szCs w:val="36"/>
        </w:rPr>
        <w:t>（二）残疾人福利性单位声明函</w:t>
      </w:r>
    </w:p>
    <w:p>
      <w:pPr>
        <w:spacing w:line="500" w:lineRule="exact"/>
        <w:ind w:firstLine="640" w:firstLineChars="200"/>
        <w:jc w:val="left"/>
        <w:rPr>
          <w:rFonts w:ascii="仿宋_GB2312" w:hAnsi="仿宋_GB2312" w:eastAsia="仿宋_GB2312" w:cs="仿宋_GB2312"/>
          <w:sz w:val="32"/>
          <w:szCs w:val="32"/>
        </w:rPr>
      </w:pP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本单位知悉《促进残疾人就业政府采购政策的通知》（财库〔2017〕141号）的规定，承诺提供的声明函内容是真实的，如提供声明函内容不实，则依法追究相关法律责任。</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本单位对上述声明的真实性负责。如有虚假，将依法承担相应责任。</w:t>
      </w:r>
    </w:p>
    <w:p>
      <w:pPr>
        <w:pStyle w:val="9"/>
        <w:tabs>
          <w:tab w:val="left" w:pos="562"/>
          <w:tab w:val="left" w:pos="3372"/>
          <w:tab w:val="left" w:pos="3653"/>
        </w:tabs>
        <w:spacing w:line="560" w:lineRule="exact"/>
        <w:rPr>
          <w:rFonts w:ascii="仿宋_GB2312" w:hAnsi="仿宋_GB2312" w:eastAsia="仿宋_GB2312" w:cs="仿宋_GB2312"/>
          <w:sz w:val="28"/>
          <w:szCs w:val="28"/>
        </w:rPr>
      </w:pPr>
    </w:p>
    <w:p>
      <w:pPr>
        <w:spacing w:line="560" w:lineRule="exact"/>
        <w:rPr>
          <w:sz w:val="28"/>
          <w:szCs w:val="28"/>
        </w:rPr>
      </w:pPr>
    </w:p>
    <w:p>
      <w:pPr>
        <w:spacing w:line="560" w:lineRule="exact"/>
        <w:ind w:firstLine="3920" w:firstLineChars="14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单位名称（盖章）：</w:t>
      </w:r>
    </w:p>
    <w:p>
      <w:pPr>
        <w:spacing w:line="560" w:lineRule="exact"/>
        <w:ind w:firstLine="3920" w:firstLineChars="14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日  期：</w:t>
      </w:r>
    </w:p>
    <w:p>
      <w:pPr>
        <w:pStyle w:val="9"/>
        <w:rPr>
          <w:rFonts w:ascii="仿宋_GB2312" w:hAnsi="仿宋_GB2312" w:eastAsia="仿宋_GB2312" w:cs="仿宋_GB2312"/>
        </w:rPr>
      </w:pPr>
    </w:p>
    <w:p>
      <w:pPr>
        <w:pStyle w:val="9"/>
        <w:rPr>
          <w:rFonts w:ascii="仿宋_GB2312" w:hAnsi="仿宋_GB2312" w:eastAsia="仿宋_GB2312" w:cs="仿宋_GB231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2"/>
      </w:pPr>
    </w:p>
    <w:p/>
    <w:p/>
    <w:p/>
    <w:p>
      <w:pPr>
        <w:numPr>
          <w:ilvl w:val="0"/>
          <w:numId w:val="2"/>
        </w:numPr>
        <w:spacing w:line="500" w:lineRule="exact"/>
        <w:jc w:val="center"/>
        <w:rPr>
          <w:b/>
          <w:sz w:val="36"/>
          <w:szCs w:val="36"/>
        </w:rPr>
      </w:pPr>
      <w:r>
        <w:rPr>
          <w:rFonts w:hint="eastAsia"/>
          <w:b/>
          <w:sz w:val="36"/>
          <w:szCs w:val="36"/>
        </w:rPr>
        <w:t>监狱企业声明函</w:t>
      </w:r>
    </w:p>
    <w:p>
      <w:pPr>
        <w:pStyle w:val="9"/>
      </w:pP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本单位郑重声明，根据《财政部司法部关于政府采购支持监狱企业发展有关问题的通知》（财库〔2014〕68号）的规定，本单位为符合条件的监狱企业，且本单位参加（采购单位名称） 单位的（采购项目名称）项目采购活动，并提供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□本单位制造的货物</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□由本单位承担的工程、提供服务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□提供其他监狱企业制造的货物（承诺人在□处打√）。本条所称货物是指单一产品采购项目中的货物，或者非单一产品采购项目中的核心产品（货物）。</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本单位对上述声明的真实性负责。如有虚假，将依法承担相应责任。</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附：省级以上监狱管理局、戒毒管理局（含新疆生产建设兵团）出具的监狱企业证明文件。</w:t>
      </w:r>
    </w:p>
    <w:p>
      <w:pPr>
        <w:spacing w:line="560" w:lineRule="exact"/>
        <w:ind w:firstLine="560" w:firstLineChars="200"/>
        <w:jc w:val="left"/>
        <w:rPr>
          <w:rFonts w:ascii="仿宋_GB2312" w:hAnsi="仿宋_GB2312" w:eastAsia="仿宋_GB2312" w:cs="仿宋_GB2312"/>
          <w:sz w:val="28"/>
          <w:szCs w:val="28"/>
        </w:rPr>
      </w:pPr>
    </w:p>
    <w:p>
      <w:pPr>
        <w:pStyle w:val="9"/>
        <w:rPr>
          <w:sz w:val="28"/>
          <w:szCs w:val="28"/>
        </w:rPr>
      </w:pPr>
    </w:p>
    <w:p>
      <w:pPr>
        <w:spacing w:line="560" w:lineRule="exact"/>
        <w:ind w:firstLine="4480" w:firstLineChars="16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单位名称（盖章）：</w:t>
      </w:r>
    </w:p>
    <w:p>
      <w:pPr>
        <w:spacing w:line="560" w:lineRule="exact"/>
        <w:ind w:firstLine="4480" w:firstLineChars="1600"/>
        <w:jc w:val="left"/>
        <w:rPr>
          <w:b/>
          <w:sz w:val="28"/>
          <w:szCs w:val="28"/>
        </w:rPr>
      </w:pPr>
      <w:r>
        <w:rPr>
          <w:rFonts w:hint="eastAsia" w:ascii="仿宋_GB2312" w:hAnsi="仿宋_GB2312" w:eastAsia="仿宋_GB2312" w:cs="仿宋_GB2312"/>
          <w:sz w:val="28"/>
          <w:szCs w:val="28"/>
        </w:rPr>
        <w:t>日  期：</w:t>
      </w:r>
    </w:p>
    <w:p>
      <w:pPr>
        <w:pStyle w:val="3"/>
        <w:spacing w:beforeAutospacing="0" w:afterAutospacing="0" w:line="500" w:lineRule="exact"/>
        <w:ind w:firstLine="643" w:firstLineChars="200"/>
        <w:jc w:val="both"/>
        <w:rPr>
          <w:rFonts w:hint="default" w:ascii="Calibri" w:hAnsi="Calibri" w:cs="黑体"/>
          <w:b/>
          <w:kern w:val="2"/>
          <w:sz w:val="32"/>
          <w:szCs w:val="32"/>
        </w:rPr>
      </w:pPr>
    </w:p>
    <w:p>
      <w:pPr>
        <w:pStyle w:val="3"/>
        <w:spacing w:beforeAutospacing="0" w:afterAutospacing="0" w:line="500" w:lineRule="exact"/>
        <w:ind w:firstLine="643" w:firstLineChars="200"/>
        <w:jc w:val="both"/>
        <w:rPr>
          <w:rFonts w:hint="default" w:ascii="Calibri" w:hAnsi="Calibri" w:cs="黑体"/>
          <w:b/>
          <w:kern w:val="2"/>
          <w:sz w:val="32"/>
          <w:szCs w:val="32"/>
        </w:rPr>
      </w:pPr>
    </w:p>
    <w:p>
      <w:pPr>
        <w:sectPr>
          <w:headerReference r:id="rId4" w:type="default"/>
          <w:footerReference r:id="rId5" w:type="default"/>
          <w:pgSz w:w="11906" w:h="16838"/>
          <w:pgMar w:top="1644" w:right="1587" w:bottom="1531" w:left="1474" w:header="31" w:footer="1587" w:gutter="0"/>
          <w:pgNumType w:fmt="numberInDash"/>
          <w:cols w:space="720" w:num="1"/>
          <w:docGrid w:type="lines" w:linePitch="312" w:charSpace="0"/>
        </w:sectPr>
      </w:pPr>
    </w:p>
    <w:tbl>
      <w:tblPr>
        <w:tblStyle w:val="16"/>
        <w:tblW w:w="13061" w:type="dxa"/>
        <w:tblInd w:w="0" w:type="dxa"/>
        <w:tblLayout w:type="fixed"/>
        <w:tblCellMar>
          <w:top w:w="15" w:type="dxa"/>
          <w:left w:w="15" w:type="dxa"/>
          <w:bottom w:w="15" w:type="dxa"/>
          <w:right w:w="15" w:type="dxa"/>
        </w:tblCellMar>
      </w:tblPr>
      <w:tblGrid>
        <w:gridCol w:w="4935"/>
        <w:gridCol w:w="3750"/>
        <w:gridCol w:w="4376"/>
      </w:tblGrid>
      <w:tr>
        <w:tblPrEx>
          <w:tblCellMar>
            <w:top w:w="15" w:type="dxa"/>
            <w:left w:w="15" w:type="dxa"/>
            <w:bottom w:w="15" w:type="dxa"/>
            <w:right w:w="15" w:type="dxa"/>
          </w:tblCellMar>
        </w:tblPrEx>
        <w:trPr>
          <w:trHeight w:val="705" w:hRule="atLeast"/>
        </w:trPr>
        <w:tc>
          <w:tcPr>
            <w:tcW w:w="13061" w:type="dxa"/>
            <w:gridSpan w:val="3"/>
            <w:noWrap/>
            <w:vAlign w:val="center"/>
          </w:tcPr>
          <w:p>
            <w:pPr>
              <w:widowControl/>
              <w:jc w:val="center"/>
              <w:textAlignment w:val="center"/>
              <w:rPr>
                <w:rFonts w:ascii="仿宋" w:hAnsi="仿宋" w:eastAsia="仿宋" w:cs="仿宋"/>
                <w:b/>
                <w:color w:val="000000"/>
                <w:sz w:val="44"/>
                <w:szCs w:val="44"/>
              </w:rPr>
            </w:pPr>
            <w:r>
              <w:rPr>
                <w:rFonts w:hint="eastAsia" w:ascii="仿宋" w:hAnsi="仿宋" w:eastAsia="仿宋" w:cs="仿宋"/>
                <w:b/>
                <w:color w:val="000000"/>
                <w:kern w:val="0"/>
                <w:sz w:val="44"/>
                <w:szCs w:val="44"/>
              </w:rPr>
              <w:t>开标一览表</w:t>
            </w:r>
          </w:p>
        </w:tc>
      </w:tr>
      <w:tr>
        <w:tblPrEx>
          <w:tblCellMar>
            <w:top w:w="15" w:type="dxa"/>
            <w:left w:w="15" w:type="dxa"/>
            <w:bottom w:w="15" w:type="dxa"/>
            <w:right w:w="15" w:type="dxa"/>
          </w:tblCellMar>
        </w:tblPrEx>
        <w:trPr>
          <w:trHeight w:val="524" w:hRule="atLeast"/>
        </w:trPr>
        <w:tc>
          <w:tcPr>
            <w:tcW w:w="13061"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8"/>
                <w:szCs w:val="28"/>
              </w:rPr>
              <w:t>投标人名称：　</w:t>
            </w:r>
            <w:r>
              <w:rPr>
                <w:rFonts w:hint="eastAsia" w:ascii="仿宋" w:hAnsi="仿宋" w:eastAsia="仿宋" w:cs="仿宋"/>
                <w:color w:val="000000"/>
                <w:kern w:val="0"/>
                <w:sz w:val="22"/>
                <w:szCs w:val="22"/>
              </w:rPr>
              <w:t xml:space="preserve">　　　　　　　　　　　　　                        </w:t>
            </w:r>
            <w:r>
              <w:rPr>
                <w:rFonts w:hint="eastAsia" w:ascii="仿宋" w:hAnsi="仿宋" w:eastAsia="仿宋" w:cs="仿宋"/>
                <w:color w:val="000000"/>
                <w:kern w:val="0"/>
                <w:sz w:val="28"/>
                <w:szCs w:val="28"/>
              </w:rPr>
              <w:t>采购项目编号</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深龙七医采[LGQY2025</w:t>
            </w:r>
            <w:r>
              <w:rPr>
                <w:rFonts w:hint="eastAsia" w:ascii="仿宋" w:hAnsi="仿宋" w:eastAsia="仿宋" w:cs="仿宋"/>
                <w:color w:val="000000"/>
                <w:kern w:val="0"/>
                <w:sz w:val="28"/>
                <w:szCs w:val="28"/>
                <w:lang w:val="en-US" w:eastAsia="zh-CN"/>
              </w:rPr>
              <w:t>ZC</w:t>
            </w:r>
            <w:r>
              <w:rPr>
                <w:rFonts w:hint="eastAsia" w:ascii="仿宋" w:hAnsi="仿宋" w:eastAsia="仿宋" w:cs="仿宋"/>
                <w:color w:val="000000"/>
                <w:kern w:val="0"/>
                <w:sz w:val="28"/>
                <w:szCs w:val="28"/>
              </w:rPr>
              <w:t>00</w:t>
            </w: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rPr>
              <w:t>]</w:t>
            </w:r>
          </w:p>
        </w:tc>
      </w:tr>
      <w:tr>
        <w:tblPrEx>
          <w:tblCellMar>
            <w:top w:w="15" w:type="dxa"/>
            <w:left w:w="15" w:type="dxa"/>
            <w:bottom w:w="15" w:type="dxa"/>
            <w:right w:w="15" w:type="dxa"/>
          </w:tblCellMar>
        </w:tblPrEx>
        <w:trPr>
          <w:trHeight w:val="509" w:hRule="atLeast"/>
        </w:trPr>
        <w:tc>
          <w:tcPr>
            <w:tcW w:w="49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项目名称</w:t>
            </w:r>
          </w:p>
          <w:p>
            <w:pPr>
              <w:widowControl/>
              <w:jc w:val="center"/>
              <w:textAlignment w:val="center"/>
              <w:rPr>
                <w:rFonts w:ascii="仿宋" w:hAnsi="仿宋" w:eastAsia="仿宋" w:cs="仿宋"/>
                <w:color w:val="000000"/>
                <w:sz w:val="24"/>
              </w:rPr>
            </w:pPr>
          </w:p>
        </w:tc>
        <w:tc>
          <w:tcPr>
            <w:tcW w:w="3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rPr>
              <w:t>投标报价</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折扣率</w:t>
            </w:r>
            <w:r>
              <w:rPr>
                <w:rFonts w:hint="eastAsia" w:ascii="仿宋" w:hAnsi="仿宋" w:eastAsia="仿宋" w:cs="仿宋"/>
                <w:color w:val="000000"/>
                <w:sz w:val="24"/>
                <w:lang w:eastAsia="zh-CN"/>
              </w:rPr>
              <w:t>）</w:t>
            </w:r>
          </w:p>
        </w:tc>
        <w:tc>
          <w:tcPr>
            <w:tcW w:w="43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kern w:val="0"/>
                <w:sz w:val="24"/>
                <w:lang w:val="en-US" w:eastAsia="zh-CN"/>
              </w:rPr>
              <w:t>服务期</w:t>
            </w:r>
          </w:p>
        </w:tc>
      </w:tr>
      <w:tr>
        <w:tblPrEx>
          <w:tblCellMar>
            <w:top w:w="15" w:type="dxa"/>
            <w:left w:w="15" w:type="dxa"/>
            <w:bottom w:w="15" w:type="dxa"/>
            <w:right w:w="15" w:type="dxa"/>
          </w:tblCellMar>
        </w:tblPrEx>
        <w:trPr>
          <w:trHeight w:val="655" w:hRule="atLeast"/>
        </w:trPr>
        <w:tc>
          <w:tcPr>
            <w:tcW w:w="49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2"/>
                <w:szCs w:val="22"/>
              </w:rPr>
            </w:pPr>
          </w:p>
          <w:p/>
        </w:tc>
        <w:tc>
          <w:tcPr>
            <w:tcW w:w="3750" w:type="dxa"/>
            <w:tcBorders>
              <w:top w:val="single" w:color="000000" w:sz="4" w:space="0"/>
              <w:left w:val="single" w:color="000000" w:sz="4" w:space="0"/>
              <w:bottom w:val="single" w:color="000000" w:sz="4" w:space="0"/>
              <w:right w:val="single" w:color="000000" w:sz="4" w:space="0"/>
            </w:tcBorders>
            <w:noWrap/>
            <w:vAlign w:val="center"/>
          </w:tcPr>
          <w:p>
            <w:pPr>
              <w:pStyle w:val="9"/>
            </w:pPr>
          </w:p>
        </w:tc>
        <w:tc>
          <w:tcPr>
            <w:tcW w:w="437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p>
        </w:tc>
      </w:tr>
    </w:tbl>
    <w:p>
      <w:pPr>
        <w:numPr>
          <w:ilvl w:val="0"/>
          <w:numId w:val="0"/>
        </w:numPr>
        <w:spacing w:line="500" w:lineRule="exact"/>
        <w:ind w:left="425" w:leftChars="0" w:hanging="425" w:firstLineChars="0"/>
        <w:jc w:val="left"/>
        <w:rPr>
          <w:rFonts w:ascii="仿宋" w:hAnsi="仿宋" w:eastAsia="仿宋" w:cs="仿宋"/>
          <w:sz w:val="24"/>
          <w:szCs w:val="24"/>
        </w:rPr>
      </w:pPr>
      <w:r>
        <w:rPr>
          <w:rFonts w:hint="default" w:ascii="仿宋" w:hAnsi="仿宋" w:eastAsia="仿宋" w:cs="仿宋"/>
          <w:kern w:val="2"/>
          <w:sz w:val="24"/>
          <w:szCs w:val="24"/>
          <w:lang w:val="en-US" w:eastAsia="zh-CN" w:bidi="ar-SA"/>
        </w:rPr>
        <w:t>1.</w:t>
      </w:r>
      <w:r>
        <w:rPr>
          <w:rFonts w:hint="eastAsia" w:ascii="仿宋" w:hAnsi="仿宋" w:eastAsia="仿宋" w:cs="仿宋"/>
          <w:sz w:val="24"/>
          <w:szCs w:val="24"/>
        </w:rPr>
        <w:t>开标一览表格式不得自行改动。</w:t>
      </w:r>
    </w:p>
    <w:p>
      <w:pPr>
        <w:numPr>
          <w:ilvl w:val="0"/>
          <w:numId w:val="0"/>
        </w:numPr>
        <w:spacing w:line="500" w:lineRule="exact"/>
        <w:ind w:left="425" w:leftChars="0" w:hanging="425" w:firstLineChars="0"/>
        <w:jc w:val="left"/>
        <w:rPr>
          <w:rFonts w:ascii="仿宋" w:hAnsi="仿宋" w:eastAsia="仿宋" w:cs="仿宋"/>
          <w:sz w:val="24"/>
          <w:szCs w:val="24"/>
        </w:rPr>
      </w:pPr>
      <w:r>
        <w:rPr>
          <w:rFonts w:hint="default" w:ascii="仿宋" w:hAnsi="仿宋" w:eastAsia="仿宋" w:cs="仿宋"/>
          <w:kern w:val="2"/>
          <w:sz w:val="24"/>
          <w:szCs w:val="24"/>
          <w:lang w:val="en-US" w:eastAsia="zh-CN" w:bidi="ar-SA"/>
        </w:rPr>
        <w:t>2.</w:t>
      </w:r>
      <w:r>
        <w:rPr>
          <w:rFonts w:hint="eastAsia" w:ascii="仿宋" w:hAnsi="仿宋" w:eastAsia="仿宋" w:cs="仿宋"/>
          <w:sz w:val="24"/>
          <w:szCs w:val="24"/>
        </w:rPr>
        <w:t>价格条件为能否满足标书要求的投标报价。</w:t>
      </w:r>
    </w:p>
    <w:p>
      <w:pPr>
        <w:numPr>
          <w:ilvl w:val="0"/>
          <w:numId w:val="0"/>
        </w:numPr>
        <w:spacing w:line="500" w:lineRule="exact"/>
        <w:ind w:left="425" w:leftChars="0" w:hanging="425" w:firstLineChars="0"/>
        <w:jc w:val="left"/>
        <w:rPr>
          <w:rFonts w:ascii="仿宋" w:hAnsi="仿宋" w:eastAsia="仿宋" w:cs="仿宋"/>
          <w:sz w:val="24"/>
          <w:szCs w:val="32"/>
        </w:rPr>
      </w:pPr>
      <w:r>
        <w:rPr>
          <w:rFonts w:hint="default" w:ascii="仿宋" w:hAnsi="仿宋" w:eastAsia="仿宋" w:cs="仿宋"/>
          <w:kern w:val="2"/>
          <w:sz w:val="24"/>
          <w:szCs w:val="32"/>
          <w:lang w:val="en-US" w:eastAsia="zh-CN" w:bidi="ar-SA"/>
        </w:rPr>
        <w:t>3.</w:t>
      </w:r>
      <w:r>
        <w:rPr>
          <w:rFonts w:hint="eastAsia" w:ascii="仿宋" w:hAnsi="仿宋" w:eastAsia="仿宋" w:cs="仿宋"/>
          <w:sz w:val="24"/>
          <w:szCs w:val="24"/>
        </w:rPr>
        <w:t>无内容空格填“</w:t>
      </w:r>
      <w:r>
        <w:rPr>
          <w:rFonts w:hint="eastAsia" w:ascii="仿宋" w:hAnsi="仿宋" w:eastAsia="仿宋" w:cs="仿宋"/>
          <w:sz w:val="24"/>
          <w:szCs w:val="24"/>
          <w:lang w:eastAsia="zh-CN"/>
        </w:rPr>
        <w:t>－</w:t>
      </w:r>
      <w:r>
        <w:rPr>
          <w:rFonts w:hint="eastAsia" w:ascii="仿宋" w:hAnsi="仿宋" w:eastAsia="仿宋" w:cs="仿宋"/>
          <w:sz w:val="24"/>
          <w:szCs w:val="24"/>
        </w:rPr>
        <w:t>”。</w:t>
      </w: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法定代表人或其授权代表人（签字）：</w:t>
      </w:r>
    </w:p>
    <w:p>
      <w:pPr>
        <w:rPr>
          <w:rFonts w:hint="eastAsia" w:ascii="仿宋" w:hAnsi="仿宋" w:eastAsia="仿宋" w:cs="仿宋"/>
          <w:sz w:val="24"/>
          <w:szCs w:val="24"/>
        </w:rPr>
      </w:pPr>
      <w:r>
        <w:rPr>
          <w:rFonts w:hint="eastAsia" w:ascii="仿宋" w:hAnsi="仿宋" w:eastAsia="仿宋" w:cs="仿宋"/>
          <w:sz w:val="24"/>
          <w:szCs w:val="24"/>
        </w:rPr>
        <w:t>投标单位全称（加盖公章）：</w:t>
      </w:r>
    </w:p>
    <w:p>
      <w:pPr>
        <w:rPr>
          <w:rFonts w:hint="eastAsia" w:ascii="仿宋" w:hAnsi="仿宋" w:eastAsia="仿宋" w:cs="仿宋"/>
          <w:sz w:val="24"/>
          <w:szCs w:val="24"/>
        </w:rPr>
      </w:pPr>
      <w:r>
        <w:rPr>
          <w:rFonts w:hint="eastAsia" w:ascii="仿宋" w:hAnsi="仿宋" w:eastAsia="仿宋" w:cs="仿宋"/>
          <w:sz w:val="24"/>
          <w:szCs w:val="24"/>
        </w:rPr>
        <w:t>备注：</w:t>
      </w:r>
    </w:p>
    <w:p>
      <w:pPr>
        <w:numPr>
          <w:ilvl w:val="0"/>
          <w:numId w:val="0"/>
        </w:numPr>
        <w:spacing w:line="5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按照</w:t>
      </w:r>
      <w:r>
        <w:rPr>
          <w:rFonts w:hint="eastAsia" w:ascii="仿宋" w:hAnsi="仿宋" w:eastAsia="仿宋" w:cs="仿宋"/>
          <w:sz w:val="24"/>
          <w:szCs w:val="24"/>
        </w:rPr>
        <w:t>《深圳市龙岗区财政局关于规范龙岗区社会采购代理</w:t>
      </w:r>
      <w:r>
        <w:rPr>
          <w:rFonts w:hint="eastAsia" w:ascii="仿宋" w:hAnsi="仿宋" w:eastAsia="仿宋" w:cs="仿宋"/>
          <w:sz w:val="24"/>
          <w:szCs w:val="24"/>
          <w:lang w:val="en-US" w:eastAsia="zh-CN"/>
        </w:rPr>
        <w:t>机构</w:t>
      </w:r>
      <w:r>
        <w:rPr>
          <w:rFonts w:hint="eastAsia" w:ascii="仿宋" w:hAnsi="仿宋" w:eastAsia="仿宋" w:cs="仿宋"/>
          <w:sz w:val="24"/>
          <w:szCs w:val="24"/>
        </w:rPr>
        <w:t>管理有关事项的通知》（深龙财〔2019〕37号）代理费用参考标准（如代理费用标准发生变化时，按照上级部门新颁发文件的代理费用标准执行），以80%（八折）为基准报价。</w:t>
      </w:r>
      <w:r>
        <w:rPr>
          <w:rFonts w:hint="eastAsia" w:ascii="仿宋" w:hAnsi="仿宋" w:eastAsia="仿宋" w:cs="仿宋"/>
          <w:sz w:val="24"/>
          <w:szCs w:val="24"/>
          <w:lang w:val="en-US" w:eastAsia="zh-CN"/>
        </w:rPr>
        <w:t>下浮后服务费低于4000元的，按照4000元收取；下浮后服务费高于4万元的，按照4万元收取。（如服务费用标准等发生变化时，优先按照上级部门新颁发文件的代理费用标准结合项目实际按照规定执行）。</w:t>
      </w:r>
    </w:p>
    <w:p>
      <w:pPr>
        <w:numPr>
          <w:ilvl w:val="0"/>
          <w:numId w:val="0"/>
        </w:numPr>
        <w:spacing w:line="500" w:lineRule="exact"/>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如投标人报价折扣率为</w:t>
      </w:r>
      <w:r>
        <w:rPr>
          <w:rFonts w:hint="eastAsia" w:ascii="仿宋" w:hAnsi="仿宋" w:eastAsia="仿宋" w:cs="仿宋"/>
          <w:sz w:val="24"/>
          <w:szCs w:val="24"/>
          <w:lang w:val="en-US" w:eastAsia="zh-CN"/>
        </w:rPr>
        <w:t>70%，即为：</w:t>
      </w:r>
      <w:r>
        <w:rPr>
          <w:rFonts w:hint="eastAsia" w:ascii="仿宋" w:hAnsi="仿宋" w:eastAsia="仿宋" w:cs="仿宋"/>
          <w:sz w:val="24"/>
          <w:szCs w:val="24"/>
        </w:rPr>
        <w:t>《深圳市龙岗区财政局关于规范龙岗区社会采购代理机构管理有关事项的通知》（深龙财〔2019〕37号）代理费用参考标准</w:t>
      </w:r>
      <w:r>
        <w:rPr>
          <w:rFonts w:hint="eastAsia" w:ascii="仿宋" w:hAnsi="仿宋" w:eastAsia="仿宋" w:cs="仿宋"/>
          <w:sz w:val="24"/>
          <w:szCs w:val="24"/>
          <w:lang w:val="en-US" w:eastAsia="zh-CN"/>
        </w:rPr>
        <w:t>*7</w:t>
      </w:r>
      <w:r>
        <w:rPr>
          <w:rFonts w:hint="eastAsia" w:ascii="仿宋" w:hAnsi="仿宋" w:eastAsia="仿宋" w:cs="仿宋"/>
          <w:sz w:val="24"/>
          <w:szCs w:val="24"/>
        </w:rPr>
        <w:t>0%</w:t>
      </w:r>
      <w:r>
        <w:rPr>
          <w:rFonts w:hint="eastAsia" w:ascii="仿宋" w:hAnsi="仿宋" w:eastAsia="仿宋" w:cs="仿宋"/>
          <w:sz w:val="24"/>
          <w:szCs w:val="24"/>
          <w:lang w:eastAsia="zh-CN"/>
        </w:rPr>
        <w:t>。</w:t>
      </w:r>
    </w:p>
    <w:p>
      <w:pPr>
        <w:numPr>
          <w:ilvl w:val="0"/>
          <w:numId w:val="0"/>
        </w:numPr>
        <w:ind w:left="0" w:leftChars="0" w:firstLine="0" w:firstLineChars="0"/>
        <w:outlineLvl w:val="1"/>
        <w:rPr>
          <w:rFonts w:hint="eastAsia" w:asciiTheme="minorEastAsia" w:hAnsiTheme="minorEastAsia" w:eastAsiaTheme="minorEastAsia" w:cstheme="minorEastAsia"/>
          <w:b/>
          <w:color w:val="auto"/>
          <w:sz w:val="21"/>
          <w:szCs w:val="21"/>
          <w:highlight w:val="none"/>
          <w:lang w:eastAsia="zh-CN"/>
        </w:rPr>
      </w:pPr>
      <w:bookmarkStart w:id="20" w:name="_Toc22449"/>
      <w:bookmarkStart w:id="21" w:name="_Toc8113"/>
      <w:bookmarkStart w:id="22" w:name="_Toc27871"/>
    </w:p>
    <w:p>
      <w:pPr>
        <w:widowControl/>
        <w:jc w:val="center"/>
        <w:textAlignment w:val="center"/>
        <w:rPr>
          <w:rFonts w:hint="eastAsia" w:ascii="仿宋" w:hAnsi="仿宋" w:eastAsia="仿宋" w:cs="仿宋"/>
          <w:b/>
          <w:color w:val="000000"/>
          <w:kern w:val="0"/>
          <w:sz w:val="44"/>
          <w:szCs w:val="44"/>
          <w:lang w:val="en-US" w:eastAsia="zh-CN"/>
        </w:rPr>
      </w:pPr>
      <w:r>
        <w:rPr>
          <w:rFonts w:hint="eastAsia" w:ascii="仿宋" w:hAnsi="仿宋" w:eastAsia="仿宋" w:cs="仿宋"/>
          <w:b/>
          <w:color w:val="000000"/>
          <w:kern w:val="0"/>
          <w:sz w:val="44"/>
          <w:szCs w:val="44"/>
          <w:lang w:val="en-US" w:eastAsia="zh-CN"/>
        </w:rPr>
        <w:t>实质性条款响应情况表</w:t>
      </w:r>
      <w:bookmarkEnd w:id="20"/>
      <w:bookmarkEnd w:id="21"/>
      <w:bookmarkEnd w:id="22"/>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4206"/>
        <w:gridCol w:w="2507"/>
        <w:gridCol w:w="2906"/>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28"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621"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实质性条款具体内容</w:t>
            </w:r>
          </w:p>
        </w:tc>
        <w:tc>
          <w:tcPr>
            <w:tcW w:w="966"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投标响应</w:t>
            </w:r>
          </w:p>
        </w:tc>
        <w:tc>
          <w:tcPr>
            <w:tcW w:w="1120"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偏离情况</w:t>
            </w:r>
          </w:p>
        </w:tc>
        <w:tc>
          <w:tcPr>
            <w:tcW w:w="862"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21" w:type="pct"/>
            <w:vAlign w:val="center"/>
          </w:tcPr>
          <w:p>
            <w:pPr>
              <w:keepNext w:val="0"/>
              <w:keepLines w:val="0"/>
              <w:suppressLineNumbers w:val="0"/>
              <w:spacing w:before="0" w:beforeAutospacing="0" w:after="0" w:afterAutospacing="0"/>
              <w:ind w:left="0" w:right="0"/>
              <w:jc w:val="left"/>
              <w:rPr>
                <w:rFonts w:hint="default" w:hAnsi="宋体"/>
                <w:color w:val="auto"/>
                <w:kern w:val="0"/>
                <w:sz w:val="24"/>
                <w:szCs w:val="24"/>
                <w:highlight w:val="none"/>
              </w:rPr>
            </w:pPr>
            <w:r>
              <w:rPr>
                <w:rFonts w:hint="eastAsia" w:ascii="仿宋" w:hAnsi="仿宋" w:eastAsia="仿宋" w:cs="仿宋"/>
                <w:color w:val="000000"/>
                <w:sz w:val="24"/>
                <w:szCs w:val="24"/>
              </w:rPr>
              <w:t>项目人员需求一览表中★人员类别★</w:t>
            </w:r>
            <w:r>
              <w:rPr>
                <w:rFonts w:hint="eastAsia" w:ascii="仿宋" w:hAnsi="仿宋" w:eastAsia="仿宋" w:cs="仿宋"/>
                <w:color w:val="000000"/>
                <w:sz w:val="24"/>
                <w:szCs w:val="24"/>
                <w:lang w:val="en-US" w:eastAsia="zh-CN"/>
              </w:rPr>
              <w:t>人员</w:t>
            </w:r>
            <w:r>
              <w:rPr>
                <w:rFonts w:hint="eastAsia" w:ascii="仿宋" w:hAnsi="仿宋" w:eastAsia="仿宋" w:cs="仿宋"/>
                <w:color w:val="000000"/>
                <w:sz w:val="24"/>
                <w:szCs w:val="24"/>
              </w:rPr>
              <w:t>数量★人员必须具备条件</w:t>
            </w:r>
          </w:p>
        </w:tc>
        <w:tc>
          <w:tcPr>
            <w:tcW w:w="966" w:type="pct"/>
          </w:tcPr>
          <w:p>
            <w:pPr>
              <w:keepNext w:val="0"/>
              <w:keepLines w:val="0"/>
              <w:suppressLineNumbers w:val="0"/>
              <w:adjustRightInd w:val="0"/>
              <w:snapToGrid w:val="0"/>
              <w:spacing w:before="0" w:beforeAutospacing="0" w:after="0" w:afterAutospacing="0" w:line="360" w:lineRule="auto"/>
              <w:ind w:left="0" w:right="0"/>
              <w:rPr>
                <w:rFonts w:hint="default" w:ascii="宋体" w:hAnsi="宋体"/>
                <w:color w:val="auto"/>
                <w:kern w:val="0"/>
                <w:sz w:val="24"/>
                <w:szCs w:val="24"/>
                <w:highlight w:val="none"/>
              </w:rPr>
            </w:pPr>
          </w:p>
        </w:tc>
        <w:tc>
          <w:tcPr>
            <w:tcW w:w="1120" w:type="pct"/>
          </w:tcPr>
          <w:p>
            <w:pPr>
              <w:keepNext w:val="0"/>
              <w:keepLines w:val="0"/>
              <w:suppressLineNumbers w:val="0"/>
              <w:adjustRightInd w:val="0"/>
              <w:snapToGrid w:val="0"/>
              <w:spacing w:before="0" w:beforeAutospacing="0" w:after="0" w:afterAutospacing="0" w:line="360" w:lineRule="auto"/>
              <w:ind w:left="0" w:right="0"/>
              <w:rPr>
                <w:rFonts w:hint="default" w:ascii="宋体" w:hAnsi="宋体"/>
                <w:color w:val="auto"/>
                <w:kern w:val="0"/>
                <w:sz w:val="24"/>
                <w:szCs w:val="24"/>
                <w:highlight w:val="none"/>
              </w:rPr>
            </w:pPr>
          </w:p>
        </w:tc>
        <w:tc>
          <w:tcPr>
            <w:tcW w:w="862" w:type="pct"/>
          </w:tcPr>
          <w:p>
            <w:pPr>
              <w:keepNext w:val="0"/>
              <w:keepLines w:val="0"/>
              <w:suppressLineNumbers w:val="0"/>
              <w:adjustRightInd w:val="0"/>
              <w:snapToGrid w:val="0"/>
              <w:spacing w:before="0" w:beforeAutospacing="0" w:after="0" w:afterAutospacing="0" w:line="360" w:lineRule="auto"/>
              <w:ind w:left="0" w:right="0"/>
              <w:rPr>
                <w:rFonts w:hint="default" w:ascii="宋体" w:hAnsi="宋体"/>
                <w:color w:val="auto"/>
                <w:kern w:val="0"/>
                <w:sz w:val="24"/>
                <w:szCs w:val="24"/>
                <w:highlight w:val="none"/>
              </w:rPr>
            </w:pPr>
          </w:p>
        </w:tc>
      </w:tr>
    </w:tbl>
    <w:p>
      <w:pPr>
        <w:numPr>
          <w:ilvl w:val="0"/>
          <w:numId w:val="0"/>
        </w:numPr>
        <w:spacing w:line="500" w:lineRule="exact"/>
        <w:jc w:val="left"/>
        <w:rPr>
          <w:rFonts w:hint="eastAsia" w:ascii="仿宋" w:hAnsi="仿宋" w:eastAsia="仿宋" w:cs="仿宋"/>
          <w:sz w:val="24"/>
          <w:szCs w:val="24"/>
          <w:lang w:val="en-US" w:eastAsia="zh-CN"/>
        </w:rPr>
      </w:pPr>
    </w:p>
    <w:p>
      <w:pPr>
        <w:numPr>
          <w:ilvl w:val="0"/>
          <w:numId w:val="0"/>
        </w:numPr>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注：1.上表所列各项均为不可负偏离条款。</w:t>
      </w:r>
    </w:p>
    <w:p>
      <w:pPr>
        <w:numPr>
          <w:ilvl w:val="0"/>
          <w:numId w:val="0"/>
        </w:numPr>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2.“投标响应”一栏应当详细填写投标人自身响应情况。</w:t>
      </w:r>
    </w:p>
    <w:p>
      <w:pPr>
        <w:numPr>
          <w:ilvl w:val="0"/>
          <w:numId w:val="0"/>
        </w:numPr>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numPr>
          <w:ilvl w:val="0"/>
          <w:numId w:val="0"/>
        </w:numPr>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4.评审委员会有权对投标响应情况作出判断（作出评审结论）。</w:t>
      </w:r>
    </w:p>
    <w:p>
      <w:pPr>
        <w:numPr>
          <w:ilvl w:val="0"/>
          <w:numId w:val="0"/>
        </w:numPr>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5.实质性响应条款“投标响应情况”与遴选响应文件其他内容冲突的，以实质性响应条款“投标响应情况”为准。</w:t>
      </w:r>
    </w:p>
    <w:p>
      <w:pPr>
        <w:numPr>
          <w:ilvl w:val="0"/>
          <w:numId w:val="0"/>
        </w:numPr>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6.要求提供证明资料，在“说明”一栏中列明证明资料的位置，以便评审；未要求提供证明材料的，投标人可以不提供。</w:t>
      </w:r>
    </w:p>
    <w:p>
      <w:pPr>
        <w:numPr>
          <w:ilvl w:val="0"/>
          <w:numId w:val="0"/>
        </w:numPr>
        <w:spacing w:line="500" w:lineRule="exact"/>
        <w:jc w:val="left"/>
        <w:rPr>
          <w:rFonts w:hint="eastAsia" w:ascii="仿宋" w:hAnsi="仿宋" w:eastAsia="仿宋" w:cs="仿宋"/>
          <w:sz w:val="24"/>
          <w:szCs w:val="24"/>
          <w:lang w:val="en-US" w:eastAsia="zh-CN"/>
        </w:rPr>
      </w:pPr>
    </w:p>
    <w:p>
      <w:pPr>
        <w:numPr>
          <w:ilvl w:val="0"/>
          <w:numId w:val="0"/>
        </w:numPr>
        <w:spacing w:line="500" w:lineRule="exact"/>
        <w:jc w:val="left"/>
        <w:rPr>
          <w:rFonts w:hint="eastAsia" w:ascii="仿宋" w:hAnsi="仿宋" w:eastAsia="仿宋" w:cs="仿宋"/>
          <w:sz w:val="24"/>
          <w:szCs w:val="24"/>
          <w:lang w:val="en-US" w:eastAsia="zh-CN"/>
        </w:rPr>
      </w:pPr>
    </w:p>
    <w:p>
      <w:pPr>
        <w:numPr>
          <w:ilvl w:val="0"/>
          <w:numId w:val="0"/>
        </w:numPr>
        <w:spacing w:line="500" w:lineRule="exact"/>
        <w:jc w:val="left"/>
        <w:rPr>
          <w:rFonts w:hint="eastAsia" w:ascii="仿宋" w:hAnsi="仿宋" w:eastAsia="仿宋" w:cs="仿宋"/>
          <w:sz w:val="24"/>
          <w:szCs w:val="24"/>
          <w:lang w:val="en-US" w:eastAsia="zh-CN"/>
        </w:rPr>
      </w:pPr>
    </w:p>
    <w:p>
      <w:pPr>
        <w:numPr>
          <w:ilvl w:val="0"/>
          <w:numId w:val="0"/>
        </w:numPr>
        <w:spacing w:line="500" w:lineRule="exact"/>
        <w:jc w:val="left"/>
        <w:rPr>
          <w:rFonts w:hint="eastAsia" w:ascii="仿宋" w:hAnsi="仿宋" w:eastAsia="仿宋" w:cs="仿宋"/>
          <w:sz w:val="24"/>
          <w:szCs w:val="24"/>
          <w:lang w:val="en-US" w:eastAsia="zh-CN"/>
        </w:rPr>
      </w:pPr>
    </w:p>
    <w:p>
      <w:pPr>
        <w:numPr>
          <w:ilvl w:val="0"/>
          <w:numId w:val="0"/>
        </w:numPr>
        <w:spacing w:line="500" w:lineRule="exact"/>
        <w:jc w:val="left"/>
        <w:rPr>
          <w:rFonts w:hint="eastAsia" w:ascii="仿宋" w:hAnsi="仿宋" w:eastAsia="仿宋" w:cs="仿宋"/>
          <w:sz w:val="24"/>
          <w:szCs w:val="24"/>
          <w:lang w:val="en-US" w:eastAsia="zh-CN"/>
        </w:rPr>
      </w:pPr>
    </w:p>
    <w:p>
      <w:pPr>
        <w:widowControl/>
        <w:jc w:val="center"/>
        <w:textAlignment w:val="center"/>
        <w:rPr>
          <w:rFonts w:hint="eastAsia" w:ascii="仿宋" w:hAnsi="仿宋" w:eastAsia="仿宋" w:cs="仿宋"/>
          <w:b/>
          <w:color w:val="000000"/>
          <w:kern w:val="0"/>
          <w:sz w:val="44"/>
          <w:szCs w:val="44"/>
          <w:lang w:val="en-US" w:eastAsia="zh-CN"/>
        </w:rPr>
      </w:pPr>
      <w:r>
        <w:rPr>
          <w:rFonts w:hint="eastAsia" w:ascii="仿宋" w:hAnsi="仿宋" w:eastAsia="仿宋" w:cs="仿宋"/>
          <w:b/>
          <w:color w:val="000000"/>
          <w:kern w:val="0"/>
          <w:sz w:val="44"/>
          <w:szCs w:val="44"/>
          <w:lang w:val="en-US" w:eastAsia="zh-CN"/>
        </w:rPr>
        <w:t>服务条款偏离表</w:t>
      </w:r>
    </w:p>
    <w:tbl>
      <w:tblPr>
        <w:tblStyle w:val="16"/>
        <w:tblW w:w="5102" w:type="pct"/>
        <w:jc w:val="center"/>
        <w:tblLayout w:type="autofit"/>
        <w:tblCellMar>
          <w:top w:w="0" w:type="dxa"/>
          <w:left w:w="108" w:type="dxa"/>
          <w:bottom w:w="0" w:type="dxa"/>
          <w:right w:w="108" w:type="dxa"/>
        </w:tblCellMar>
      </w:tblPr>
      <w:tblGrid>
        <w:gridCol w:w="914"/>
        <w:gridCol w:w="4805"/>
        <w:gridCol w:w="3324"/>
        <w:gridCol w:w="2705"/>
        <w:gridCol w:w="1489"/>
      </w:tblGrid>
      <w:tr>
        <w:tblPrEx>
          <w:tblCellMar>
            <w:top w:w="0" w:type="dxa"/>
            <w:left w:w="108" w:type="dxa"/>
            <w:bottom w:w="0" w:type="dxa"/>
            <w:right w:w="108" w:type="dxa"/>
          </w:tblCellMar>
        </w:tblPrEx>
        <w:trPr>
          <w:trHeight w:val="510" w:hRule="atLeast"/>
          <w:jc w:val="center"/>
        </w:trPr>
        <w:tc>
          <w:tcPr>
            <w:tcW w:w="345" w:type="pct"/>
            <w:tcBorders>
              <w:top w:val="single" w:color="auto" w:sz="8" w:space="0"/>
              <w:left w:val="single" w:color="auto" w:sz="8" w:space="0"/>
              <w:bottom w:val="single" w:color="auto" w:sz="8" w:space="0"/>
              <w:right w:val="single" w:color="auto" w:sz="8" w:space="0"/>
            </w:tcBorders>
            <w:vAlign w:val="center"/>
          </w:tcPr>
          <w:p>
            <w:pPr>
              <w:pageBreakBefore w:val="0"/>
              <w:widowControl/>
              <w:kinsoku/>
              <w:overflowPunct/>
              <w:bidi w:val="0"/>
              <w:adjustRightInd w:val="0"/>
              <w:snapToGrid w:val="0"/>
              <w:spacing w:line="360" w:lineRule="auto"/>
              <w:jc w:val="center"/>
              <w:rPr>
                <w:rFonts w:hint="default" w:asciiTheme="minorEastAsia" w:hAnsiTheme="minorEastAsia" w:eastAsiaTheme="minorEastAsia" w:cstheme="minorEastAsia"/>
                <w:b/>
                <w:bCs/>
                <w:color w:val="auto"/>
                <w:kern w:val="0"/>
                <w:sz w:val="22"/>
                <w:lang w:val="en-US" w:eastAsia="zh-CN"/>
              </w:rPr>
            </w:pPr>
            <w:r>
              <w:rPr>
                <w:rFonts w:hint="eastAsia" w:asciiTheme="minorEastAsia" w:hAnsiTheme="minorEastAsia" w:eastAsiaTheme="minorEastAsia" w:cstheme="minorEastAsia"/>
                <w:b/>
                <w:bCs/>
                <w:color w:val="auto"/>
                <w:kern w:val="0"/>
                <w:sz w:val="22"/>
                <w:lang w:val="en-US" w:eastAsia="zh-CN"/>
              </w:rPr>
              <w:t>序号</w:t>
            </w:r>
          </w:p>
        </w:tc>
        <w:tc>
          <w:tcPr>
            <w:tcW w:w="1814" w:type="pct"/>
            <w:tcBorders>
              <w:top w:val="single" w:color="auto" w:sz="8" w:space="0"/>
              <w:left w:val="single" w:color="auto" w:sz="8" w:space="0"/>
              <w:bottom w:val="single" w:color="auto" w:sz="8" w:space="0"/>
              <w:right w:val="single" w:color="auto" w:sz="8" w:space="0"/>
            </w:tcBorders>
            <w:vAlign w:val="center"/>
          </w:tcPr>
          <w:p>
            <w:pPr>
              <w:pageBreakBefore w:val="0"/>
              <w:widowControl/>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bCs/>
                <w:color w:val="auto"/>
                <w:kern w:val="0"/>
                <w:sz w:val="22"/>
              </w:rPr>
            </w:pPr>
            <w:r>
              <w:rPr>
                <w:rFonts w:hint="eastAsia" w:asciiTheme="minorEastAsia" w:hAnsiTheme="minorEastAsia" w:eastAsiaTheme="minorEastAsia" w:cstheme="minorEastAsia"/>
                <w:b/>
                <w:bCs/>
                <w:color w:val="auto"/>
                <w:kern w:val="0"/>
                <w:sz w:val="22"/>
              </w:rPr>
              <w:t>招标技术服务条款</w:t>
            </w:r>
          </w:p>
        </w:tc>
        <w:tc>
          <w:tcPr>
            <w:tcW w:w="1255" w:type="pct"/>
            <w:tcBorders>
              <w:top w:val="single" w:color="auto" w:sz="8" w:space="0"/>
              <w:left w:val="single" w:color="auto" w:sz="8" w:space="0"/>
              <w:bottom w:val="single" w:color="auto" w:sz="8" w:space="0"/>
              <w:right w:val="single" w:color="auto" w:sz="8" w:space="0"/>
            </w:tcBorders>
            <w:vAlign w:val="center"/>
          </w:tcPr>
          <w:p>
            <w:pPr>
              <w:pageBreakBefore w:val="0"/>
              <w:kinsoku/>
              <w:overflowPunct/>
              <w:bidi w:val="0"/>
              <w:adjustRightInd w:val="0"/>
              <w:snapToGrid w:val="0"/>
              <w:spacing w:line="360" w:lineRule="auto"/>
              <w:ind w:firstLine="422" w:firstLineChars="200"/>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投标响应</w:t>
            </w:r>
          </w:p>
        </w:tc>
        <w:tc>
          <w:tcPr>
            <w:tcW w:w="1021" w:type="pct"/>
            <w:tcBorders>
              <w:top w:val="single" w:color="auto" w:sz="8" w:space="0"/>
              <w:left w:val="single" w:color="auto" w:sz="8" w:space="0"/>
              <w:bottom w:val="single" w:color="auto" w:sz="8" w:space="0"/>
              <w:right w:val="single" w:color="auto" w:sz="8" w:space="0"/>
            </w:tcBorders>
            <w:vAlign w:val="center"/>
          </w:tcPr>
          <w:p>
            <w:pPr>
              <w:pageBreakBefore w:val="0"/>
              <w:kinsoku/>
              <w:overflowPunct/>
              <w:bidi w:val="0"/>
              <w:adjustRightInd w:val="0"/>
              <w:snapToGrid w:val="0"/>
              <w:spacing w:line="360" w:lineRule="auto"/>
              <w:ind w:firstLine="422" w:firstLineChars="200"/>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偏离情况</w:t>
            </w:r>
          </w:p>
        </w:tc>
        <w:tc>
          <w:tcPr>
            <w:tcW w:w="562" w:type="pct"/>
            <w:tcBorders>
              <w:top w:val="single" w:color="auto" w:sz="8" w:space="0"/>
              <w:left w:val="single" w:color="auto" w:sz="8" w:space="0"/>
              <w:bottom w:val="single" w:color="auto" w:sz="8" w:space="0"/>
              <w:right w:val="single" w:color="auto" w:sz="8" w:space="0"/>
            </w:tcBorders>
            <w:vAlign w:val="center"/>
          </w:tcPr>
          <w:p>
            <w:pPr>
              <w:pageBreakBefore w:val="0"/>
              <w:kinsoku/>
              <w:overflowPunct/>
              <w:bidi w:val="0"/>
              <w:adjustRightInd w:val="0"/>
              <w:snapToGrid w:val="0"/>
              <w:spacing w:line="360" w:lineRule="auto"/>
              <w:ind w:firstLine="422" w:firstLineChars="200"/>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 w:val="21"/>
                <w:szCs w:val="21"/>
                <w:lang w:eastAsia="zh-CN"/>
              </w:rPr>
              <w:t>说明或佐证材料页码</w:t>
            </w:r>
          </w:p>
        </w:tc>
      </w:tr>
      <w:tr>
        <w:tblPrEx>
          <w:tblCellMar>
            <w:top w:w="0" w:type="dxa"/>
            <w:left w:w="108" w:type="dxa"/>
            <w:bottom w:w="0" w:type="dxa"/>
            <w:right w:w="108" w:type="dxa"/>
          </w:tblCellMar>
        </w:tblPrEx>
        <w:trPr>
          <w:trHeight w:val="397" w:hRule="atLeast"/>
          <w:jc w:val="center"/>
        </w:trPr>
        <w:tc>
          <w:tcPr>
            <w:tcW w:w="345" w:type="pct"/>
            <w:tcBorders>
              <w:top w:val="single" w:color="auto" w:sz="8" w:space="0"/>
              <w:left w:val="single" w:color="auto" w:sz="8" w:space="0"/>
              <w:bottom w:val="single" w:color="auto" w:sz="8" w:space="0"/>
              <w:right w:val="single" w:color="auto" w:sz="8" w:space="0"/>
            </w:tcBorders>
            <w:vAlign w:val="center"/>
          </w:tcPr>
          <w:p>
            <w:pPr>
              <w:numPr>
                <w:ilvl w:val="0"/>
                <w:numId w:val="0"/>
              </w:numPr>
              <w:spacing w:line="5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814" w:type="pct"/>
            <w:tcBorders>
              <w:top w:val="single" w:color="auto" w:sz="8" w:space="0"/>
              <w:left w:val="nil"/>
              <w:bottom w:val="single" w:color="auto" w:sz="8" w:space="0"/>
              <w:right w:val="single" w:color="auto" w:sz="8" w:space="0"/>
            </w:tcBorders>
            <w:vAlign w:val="center"/>
          </w:tcPr>
          <w:p>
            <w:pPr>
              <w:pStyle w:val="19"/>
              <w:keepNext w:val="0"/>
              <w:keepLines w:val="0"/>
              <w:pageBreakBefore w:val="0"/>
              <w:numPr>
                <w:ilvl w:val="0"/>
                <w:numId w:val="0"/>
              </w:numPr>
              <w:kinsoku/>
              <w:wordWrap/>
              <w:overflowPunct/>
              <w:topLinePunct w:val="0"/>
              <w:bidi w:val="0"/>
              <w:adjustRightInd/>
              <w:snapToGri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招标文件第三章院内公开采购项目需求中“</w:t>
            </w:r>
            <w:r>
              <w:rPr>
                <w:rFonts w:hint="eastAsia" w:ascii="仿宋" w:hAnsi="仿宋" w:eastAsia="仿宋" w:cs="仿宋"/>
                <w:kern w:val="2"/>
                <w:sz w:val="24"/>
                <w:szCs w:val="24"/>
                <w:lang w:val="en-US" w:eastAsia="zh-CN" w:bidi="ar-SA"/>
              </w:rPr>
              <w:t>五、服务内容及要求</w:t>
            </w:r>
            <w:r>
              <w:rPr>
                <w:rFonts w:hint="eastAsia" w:ascii="仿宋" w:hAnsi="仿宋" w:eastAsia="仿宋" w:cs="仿宋"/>
                <w:sz w:val="24"/>
                <w:szCs w:val="24"/>
                <w:lang w:val="en-US" w:eastAsia="zh-CN"/>
              </w:rPr>
              <w:t>”</w:t>
            </w:r>
          </w:p>
        </w:tc>
        <w:tc>
          <w:tcPr>
            <w:tcW w:w="1255" w:type="pct"/>
            <w:tcBorders>
              <w:top w:val="single" w:color="auto" w:sz="8" w:space="0"/>
              <w:left w:val="nil"/>
              <w:bottom w:val="single" w:color="auto" w:sz="8" w:space="0"/>
              <w:right w:val="single" w:color="auto" w:sz="8" w:space="0"/>
            </w:tcBorders>
            <w:vAlign w:val="center"/>
          </w:tcPr>
          <w:p>
            <w:pPr>
              <w:numPr>
                <w:ilvl w:val="0"/>
                <w:numId w:val="0"/>
              </w:numPr>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填写“完全满足”或“存在负偏离的内容：”或“完全满足招标项目需求全部内容”</w:t>
            </w:r>
          </w:p>
        </w:tc>
        <w:tc>
          <w:tcPr>
            <w:tcW w:w="1021" w:type="pct"/>
            <w:tcBorders>
              <w:top w:val="single" w:color="auto" w:sz="8" w:space="0"/>
              <w:left w:val="nil"/>
              <w:bottom w:val="single" w:color="auto" w:sz="8" w:space="0"/>
              <w:right w:val="single" w:color="auto" w:sz="8" w:space="0"/>
            </w:tcBorders>
            <w:vAlign w:val="center"/>
          </w:tcPr>
          <w:p>
            <w:pPr>
              <w:numPr>
                <w:ilvl w:val="0"/>
                <w:numId w:val="0"/>
              </w:numPr>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填“无偏离”</w:t>
            </w:r>
          </w:p>
          <w:p>
            <w:pPr>
              <w:numPr>
                <w:ilvl w:val="0"/>
                <w:numId w:val="0"/>
              </w:numPr>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或“正偏离”</w:t>
            </w:r>
          </w:p>
          <w:p>
            <w:pPr>
              <w:numPr>
                <w:ilvl w:val="0"/>
                <w:numId w:val="0"/>
              </w:numPr>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或“负偏离”</w:t>
            </w:r>
          </w:p>
        </w:tc>
        <w:tc>
          <w:tcPr>
            <w:tcW w:w="562" w:type="pct"/>
            <w:tcBorders>
              <w:top w:val="single" w:color="auto" w:sz="8" w:space="0"/>
              <w:left w:val="nil"/>
              <w:bottom w:val="single" w:color="auto" w:sz="8" w:space="0"/>
              <w:right w:val="single" w:color="auto" w:sz="8" w:space="0"/>
            </w:tcBorders>
            <w:vAlign w:val="center"/>
          </w:tcPr>
          <w:p>
            <w:pPr>
              <w:numPr>
                <w:ilvl w:val="0"/>
                <w:numId w:val="0"/>
              </w:numPr>
              <w:spacing w:line="500" w:lineRule="exact"/>
              <w:jc w:val="left"/>
              <w:rPr>
                <w:rFonts w:hint="eastAsia" w:ascii="仿宋" w:hAnsi="仿宋" w:eastAsia="仿宋" w:cs="仿宋"/>
                <w:sz w:val="24"/>
                <w:szCs w:val="24"/>
                <w:lang w:val="en-US" w:eastAsia="zh-CN"/>
              </w:rPr>
            </w:pPr>
          </w:p>
        </w:tc>
      </w:tr>
      <w:tr>
        <w:tblPrEx>
          <w:tblCellMar>
            <w:top w:w="0" w:type="dxa"/>
            <w:left w:w="108" w:type="dxa"/>
            <w:bottom w:w="0" w:type="dxa"/>
            <w:right w:w="108" w:type="dxa"/>
          </w:tblCellMar>
        </w:tblPrEx>
        <w:trPr>
          <w:trHeight w:val="397" w:hRule="atLeast"/>
          <w:jc w:val="center"/>
        </w:trPr>
        <w:tc>
          <w:tcPr>
            <w:tcW w:w="345" w:type="pct"/>
            <w:tcBorders>
              <w:top w:val="single" w:color="auto" w:sz="8" w:space="0"/>
              <w:left w:val="single" w:color="auto" w:sz="8" w:space="0"/>
              <w:bottom w:val="single" w:color="auto" w:sz="8" w:space="0"/>
              <w:right w:val="single" w:color="auto" w:sz="8" w:space="0"/>
            </w:tcBorders>
            <w:vAlign w:val="center"/>
          </w:tcPr>
          <w:p>
            <w:pPr>
              <w:numPr>
                <w:ilvl w:val="0"/>
                <w:numId w:val="0"/>
              </w:numPr>
              <w:spacing w:line="5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814" w:type="pct"/>
            <w:tcBorders>
              <w:top w:val="single" w:color="auto" w:sz="8" w:space="0"/>
              <w:left w:val="nil"/>
              <w:bottom w:val="single" w:color="auto" w:sz="8" w:space="0"/>
              <w:right w:val="single" w:color="auto" w:sz="8" w:space="0"/>
            </w:tcBorders>
            <w:vAlign w:val="center"/>
          </w:tcPr>
          <w:p>
            <w:pPr>
              <w:numPr>
                <w:ilvl w:val="0"/>
                <w:numId w:val="0"/>
              </w:numPr>
              <w:spacing w:line="500" w:lineRule="exact"/>
              <w:jc w:val="left"/>
              <w:rPr>
                <w:rFonts w:hint="eastAsia" w:ascii="仿宋" w:hAnsi="仿宋" w:eastAsia="仿宋" w:cs="仿宋"/>
                <w:sz w:val="24"/>
                <w:szCs w:val="24"/>
                <w:lang w:val="en-US" w:eastAsia="zh-CN"/>
              </w:rPr>
            </w:pPr>
          </w:p>
        </w:tc>
        <w:tc>
          <w:tcPr>
            <w:tcW w:w="1255" w:type="pct"/>
            <w:tcBorders>
              <w:top w:val="single" w:color="auto" w:sz="8" w:space="0"/>
              <w:left w:val="nil"/>
              <w:bottom w:val="single" w:color="auto" w:sz="8" w:space="0"/>
              <w:right w:val="single" w:color="auto" w:sz="8" w:space="0"/>
            </w:tcBorders>
            <w:vAlign w:val="center"/>
          </w:tcPr>
          <w:p>
            <w:pPr>
              <w:numPr>
                <w:ilvl w:val="0"/>
                <w:numId w:val="0"/>
              </w:numPr>
              <w:spacing w:line="500" w:lineRule="exact"/>
              <w:jc w:val="left"/>
              <w:rPr>
                <w:rFonts w:hint="eastAsia" w:ascii="仿宋" w:hAnsi="仿宋" w:eastAsia="仿宋" w:cs="仿宋"/>
                <w:sz w:val="24"/>
                <w:szCs w:val="24"/>
                <w:lang w:val="en-US" w:eastAsia="zh-CN"/>
              </w:rPr>
            </w:pPr>
          </w:p>
        </w:tc>
        <w:tc>
          <w:tcPr>
            <w:tcW w:w="1021" w:type="pct"/>
            <w:tcBorders>
              <w:top w:val="single" w:color="auto" w:sz="8" w:space="0"/>
              <w:left w:val="nil"/>
              <w:bottom w:val="single" w:color="auto" w:sz="8" w:space="0"/>
              <w:right w:val="single" w:color="auto" w:sz="8" w:space="0"/>
            </w:tcBorders>
            <w:vAlign w:val="center"/>
          </w:tcPr>
          <w:p>
            <w:pPr>
              <w:numPr>
                <w:ilvl w:val="0"/>
                <w:numId w:val="0"/>
              </w:numPr>
              <w:spacing w:line="500" w:lineRule="exact"/>
              <w:jc w:val="left"/>
              <w:rPr>
                <w:rFonts w:hint="eastAsia" w:ascii="仿宋" w:hAnsi="仿宋" w:eastAsia="仿宋" w:cs="仿宋"/>
                <w:sz w:val="24"/>
                <w:szCs w:val="24"/>
                <w:lang w:val="en-US" w:eastAsia="zh-CN"/>
              </w:rPr>
            </w:pPr>
          </w:p>
        </w:tc>
        <w:tc>
          <w:tcPr>
            <w:tcW w:w="562" w:type="pct"/>
            <w:tcBorders>
              <w:top w:val="single" w:color="auto" w:sz="8" w:space="0"/>
              <w:left w:val="nil"/>
              <w:bottom w:val="single" w:color="auto" w:sz="8" w:space="0"/>
              <w:right w:val="single" w:color="auto" w:sz="8" w:space="0"/>
            </w:tcBorders>
            <w:vAlign w:val="center"/>
          </w:tcPr>
          <w:p>
            <w:pPr>
              <w:numPr>
                <w:ilvl w:val="0"/>
                <w:numId w:val="0"/>
              </w:numPr>
              <w:spacing w:line="500" w:lineRule="exact"/>
              <w:jc w:val="left"/>
              <w:rPr>
                <w:rFonts w:hint="eastAsia" w:ascii="仿宋" w:hAnsi="仿宋" w:eastAsia="仿宋" w:cs="仿宋"/>
                <w:sz w:val="24"/>
                <w:szCs w:val="24"/>
                <w:lang w:val="en-US" w:eastAsia="zh-CN"/>
              </w:rPr>
            </w:pPr>
          </w:p>
        </w:tc>
      </w:tr>
      <w:tr>
        <w:tblPrEx>
          <w:tblCellMar>
            <w:top w:w="0" w:type="dxa"/>
            <w:left w:w="108" w:type="dxa"/>
            <w:bottom w:w="0" w:type="dxa"/>
            <w:right w:w="108" w:type="dxa"/>
          </w:tblCellMar>
        </w:tblPrEx>
        <w:trPr>
          <w:trHeight w:val="397" w:hRule="atLeast"/>
          <w:jc w:val="center"/>
        </w:trPr>
        <w:tc>
          <w:tcPr>
            <w:tcW w:w="345" w:type="pct"/>
            <w:tcBorders>
              <w:top w:val="single" w:color="auto" w:sz="8" w:space="0"/>
              <w:left w:val="single" w:color="auto" w:sz="8" w:space="0"/>
              <w:bottom w:val="single" w:color="auto" w:sz="8" w:space="0"/>
              <w:right w:val="single" w:color="auto" w:sz="8" w:space="0"/>
            </w:tcBorders>
            <w:vAlign w:val="center"/>
          </w:tcPr>
          <w:p>
            <w:pPr>
              <w:numPr>
                <w:ilvl w:val="0"/>
                <w:numId w:val="0"/>
              </w:numPr>
              <w:spacing w:line="5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814" w:type="pct"/>
            <w:tcBorders>
              <w:top w:val="single" w:color="auto" w:sz="8" w:space="0"/>
              <w:left w:val="nil"/>
              <w:bottom w:val="single" w:color="auto" w:sz="8" w:space="0"/>
              <w:right w:val="single" w:color="auto" w:sz="8" w:space="0"/>
            </w:tcBorders>
            <w:vAlign w:val="center"/>
          </w:tcPr>
          <w:p>
            <w:pPr>
              <w:numPr>
                <w:ilvl w:val="0"/>
                <w:numId w:val="0"/>
              </w:numPr>
              <w:spacing w:line="500" w:lineRule="exact"/>
              <w:jc w:val="left"/>
              <w:rPr>
                <w:rFonts w:hint="eastAsia" w:ascii="仿宋" w:hAnsi="仿宋" w:eastAsia="仿宋" w:cs="仿宋"/>
                <w:sz w:val="24"/>
                <w:szCs w:val="24"/>
                <w:lang w:val="en-US" w:eastAsia="zh-CN"/>
              </w:rPr>
            </w:pPr>
          </w:p>
        </w:tc>
        <w:tc>
          <w:tcPr>
            <w:tcW w:w="1255" w:type="pct"/>
            <w:tcBorders>
              <w:top w:val="single" w:color="auto" w:sz="8" w:space="0"/>
              <w:left w:val="nil"/>
              <w:bottom w:val="single" w:color="auto" w:sz="8" w:space="0"/>
              <w:right w:val="single" w:color="auto" w:sz="8" w:space="0"/>
            </w:tcBorders>
            <w:vAlign w:val="center"/>
          </w:tcPr>
          <w:p>
            <w:pPr>
              <w:numPr>
                <w:ilvl w:val="0"/>
                <w:numId w:val="0"/>
              </w:numPr>
              <w:spacing w:line="500" w:lineRule="exact"/>
              <w:jc w:val="left"/>
              <w:rPr>
                <w:rFonts w:hint="eastAsia" w:ascii="仿宋" w:hAnsi="仿宋" w:eastAsia="仿宋" w:cs="仿宋"/>
                <w:sz w:val="24"/>
                <w:szCs w:val="24"/>
                <w:lang w:val="en-US" w:eastAsia="zh-CN"/>
              </w:rPr>
            </w:pPr>
          </w:p>
        </w:tc>
        <w:tc>
          <w:tcPr>
            <w:tcW w:w="1021" w:type="pct"/>
            <w:tcBorders>
              <w:top w:val="single" w:color="auto" w:sz="8" w:space="0"/>
              <w:left w:val="nil"/>
              <w:bottom w:val="single" w:color="auto" w:sz="8" w:space="0"/>
              <w:right w:val="single" w:color="auto" w:sz="8" w:space="0"/>
            </w:tcBorders>
            <w:vAlign w:val="center"/>
          </w:tcPr>
          <w:p>
            <w:pPr>
              <w:numPr>
                <w:ilvl w:val="0"/>
                <w:numId w:val="0"/>
              </w:numPr>
              <w:spacing w:line="500" w:lineRule="exact"/>
              <w:jc w:val="left"/>
              <w:rPr>
                <w:rFonts w:hint="eastAsia" w:ascii="仿宋" w:hAnsi="仿宋" w:eastAsia="仿宋" w:cs="仿宋"/>
                <w:sz w:val="24"/>
                <w:szCs w:val="24"/>
                <w:lang w:val="en-US" w:eastAsia="zh-CN"/>
              </w:rPr>
            </w:pPr>
          </w:p>
        </w:tc>
        <w:tc>
          <w:tcPr>
            <w:tcW w:w="562" w:type="pct"/>
            <w:tcBorders>
              <w:top w:val="single" w:color="auto" w:sz="8" w:space="0"/>
              <w:left w:val="nil"/>
              <w:bottom w:val="single" w:color="auto" w:sz="8" w:space="0"/>
              <w:right w:val="single" w:color="auto" w:sz="8" w:space="0"/>
            </w:tcBorders>
            <w:vAlign w:val="center"/>
          </w:tcPr>
          <w:p>
            <w:pPr>
              <w:numPr>
                <w:ilvl w:val="0"/>
                <w:numId w:val="0"/>
              </w:numPr>
              <w:spacing w:line="500" w:lineRule="exact"/>
              <w:jc w:val="left"/>
              <w:rPr>
                <w:rFonts w:hint="eastAsia" w:ascii="仿宋" w:hAnsi="仿宋" w:eastAsia="仿宋" w:cs="仿宋"/>
                <w:sz w:val="24"/>
                <w:szCs w:val="24"/>
                <w:lang w:val="en-US" w:eastAsia="zh-CN"/>
              </w:rPr>
            </w:pPr>
          </w:p>
        </w:tc>
      </w:tr>
      <w:tr>
        <w:tblPrEx>
          <w:tblCellMar>
            <w:top w:w="0" w:type="dxa"/>
            <w:left w:w="108" w:type="dxa"/>
            <w:bottom w:w="0" w:type="dxa"/>
            <w:right w:w="108" w:type="dxa"/>
          </w:tblCellMar>
        </w:tblPrEx>
        <w:trPr>
          <w:trHeight w:val="397" w:hRule="atLeast"/>
          <w:jc w:val="center"/>
        </w:trPr>
        <w:tc>
          <w:tcPr>
            <w:tcW w:w="345" w:type="pct"/>
            <w:tcBorders>
              <w:top w:val="single" w:color="auto" w:sz="8" w:space="0"/>
              <w:left w:val="single" w:color="auto" w:sz="8" w:space="0"/>
              <w:bottom w:val="single" w:color="auto" w:sz="8" w:space="0"/>
              <w:right w:val="single" w:color="auto" w:sz="8" w:space="0"/>
            </w:tcBorders>
            <w:vAlign w:val="center"/>
          </w:tcPr>
          <w:p>
            <w:pPr>
              <w:numPr>
                <w:ilvl w:val="0"/>
                <w:numId w:val="0"/>
              </w:numPr>
              <w:spacing w:line="5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814" w:type="pct"/>
            <w:tcBorders>
              <w:top w:val="single" w:color="auto" w:sz="8" w:space="0"/>
              <w:left w:val="nil"/>
              <w:bottom w:val="single" w:color="auto" w:sz="8" w:space="0"/>
              <w:right w:val="single" w:color="auto" w:sz="8" w:space="0"/>
            </w:tcBorders>
            <w:vAlign w:val="center"/>
          </w:tcPr>
          <w:p>
            <w:pPr>
              <w:numPr>
                <w:ilvl w:val="0"/>
                <w:numId w:val="0"/>
              </w:numPr>
              <w:spacing w:line="500" w:lineRule="exact"/>
              <w:jc w:val="left"/>
              <w:rPr>
                <w:rFonts w:hint="eastAsia" w:ascii="仿宋" w:hAnsi="仿宋" w:eastAsia="仿宋" w:cs="仿宋"/>
                <w:sz w:val="24"/>
                <w:szCs w:val="24"/>
                <w:lang w:val="en-US" w:eastAsia="zh-CN"/>
              </w:rPr>
            </w:pPr>
          </w:p>
        </w:tc>
        <w:tc>
          <w:tcPr>
            <w:tcW w:w="1255" w:type="pct"/>
            <w:tcBorders>
              <w:top w:val="single" w:color="auto" w:sz="8" w:space="0"/>
              <w:left w:val="nil"/>
              <w:bottom w:val="single" w:color="auto" w:sz="8" w:space="0"/>
              <w:right w:val="single" w:color="auto" w:sz="8" w:space="0"/>
            </w:tcBorders>
            <w:vAlign w:val="center"/>
          </w:tcPr>
          <w:p>
            <w:pPr>
              <w:numPr>
                <w:ilvl w:val="0"/>
                <w:numId w:val="0"/>
              </w:numPr>
              <w:spacing w:line="500" w:lineRule="exact"/>
              <w:jc w:val="left"/>
              <w:rPr>
                <w:rFonts w:hint="eastAsia" w:ascii="仿宋" w:hAnsi="仿宋" w:eastAsia="仿宋" w:cs="仿宋"/>
                <w:sz w:val="24"/>
                <w:szCs w:val="24"/>
                <w:lang w:val="en-US" w:eastAsia="zh-CN"/>
              </w:rPr>
            </w:pPr>
          </w:p>
        </w:tc>
        <w:tc>
          <w:tcPr>
            <w:tcW w:w="1021" w:type="pct"/>
            <w:tcBorders>
              <w:top w:val="single" w:color="auto" w:sz="8" w:space="0"/>
              <w:left w:val="nil"/>
              <w:bottom w:val="single" w:color="auto" w:sz="8" w:space="0"/>
              <w:right w:val="single" w:color="auto" w:sz="8" w:space="0"/>
            </w:tcBorders>
            <w:vAlign w:val="center"/>
          </w:tcPr>
          <w:p>
            <w:pPr>
              <w:numPr>
                <w:ilvl w:val="0"/>
                <w:numId w:val="0"/>
              </w:numPr>
              <w:spacing w:line="500" w:lineRule="exact"/>
              <w:jc w:val="left"/>
              <w:rPr>
                <w:rFonts w:hint="eastAsia" w:ascii="仿宋" w:hAnsi="仿宋" w:eastAsia="仿宋" w:cs="仿宋"/>
                <w:sz w:val="24"/>
                <w:szCs w:val="24"/>
                <w:lang w:val="en-US" w:eastAsia="zh-CN"/>
              </w:rPr>
            </w:pPr>
          </w:p>
        </w:tc>
        <w:tc>
          <w:tcPr>
            <w:tcW w:w="562" w:type="pct"/>
            <w:tcBorders>
              <w:top w:val="single" w:color="auto" w:sz="8" w:space="0"/>
              <w:left w:val="nil"/>
              <w:bottom w:val="single" w:color="auto" w:sz="8" w:space="0"/>
              <w:right w:val="single" w:color="auto" w:sz="8" w:space="0"/>
            </w:tcBorders>
            <w:vAlign w:val="center"/>
          </w:tcPr>
          <w:p>
            <w:pPr>
              <w:numPr>
                <w:ilvl w:val="0"/>
                <w:numId w:val="0"/>
              </w:numPr>
              <w:spacing w:line="500" w:lineRule="exact"/>
              <w:jc w:val="left"/>
              <w:rPr>
                <w:rFonts w:hint="eastAsia" w:ascii="仿宋" w:hAnsi="仿宋" w:eastAsia="仿宋" w:cs="仿宋"/>
                <w:sz w:val="24"/>
                <w:szCs w:val="24"/>
                <w:lang w:val="en-US" w:eastAsia="zh-CN"/>
              </w:rPr>
            </w:pPr>
          </w:p>
        </w:tc>
      </w:tr>
    </w:tbl>
    <w:p>
      <w:pPr>
        <w:pageBreakBefore w:val="0"/>
        <w:kinsoku/>
        <w:overflowPunct/>
        <w:bidi w:val="0"/>
        <w:adjustRightInd w:val="0"/>
        <w:snapToGrid w:val="0"/>
        <w:spacing w:line="360" w:lineRule="auto"/>
        <w:ind w:firstLine="422" w:firstLineChars="200"/>
        <w:jc w:val="left"/>
        <w:rPr>
          <w:rFonts w:hint="eastAsia" w:asciiTheme="minorEastAsia" w:hAnsiTheme="minorEastAsia" w:eastAsiaTheme="minorEastAsia" w:cstheme="minorEastAsia"/>
          <w:b/>
          <w:color w:val="auto"/>
          <w:szCs w:val="21"/>
        </w:rPr>
      </w:pPr>
    </w:p>
    <w:p>
      <w:pPr>
        <w:pageBreakBefore w:val="0"/>
        <w:kinsoku/>
        <w:overflowPunct/>
        <w:bidi w:val="0"/>
        <w:adjustRightInd w:val="0"/>
        <w:snapToGrid w:val="0"/>
        <w:spacing w:line="360" w:lineRule="auto"/>
        <w:ind w:firstLine="422" w:firstLineChars="200"/>
        <w:jc w:val="left"/>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
          <w:color w:val="auto"/>
          <w:szCs w:val="21"/>
        </w:rPr>
        <w:t>注：</w:t>
      </w:r>
      <w:r>
        <w:rPr>
          <w:rFonts w:hint="eastAsia" w:asciiTheme="minorEastAsia" w:hAnsiTheme="minorEastAsia" w:eastAsiaTheme="minorEastAsia" w:cstheme="minorEastAsia"/>
          <w:bCs/>
          <w:color w:val="auto"/>
          <w:szCs w:val="21"/>
        </w:rPr>
        <w:t>1、投标人须根据</w:t>
      </w:r>
      <w:r>
        <w:rPr>
          <w:rFonts w:hint="eastAsia" w:asciiTheme="minorEastAsia" w:hAnsiTheme="minorEastAsia" w:eastAsiaTheme="minorEastAsia" w:cstheme="minorEastAsia"/>
          <w:bCs/>
          <w:color w:val="auto"/>
          <w:szCs w:val="21"/>
          <w:lang w:val="en-US" w:eastAsia="zh-CN"/>
        </w:rPr>
        <w:t>招标文件第三章院内公开采购项目需求中“五、服务内容及要求”</w:t>
      </w:r>
      <w:r>
        <w:rPr>
          <w:rFonts w:hint="eastAsia" w:asciiTheme="minorEastAsia" w:hAnsiTheme="minorEastAsia" w:eastAsiaTheme="minorEastAsia" w:cstheme="minorEastAsia"/>
          <w:bCs/>
          <w:color w:val="auto"/>
          <w:szCs w:val="21"/>
        </w:rPr>
        <w:t>要求填写此表，作为投标文件重要的组成部分。</w:t>
      </w:r>
    </w:p>
    <w:p>
      <w:pPr>
        <w:pageBreakBefore w:val="0"/>
        <w:kinsoku/>
        <w:overflowPunct/>
        <w:bidi w:val="0"/>
        <w:adjustRightInd w:val="0"/>
        <w:snapToGrid w:val="0"/>
        <w:spacing w:line="360" w:lineRule="auto"/>
        <w:ind w:firstLine="420" w:firstLineChars="200"/>
        <w:jc w:val="left"/>
        <w:rPr>
          <w:rFonts w:hint="eastAsia" w:asciiTheme="minorEastAsia" w:hAnsiTheme="minorEastAsia" w:eastAsiaTheme="minorEastAsia" w:cstheme="minorEastAsia"/>
          <w:bCs/>
          <w:color w:val="auto"/>
          <w:szCs w:val="21"/>
          <w:lang w:eastAsia="zh-CN"/>
        </w:rPr>
      </w:pPr>
      <w:r>
        <w:rPr>
          <w:rFonts w:hint="eastAsia" w:asciiTheme="minorEastAsia" w:hAnsiTheme="minorEastAsia" w:eastAsiaTheme="minorEastAsia" w:cstheme="minorEastAsia"/>
          <w:bCs/>
          <w:color w:val="auto"/>
          <w:szCs w:val="21"/>
          <w:lang w:eastAsia="zh-CN"/>
        </w:rPr>
        <w:t>2.</w:t>
      </w:r>
      <w:r>
        <w:rPr>
          <w:rFonts w:hint="eastAsia" w:asciiTheme="minorEastAsia" w:hAnsiTheme="minorEastAsia" w:eastAsiaTheme="minorEastAsia" w:cstheme="minorEastAsia"/>
          <w:bCs/>
          <w:color w:val="auto"/>
          <w:szCs w:val="21"/>
        </w:rPr>
        <w:t>投标人递交的投标文件中对招标文件</w:t>
      </w:r>
      <w:r>
        <w:rPr>
          <w:rFonts w:hint="eastAsia" w:asciiTheme="minorEastAsia" w:hAnsiTheme="minorEastAsia" w:eastAsiaTheme="minorEastAsia" w:cstheme="minorEastAsia"/>
          <w:bCs/>
          <w:color w:val="auto"/>
          <w:szCs w:val="21"/>
          <w:lang w:val="en-US" w:eastAsia="zh-CN"/>
        </w:rPr>
        <w:t>第三章院内公开采购项目需求中“五、服务内容及要求”</w:t>
      </w:r>
      <w:r>
        <w:rPr>
          <w:rFonts w:hint="eastAsia" w:asciiTheme="minorEastAsia" w:hAnsiTheme="minorEastAsia" w:eastAsiaTheme="minorEastAsia" w:cstheme="minorEastAsia"/>
          <w:bCs/>
          <w:color w:val="auto"/>
          <w:szCs w:val="21"/>
        </w:rPr>
        <w:t>的要求存在负偏离时，</w:t>
      </w:r>
      <w:r>
        <w:rPr>
          <w:rFonts w:hint="eastAsia" w:asciiTheme="minorEastAsia" w:hAnsiTheme="minorEastAsia" w:eastAsiaTheme="minorEastAsia" w:cstheme="minorEastAsia"/>
          <w:b/>
          <w:color w:val="auto"/>
          <w:szCs w:val="21"/>
        </w:rPr>
        <w:t>应将负偏离内容逐条列在“投标响应”</w:t>
      </w:r>
      <w:r>
        <w:rPr>
          <w:rFonts w:hint="eastAsia" w:asciiTheme="minorEastAsia" w:hAnsiTheme="minorEastAsia" w:eastAsiaTheme="minorEastAsia" w:cstheme="minorEastAsia"/>
          <w:bCs/>
          <w:color w:val="auto"/>
          <w:szCs w:val="21"/>
        </w:rPr>
        <w:t>栏中；如投标文件响应情况完全相符或高于此部分要求，在“</w:t>
      </w:r>
      <w:r>
        <w:rPr>
          <w:rFonts w:hint="eastAsia" w:asciiTheme="minorEastAsia" w:hAnsiTheme="minorEastAsia" w:eastAsiaTheme="minorEastAsia" w:cstheme="minorEastAsia"/>
          <w:b/>
          <w:color w:val="auto"/>
          <w:szCs w:val="21"/>
        </w:rPr>
        <w:t>投标响应栏”</w:t>
      </w:r>
      <w:r>
        <w:rPr>
          <w:rFonts w:hint="eastAsia" w:asciiTheme="minorEastAsia" w:hAnsiTheme="minorEastAsia" w:eastAsiaTheme="minorEastAsia" w:cstheme="minorEastAsia"/>
          <w:bCs/>
          <w:color w:val="auto"/>
          <w:szCs w:val="21"/>
        </w:rPr>
        <w:t>中</w:t>
      </w:r>
      <w:r>
        <w:rPr>
          <w:rFonts w:hint="eastAsia" w:asciiTheme="minorEastAsia" w:hAnsiTheme="minorEastAsia" w:eastAsiaTheme="minorEastAsia" w:cstheme="minorEastAsia"/>
          <w:b/>
          <w:color w:val="auto"/>
          <w:szCs w:val="21"/>
        </w:rPr>
        <w:t>响应“完全满足</w:t>
      </w:r>
      <w:r>
        <w:rPr>
          <w:rFonts w:hint="eastAsia" w:asciiTheme="minorEastAsia" w:hAnsiTheme="minorEastAsia" w:eastAsiaTheme="minorEastAsia" w:cstheme="minorEastAsia"/>
          <w:b/>
          <w:color w:val="auto"/>
          <w:szCs w:val="21"/>
          <w:lang w:eastAsia="zh-CN"/>
        </w:rPr>
        <w:t>”，“</w:t>
      </w:r>
      <w:r>
        <w:rPr>
          <w:rFonts w:hint="eastAsia" w:asciiTheme="minorEastAsia" w:hAnsiTheme="minorEastAsia" w:eastAsiaTheme="minorEastAsia" w:cstheme="minorEastAsia"/>
          <w:b/>
          <w:color w:val="auto"/>
          <w:szCs w:val="21"/>
        </w:rPr>
        <w:t>偏离情况”栏中</w:t>
      </w:r>
      <w:r>
        <w:rPr>
          <w:rFonts w:hint="eastAsia" w:asciiTheme="minorEastAsia" w:hAnsiTheme="minorEastAsia" w:eastAsiaTheme="minorEastAsia" w:cstheme="minorEastAsia"/>
          <w:bCs/>
          <w:color w:val="auto"/>
          <w:szCs w:val="21"/>
        </w:rPr>
        <w:t>根据响应情况填写，完全与技术服务要求相符的填“无偏离”，高于技术服务要求的填“正偏离”，没有达到技术服务要求的填“负偏离”，有其他事项请在“说明”栏中补充</w:t>
      </w:r>
      <w:r>
        <w:rPr>
          <w:rFonts w:hint="eastAsia" w:asciiTheme="minorEastAsia" w:hAnsiTheme="minorEastAsia" w:eastAsiaTheme="minorEastAsia" w:cstheme="minorEastAsia"/>
          <w:bCs/>
          <w:color w:val="auto"/>
          <w:szCs w:val="21"/>
          <w:lang w:eastAsia="zh-CN"/>
        </w:rPr>
        <w:t>。</w:t>
      </w:r>
    </w:p>
    <w:p>
      <w:pPr>
        <w:pageBreakBefore w:val="0"/>
        <w:kinsoku/>
        <w:overflowPunct/>
        <w:bidi w:val="0"/>
        <w:adjustRightInd w:val="0"/>
        <w:snapToGrid w:val="0"/>
        <w:spacing w:line="360" w:lineRule="auto"/>
        <w:ind w:firstLine="420" w:firstLineChars="200"/>
        <w:jc w:val="left"/>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 w:val="21"/>
          <w:szCs w:val="21"/>
          <w:highlight w:val="none"/>
          <w:lang w:val="en-US" w:eastAsia="zh-CN"/>
        </w:rPr>
        <w:t>若完全响应招标文件“招标项目需求”全部技术服务内容，可在</w:t>
      </w:r>
      <w:r>
        <w:rPr>
          <w:rFonts w:hint="eastAsia" w:asciiTheme="minorEastAsia" w:hAnsiTheme="minorEastAsia" w:eastAsiaTheme="minorEastAsia" w:cstheme="minorEastAsia"/>
          <w:bCs/>
          <w:color w:val="auto"/>
          <w:szCs w:val="21"/>
        </w:rPr>
        <w:t>“</w:t>
      </w:r>
      <w:r>
        <w:rPr>
          <w:rFonts w:hint="eastAsia" w:asciiTheme="minorEastAsia" w:hAnsiTheme="minorEastAsia" w:eastAsiaTheme="minorEastAsia" w:cstheme="minorEastAsia"/>
          <w:b/>
          <w:color w:val="auto"/>
          <w:szCs w:val="21"/>
        </w:rPr>
        <w:t>投标响应栏”</w:t>
      </w:r>
      <w:r>
        <w:rPr>
          <w:rFonts w:hint="eastAsia" w:asciiTheme="minorEastAsia" w:hAnsiTheme="minorEastAsia" w:eastAsiaTheme="minorEastAsia" w:cstheme="minorEastAsia"/>
          <w:bCs/>
          <w:color w:val="auto"/>
          <w:szCs w:val="21"/>
        </w:rPr>
        <w:t>中</w:t>
      </w:r>
      <w:r>
        <w:rPr>
          <w:rFonts w:hint="eastAsia" w:asciiTheme="minorEastAsia" w:hAnsiTheme="minorEastAsia" w:eastAsiaTheme="minorEastAsia" w:cstheme="minorEastAsia"/>
          <w:b/>
          <w:color w:val="auto"/>
          <w:szCs w:val="21"/>
        </w:rPr>
        <w:t>响应“完全满足</w:t>
      </w:r>
      <w:r>
        <w:rPr>
          <w:rFonts w:hint="eastAsia" w:asciiTheme="minorEastAsia" w:hAnsiTheme="minorEastAsia" w:eastAsiaTheme="minorEastAsia" w:cstheme="minorEastAsia"/>
          <w:color w:val="auto"/>
          <w:sz w:val="21"/>
          <w:szCs w:val="21"/>
          <w:highlight w:val="none"/>
          <w:lang w:val="en-US" w:eastAsia="zh-CN"/>
        </w:rPr>
        <w:t>招标项目需求</w:t>
      </w:r>
      <w:r>
        <w:rPr>
          <w:rFonts w:hint="eastAsia" w:asciiTheme="minorEastAsia" w:hAnsiTheme="minorEastAsia" w:eastAsiaTheme="minorEastAsia" w:cstheme="minorEastAsia"/>
          <w:b/>
          <w:bCs/>
          <w:color w:val="auto"/>
          <w:kern w:val="0"/>
          <w:szCs w:val="21"/>
        </w:rPr>
        <w:t>全部内容</w:t>
      </w:r>
      <w:r>
        <w:rPr>
          <w:rFonts w:hint="eastAsia" w:asciiTheme="minorEastAsia" w:hAnsiTheme="minorEastAsia" w:eastAsiaTheme="minorEastAsia" w:cstheme="minorEastAsia"/>
          <w:b/>
          <w:color w:val="auto"/>
          <w:szCs w:val="21"/>
          <w:lang w:eastAsia="zh-CN"/>
        </w:rPr>
        <w:t>”。</w:t>
      </w:r>
    </w:p>
    <w:p>
      <w:pPr>
        <w:pageBreakBefore w:val="0"/>
        <w:kinsoku/>
        <w:overflowPunct/>
        <w:bidi w:val="0"/>
        <w:adjustRightInd w:val="0"/>
        <w:snapToGrid w:val="0"/>
        <w:spacing w:line="360" w:lineRule="auto"/>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投标人（公章）：</w:t>
      </w:r>
    </w:p>
    <w:p>
      <w:pPr>
        <w:pageBreakBefore w:val="0"/>
        <w:kinsoku/>
        <w:overflowPunct/>
        <w:bidi w:val="0"/>
        <w:adjustRightInd w:val="0"/>
        <w:snapToGrid w:val="0"/>
        <w:spacing w:line="360" w:lineRule="auto"/>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法定代表人或其授权代表签名：</w:t>
      </w:r>
    </w:p>
    <w:p>
      <w:pPr>
        <w:pageBreakBefore w:val="0"/>
        <w:kinsoku/>
        <w:overflowPunct/>
        <w:bidi w:val="0"/>
        <w:adjustRightInd w:val="0"/>
        <w:snapToGrid w:val="0"/>
        <w:spacing w:line="360" w:lineRule="auto"/>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日期：      年    月    日</w:t>
      </w:r>
    </w:p>
    <w:p>
      <w:pPr>
        <w:sectPr>
          <w:pgSz w:w="16838" w:h="11906" w:orient="landscape"/>
          <w:pgMar w:top="1304" w:right="2098" w:bottom="1474" w:left="1984" w:header="851" w:footer="1417" w:gutter="0"/>
          <w:pgNumType w:fmt="numberInDash"/>
          <w:cols w:space="0" w:num="1"/>
          <w:docGrid w:type="lines" w:linePitch="327" w:charSpace="0"/>
        </w:sectPr>
      </w:pPr>
    </w:p>
    <w:p>
      <w:pPr>
        <w:tabs>
          <w:tab w:val="left" w:pos="0"/>
        </w:tabs>
        <w:snapToGrid w:val="0"/>
        <w:spacing w:line="480" w:lineRule="exact"/>
        <w:rPr>
          <w:rFonts w:ascii="仿宋" w:hAnsi="仿宋" w:eastAsia="仿宋" w:cs="仿宋"/>
          <w:b/>
          <w:color w:val="000000"/>
          <w:kern w:val="0"/>
          <w:sz w:val="28"/>
          <w:szCs w:val="28"/>
          <w:highlight w:val="yellow"/>
        </w:rPr>
      </w:pPr>
      <w:r>
        <w:rPr>
          <w:rFonts w:hint="eastAsia" w:ascii="仿宋" w:hAnsi="仿宋" w:eastAsia="仿宋" w:cs="仿宋"/>
          <w:b/>
          <w:bCs/>
          <w:sz w:val="32"/>
          <w:szCs w:val="32"/>
          <w:lang w:val="en-US" w:eastAsia="zh-CN"/>
        </w:rPr>
        <w:t>服务类</w:t>
      </w:r>
      <w:r>
        <w:rPr>
          <w:rFonts w:hint="eastAsia" w:ascii="仿宋" w:hAnsi="仿宋" w:eastAsia="仿宋" w:cs="仿宋"/>
          <w:b/>
          <w:bCs/>
          <w:sz w:val="32"/>
          <w:szCs w:val="32"/>
        </w:rPr>
        <w:t>合同模板</w:t>
      </w:r>
      <w:r>
        <w:rPr>
          <w:rFonts w:hint="eastAsia" w:ascii="仿宋" w:hAnsi="仿宋" w:eastAsia="仿宋" w:cs="仿宋"/>
          <w:b/>
          <w:bCs/>
          <w:sz w:val="32"/>
          <w:szCs w:val="32"/>
          <w:lang w:eastAsia="zh-CN"/>
        </w:rPr>
        <w:t>（</w:t>
      </w:r>
      <w:r>
        <w:rPr>
          <w:rFonts w:hint="eastAsia" w:ascii="仿宋" w:hAnsi="仿宋" w:eastAsia="仿宋" w:cs="仿宋"/>
          <w:b/>
          <w:color w:val="000000"/>
          <w:kern w:val="0"/>
          <w:sz w:val="28"/>
          <w:szCs w:val="28"/>
        </w:rPr>
        <w:t>合同模板仅供参考，中标人根据招投标文件拟定</w:t>
      </w:r>
      <w:r>
        <w:rPr>
          <w:rFonts w:hint="eastAsia" w:ascii="仿宋" w:hAnsi="仿宋" w:eastAsia="仿宋" w:cs="仿宋"/>
          <w:b/>
          <w:color w:val="000000"/>
          <w:kern w:val="0"/>
          <w:sz w:val="28"/>
          <w:szCs w:val="28"/>
          <w:lang w:eastAsia="zh-CN"/>
        </w:rPr>
        <w:t>）</w:t>
      </w:r>
    </w:p>
    <w:p>
      <w:pPr>
        <w:jc w:val="center"/>
        <w:rPr>
          <w:rFonts w:hint="eastAsia" w:ascii="仿宋" w:hAnsi="仿宋" w:eastAsia="仿宋"/>
          <w:b/>
          <w:sz w:val="44"/>
          <w:szCs w:val="44"/>
        </w:rPr>
      </w:pPr>
    </w:p>
    <w:p>
      <w:pPr>
        <w:jc w:val="center"/>
        <w:rPr>
          <w:rFonts w:ascii="仿宋" w:hAnsi="仿宋" w:eastAsia="仿宋"/>
          <w:b/>
          <w:sz w:val="44"/>
          <w:szCs w:val="44"/>
        </w:rPr>
      </w:pPr>
      <w:r>
        <w:rPr>
          <w:rFonts w:hint="eastAsia" w:ascii="仿宋" w:hAnsi="仿宋" w:eastAsia="仿宋"/>
          <w:b/>
          <w:sz w:val="44"/>
          <w:szCs w:val="44"/>
        </w:rPr>
        <w:t>《</w:t>
      </w:r>
      <w:r>
        <w:rPr>
          <w:rFonts w:hint="eastAsia" w:ascii="仿宋" w:hAnsi="仿宋" w:eastAsia="仿宋"/>
          <w:b/>
          <w:sz w:val="44"/>
          <w:szCs w:val="44"/>
          <w:lang w:eastAsia="zh-CN"/>
        </w:rPr>
        <w:t>龙岗区第七人民医院</w:t>
      </w:r>
      <w:r>
        <w:rPr>
          <w:rFonts w:hint="eastAsia" w:ascii="仿宋" w:hAnsi="仿宋" w:eastAsia="仿宋"/>
          <w:b/>
          <w:sz w:val="44"/>
          <w:szCs w:val="44"/>
        </w:rPr>
        <w:t>采购合同》</w:t>
      </w:r>
    </w:p>
    <w:p>
      <w:pPr>
        <w:spacing w:line="440" w:lineRule="exact"/>
        <w:ind w:firstLine="560" w:firstLineChars="200"/>
        <w:rPr>
          <w:rFonts w:ascii="仿宋" w:hAnsi="仿宋" w:eastAsia="仿宋"/>
          <w:sz w:val="28"/>
          <w:szCs w:val="28"/>
        </w:rPr>
      </w:pP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宋体"/>
          <w:sz w:val="28"/>
          <w:szCs w:val="28"/>
          <w:u w:val="single"/>
        </w:rPr>
        <w:t xml:space="preserve">                     </w:t>
      </w:r>
    </w:p>
    <w:p>
      <w:pPr>
        <w:spacing w:line="440" w:lineRule="exact"/>
        <w:ind w:firstLine="560" w:firstLineChars="200"/>
        <w:rPr>
          <w:rFonts w:hint="default" w:ascii="仿宋" w:hAnsi="仿宋" w:eastAsia="仿宋" w:cs="仿宋"/>
          <w:sz w:val="28"/>
          <w:szCs w:val="28"/>
          <w:u w:val="single"/>
          <w:lang w:val="en-US" w:eastAsia="zh-CN"/>
        </w:rPr>
      </w:pPr>
      <w:r>
        <w:rPr>
          <w:rFonts w:hint="eastAsia" w:ascii="仿宋" w:hAnsi="仿宋" w:eastAsia="仿宋" w:cs="仿宋"/>
          <w:sz w:val="28"/>
          <w:szCs w:val="28"/>
        </w:rPr>
        <w:t>项目编号：</w:t>
      </w:r>
      <w:r>
        <w:rPr>
          <w:rFonts w:hint="eastAsia" w:ascii="仿宋" w:hAnsi="仿宋" w:eastAsia="仿宋" w:cs="仿宋_GB2312"/>
          <w:sz w:val="28"/>
          <w:szCs w:val="28"/>
          <w:u w:val="single"/>
          <w:lang w:val="en-US" w:eastAsia="zh-CN"/>
        </w:rPr>
        <w:t xml:space="preserve">                     </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项目类型：</w:t>
      </w:r>
      <w:r>
        <w:rPr>
          <w:rFonts w:hint="eastAsia" w:ascii="仿宋" w:hAnsi="仿宋" w:eastAsia="仿宋"/>
          <w:sz w:val="28"/>
          <w:szCs w:val="28"/>
          <w:u w:val="single"/>
        </w:rPr>
        <w:t>服务类</w:t>
      </w:r>
      <w:r>
        <w:rPr>
          <w:rFonts w:hint="eastAsia" w:ascii="仿宋" w:hAnsi="仿宋" w:eastAsia="仿宋" w:cs="仿宋"/>
          <w:sz w:val="28"/>
          <w:szCs w:val="28"/>
          <w:u w:val="single"/>
        </w:rPr>
        <w:t>　</w:t>
      </w:r>
    </w:p>
    <w:p>
      <w:pPr>
        <w:spacing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采购单位（甲方）：</w:t>
      </w:r>
      <w:r>
        <w:rPr>
          <w:rFonts w:hint="eastAsia" w:ascii="仿宋" w:hAnsi="仿宋" w:eastAsia="仿宋"/>
          <w:sz w:val="28"/>
          <w:szCs w:val="28"/>
          <w:u w:val="single"/>
        </w:rPr>
        <w:t>深圳市</w:t>
      </w:r>
      <w:r>
        <w:rPr>
          <w:rFonts w:hint="eastAsia" w:ascii="仿宋" w:hAnsi="仿宋" w:eastAsia="仿宋"/>
          <w:sz w:val="28"/>
          <w:szCs w:val="28"/>
          <w:u w:val="single"/>
          <w:lang w:eastAsia="zh-CN"/>
        </w:rPr>
        <w:t>龙岗区第七人民医院</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供 应 商（乙方）：</w:t>
      </w:r>
      <w:r>
        <w:rPr>
          <w:rFonts w:hint="eastAsia" w:ascii="仿宋" w:hAnsi="仿宋" w:eastAsia="仿宋" w:cs="宋体"/>
          <w:kern w:val="0"/>
          <w:sz w:val="28"/>
          <w:szCs w:val="28"/>
          <w:u w:val="single"/>
        </w:rPr>
        <w:t xml:space="preserve">                        </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
          <w:sz w:val="28"/>
          <w:szCs w:val="28"/>
        </w:rPr>
        <w:t>根据《中华人民共和国政府采购法》《中华人民共和国民法典</w:t>
      </w:r>
      <w:r>
        <w:rPr>
          <w:rFonts w:hint="eastAsia" w:ascii="仿宋" w:hAnsi="仿宋" w:eastAsia="仿宋" w:cs="仿宋"/>
          <w:sz w:val="28"/>
          <w:szCs w:val="28"/>
          <w:lang w:eastAsia="zh-CN"/>
        </w:rPr>
        <w:t>》《</w:t>
      </w:r>
      <w:r>
        <w:rPr>
          <w:rFonts w:hint="eastAsia" w:ascii="仿宋" w:hAnsi="仿宋" w:eastAsia="仿宋" w:cs="仿宋"/>
          <w:sz w:val="28"/>
          <w:szCs w:val="28"/>
        </w:rPr>
        <w:t>深圳经济特区政府采购条例实施细则》《深圳经济特区政府采购条例》等法律法规的规定，甲乙双方按照</w:t>
      </w:r>
      <w:r>
        <w:rPr>
          <w:rFonts w:hint="eastAsia" w:ascii="仿宋" w:hAnsi="仿宋" w:eastAsia="仿宋" w:cs="仿宋"/>
          <w:sz w:val="28"/>
          <w:szCs w:val="28"/>
          <w:u w:val="single"/>
        </w:rPr>
        <w:t xml:space="preserve">                  </w:t>
      </w:r>
      <w:r>
        <w:rPr>
          <w:rFonts w:hint="eastAsia" w:ascii="仿宋" w:hAnsi="仿宋" w:eastAsia="仿宋" w:cs="仿宋"/>
          <w:sz w:val="28"/>
          <w:szCs w:val="28"/>
        </w:rPr>
        <w:t>的招标结果并经双方协商签订本合同。</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第一条</w:t>
      </w:r>
      <w:r>
        <w:rPr>
          <w:rFonts w:hint="eastAsia" w:ascii="仿宋" w:hAnsi="仿宋" w:eastAsia="仿宋" w:cs="仿宋_GB2312"/>
          <w:b/>
          <w:bCs/>
          <w:sz w:val="28"/>
          <w:szCs w:val="28"/>
          <w:lang w:val="en-US" w:eastAsia="zh-CN"/>
        </w:rPr>
        <w:t xml:space="preserve">  </w:t>
      </w:r>
      <w:r>
        <w:rPr>
          <w:rFonts w:hint="eastAsia" w:ascii="仿宋" w:hAnsi="仿宋" w:eastAsia="仿宋" w:cs="仿宋_GB2312"/>
          <w:b/>
          <w:bCs/>
          <w:sz w:val="28"/>
          <w:szCs w:val="28"/>
        </w:rPr>
        <w:t>合同标的</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项目内容：</w:t>
      </w:r>
      <w:r>
        <w:rPr>
          <w:rFonts w:hint="eastAsia" w:ascii="仿宋" w:hAnsi="仿宋" w:eastAsia="仿宋" w:cs="仿宋_GB2312"/>
          <w:sz w:val="28"/>
          <w:szCs w:val="28"/>
          <w:u w:val="single"/>
        </w:rPr>
        <w:t xml:space="preserve">                        </w:t>
      </w:r>
    </w:p>
    <w:p>
      <w:pPr>
        <w:spacing w:line="480" w:lineRule="exact"/>
        <w:ind w:firstLine="560" w:firstLineChars="200"/>
        <w:rPr>
          <w:rFonts w:hint="eastAsia" w:ascii="仿宋" w:hAnsi="仿宋" w:eastAsia="仿宋" w:cs="仿宋_GB2312"/>
          <w:sz w:val="28"/>
          <w:szCs w:val="28"/>
          <w:u w:val="single"/>
        </w:rPr>
      </w:pPr>
      <w:r>
        <w:rPr>
          <w:rFonts w:hint="eastAsia" w:ascii="仿宋" w:hAnsi="仿宋" w:eastAsia="仿宋" w:cs="仿宋_GB2312"/>
          <w:sz w:val="28"/>
          <w:szCs w:val="28"/>
        </w:rPr>
        <w:t>合同期限为1年，合同有效期自</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月</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日至</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月</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日。</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一年合同期满后，经履约考核为优或良好的可按原合同条款续签下一年度合同，每次续签期限为1年，最多可续签2次。（是否续约应以公开招标文件</w:t>
      </w:r>
      <w:r>
        <w:rPr>
          <w:rFonts w:hint="eastAsia" w:ascii="仿宋" w:hAnsi="仿宋" w:eastAsia="仿宋" w:cs="仿宋_GB2312"/>
          <w:sz w:val="28"/>
          <w:szCs w:val="28"/>
          <w:lang w:val="en-US" w:eastAsia="zh-CN"/>
        </w:rPr>
        <w:t>或</w:t>
      </w:r>
      <w:r>
        <w:rPr>
          <w:rFonts w:hint="eastAsia" w:ascii="仿宋" w:hAnsi="仿宋" w:eastAsia="仿宋" w:cs="仿宋_GB2312"/>
          <w:sz w:val="28"/>
          <w:szCs w:val="28"/>
        </w:rPr>
        <w:t>中标通知书中有明确约定的可在合同内约定续签事项）。</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第二条  服务费用</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本合同价款：合同总价为人民币</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元</w:t>
      </w:r>
      <w:r>
        <w:rPr>
          <w:rFonts w:hint="eastAsia" w:ascii="仿宋" w:hAnsi="仿宋" w:eastAsia="仿宋" w:cs="仿宋"/>
          <w:sz w:val="28"/>
          <w:szCs w:val="28"/>
        </w:rPr>
        <w:t>（￥</w:t>
      </w:r>
      <w:r>
        <w:rPr>
          <w:rFonts w:hint="eastAsia" w:ascii="仿宋" w:hAnsi="仿宋" w:eastAsia="仿宋" w:cs="宋体"/>
          <w:b/>
          <w:sz w:val="28"/>
          <w:szCs w:val="28"/>
          <w:u w:val="single"/>
        </w:rPr>
        <w:t xml:space="preserve">     </w:t>
      </w:r>
      <w:r>
        <w:rPr>
          <w:rFonts w:hint="eastAsia" w:ascii="仿宋" w:hAnsi="仿宋" w:eastAsia="仿宋" w:cs="仿宋"/>
          <w:sz w:val="28"/>
          <w:szCs w:val="28"/>
        </w:rPr>
        <w:t>）</w:t>
      </w:r>
      <w:r>
        <w:rPr>
          <w:rFonts w:hint="eastAsia" w:ascii="仿宋" w:hAnsi="仿宋" w:eastAsia="仿宋" w:cs="仿宋_GB2312"/>
          <w:sz w:val="28"/>
          <w:szCs w:val="28"/>
        </w:rPr>
        <w:t>。</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人民币报价，</w:t>
      </w:r>
      <w:r>
        <w:rPr>
          <w:rFonts w:hint="eastAsia" w:ascii="仿宋" w:hAnsi="仿宋" w:eastAsia="仿宋" w:cs="仿宋"/>
          <w:sz w:val="28"/>
          <w:szCs w:val="28"/>
        </w:rPr>
        <w:t>总承包报价。报价</w:t>
      </w:r>
      <w:r>
        <w:rPr>
          <w:rFonts w:hint="eastAsia" w:ascii="仿宋" w:hAnsi="仿宋" w:eastAsia="仿宋" w:cs="仿宋_GB2312"/>
          <w:sz w:val="28"/>
          <w:szCs w:val="28"/>
        </w:rPr>
        <w:t>包含税费、人工费、材料费、培训费、维保费等所有费用。</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第三条  付款方式</w:t>
      </w:r>
    </w:p>
    <w:p>
      <w:pPr>
        <w:pStyle w:val="6"/>
        <w:spacing w:line="480" w:lineRule="exact"/>
        <w:rPr>
          <w:rFonts w:hint="eastAsia" w:ascii="仿宋" w:hAnsi="仿宋" w:eastAsia="仿宋" w:cs="仿宋_GB2312"/>
          <w:kern w:val="2"/>
          <w:sz w:val="28"/>
          <w:szCs w:val="28"/>
          <w:lang w:val="en-US" w:eastAsia="zh-CN" w:bidi="ar-SA"/>
        </w:rPr>
      </w:pPr>
      <w:r>
        <w:rPr>
          <w:rFonts w:hint="eastAsia" w:ascii="仿宋" w:hAnsi="仿宋" w:eastAsia="仿宋" w:cs="仿宋_GB2312"/>
          <w:kern w:val="2"/>
          <w:sz w:val="28"/>
          <w:szCs w:val="28"/>
          <w:lang w:val="en-US" w:eastAsia="zh-CN" w:bidi="ar-SA"/>
        </w:rPr>
        <w:t>1.详细约定参照招标文件中的约定。</w:t>
      </w:r>
    </w:p>
    <w:p>
      <w:pPr>
        <w:pStyle w:val="6"/>
        <w:spacing w:line="480" w:lineRule="exact"/>
        <w:rPr>
          <w:rFonts w:hint="eastAsia" w:ascii="仿宋" w:hAnsi="仿宋" w:eastAsia="仿宋" w:cs="仿宋_GB2312"/>
          <w:sz w:val="28"/>
          <w:szCs w:val="28"/>
        </w:rPr>
      </w:pPr>
      <w:r>
        <w:rPr>
          <w:rFonts w:hint="eastAsia" w:ascii="仿宋" w:hAnsi="仿宋" w:eastAsia="仿宋" w:cs="仿宋_GB2312"/>
          <w:sz w:val="28"/>
          <w:szCs w:val="28"/>
        </w:rPr>
        <w:t>2.甲乙双方所有款项往来均通过银行转账方式进行，双方指定的收款银行账户信息详见本合同落款处。</w:t>
      </w:r>
    </w:p>
    <w:p>
      <w:pPr>
        <w:pStyle w:val="6"/>
        <w:spacing w:line="480" w:lineRule="exact"/>
        <w:rPr>
          <w:rFonts w:hint="eastAsia" w:ascii="仿宋" w:hAnsi="仿宋" w:eastAsia="仿宋" w:cs="仿宋_GB2312"/>
          <w:sz w:val="28"/>
          <w:szCs w:val="28"/>
        </w:rPr>
      </w:pPr>
      <w:r>
        <w:rPr>
          <w:rFonts w:hint="eastAsia" w:ascii="仿宋" w:hAnsi="仿宋" w:eastAsia="仿宋" w:cs="仿宋_GB2312"/>
          <w:sz w:val="28"/>
          <w:szCs w:val="28"/>
        </w:rPr>
        <w:t>3.乙方应在甲方付款前开具合法有效的发票，甲方收到乙方合法的增值税发票后，根据双方约定时间支付款项。若由于乙方逾期未提供合法有效的增值税发票或者提供发票不齐全，甲方有权拒绝付款，直至票据齐全、合法，且不视为甲方违约。</w:t>
      </w:r>
    </w:p>
    <w:p>
      <w:pPr>
        <w:pStyle w:val="6"/>
        <w:spacing w:line="480" w:lineRule="exact"/>
        <w:rPr>
          <w:rFonts w:hint="eastAsia" w:ascii="仿宋" w:hAnsi="仿宋" w:eastAsia="仿宋" w:cs="仿宋_GB2312"/>
          <w:sz w:val="28"/>
          <w:szCs w:val="28"/>
        </w:rPr>
      </w:pPr>
      <w:r>
        <w:rPr>
          <w:rFonts w:hint="eastAsia" w:ascii="仿宋" w:hAnsi="仿宋" w:eastAsia="仿宋" w:cs="仿宋_GB2312"/>
          <w:sz w:val="28"/>
          <w:szCs w:val="28"/>
        </w:rPr>
        <w:t>4.乙方应向甲方提供真实有效的银行账户，</w:t>
      </w:r>
      <w:bookmarkStart w:id="24" w:name="_GoBack"/>
      <w:r>
        <w:rPr>
          <w:rFonts w:hint="eastAsia" w:ascii="仿宋" w:hAnsi="仿宋" w:eastAsia="仿宋" w:cs="仿宋_GB2312"/>
          <w:sz w:val="28"/>
          <w:szCs w:val="28"/>
        </w:rPr>
        <w:t>银行账户</w:t>
      </w:r>
      <w:bookmarkEnd w:id="24"/>
      <w:r>
        <w:rPr>
          <w:rFonts w:hint="eastAsia" w:ascii="仿宋" w:hAnsi="仿宋" w:eastAsia="仿宋" w:cs="仿宋_GB2312"/>
          <w:sz w:val="28"/>
          <w:szCs w:val="28"/>
        </w:rPr>
        <w:t>如有变更，应立即书面通知甲方，如乙方银行账户变更未书面通知甲方，甲方向本合同约定的收款账户付款造成乙方实际未收到款的，该责任由乙方自行承担。未经甲方书面认可，乙方不得将应收款项转让给任何第三方或让任何第三方代收，否则甲方有权拒绝付款。</w:t>
      </w:r>
    </w:p>
    <w:p>
      <w:pPr>
        <w:spacing w:line="480" w:lineRule="exact"/>
        <w:ind w:firstLine="560" w:firstLineChars="200"/>
        <w:rPr>
          <w:rFonts w:hint="eastAsia" w:ascii="仿宋" w:hAnsi="仿宋" w:eastAsia="仿宋" w:cs="仿宋_GB2312"/>
          <w:b/>
          <w:bCs/>
          <w:sz w:val="28"/>
          <w:szCs w:val="28"/>
        </w:rPr>
      </w:pPr>
      <w:r>
        <w:rPr>
          <w:rFonts w:hint="eastAsia" w:ascii="仿宋" w:hAnsi="仿宋" w:eastAsia="仿宋" w:cs="仿宋_GB2312"/>
          <w:sz w:val="28"/>
          <w:szCs w:val="28"/>
        </w:rPr>
        <w:t>5.若本合同付款涉及甲方内部或财政审批迟延的特殊情况，甲方未能按约付款的，乙方对此表示理解，甲方应向乙方进行说明并明确新的付款期限。</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第四条  项目概况</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第五条  服务内容及要求</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1.合同签订日起</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天内完成项目实施的准备工作，包括服务内容的大纲及服务团队的组建；</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 xml:space="preserve">2. </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第六条  服务团队</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1.乙方指派</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为负责人（联系方式：</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）的工作团队为甲方提供服务。未经甲方书面同意，乙方不得随意更换团队成员。</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2.必须使用公司直属人员参与本项目服务，不得使用挂靠队伍。</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乙方指派的团队成员资质和能力必须与投标文件中的服务承诺书和服务组织实施方案一致。如甲方对团队成员有异议或要求，乙方保证无条件配合甲方更换团队成员，且更换后人员的资质和能力符合甲方的要求。</w:t>
      </w:r>
    </w:p>
    <w:p>
      <w:pPr>
        <w:spacing w:line="480" w:lineRule="exact"/>
        <w:ind w:firstLine="560" w:firstLineChars="200"/>
        <w:rPr>
          <w:rFonts w:hint="eastAsia" w:ascii="仿宋" w:hAnsi="仿宋" w:eastAsia="仿宋" w:cs="仿宋_GB2312"/>
          <w:b/>
          <w:bCs/>
          <w:sz w:val="28"/>
          <w:szCs w:val="28"/>
        </w:rPr>
      </w:pPr>
      <w:r>
        <w:rPr>
          <w:rFonts w:hint="eastAsia" w:ascii="仿宋" w:hAnsi="仿宋" w:eastAsia="仿宋" w:cs="仿宋_GB2312"/>
          <w:sz w:val="28"/>
          <w:szCs w:val="28"/>
        </w:rPr>
        <w:t>4.自乙方向甲方提供服务之日起，甲乙双方</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举行一次工作例会，由乙方团队主要成员向甲方汇报工作进展和需求，并就服务工作进行沟通和交流。</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第七条  服务资料归属</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1.所有提交给甲方的服务文件及相关的资料的最后文本，包括为履行服务范围所编制的图纸、计划和证明资料等，都属于甲方的财产，乙方在提交给甲方之前应将上述资料进行整理归类和编制索引。</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2.乙方未经甲方的书面同意，不得将上述资料</w:t>
      </w:r>
      <w:r>
        <w:rPr>
          <w:rFonts w:hint="eastAsia" w:ascii="仿宋" w:hAnsi="仿宋" w:eastAsia="仿宋" w:cs="仿宋_GB2312"/>
          <w:sz w:val="28"/>
          <w:szCs w:val="28"/>
          <w:lang w:eastAsia="zh-CN"/>
        </w:rPr>
        <w:t>用于</w:t>
      </w:r>
      <w:r>
        <w:rPr>
          <w:rFonts w:hint="eastAsia" w:ascii="仿宋" w:hAnsi="仿宋" w:eastAsia="仿宋" w:cs="仿宋_GB2312"/>
          <w:sz w:val="28"/>
          <w:szCs w:val="28"/>
        </w:rPr>
        <w:t>本咨询服务项目之外的任何项目。</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3.合同履行完毕，未经甲方的书面同意，乙方不得保存在履行合同过程中所获得或</w:t>
      </w:r>
      <w:r>
        <w:rPr>
          <w:rFonts w:hint="eastAsia" w:ascii="仿宋" w:hAnsi="仿宋" w:eastAsia="仿宋" w:cs="仿宋_GB2312"/>
          <w:sz w:val="28"/>
          <w:szCs w:val="28"/>
          <w:lang w:eastAsia="zh-CN"/>
        </w:rPr>
        <w:t>接触</w:t>
      </w:r>
      <w:r>
        <w:rPr>
          <w:rFonts w:hint="eastAsia" w:ascii="仿宋" w:hAnsi="仿宋" w:eastAsia="仿宋" w:cs="仿宋_GB2312"/>
          <w:sz w:val="28"/>
          <w:szCs w:val="28"/>
        </w:rPr>
        <w:t>的任何内部数据资料。</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第八条  甲方的权利与义务</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1.甲方有权对乙方的工作进行监督和检查、有权对乙方提出修改意见和建议。</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2.甲方有权对乙方提交的服务成果进行验收，验收不合格的有权要求乙方修改，直至甲方验收合格。</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3.对于验收合格后的服务成果，甲方应向乙方支付服务费用。</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第九条</w:t>
      </w:r>
      <w:r>
        <w:rPr>
          <w:rFonts w:hint="eastAsia" w:ascii="仿宋" w:hAnsi="仿宋" w:eastAsia="仿宋" w:cs="仿宋_GB2312"/>
          <w:b/>
          <w:bCs/>
          <w:sz w:val="28"/>
          <w:szCs w:val="28"/>
          <w:lang w:val="en-US" w:eastAsia="zh-CN"/>
        </w:rPr>
        <w:t xml:space="preserve">  </w:t>
      </w:r>
      <w:r>
        <w:rPr>
          <w:rFonts w:hint="eastAsia" w:ascii="仿宋" w:hAnsi="仿宋" w:eastAsia="仿宋" w:cs="仿宋_GB2312"/>
          <w:b/>
          <w:bCs/>
          <w:sz w:val="28"/>
          <w:szCs w:val="28"/>
        </w:rPr>
        <w:t>乙方的权利与义务</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1.乙方有权要求甲方支付服务费用。</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2.对于服务需求不明确的，乙方有权要求甲方明确具体服务需求。</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3.乙方应勤勉尽职地为甲方提供服务，并尽最大</w:t>
      </w:r>
      <w:r>
        <w:rPr>
          <w:rFonts w:hint="eastAsia" w:ascii="仿宋" w:hAnsi="仿宋" w:eastAsia="仿宋" w:cs="仿宋_GB2312"/>
          <w:sz w:val="28"/>
          <w:szCs w:val="28"/>
          <w:lang w:eastAsia="zh-CN"/>
        </w:rPr>
        <w:t>努力</w:t>
      </w:r>
      <w:r>
        <w:rPr>
          <w:rFonts w:hint="eastAsia" w:ascii="仿宋" w:hAnsi="仿宋" w:eastAsia="仿宋" w:cs="仿宋_GB2312"/>
          <w:sz w:val="28"/>
          <w:szCs w:val="28"/>
        </w:rPr>
        <w:t>满足甲方对乙方的专业服务需求。</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4.乙方应在约定时间内按照甲方要求的形式、数量提交服务成果。</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5.未经甲方书面同意，乙方不得将本合同项下的服务内容全部或部分委托给第三方完成。</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6.如乙方为提供本合同项下的服务而保管甲方交付的设备、物品等，保管期间，乙方应谨慎尽职，不论何种原因包括不可抗力因素，乙方均需确保设备、物品的安全，不遭受损害。</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7.乙方应做到合法用工，与工作人员建立合法的劳动/劳务关系，负责工作人员的工资、社会保险及其他保险的购买。乙方与其工作人员发生的一切纠纷均与甲方无关。</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8.乙方应按照国家规定为工作人员提供合理的工作条件与保护设施，乙方工作人员在甲方场地内发生的一切意外、事故等均由乙方承担，与甲方无关。</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9.乙方在甲方院内提供服务的，应保证其工作人员严格遵守甲方各项管理规定，服务过程中如造成甲方场所及设施损坏、工作人员人身伤害或第三方人身伤害、财产损失，乙方应承担全部赔偿责任。</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 xml:space="preserve">第十条 </w:t>
      </w:r>
      <w:r>
        <w:rPr>
          <w:rFonts w:hint="eastAsia" w:ascii="仿宋" w:hAnsi="仿宋" w:eastAsia="仿宋" w:cs="仿宋_GB2312"/>
          <w:b/>
          <w:bCs/>
          <w:sz w:val="28"/>
          <w:szCs w:val="28"/>
          <w:lang w:val="en-US" w:eastAsia="zh-CN"/>
        </w:rPr>
        <w:t xml:space="preserve"> </w:t>
      </w:r>
      <w:r>
        <w:rPr>
          <w:rFonts w:hint="eastAsia" w:ascii="仿宋" w:hAnsi="仿宋" w:eastAsia="仿宋" w:cs="仿宋_GB2312"/>
          <w:b/>
          <w:bCs/>
          <w:sz w:val="28"/>
          <w:szCs w:val="28"/>
        </w:rPr>
        <w:t>保证与承诺</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1.乙方保证所提供的产品/服务/成果不侵犯任何第三方的知识产权或其他合法权益。</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2.甲乙双方保证对在本次合作中知悉对方的商业秘密履行保密义务，在与本协议无关的工作中，不泄露、不以任何原因任意使用相关的合同、数据、资料与信息等。</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在向甲方提供服务的过程中，如乙方可能从设备上存取、查看和/或下载包括个人数据、用来直接或间接地识别出个人相关信息等计算机文档。个人数据可能包括个人健康信息和非健康信息（如姓名、出生日期、性别等）。乙方对个人数据等相关文档的使用仅限于履行本合同规定的义务所必</w:t>
      </w:r>
      <w:r>
        <w:rPr>
          <w:rFonts w:hint="eastAsia" w:ascii="仿宋" w:hAnsi="仿宋" w:eastAsia="仿宋" w:cs="仿宋_GB2312"/>
          <w:sz w:val="28"/>
          <w:szCs w:val="28"/>
          <w:lang w:val="en-US" w:eastAsia="zh-CN"/>
        </w:rPr>
        <w:t>需</w:t>
      </w:r>
      <w:r>
        <w:rPr>
          <w:rFonts w:hint="eastAsia" w:ascii="仿宋" w:hAnsi="仿宋" w:eastAsia="仿宋" w:cs="仿宋_GB2312"/>
          <w:sz w:val="28"/>
          <w:szCs w:val="28"/>
        </w:rPr>
        <w:t>的限度内，不得擅自翻阅、复制、传播所接触的用户资料或数据，乙方和相关人员保证不</w:t>
      </w:r>
      <w:r>
        <w:rPr>
          <w:rFonts w:hint="eastAsia" w:ascii="仿宋" w:hAnsi="仿宋" w:eastAsia="仿宋" w:cs="仿宋_GB2312"/>
          <w:sz w:val="28"/>
          <w:szCs w:val="28"/>
          <w:lang w:eastAsia="zh-CN"/>
        </w:rPr>
        <w:t>泄</w:t>
      </w:r>
      <w:r>
        <w:rPr>
          <w:rFonts w:hint="eastAsia" w:ascii="仿宋" w:hAnsi="仿宋" w:eastAsia="仿宋" w:cs="仿宋_GB2312"/>
          <w:sz w:val="28"/>
          <w:szCs w:val="28"/>
          <w:lang w:val="en-US" w:eastAsia="zh-CN"/>
        </w:rPr>
        <w:t>密</w:t>
      </w:r>
      <w:r>
        <w:rPr>
          <w:rFonts w:hint="eastAsia" w:ascii="仿宋" w:hAnsi="仿宋" w:eastAsia="仿宋" w:cs="仿宋_GB2312"/>
          <w:sz w:val="28"/>
          <w:szCs w:val="28"/>
        </w:rPr>
        <w:t>、以任何原因使用或允许他人使用用户设备数据、资料与信息等。乙方对其指派的工作人员的保密义务承担责任。</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4.保密义务应同样适用于甲乙双方的员工、辅助人员和三方合作者。本条款的效力长期有效，不因合同履行完毕、终止而失效。如因司法机关或政府部门要求，甲方上级检查及同级单位学习而对外披露商业秘密的，不视为违反保密义务。</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5.合同履行期间，乙方应主动维护甲方的名誉与利益，不作出任何损害甲方名誉与利益的行为。</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6.未经甲方事先书面同意，乙方不得使用甲方名义等对外进行宣传。</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7.乙方及乙方参加项目的有关人员均需同甲方签订保密协议。</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第十一条  免责条款</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若甲、乙双方的任何一方由于不可抗力原因造成不能及时履行或不能履行合同时，应及时向对方通报不能履行或不能及时履行的理由，在取得有关证明后，允许延期履行、部分履行或不履行合同，并根据情况，免除相应责任。</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第十二条  违约责任</w:t>
      </w:r>
    </w:p>
    <w:p>
      <w:pPr>
        <w:spacing w:line="480" w:lineRule="exact"/>
        <w:ind w:firstLine="560" w:firstLineChars="200"/>
        <w:rPr>
          <w:rFonts w:hint="eastAsia" w:ascii="仿宋" w:hAnsi="仿宋" w:eastAsia="仿宋" w:cs="仿宋_GB2312"/>
          <w:sz w:val="28"/>
          <w:szCs w:val="28"/>
        </w:rPr>
      </w:pPr>
      <w:bookmarkStart w:id="23" w:name="_Hlk42353112"/>
      <w:r>
        <w:rPr>
          <w:rFonts w:hint="eastAsia" w:ascii="仿宋" w:hAnsi="仿宋" w:eastAsia="仿宋" w:cs="仿宋_GB2312"/>
          <w:sz w:val="28"/>
          <w:szCs w:val="28"/>
        </w:rPr>
        <w:t>1.双方均应忠实履行合同约定的各项内容，任何一方违反本合同，均应承担违约责任。双方约定如一方违反合同约定，则违约方应向守约方支付违约金，违约金的金额为合同总价款的（）%，因一方违约给另一方造成经济损失的，违约方除应支付违约金外，还应另行根据守约方遭受损失的实际情况进行赔偿，赔偿范围包括直接损失、间接损失、守约方因维权而产生的律师费、鉴定费、差旅费、诉讼费、保全费、保全担保费等合理支出。</w:t>
      </w:r>
    </w:p>
    <w:bookmarkEnd w:id="23"/>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2.乙方未按照双方约定的时间提交服务成果的，每延迟一天，应该按照服务费用金额的（）%向甲方支付违约金。</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3.发生以下情形之一，甲方有权单方解除本合同，乙方应向甲方退回已支付的全部款项，且甲方有权要求乙方按照服务费总金额的（）%支付违约金：</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（1）乙方延迟提交服务成果超过</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天；</w:t>
      </w:r>
    </w:p>
    <w:p>
      <w:pPr>
        <w:spacing w:line="480" w:lineRule="exact"/>
        <w:ind w:firstLine="560" w:firstLineChars="200"/>
        <w:rPr>
          <w:rFonts w:hint="eastAsia" w:ascii="仿宋" w:hAnsi="仿宋" w:eastAsia="仿宋" w:cs="仿宋_GB2312"/>
          <w:sz w:val="28"/>
          <w:szCs w:val="28"/>
          <w:lang w:eastAsia="zh-CN"/>
        </w:rPr>
      </w:pPr>
      <w:r>
        <w:rPr>
          <w:rFonts w:hint="eastAsia" w:ascii="仿宋" w:hAnsi="仿宋" w:eastAsia="仿宋" w:cs="仿宋_GB2312"/>
          <w:sz w:val="28"/>
          <w:szCs w:val="28"/>
        </w:rPr>
        <w:t>（2）未经甲方书面同意，乙方将本合同项下部分或全部工作委托给第三方承担的</w:t>
      </w:r>
      <w:r>
        <w:rPr>
          <w:rFonts w:hint="eastAsia" w:ascii="仿宋" w:hAnsi="仿宋" w:eastAsia="仿宋" w:cs="仿宋_GB2312"/>
          <w:sz w:val="28"/>
          <w:szCs w:val="28"/>
          <w:lang w:eastAsia="zh-CN"/>
        </w:rPr>
        <w:t>。</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4.如乙方原因导致提供的服务成果存在侵犯第三方知识产权或其他合法权益的情形，乙方除了承担全部赔偿责任之外，还应按照合同总金额（）%向甲方支付违约金。</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5.甲方有权自应支付给乙方的服务费用中直接扣除各种索赔款项，包括但不限于赔偿款、违约金、律师费、诉讼费、鉴定费等。</w:t>
      </w:r>
    </w:p>
    <w:p>
      <w:pPr>
        <w:pStyle w:val="28"/>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6.服务期间，若乙方被甲方用户投诉，经确认为有效投诉的每次扣除人民币</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rPr>
        <w:t>元。</w:t>
      </w:r>
    </w:p>
    <w:p>
      <w:pPr>
        <w:pStyle w:val="28"/>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7.甲方每</w:t>
      </w:r>
      <w:r>
        <w:rPr>
          <w:rFonts w:hint="eastAsia" w:ascii="仿宋" w:hAnsi="仿宋" w:eastAsia="仿宋" w:cs="仿宋_GB2312"/>
          <w:sz w:val="28"/>
          <w:szCs w:val="28"/>
          <w:lang w:val="en-US" w:eastAsia="zh-CN"/>
        </w:rPr>
        <w:t xml:space="preserve">  </w:t>
      </w:r>
      <w:r>
        <w:rPr>
          <w:rFonts w:hint="eastAsia" w:ascii="仿宋" w:hAnsi="仿宋" w:eastAsia="仿宋" w:cs="仿宋_GB2312"/>
          <w:sz w:val="28"/>
          <w:szCs w:val="28"/>
        </w:rPr>
        <w:t>个月组织一次履约评价，总分低</w:t>
      </w:r>
      <w:r>
        <w:rPr>
          <w:rFonts w:hint="eastAsia" w:ascii="仿宋" w:hAnsi="仿宋" w:eastAsia="仿宋" w:cs="仿宋_GB2312"/>
          <w:sz w:val="28"/>
          <w:szCs w:val="28"/>
          <w:u w:val="none"/>
        </w:rPr>
        <w:t>于</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rPr>
        <w:t>分的根据差额分进行经济处罚。处罚约定根据招标文件中的约定执行。</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第十一条  争议解决</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因履行本合同引起的或与本合同有关的争议，甲乙双方应首先通过友好协商解决，如果协商不能解决，则通过向甲方所在地有管辖权的人民法院提起诉讼解决。</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第十二条  本合同附件</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以下附件及乙方投标时提供的投标文件和其他相关资料作为本合同的补充内容，具有同等法律效力。</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附件1：服务项目清单（加盖公章）；</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附件2：深圳市龙岗区第七人民医院廉洁购销合同；</w:t>
      </w:r>
    </w:p>
    <w:p>
      <w:pPr>
        <w:spacing w:line="480" w:lineRule="exact"/>
        <w:ind w:firstLine="560" w:firstLineChars="200"/>
        <w:rPr>
          <w:rFonts w:hint="eastAsia" w:ascii="仿宋" w:hAnsi="仿宋" w:eastAsia="仿宋" w:cs="仿宋_GB2312"/>
          <w:sz w:val="28"/>
          <w:szCs w:val="28"/>
          <w:lang w:eastAsia="zh-CN"/>
        </w:rPr>
      </w:pPr>
      <w:r>
        <w:rPr>
          <w:rFonts w:hint="eastAsia" w:ascii="仿宋" w:hAnsi="仿宋" w:eastAsia="仿宋" w:cs="仿宋_GB2312"/>
          <w:sz w:val="28"/>
          <w:szCs w:val="28"/>
        </w:rPr>
        <w:t>附件3：龙岗区进一步规范政商交往行为告知书</w:t>
      </w:r>
      <w:r>
        <w:rPr>
          <w:rFonts w:hint="eastAsia" w:ascii="仿宋" w:hAnsi="仿宋" w:eastAsia="仿宋" w:cs="仿宋_GB2312"/>
          <w:sz w:val="28"/>
          <w:szCs w:val="28"/>
          <w:lang w:eastAsia="zh-CN"/>
        </w:rPr>
        <w:t>；</w:t>
      </w:r>
    </w:p>
    <w:p>
      <w:pPr>
        <w:pStyle w:val="9"/>
        <w:ind w:firstLine="560" w:firstLineChars="200"/>
        <w:rPr>
          <w:rFonts w:hint="default" w:ascii="仿宋" w:hAnsi="仿宋" w:eastAsia="仿宋" w:cs="仿宋_GB2312"/>
          <w:kern w:val="2"/>
          <w:sz w:val="28"/>
          <w:szCs w:val="28"/>
          <w:lang w:val="en-US" w:eastAsia="zh-CN" w:bidi="ar-SA"/>
        </w:rPr>
      </w:pPr>
      <w:r>
        <w:rPr>
          <w:rFonts w:hint="eastAsia" w:ascii="仿宋" w:hAnsi="仿宋" w:eastAsia="仿宋" w:cs="仿宋_GB2312"/>
          <w:kern w:val="2"/>
          <w:sz w:val="28"/>
          <w:szCs w:val="28"/>
          <w:lang w:val="en-US" w:eastAsia="zh-CN" w:bidi="ar-SA"/>
        </w:rPr>
        <w:t>附件4：……。</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第十三条  合同生效及其它</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1.合同经双方法定代表人或授权委托代表人签字并加盖单位公章或合同专用章后生效。</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2.其他约定条款：</w:t>
      </w:r>
      <w:r>
        <w:rPr>
          <w:rFonts w:hint="eastAsia" w:ascii="仿宋" w:hAnsi="仿宋" w:eastAsia="仿宋" w:cs="仿宋"/>
          <w:sz w:val="28"/>
          <w:szCs w:val="28"/>
          <w:u w:val="single"/>
        </w:rPr>
        <w:t xml:space="preserve">      </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3.本合同未尽事宜，遵照《中华人民共和国民法典》有关条文执行。</w:t>
      </w:r>
    </w:p>
    <w:p>
      <w:pPr>
        <w:spacing w:line="440" w:lineRule="exact"/>
        <w:ind w:firstLine="560" w:firstLineChars="200"/>
        <w:rPr>
          <w:rFonts w:ascii="仿宋" w:hAnsi="仿宋" w:eastAsia="仿宋"/>
          <w:sz w:val="28"/>
          <w:szCs w:val="28"/>
        </w:rPr>
      </w:pPr>
      <w:r>
        <w:rPr>
          <w:rFonts w:hint="eastAsia" w:ascii="仿宋" w:hAnsi="仿宋" w:eastAsia="仿宋" w:cs="仿宋"/>
          <w:sz w:val="28"/>
          <w:szCs w:val="28"/>
        </w:rPr>
        <w:t>4.本合同正本一式</w:t>
      </w:r>
      <w:r>
        <w:rPr>
          <w:rFonts w:hint="eastAsia" w:ascii="仿宋" w:hAnsi="仿宋" w:eastAsia="仿宋" w:cs="仿宋"/>
          <w:sz w:val="28"/>
          <w:szCs w:val="28"/>
          <w:u w:val="single"/>
          <w:lang w:val="en-US" w:eastAsia="zh-CN"/>
        </w:rPr>
        <w:t>肆</w:t>
      </w:r>
      <w:r>
        <w:rPr>
          <w:rFonts w:hint="eastAsia" w:ascii="仿宋" w:hAnsi="仿宋" w:eastAsia="仿宋" w:cs="仿宋"/>
          <w:sz w:val="28"/>
          <w:szCs w:val="28"/>
        </w:rPr>
        <w:t>份，具有同等法律效力，甲方执</w:t>
      </w:r>
      <w:r>
        <w:rPr>
          <w:rFonts w:hint="eastAsia" w:ascii="仿宋" w:hAnsi="仿宋" w:eastAsia="仿宋" w:cs="仿宋"/>
          <w:sz w:val="28"/>
          <w:szCs w:val="28"/>
          <w:u w:val="single"/>
          <w:lang w:val="en-US" w:eastAsia="zh-CN"/>
        </w:rPr>
        <w:t>叁</w:t>
      </w:r>
      <w:r>
        <w:rPr>
          <w:rFonts w:hint="eastAsia" w:ascii="仿宋" w:hAnsi="仿宋" w:eastAsia="仿宋" w:cs="仿宋"/>
          <w:sz w:val="28"/>
          <w:szCs w:val="28"/>
        </w:rPr>
        <w:t>份；乙方执</w:t>
      </w:r>
      <w:r>
        <w:rPr>
          <w:rFonts w:hint="eastAsia" w:ascii="仿宋" w:hAnsi="仿宋" w:eastAsia="仿宋" w:cs="仿宋"/>
          <w:sz w:val="28"/>
          <w:szCs w:val="28"/>
          <w:u w:val="single"/>
        </w:rPr>
        <w:t>壹</w:t>
      </w:r>
      <w:r>
        <w:rPr>
          <w:rFonts w:hint="eastAsia" w:ascii="仿宋" w:hAnsi="仿宋" w:eastAsia="仿宋" w:cs="仿宋"/>
          <w:sz w:val="28"/>
          <w:szCs w:val="28"/>
        </w:rPr>
        <w:t>份。</w:t>
      </w:r>
    </w:p>
    <w:p>
      <w:pPr>
        <w:pStyle w:val="6"/>
        <w:spacing w:line="440" w:lineRule="exact"/>
      </w:pPr>
    </w:p>
    <w:tbl>
      <w:tblPr>
        <w:tblStyle w:val="16"/>
        <w:tblW w:w="82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ign w:val="top"/>
          </w:tcPr>
          <w:p>
            <w:pPr>
              <w:spacing w:line="360" w:lineRule="auto"/>
              <w:rPr>
                <w:rFonts w:hint="eastAsia" w:ascii="仿宋" w:hAnsi="仿宋" w:eastAsia="仿宋" w:cs="仿宋"/>
                <w:b/>
                <w:bCs/>
                <w:kern w:val="0"/>
                <w:sz w:val="24"/>
                <w:lang w:eastAsia="zh-CN"/>
              </w:rPr>
            </w:pPr>
            <w:r>
              <w:rPr>
                <w:rFonts w:hint="eastAsia" w:ascii="仿宋" w:hAnsi="仿宋" w:eastAsia="仿宋" w:cs="仿宋"/>
                <w:b/>
                <w:bCs/>
                <w:kern w:val="0"/>
                <w:sz w:val="24"/>
              </w:rPr>
              <w:t>甲方：深圳市</w:t>
            </w:r>
            <w:r>
              <w:rPr>
                <w:rFonts w:hint="eastAsia" w:ascii="仿宋" w:hAnsi="仿宋" w:eastAsia="仿宋" w:cs="仿宋"/>
                <w:b/>
                <w:bCs/>
                <w:kern w:val="0"/>
                <w:sz w:val="24"/>
                <w:lang w:eastAsia="zh-CN"/>
              </w:rPr>
              <w:t>龙岗区第七人民医院</w:t>
            </w:r>
          </w:p>
        </w:tc>
        <w:tc>
          <w:tcPr>
            <w:tcW w:w="4111" w:type="dxa"/>
            <w:noWrap/>
            <w:vAlign w:val="top"/>
          </w:tcPr>
          <w:p>
            <w:pPr>
              <w:spacing w:line="360" w:lineRule="auto"/>
              <w:rPr>
                <w:rFonts w:ascii="仿宋" w:hAnsi="仿宋" w:eastAsia="仿宋" w:cs="仿宋"/>
                <w:b/>
                <w:bCs/>
                <w:kern w:val="0"/>
                <w:sz w:val="24"/>
              </w:rPr>
            </w:pPr>
            <w:r>
              <w:rPr>
                <w:rFonts w:hint="eastAsia" w:ascii="仿宋" w:hAnsi="仿宋" w:eastAsia="仿宋" w:cs="仿宋"/>
                <w:b/>
                <w:bCs/>
                <w:kern w:val="0"/>
                <w:sz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ign w:val="top"/>
          </w:tcPr>
          <w:p>
            <w:pPr>
              <w:spacing w:line="360" w:lineRule="auto"/>
              <w:rPr>
                <w:rFonts w:ascii="仿宋" w:hAnsi="仿宋" w:eastAsia="仿宋" w:cs="仿宋"/>
                <w:b/>
                <w:bCs/>
                <w:kern w:val="0"/>
                <w:sz w:val="24"/>
              </w:rPr>
            </w:pPr>
            <w:r>
              <w:rPr>
                <w:rFonts w:hint="eastAsia" w:ascii="仿宋" w:hAnsi="仿宋" w:eastAsia="仿宋" w:cs="仿宋"/>
                <w:b/>
                <w:bCs/>
                <w:kern w:val="0"/>
                <w:sz w:val="24"/>
              </w:rPr>
              <w:t>地址：</w:t>
            </w:r>
          </w:p>
        </w:tc>
        <w:tc>
          <w:tcPr>
            <w:tcW w:w="4111" w:type="dxa"/>
            <w:noWrap/>
            <w:vAlign w:val="top"/>
          </w:tcPr>
          <w:p>
            <w:pPr>
              <w:spacing w:line="360" w:lineRule="auto"/>
              <w:rPr>
                <w:rFonts w:ascii="仿宋" w:hAnsi="仿宋" w:eastAsia="仿宋" w:cs="仿宋"/>
                <w:b/>
                <w:bCs/>
                <w:kern w:val="0"/>
                <w:sz w:val="24"/>
              </w:rPr>
            </w:pPr>
            <w:r>
              <w:rPr>
                <w:rFonts w:hint="eastAsia" w:ascii="仿宋" w:hAnsi="仿宋" w:eastAsia="仿宋" w:cs="仿宋"/>
                <w:b/>
                <w:bCs/>
                <w:kern w:val="0"/>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ign w:val="top"/>
          </w:tcPr>
          <w:p>
            <w:pPr>
              <w:spacing w:line="360" w:lineRule="auto"/>
              <w:rPr>
                <w:rFonts w:hint="default" w:ascii="仿宋" w:hAnsi="仿宋" w:eastAsia="仿宋" w:cs="仿宋"/>
                <w:kern w:val="0"/>
                <w:sz w:val="24"/>
                <w:lang w:val="en-US" w:eastAsia="zh-CN"/>
              </w:rPr>
            </w:pPr>
            <w:r>
              <w:rPr>
                <w:rFonts w:hint="eastAsia" w:ascii="仿宋" w:hAnsi="仿宋" w:eastAsia="仿宋" w:cs="仿宋"/>
                <w:b/>
                <w:bCs/>
                <w:color w:val="000000"/>
                <w:sz w:val="24"/>
              </w:rPr>
              <w:t>纳税人识别号</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12440307</w:t>
            </w:r>
            <w:r>
              <w:rPr>
                <w:rFonts w:hint="eastAsia" w:ascii="仿宋" w:hAnsi="仿宋" w:eastAsia="仿宋" w:cs="仿宋"/>
                <w:b/>
                <w:bCs/>
                <w:color w:val="000000"/>
                <w:sz w:val="24"/>
                <w:lang w:val="en-US" w:eastAsia="zh-CN"/>
              </w:rPr>
              <w:t>G34813567P</w:t>
            </w:r>
          </w:p>
        </w:tc>
        <w:tc>
          <w:tcPr>
            <w:tcW w:w="4111" w:type="dxa"/>
            <w:noWrap/>
            <w:vAlign w:val="top"/>
          </w:tcPr>
          <w:p>
            <w:pPr>
              <w:spacing w:line="360" w:lineRule="auto"/>
              <w:rPr>
                <w:rFonts w:ascii="仿宋" w:hAnsi="仿宋" w:eastAsia="仿宋" w:cs="仿宋"/>
                <w:b/>
                <w:bCs/>
                <w:kern w:val="0"/>
                <w:sz w:val="24"/>
              </w:rPr>
            </w:pPr>
            <w:r>
              <w:rPr>
                <w:rFonts w:hint="eastAsia" w:ascii="仿宋" w:hAnsi="仿宋" w:eastAsia="仿宋" w:cs="仿宋"/>
                <w:b/>
                <w:bCs/>
                <w:kern w:val="0"/>
                <w:sz w:val="24"/>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11" w:type="dxa"/>
            <w:noWrap/>
            <w:vAlign w:val="top"/>
          </w:tcPr>
          <w:p>
            <w:pPr>
              <w:spacing w:line="360" w:lineRule="auto"/>
            </w:pPr>
            <w:r>
              <w:rPr>
                <w:rFonts w:hint="eastAsia" w:ascii="仿宋" w:hAnsi="仿宋" w:eastAsia="仿宋" w:cs="仿宋"/>
                <w:b/>
                <w:bCs/>
                <w:kern w:val="0"/>
                <w:sz w:val="24"/>
              </w:rPr>
              <w:t>开户银行：</w:t>
            </w:r>
          </w:p>
        </w:tc>
        <w:tc>
          <w:tcPr>
            <w:tcW w:w="4111" w:type="dxa"/>
            <w:noWrap/>
            <w:vAlign w:val="top"/>
          </w:tcPr>
          <w:p>
            <w:pPr>
              <w:spacing w:line="360" w:lineRule="auto"/>
              <w:rPr>
                <w:rFonts w:ascii="仿宋" w:hAnsi="仿宋" w:eastAsia="仿宋" w:cs="仿宋"/>
                <w:color w:val="000000"/>
                <w:sz w:val="24"/>
              </w:rPr>
            </w:pPr>
            <w:r>
              <w:rPr>
                <w:rFonts w:hint="eastAsia" w:ascii="仿宋" w:hAnsi="仿宋" w:eastAsia="仿宋" w:cs="仿宋"/>
                <w:b/>
                <w:bCs/>
                <w:color w:val="000000"/>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ign w:val="top"/>
          </w:tcPr>
          <w:p>
            <w:pPr>
              <w:spacing w:line="360" w:lineRule="auto"/>
              <w:rPr>
                <w:rFonts w:ascii="仿宋" w:hAnsi="仿宋" w:eastAsia="仿宋" w:cs="仿宋"/>
                <w:kern w:val="0"/>
                <w:sz w:val="24"/>
              </w:rPr>
            </w:pPr>
            <w:r>
              <w:rPr>
                <w:rFonts w:hint="eastAsia" w:ascii="仿宋" w:hAnsi="仿宋" w:eastAsia="仿宋" w:cs="仿宋"/>
                <w:b/>
                <w:bCs/>
                <w:color w:val="000000"/>
                <w:sz w:val="24"/>
              </w:rPr>
              <w:t>帐    号：</w:t>
            </w:r>
          </w:p>
        </w:tc>
        <w:tc>
          <w:tcPr>
            <w:tcW w:w="4111" w:type="dxa"/>
            <w:noWrap/>
            <w:vAlign w:val="top"/>
          </w:tcPr>
          <w:p>
            <w:pPr>
              <w:spacing w:line="360" w:lineRule="auto"/>
              <w:rPr>
                <w:rFonts w:ascii="仿宋" w:hAnsi="仿宋" w:eastAsia="仿宋" w:cs="仿宋"/>
                <w:b/>
                <w:bCs/>
                <w:color w:val="000000"/>
                <w:sz w:val="24"/>
              </w:rPr>
            </w:pPr>
            <w:r>
              <w:rPr>
                <w:rFonts w:hint="eastAsia" w:ascii="仿宋" w:hAnsi="仿宋" w:eastAsia="仿宋" w:cs="仿宋"/>
                <w:b/>
                <w:bCs/>
                <w:color w:val="000000"/>
                <w:sz w:val="24"/>
              </w:rPr>
              <w:t>帐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ign w:val="top"/>
          </w:tcPr>
          <w:p>
            <w:pPr>
              <w:spacing w:line="360" w:lineRule="auto"/>
              <w:rPr>
                <w:rFonts w:ascii="仿宋" w:hAnsi="仿宋" w:eastAsia="仿宋" w:cs="仿宋"/>
                <w:b/>
                <w:bCs/>
                <w:kern w:val="0"/>
                <w:sz w:val="24"/>
              </w:rPr>
            </w:pPr>
            <w:r>
              <w:rPr>
                <w:rFonts w:hint="eastAsia" w:ascii="仿宋" w:hAnsi="仿宋" w:eastAsia="仿宋" w:cs="仿宋"/>
                <w:b/>
                <w:bCs/>
                <w:color w:val="000000"/>
                <w:sz w:val="24"/>
              </w:rPr>
              <w:t>电话：</w:t>
            </w:r>
          </w:p>
        </w:tc>
        <w:tc>
          <w:tcPr>
            <w:tcW w:w="4111" w:type="dxa"/>
            <w:noWrap/>
            <w:vAlign w:val="top"/>
          </w:tcPr>
          <w:p>
            <w:pPr>
              <w:spacing w:line="360" w:lineRule="auto"/>
              <w:rPr>
                <w:rFonts w:ascii="仿宋" w:hAnsi="仿宋" w:eastAsia="仿宋" w:cs="仿宋"/>
                <w:b/>
                <w:bCs/>
                <w:color w:val="000000"/>
                <w:sz w:val="24"/>
              </w:rPr>
            </w:pPr>
            <w:r>
              <w:rPr>
                <w:rFonts w:hint="eastAsia" w:ascii="仿宋" w:hAnsi="仿宋" w:eastAsia="仿宋" w:cs="仿宋"/>
                <w:b/>
                <w:bCs/>
                <w:color w:val="000000"/>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4111" w:type="dxa"/>
            <w:noWrap/>
            <w:vAlign w:val="top"/>
          </w:tcPr>
          <w:p>
            <w:pPr>
              <w:spacing w:line="360" w:lineRule="auto"/>
              <w:rPr>
                <w:rFonts w:ascii="仿宋" w:hAnsi="仿宋" w:eastAsia="仿宋" w:cs="仿宋"/>
                <w:b/>
                <w:bCs/>
                <w:kern w:val="0"/>
                <w:sz w:val="24"/>
              </w:rPr>
            </w:pPr>
            <w:r>
              <w:rPr>
                <w:rFonts w:hint="eastAsia" w:ascii="仿宋" w:hAnsi="仿宋" w:eastAsia="仿宋" w:cs="仿宋"/>
                <w:b/>
                <w:bCs/>
                <w:kern w:val="0"/>
                <w:sz w:val="24"/>
              </w:rPr>
              <w:t>甲方法定代表人或授权人（签字）：</w:t>
            </w:r>
          </w:p>
          <w:p>
            <w:pPr>
              <w:pStyle w:val="6"/>
              <w:ind w:firstLine="0"/>
            </w:pPr>
          </w:p>
          <w:p>
            <w:pPr>
              <w:pStyle w:val="6"/>
              <w:ind w:firstLine="0"/>
            </w:pPr>
          </w:p>
          <w:p>
            <w:pPr>
              <w:spacing w:line="360" w:lineRule="auto"/>
              <w:rPr>
                <w:rFonts w:ascii="仿宋" w:hAnsi="仿宋" w:eastAsia="仿宋" w:cs="仿宋"/>
                <w:b/>
                <w:bCs/>
                <w:kern w:val="0"/>
                <w:sz w:val="24"/>
              </w:rPr>
            </w:pPr>
            <w:r>
              <w:rPr>
                <w:rFonts w:hint="eastAsia" w:ascii="仿宋" w:hAnsi="仿宋" w:eastAsia="仿宋" w:cs="仿宋"/>
                <w:b/>
                <w:bCs/>
                <w:kern w:val="0"/>
                <w:sz w:val="24"/>
              </w:rPr>
              <w:t>分管领导、经办科室负责人（签字）：</w:t>
            </w:r>
          </w:p>
          <w:p>
            <w:pPr>
              <w:pStyle w:val="6"/>
              <w:ind w:firstLine="0"/>
            </w:pPr>
          </w:p>
          <w:p>
            <w:pPr>
              <w:pStyle w:val="6"/>
              <w:ind w:firstLine="0"/>
            </w:pPr>
          </w:p>
        </w:tc>
        <w:tc>
          <w:tcPr>
            <w:tcW w:w="4111" w:type="dxa"/>
            <w:noWrap/>
            <w:vAlign w:val="top"/>
          </w:tcPr>
          <w:p>
            <w:pPr>
              <w:spacing w:line="360" w:lineRule="auto"/>
              <w:rPr>
                <w:rFonts w:ascii="仿宋" w:hAnsi="仿宋" w:eastAsia="仿宋" w:cs="仿宋"/>
                <w:b/>
                <w:bCs/>
                <w:kern w:val="0"/>
                <w:sz w:val="24"/>
              </w:rPr>
            </w:pPr>
            <w:r>
              <w:rPr>
                <w:rFonts w:hint="eastAsia" w:ascii="仿宋" w:hAnsi="仿宋" w:eastAsia="仿宋" w:cs="仿宋"/>
                <w:b/>
                <w:bCs/>
                <w:kern w:val="0"/>
                <w:sz w:val="24"/>
              </w:rPr>
              <w:t>乙方法定代表人（签字）：</w:t>
            </w:r>
          </w:p>
          <w:p>
            <w:pPr>
              <w:pStyle w:val="6"/>
              <w:ind w:firstLine="0"/>
            </w:pPr>
          </w:p>
          <w:p>
            <w:pPr>
              <w:pStyle w:val="6"/>
              <w:ind w:firstLine="0"/>
            </w:pPr>
          </w:p>
          <w:p>
            <w:pPr>
              <w:spacing w:line="360" w:lineRule="auto"/>
              <w:rPr>
                <w:rFonts w:ascii="仿宋" w:hAnsi="仿宋" w:eastAsia="仿宋" w:cs="仿宋"/>
                <w:b/>
                <w:bCs/>
                <w:kern w:val="0"/>
                <w:sz w:val="24"/>
              </w:rPr>
            </w:pPr>
            <w:r>
              <w:rPr>
                <w:rFonts w:hint="eastAsia" w:ascii="仿宋" w:hAnsi="仿宋" w:eastAsia="仿宋" w:cs="仿宋"/>
                <w:b/>
                <w:bCs/>
                <w:kern w:val="0"/>
                <w:sz w:val="24"/>
              </w:rPr>
              <w:t>或授权人（签字）：</w:t>
            </w:r>
          </w:p>
          <w:p>
            <w:pPr>
              <w:pStyle w:val="6"/>
              <w:ind w:firstLine="0"/>
            </w:pPr>
          </w:p>
          <w:p>
            <w:pPr>
              <w:pStyle w:val="6"/>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8222" w:type="dxa"/>
            <w:gridSpan w:val="2"/>
            <w:noWrap/>
            <w:vAlign w:val="center"/>
          </w:tcPr>
          <w:p>
            <w:pPr>
              <w:spacing w:line="48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签约时间：    年  月  日</w:t>
            </w:r>
          </w:p>
          <w:p>
            <w:pPr>
              <w:spacing w:line="480" w:lineRule="exact"/>
              <w:jc w:val="center"/>
              <w:rPr>
                <w:rFonts w:hint="eastAsia" w:ascii="宋体" w:hAnsi="宋体" w:eastAsia="仿宋"/>
                <w:kern w:val="0"/>
                <w:sz w:val="24"/>
                <w:lang w:eastAsia="zh-CN"/>
              </w:rPr>
            </w:pPr>
            <w:r>
              <w:rPr>
                <w:rFonts w:hint="eastAsia" w:ascii="仿宋" w:hAnsi="仿宋" w:eastAsia="仿宋" w:cs="仿宋"/>
                <w:b/>
                <w:bCs/>
                <w:color w:val="000000"/>
                <w:sz w:val="28"/>
                <w:szCs w:val="28"/>
              </w:rPr>
              <w:t>签约地址：深圳市</w:t>
            </w:r>
            <w:r>
              <w:rPr>
                <w:rFonts w:hint="eastAsia" w:ascii="仿宋" w:hAnsi="仿宋" w:eastAsia="仿宋" w:cs="仿宋"/>
                <w:b/>
                <w:bCs/>
                <w:color w:val="000000"/>
                <w:sz w:val="28"/>
                <w:szCs w:val="28"/>
                <w:lang w:eastAsia="zh-CN"/>
              </w:rPr>
              <w:t>龙岗区第七人民医院</w:t>
            </w:r>
          </w:p>
        </w:tc>
      </w:tr>
    </w:tbl>
    <w:p>
      <w:pPr>
        <w:spacing w:line="500" w:lineRule="exact"/>
        <w:rPr>
          <w:rFonts w:ascii="仿宋" w:hAnsi="仿宋" w:eastAsia="仿宋" w:cs="仿宋"/>
          <w:sz w:val="28"/>
          <w:szCs w:val="28"/>
        </w:rPr>
      </w:pPr>
    </w:p>
    <w:p>
      <w:pPr>
        <w:pStyle w:val="9"/>
        <w:rPr>
          <w:rFonts w:ascii="仿宋" w:hAnsi="仿宋" w:eastAsia="仿宋" w:cs="仿宋"/>
          <w:sz w:val="28"/>
          <w:szCs w:val="28"/>
        </w:rPr>
      </w:pPr>
    </w:p>
    <w:p>
      <w:pPr>
        <w:rPr>
          <w:rFonts w:ascii="仿宋" w:hAnsi="仿宋" w:eastAsia="仿宋" w:cs="仿宋"/>
          <w:sz w:val="28"/>
          <w:szCs w:val="28"/>
        </w:rPr>
      </w:pPr>
    </w:p>
    <w:p>
      <w:pPr>
        <w:tabs>
          <w:tab w:val="left" w:pos="0"/>
        </w:tabs>
        <w:snapToGrid w:val="0"/>
        <w:spacing w:line="480" w:lineRule="exact"/>
        <w:rPr>
          <w:rFonts w:ascii="仿宋" w:hAnsi="仿宋" w:eastAsia="仿宋" w:cs="仿宋"/>
          <w:b/>
          <w:bCs/>
          <w:sz w:val="32"/>
          <w:szCs w:val="32"/>
        </w:rPr>
        <w:sectPr>
          <w:pgSz w:w="11906" w:h="16838"/>
          <w:pgMar w:top="2098" w:right="1474" w:bottom="1984" w:left="1304" w:header="851" w:footer="1417" w:gutter="0"/>
          <w:pgNumType w:fmt="numberInDash"/>
          <w:cols w:space="0" w:num="1"/>
          <w:docGrid w:type="lines" w:linePitch="338" w:charSpace="0"/>
        </w:sectPr>
      </w:pPr>
    </w:p>
    <w:p>
      <w:pPr>
        <w:widowControl/>
        <w:spacing w:line="560" w:lineRule="exact"/>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深圳市龙岗区第七人民医院廉洁购销合同</w:t>
      </w:r>
    </w:p>
    <w:p>
      <w:pPr>
        <w:spacing w:line="560" w:lineRule="exact"/>
        <w:rPr>
          <w:rFonts w:ascii="楷体_GB2312" w:hAnsi="ˎ̥" w:eastAsia="楷体_GB2312"/>
          <w:b/>
          <w:sz w:val="32"/>
          <w:szCs w:val="32"/>
        </w:rPr>
      </w:pPr>
    </w:p>
    <w:p>
      <w:pPr>
        <w:spacing w:line="560" w:lineRule="exact"/>
        <w:rPr>
          <w:rFonts w:ascii="仿宋_GB2312" w:hAnsi="ˎ̥" w:eastAsia="仿宋_GB2312"/>
          <w:sz w:val="28"/>
          <w:szCs w:val="28"/>
        </w:rPr>
      </w:pPr>
      <w:r>
        <w:rPr>
          <w:rFonts w:hint="eastAsia" w:ascii="楷体_GB2312" w:hAnsi="ˎ̥" w:eastAsia="楷体_GB2312"/>
          <w:b/>
          <w:sz w:val="28"/>
          <w:szCs w:val="28"/>
        </w:rPr>
        <w:t>甲方</w:t>
      </w:r>
      <w:r>
        <w:rPr>
          <w:rFonts w:hint="eastAsia" w:ascii="仿宋_GB2312" w:hAnsi="ˎ̥" w:eastAsia="仿宋_GB2312"/>
          <w:sz w:val="28"/>
          <w:szCs w:val="28"/>
        </w:rPr>
        <w:t>：深圳市龙岗区第七人民医院</w:t>
      </w:r>
    </w:p>
    <w:p>
      <w:pPr>
        <w:spacing w:line="560" w:lineRule="exact"/>
        <w:rPr>
          <w:rFonts w:ascii="楷体_GB2312" w:hAnsi="ˎ̥" w:eastAsia="楷体_GB2312"/>
          <w:b/>
          <w:sz w:val="28"/>
          <w:szCs w:val="28"/>
        </w:rPr>
      </w:pPr>
      <w:r>
        <w:rPr>
          <w:rFonts w:hint="eastAsia" w:ascii="楷体_GB2312" w:hAnsi="ˎ̥" w:eastAsia="楷体_GB2312"/>
          <w:b/>
          <w:sz w:val="28"/>
          <w:szCs w:val="28"/>
        </w:rPr>
        <w:t>乙方</w:t>
      </w:r>
      <w:r>
        <w:rPr>
          <w:rFonts w:hint="eastAsia" w:ascii="仿宋_GB2312" w:hAnsi="ˎ̥" w:eastAsia="仿宋_GB2312"/>
          <w:sz w:val="28"/>
          <w:szCs w:val="28"/>
        </w:rPr>
        <w:t>：</w:t>
      </w:r>
    </w:p>
    <w:p>
      <w:pPr>
        <w:spacing w:line="560" w:lineRule="exact"/>
        <w:rPr>
          <w:rFonts w:ascii="楷体_GB2312" w:hAnsi="ˎ̥" w:eastAsia="楷体_GB2312"/>
          <w:b/>
          <w:sz w:val="28"/>
          <w:szCs w:val="28"/>
        </w:rPr>
      </w:pPr>
      <w:r>
        <w:rPr>
          <w:rFonts w:hint="eastAsia" w:ascii="楷体_GB2312" w:hAnsi="ˎ̥" w:eastAsia="楷体_GB2312"/>
          <w:b/>
          <w:sz w:val="28"/>
          <w:szCs w:val="28"/>
        </w:rPr>
        <w:t xml:space="preserve">项目名称：            </w:t>
      </w:r>
    </w:p>
    <w:p>
      <w:pPr>
        <w:spacing w:line="560" w:lineRule="exact"/>
        <w:rPr>
          <w:rFonts w:ascii="楷体_GB2312" w:hAnsi="ˎ̥" w:eastAsia="楷体_GB2312"/>
          <w:sz w:val="28"/>
          <w:szCs w:val="28"/>
        </w:rPr>
      </w:pPr>
      <w:r>
        <w:rPr>
          <w:rFonts w:hint="eastAsia" w:ascii="楷体_GB2312" w:hAnsi="ˎ̥" w:eastAsia="楷体_GB2312"/>
          <w:b/>
          <w:sz w:val="28"/>
          <w:szCs w:val="28"/>
        </w:rPr>
        <w:t>合同总价</w:t>
      </w:r>
      <w:r>
        <w:rPr>
          <w:rFonts w:hint="eastAsia" w:ascii="楷体_GB2312" w:hAnsi="ˎ̥" w:eastAsia="楷体_GB2312"/>
          <w:sz w:val="28"/>
          <w:szCs w:val="28"/>
        </w:rPr>
        <w:t>：</w:t>
      </w:r>
    </w:p>
    <w:p>
      <w:pPr>
        <w:spacing w:line="560" w:lineRule="exact"/>
        <w:rPr>
          <w:rFonts w:ascii="楷体_GB2312" w:hAnsi="ˎ̥" w:eastAsia="楷体_GB2312"/>
          <w:b/>
          <w:sz w:val="28"/>
          <w:szCs w:val="28"/>
        </w:rPr>
      </w:pPr>
      <w:r>
        <w:rPr>
          <w:rFonts w:hint="eastAsia" w:ascii="楷体_GB2312" w:hAnsi="ˎ̥" w:eastAsia="楷体_GB2312"/>
          <w:b/>
          <w:sz w:val="28"/>
          <w:szCs w:val="28"/>
        </w:rPr>
        <w:t>主办科室：</w:t>
      </w:r>
    </w:p>
    <w:p>
      <w:pPr>
        <w:spacing w:line="560" w:lineRule="exact"/>
        <w:ind w:firstLine="560" w:firstLineChars="200"/>
        <w:rPr>
          <w:rFonts w:ascii="仿宋_GB2312" w:hAnsi="ˎ̥" w:eastAsia="仿宋_GB2312"/>
          <w:sz w:val="28"/>
          <w:szCs w:val="28"/>
        </w:rPr>
      </w:pPr>
      <w:r>
        <w:rPr>
          <w:rFonts w:hint="eastAsia" w:ascii="仿宋_GB2312" w:hAnsi="ˎ̥" w:eastAsia="仿宋_GB2312"/>
          <w:sz w:val="28"/>
          <w:szCs w:val="28"/>
        </w:rPr>
        <w:t>为进一步加强医疗卫生行风建设，规范购销行为，有效防范商业贿赂，营造公平交易、诚实守信的购销环境，经甲、乙双方协商，同意签订本合同，并共同遵守：</w:t>
      </w:r>
    </w:p>
    <w:p>
      <w:pPr>
        <w:spacing w:line="560" w:lineRule="exact"/>
        <w:ind w:firstLine="560" w:firstLineChars="200"/>
        <w:rPr>
          <w:rFonts w:ascii="仿宋_GB2312" w:hAnsi="ˎ̥" w:eastAsia="仿宋_GB2312"/>
          <w:sz w:val="28"/>
          <w:szCs w:val="28"/>
        </w:rPr>
      </w:pPr>
      <w:r>
        <w:rPr>
          <w:rFonts w:hint="eastAsia" w:ascii="仿宋_GB2312" w:hAnsi="ˎ̥" w:eastAsia="仿宋_GB2312"/>
          <w:sz w:val="28"/>
          <w:szCs w:val="28"/>
        </w:rPr>
        <w:t>一、甲乙双方按照《中华人民共和国民法典》及产品</w:t>
      </w:r>
      <w:r>
        <w:rPr>
          <w:rFonts w:hint="eastAsia" w:ascii="仿宋_GB2312" w:eastAsia="仿宋_GB2312"/>
          <w:sz w:val="28"/>
          <w:szCs w:val="28"/>
        </w:rPr>
        <w:t>购销合同</w:t>
      </w:r>
      <w:r>
        <w:rPr>
          <w:rFonts w:hint="eastAsia" w:ascii="仿宋_GB2312" w:hAnsi="ˎ̥" w:eastAsia="仿宋_GB2312"/>
          <w:sz w:val="28"/>
          <w:szCs w:val="28"/>
        </w:rPr>
        <w:t>约定实施购销行为。</w:t>
      </w:r>
    </w:p>
    <w:p>
      <w:pPr>
        <w:spacing w:line="560" w:lineRule="exact"/>
        <w:ind w:firstLine="560" w:firstLineChars="200"/>
        <w:rPr>
          <w:rFonts w:ascii="仿宋_GB2312" w:hAnsi="ˎ̥" w:eastAsia="仿宋_GB2312"/>
          <w:sz w:val="28"/>
          <w:szCs w:val="28"/>
        </w:rPr>
      </w:pPr>
      <w:r>
        <w:rPr>
          <w:rFonts w:hint="eastAsia" w:ascii="仿宋_GB2312" w:hAnsi="ˎ̥" w:eastAsia="仿宋_GB2312"/>
          <w:sz w:val="28"/>
          <w:szCs w:val="28"/>
        </w:rPr>
        <w:t>二、甲方应当严格执行验收、入库制度，对采购产品及发票进行查验，不得违反有关规定进行合同外采购、违价采购或从非规定渠道采购。</w:t>
      </w:r>
    </w:p>
    <w:p>
      <w:pPr>
        <w:spacing w:line="560" w:lineRule="exact"/>
        <w:ind w:firstLine="560" w:firstLineChars="200"/>
        <w:rPr>
          <w:rFonts w:ascii="仿宋_GB2312" w:hAnsi="ˎ̥" w:eastAsia="仿宋_GB2312"/>
          <w:sz w:val="28"/>
          <w:szCs w:val="28"/>
        </w:rPr>
      </w:pPr>
      <w:r>
        <w:rPr>
          <w:rFonts w:hint="eastAsia" w:ascii="仿宋_GB2312" w:hAnsi="ˎ̥" w:eastAsia="仿宋_GB2312"/>
          <w:sz w:val="28"/>
          <w:szCs w:val="28"/>
        </w:rPr>
        <w:t>三、甲方不得接受乙方以任何名义、形式给予的利益输送，不得将接受捐赠资助与采购挂钩。甲方工作人员不得参加乙方安排并支付费用的营业性娱乐场所的娱乐活动，</w:t>
      </w:r>
      <w:r>
        <w:rPr>
          <w:rFonts w:hint="eastAsia" w:ascii="仿宋_GB2312" w:eastAsia="仿宋_GB2312"/>
          <w:sz w:val="28"/>
          <w:szCs w:val="28"/>
        </w:rPr>
        <w:t>不得以任何形式向乙方索要现金、有价证券、支付凭证和贵重礼品等</w:t>
      </w:r>
      <w:r>
        <w:rPr>
          <w:rFonts w:hint="eastAsia" w:ascii="仿宋_GB2312" w:hAnsi="ˎ̥" w:eastAsia="仿宋_GB2312"/>
          <w:sz w:val="28"/>
          <w:szCs w:val="28"/>
        </w:rPr>
        <w:t>。被迫接受乙方给予的钱物，应予退还，无法退还的，有责任如实向纪检监察部门反映情况。</w:t>
      </w:r>
    </w:p>
    <w:p>
      <w:pPr>
        <w:spacing w:line="560" w:lineRule="exact"/>
        <w:ind w:firstLine="560" w:firstLineChars="200"/>
        <w:rPr>
          <w:rFonts w:ascii="仿宋_GB2312" w:hAnsi="ˎ̥" w:eastAsia="仿宋_GB2312"/>
          <w:sz w:val="28"/>
          <w:szCs w:val="28"/>
        </w:rPr>
      </w:pPr>
      <w:r>
        <w:rPr>
          <w:rFonts w:hint="eastAsia" w:ascii="仿宋_GB2312" w:hAnsi="ˎ̥" w:eastAsia="仿宋_GB2312"/>
          <w:sz w:val="28"/>
          <w:szCs w:val="28"/>
        </w:rPr>
        <w:t>四、严禁甲方工作人员利用任何途径和方式，非法为乙方统计医师个人及临床科室有关医药产品用量信息，或为乙方统方提供便利。</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五、</w:t>
      </w:r>
      <w:r>
        <w:rPr>
          <w:rFonts w:hint="eastAsia" w:ascii="仿宋_GB2312" w:hAnsi="ˎ̥" w:eastAsia="仿宋_GB2312"/>
          <w:sz w:val="28"/>
          <w:szCs w:val="28"/>
        </w:rPr>
        <w:t>乙方不得以回扣、</w:t>
      </w:r>
      <w:r>
        <w:rPr>
          <w:rFonts w:hint="eastAsia" w:ascii="仿宋_GB2312" w:eastAsia="仿宋_GB2312"/>
          <w:sz w:val="28"/>
          <w:szCs w:val="28"/>
        </w:rPr>
        <w:t>宴请等方式影响甲方工作人员采购或使用医药产品的选择权，不得在学术活动中提供旅游、超标准支付食宿费用，以及其他任何形式的利益输送。</w:t>
      </w:r>
    </w:p>
    <w:p>
      <w:pPr>
        <w:spacing w:line="560" w:lineRule="exact"/>
        <w:ind w:firstLine="560" w:firstLineChars="200"/>
        <w:rPr>
          <w:rFonts w:ascii="仿宋_GB2312" w:hAnsi="ˎ̥" w:eastAsia="仿宋_GB2312"/>
          <w:sz w:val="28"/>
          <w:szCs w:val="28"/>
        </w:rPr>
      </w:pPr>
      <w:r>
        <w:rPr>
          <w:rFonts w:hint="eastAsia" w:ascii="仿宋_GB2312" w:eastAsia="仿宋_GB2312"/>
          <w:sz w:val="28"/>
          <w:szCs w:val="28"/>
        </w:rPr>
        <w:t>六、乙方指定</w:t>
      </w:r>
      <w:r>
        <w:rPr>
          <w:rFonts w:hint="eastAsia" w:ascii="仿宋_GB2312" w:eastAsia="仿宋_GB2312"/>
          <w:sz w:val="28"/>
          <w:szCs w:val="28"/>
          <w:u w:val="single"/>
        </w:rPr>
        <w:t xml:space="preserve">        </w:t>
      </w:r>
      <w:r>
        <w:rPr>
          <w:rFonts w:hint="eastAsia" w:ascii="仿宋_GB2312" w:eastAsia="仿宋_GB2312"/>
          <w:sz w:val="28"/>
          <w:szCs w:val="28"/>
        </w:rPr>
        <w:t>作为销售代表洽谈业务。销售代表必须在工作时间到甲方指定地点联系商谈，不得到住院部、门诊部、医技科室等推销医药产品，不得借故到甲方相关领导、部门</w:t>
      </w:r>
      <w:r>
        <w:rPr>
          <w:rFonts w:hint="eastAsia" w:ascii="仿宋_GB2312" w:hAnsi="ˎ̥" w:eastAsia="仿宋_GB2312"/>
          <w:sz w:val="28"/>
          <w:szCs w:val="28"/>
        </w:rPr>
        <w:t>负责人及相关工作人员家中访谈并提供任何好处费。</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七、</w:t>
      </w:r>
      <w:r>
        <w:rPr>
          <w:rFonts w:hint="eastAsia" w:ascii="仿宋_GB2312" w:hAnsi="ˎ̥" w:eastAsia="仿宋_GB2312"/>
          <w:sz w:val="28"/>
          <w:szCs w:val="28"/>
        </w:rPr>
        <w:t>乙方如违反本合同，一经发现，</w:t>
      </w:r>
      <w:r>
        <w:rPr>
          <w:rFonts w:hint="eastAsia" w:ascii="仿宋_GB2312" w:eastAsia="仿宋_GB2312"/>
          <w:sz w:val="28"/>
          <w:szCs w:val="28"/>
        </w:rPr>
        <w:t>甲方有权终止产品购销合同，并向有关部门报告。如乙方被列入商业贿赂不良记录，则严格按照《国家</w:t>
      </w:r>
      <w:r>
        <w:rPr>
          <w:rFonts w:ascii="仿宋_GB2312" w:eastAsia="仿宋_GB2312"/>
          <w:sz w:val="28"/>
          <w:szCs w:val="28"/>
        </w:rPr>
        <w:t>卫生计生委关于建立医药购销领域商业贿赂不良记录的规定</w:t>
      </w:r>
      <w:r>
        <w:rPr>
          <w:rFonts w:hint="eastAsia" w:ascii="仿宋_GB2312" w:eastAsia="仿宋_GB2312"/>
          <w:sz w:val="28"/>
          <w:szCs w:val="28"/>
        </w:rPr>
        <w:t>》</w:t>
      </w:r>
      <w:r>
        <w:rPr>
          <w:rFonts w:eastAsia="仿宋_GB2312"/>
          <w:color w:val="000000"/>
          <w:sz w:val="28"/>
          <w:szCs w:val="28"/>
          <w:shd w:val="clear" w:color="auto" w:fill="FFFFFF"/>
        </w:rPr>
        <w:t>（国卫法制发〔2013〕50号）</w:t>
      </w:r>
      <w:r>
        <w:rPr>
          <w:rFonts w:hint="eastAsia" w:ascii="仿宋_GB2312" w:eastAsia="仿宋_GB2312"/>
          <w:sz w:val="28"/>
          <w:szCs w:val="28"/>
        </w:rPr>
        <w:t>相关规定处理。</w:t>
      </w:r>
    </w:p>
    <w:p>
      <w:pPr>
        <w:spacing w:line="560" w:lineRule="exact"/>
        <w:ind w:firstLine="560" w:firstLineChars="200"/>
        <w:rPr>
          <w:rFonts w:ascii="仿宋_GB2312" w:eastAsia="仿宋_GB2312"/>
          <w:sz w:val="28"/>
          <w:szCs w:val="28"/>
        </w:rPr>
      </w:pPr>
      <w:r>
        <w:rPr>
          <w:rFonts w:hint="eastAsia" w:ascii="仿宋_GB2312" w:hAnsi="ˎ̥" w:eastAsia="仿宋_GB2312"/>
          <w:sz w:val="28"/>
          <w:szCs w:val="28"/>
        </w:rPr>
        <w:t>八、</w:t>
      </w:r>
      <w:r>
        <w:rPr>
          <w:rFonts w:hint="eastAsia" w:ascii="仿宋_GB2312" w:eastAsia="仿宋_GB2312"/>
          <w:sz w:val="28"/>
          <w:szCs w:val="28"/>
        </w:rPr>
        <w:t>本合同作为产品购销合同的组成部分，与购销合同一并执行，具有同等的法律效力。</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九、本合同一式叁份，甲方贰份（一份随购销主合同存档，一份交医院纪检监察部门），乙方壹份，从签订之日起生效。</w:t>
      </w:r>
    </w:p>
    <w:p>
      <w:pPr>
        <w:spacing w:line="560" w:lineRule="exact"/>
        <w:rPr>
          <w:rFonts w:ascii="仿宋_GB2312" w:eastAsia="仿宋_GB2312"/>
          <w:sz w:val="28"/>
          <w:szCs w:val="28"/>
        </w:rPr>
      </w:pPr>
    </w:p>
    <w:p>
      <w:pPr>
        <w:spacing w:line="560" w:lineRule="exact"/>
        <w:rPr>
          <w:rFonts w:ascii="楷体_GB2312" w:eastAsia="楷体_GB2312"/>
          <w:b/>
          <w:sz w:val="28"/>
          <w:szCs w:val="28"/>
        </w:rPr>
      </w:pPr>
      <w:r>
        <w:rPr>
          <w:rFonts w:hint="eastAsia" w:ascii="楷体_GB2312" w:eastAsia="楷体_GB2312"/>
          <w:b/>
          <w:sz w:val="28"/>
          <w:szCs w:val="28"/>
        </w:rPr>
        <w:t>甲方（盖章）：                  乙方（盖章）：</w:t>
      </w:r>
    </w:p>
    <w:p>
      <w:pPr>
        <w:spacing w:line="560" w:lineRule="exact"/>
        <w:rPr>
          <w:rFonts w:ascii="楷体_GB2312" w:eastAsia="楷体_GB2312"/>
          <w:b/>
          <w:sz w:val="28"/>
          <w:szCs w:val="28"/>
        </w:rPr>
      </w:pPr>
      <w:r>
        <w:rPr>
          <w:rFonts w:hint="eastAsia" w:ascii="楷体_GB2312" w:eastAsia="楷体_GB2312"/>
          <w:b/>
          <w:sz w:val="28"/>
          <w:szCs w:val="28"/>
        </w:rPr>
        <w:t>法定代表人（</w:t>
      </w:r>
      <w:r>
        <w:rPr>
          <w:rFonts w:ascii="楷体_GB2312" w:eastAsia="楷体_GB2312"/>
          <w:b/>
          <w:sz w:val="28"/>
          <w:szCs w:val="28"/>
        </w:rPr>
        <w:t>负责人</w:t>
      </w:r>
      <w:r>
        <w:rPr>
          <w:rFonts w:hint="eastAsia" w:ascii="楷体_GB2312" w:eastAsia="楷体_GB2312"/>
          <w:b/>
          <w:sz w:val="28"/>
          <w:szCs w:val="28"/>
        </w:rPr>
        <w:t>）：          法定代表人（</w:t>
      </w:r>
      <w:r>
        <w:rPr>
          <w:rFonts w:ascii="楷体_GB2312" w:eastAsia="楷体_GB2312"/>
          <w:b/>
          <w:sz w:val="28"/>
          <w:szCs w:val="28"/>
        </w:rPr>
        <w:t>负责人</w:t>
      </w:r>
      <w:r>
        <w:rPr>
          <w:rFonts w:hint="eastAsia" w:ascii="楷体_GB2312" w:eastAsia="楷体_GB2312"/>
          <w:b/>
          <w:sz w:val="28"/>
          <w:szCs w:val="28"/>
        </w:rPr>
        <w:t>）：</w:t>
      </w:r>
    </w:p>
    <w:p>
      <w:pPr>
        <w:spacing w:line="560" w:lineRule="exact"/>
        <w:rPr>
          <w:sz w:val="28"/>
          <w:szCs w:val="28"/>
        </w:rPr>
      </w:pPr>
      <w:r>
        <w:rPr>
          <w:rFonts w:hint="eastAsia" w:ascii="楷体_GB2312" w:eastAsia="楷体_GB2312"/>
          <w:b/>
          <w:sz w:val="28"/>
          <w:szCs w:val="28"/>
        </w:rPr>
        <w:t>授权代表人签名：               经办人签名：</w:t>
      </w:r>
    </w:p>
    <w:p>
      <w:pPr>
        <w:spacing w:line="560" w:lineRule="exact"/>
        <w:ind w:firstLine="560" w:firstLineChars="200"/>
        <w:rPr>
          <w:rFonts w:ascii="宋体" w:hAnsi="宋体" w:cs="宋体"/>
          <w:color w:val="000000"/>
          <w:kern w:val="0"/>
          <w:sz w:val="44"/>
          <w:szCs w:val="44"/>
          <w:lang w:bidi="ar"/>
        </w:rPr>
      </w:pPr>
      <w:r>
        <w:rPr>
          <w:rFonts w:hint="eastAsia" w:ascii="仿宋_GB2312" w:eastAsia="仿宋_GB2312"/>
          <w:sz w:val="28"/>
          <w:szCs w:val="28"/>
        </w:rPr>
        <w:t>年    月   日                 年    月   日</w:t>
      </w:r>
    </w:p>
    <w:p>
      <w:pPr>
        <w:widowControl/>
        <w:spacing w:line="440" w:lineRule="exact"/>
        <w:jc w:val="center"/>
        <w:textAlignment w:val="center"/>
        <w:rPr>
          <w:rFonts w:ascii="宋体" w:hAnsi="宋体" w:cs="宋体"/>
          <w:color w:val="000000"/>
          <w:kern w:val="0"/>
          <w:sz w:val="44"/>
          <w:szCs w:val="44"/>
          <w:lang w:bidi="ar"/>
        </w:rPr>
        <w:sectPr>
          <w:headerReference r:id="rId6" w:type="default"/>
          <w:footerReference r:id="rId7" w:type="default"/>
          <w:pgSz w:w="11906" w:h="16838"/>
          <w:pgMar w:top="2098" w:right="1474" w:bottom="1984" w:left="1304" w:header="851" w:footer="1417" w:gutter="0"/>
          <w:cols w:space="0" w:num="1"/>
          <w:docGrid w:type="lines" w:linePitch="338" w:charSpace="0"/>
        </w:sectPr>
      </w:pPr>
    </w:p>
    <w:p>
      <w:pPr>
        <w:widowControl/>
        <w:spacing w:line="440" w:lineRule="exact"/>
        <w:jc w:val="center"/>
        <w:textAlignment w:val="center"/>
        <w:rPr>
          <w:rFonts w:hint="eastAsia" w:ascii="宋体" w:hAnsi="宋体" w:cs="宋体"/>
          <w:color w:val="000000"/>
          <w:kern w:val="0"/>
          <w:sz w:val="44"/>
          <w:szCs w:val="44"/>
          <w:lang w:bidi="ar"/>
        </w:rPr>
      </w:pPr>
    </w:p>
    <w:p>
      <w:pPr>
        <w:widowControl/>
        <w:spacing w:line="440" w:lineRule="exact"/>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龙岗区进一步规范政商交往行为告知书</w:t>
      </w:r>
    </w:p>
    <w:p>
      <w:pPr>
        <w:spacing w:line="440" w:lineRule="exact"/>
        <w:rPr>
          <w:rFonts w:ascii="宋体" w:hAnsi="宋体" w:cs="宋体"/>
          <w:sz w:val="28"/>
          <w:szCs w:val="28"/>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深入构建“亲”“清”新型政商关系，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一、不得向公职人员赠送礼品、礼金、消费卡等财物。</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二、不得违规向公职人员提供宴请、旅游、娱乐等安排。</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三、不得通过打麻将等形式向公职人员输送利益。</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四、不得为公职人员报销应由其个人支付的费用。</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五、不得违规向公职人员及其亲友借贷款。</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六、不得违规将车辆、住房等借给公职人员使用。</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七、不得在招投标中与公职人员搞暗箱操作、围标串标。</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八、不得为利益相关人和公职人员牵线搭桥或者代为传递信息、传递财物。</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九、不得让公职人员在企业违规兼职取酬。</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十、不得为公职人员亲友违规承揽业务提供便利。</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上述“十个不得”，请您严格遵守。同时，在政商交往中，如有发现我区公职人员存在违反“十个不准”的问题，请及时通过网络举报平台或者12388举报电话等方式，向纪检监察机关反映举报，我们将一律严格保密、一律优先处置、一律严肃查处。</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本人已知晓上述告知内容，并愿意遵照执行（签名）：</w:t>
      </w:r>
    </w:p>
    <w:p>
      <w:pPr>
        <w:spacing w:line="440" w:lineRule="exact"/>
        <w:ind w:firstLine="5040" w:firstLineChars="18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ab/>
      </w:r>
    </w:p>
    <w:p>
      <w:pPr>
        <w:spacing w:line="440" w:lineRule="exact"/>
        <w:ind w:firstLine="3920" w:firstLineChars="1400"/>
        <w:rPr>
          <w:rFonts w:ascii="仿宋_GB2312" w:hAnsi="仿宋_GB2312" w:eastAsia="仿宋_GB2312" w:cs="仿宋_GB2312"/>
          <w:sz w:val="28"/>
          <w:szCs w:val="28"/>
        </w:rPr>
      </w:pPr>
    </w:p>
    <w:p>
      <w:pPr>
        <w:pStyle w:val="10"/>
        <w:spacing w:line="440" w:lineRule="exact"/>
        <w:jc w:val="center"/>
        <w:rPr>
          <w:rFonts w:hint="default" w:ascii="仿宋_GB2312" w:hAnsi="仿宋_GB2312" w:eastAsia="仿宋_GB2312" w:cs="仿宋_GB2312"/>
          <w:sz w:val="28"/>
          <w:szCs w:val="28"/>
        </w:rPr>
      </w:pPr>
      <w:r>
        <w:rPr>
          <w:rFonts w:ascii="仿宋_GB2312" w:hAnsi="仿宋_GB2312" w:eastAsia="仿宋_GB2312" w:cs="仿宋_GB2312"/>
          <w:sz w:val="28"/>
          <w:szCs w:val="28"/>
        </w:rPr>
        <w:t xml:space="preserve">                      单位名称（盖章）：</w:t>
      </w:r>
    </w:p>
    <w:p>
      <w:pPr>
        <w:pStyle w:val="10"/>
        <w:spacing w:line="440" w:lineRule="exact"/>
        <w:jc w:val="center"/>
        <w:rPr>
          <w:rFonts w:hint="default" w:ascii="仿宋" w:hAnsi="仿宋" w:eastAsia="仿宋" w:cs="仿宋"/>
          <w:sz w:val="28"/>
          <w:szCs w:val="28"/>
        </w:rPr>
      </w:pPr>
      <w:r>
        <w:rPr>
          <w:rFonts w:ascii="仿宋_GB2312" w:hAnsi="仿宋_GB2312" w:eastAsia="仿宋_GB2312" w:cs="仿宋_GB2312"/>
          <w:sz w:val="28"/>
          <w:szCs w:val="28"/>
        </w:rPr>
        <w:t xml:space="preserve">                   年  月  日</w:t>
      </w:r>
    </w:p>
    <w:p>
      <w:pPr>
        <w:pStyle w:val="9"/>
        <w:rPr>
          <w:rFonts w:ascii="仿宋_GB2312" w:hAnsi="仿宋_GB2312" w:eastAsia="仿宋_GB2312" w:cs="仿宋_GB2312"/>
          <w:b/>
          <w:bCs/>
          <w:kern w:val="2"/>
          <w:sz w:val="36"/>
          <w:szCs w:val="36"/>
        </w:rPr>
      </w:pPr>
    </w:p>
    <w:p/>
    <w:p>
      <w:pPr>
        <w:pStyle w:val="9"/>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1"/>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- 40 -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JrTRP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VFimcGBn3/9PP/+&#10;e/7zg6ySPL2HGrPuPebF4aMbcGnme8DLxHqQwaQv8iEYR3FPF3HFEAlPRdWyqkoMcYzNDuIXj+U+&#10;QLwTzpBkNDTg9LKo7PgZ4pg6p6TXrLtVWucJakt6RF1V71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NJrTRPQAQAApQMAAA4AAAAAAAAAAQAgAAAAIgEA&#10;AGRycy9lMm9Eb2MueG1sUEsFBgAAAAAGAAYAWQEAAGQFAAAAAA==&#10;">
              <v:fill on="f" focussize="0,0"/>
              <v:stroke on="f" weight="1.25pt"/>
              <v:imagedata o:title=""/>
              <o:lock v:ext="edit" aspectratio="f"/>
              <v:textbox inset="0mm,0mm,0mm,0mm" style="mso-fit-shape-to-text:t;">
                <w:txbxContent>
                  <w:p>
                    <w:pPr>
                      <w:pStyle w:val="11"/>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- 40 -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B7BE7E"/>
    <w:multiLevelType w:val="singleLevel"/>
    <w:tmpl w:val="22B7BE7E"/>
    <w:lvl w:ilvl="0" w:tentative="0">
      <w:start w:val="3"/>
      <w:numFmt w:val="chineseCounting"/>
      <w:suff w:val="nothing"/>
      <w:lvlText w:val="（%1）"/>
      <w:lvlJc w:val="left"/>
      <w:rPr>
        <w:rFonts w:hint="eastAsia"/>
      </w:rPr>
    </w:lvl>
  </w:abstractNum>
  <w:abstractNum w:abstractNumId="1">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MmRkYjg1MWYxOTgzYmE0YjcwNjU0NzA5NzU1Y2UifQ=="/>
  </w:docVars>
  <w:rsids>
    <w:rsidRoot w:val="4E07504C"/>
    <w:rsid w:val="00706D64"/>
    <w:rsid w:val="011550B5"/>
    <w:rsid w:val="013067A8"/>
    <w:rsid w:val="02047256"/>
    <w:rsid w:val="0342775C"/>
    <w:rsid w:val="03474B3A"/>
    <w:rsid w:val="03FE4502"/>
    <w:rsid w:val="067A4160"/>
    <w:rsid w:val="069D1FD3"/>
    <w:rsid w:val="06E94E42"/>
    <w:rsid w:val="07177C01"/>
    <w:rsid w:val="07534DF2"/>
    <w:rsid w:val="07702E6D"/>
    <w:rsid w:val="087655AA"/>
    <w:rsid w:val="08D8516E"/>
    <w:rsid w:val="0B582596"/>
    <w:rsid w:val="0BAD4BBE"/>
    <w:rsid w:val="0CC73E81"/>
    <w:rsid w:val="0D1F7866"/>
    <w:rsid w:val="0DDC300B"/>
    <w:rsid w:val="0E9E6313"/>
    <w:rsid w:val="0F360E40"/>
    <w:rsid w:val="10335CC9"/>
    <w:rsid w:val="10A342B4"/>
    <w:rsid w:val="11114953"/>
    <w:rsid w:val="12FD248B"/>
    <w:rsid w:val="13977902"/>
    <w:rsid w:val="149A1EBD"/>
    <w:rsid w:val="15BA205C"/>
    <w:rsid w:val="16797E6D"/>
    <w:rsid w:val="17F61B9F"/>
    <w:rsid w:val="1890336F"/>
    <w:rsid w:val="19287A4C"/>
    <w:rsid w:val="196046FF"/>
    <w:rsid w:val="196C5B8A"/>
    <w:rsid w:val="19BE3F0C"/>
    <w:rsid w:val="19F95BB8"/>
    <w:rsid w:val="1A1D50D7"/>
    <w:rsid w:val="1A8B6784"/>
    <w:rsid w:val="1BEE7F8C"/>
    <w:rsid w:val="1BF652AB"/>
    <w:rsid w:val="1D281CF6"/>
    <w:rsid w:val="1DCA1E79"/>
    <w:rsid w:val="1DDB32DF"/>
    <w:rsid w:val="1F4D3D68"/>
    <w:rsid w:val="20001123"/>
    <w:rsid w:val="20914128"/>
    <w:rsid w:val="22C95DFC"/>
    <w:rsid w:val="25331C52"/>
    <w:rsid w:val="26431A21"/>
    <w:rsid w:val="27BE796C"/>
    <w:rsid w:val="27EB4D2D"/>
    <w:rsid w:val="28606759"/>
    <w:rsid w:val="291A7161"/>
    <w:rsid w:val="293027EB"/>
    <w:rsid w:val="29F311DA"/>
    <w:rsid w:val="2BB7272F"/>
    <w:rsid w:val="2C2B3683"/>
    <w:rsid w:val="2CBD4E6E"/>
    <w:rsid w:val="2CD47877"/>
    <w:rsid w:val="2E3D769E"/>
    <w:rsid w:val="2E6141F6"/>
    <w:rsid w:val="2F7964B4"/>
    <w:rsid w:val="2FEA115F"/>
    <w:rsid w:val="302F165E"/>
    <w:rsid w:val="30DC1C6C"/>
    <w:rsid w:val="30F2476F"/>
    <w:rsid w:val="31E35EE3"/>
    <w:rsid w:val="32556FD6"/>
    <w:rsid w:val="349F18E8"/>
    <w:rsid w:val="34FD7B87"/>
    <w:rsid w:val="350F1DC4"/>
    <w:rsid w:val="36C546D4"/>
    <w:rsid w:val="38AC78FA"/>
    <w:rsid w:val="394E6C03"/>
    <w:rsid w:val="3A085004"/>
    <w:rsid w:val="3A1A0893"/>
    <w:rsid w:val="3CE1563C"/>
    <w:rsid w:val="3D725592"/>
    <w:rsid w:val="3E1F291C"/>
    <w:rsid w:val="3EF20030"/>
    <w:rsid w:val="42D9753D"/>
    <w:rsid w:val="43B25C38"/>
    <w:rsid w:val="480E290B"/>
    <w:rsid w:val="48237A66"/>
    <w:rsid w:val="484E277B"/>
    <w:rsid w:val="486A50DB"/>
    <w:rsid w:val="4947770B"/>
    <w:rsid w:val="49831FB1"/>
    <w:rsid w:val="4C9B5863"/>
    <w:rsid w:val="4D41354B"/>
    <w:rsid w:val="4E07504C"/>
    <w:rsid w:val="4E28581D"/>
    <w:rsid w:val="4FCB46B2"/>
    <w:rsid w:val="505D2E3A"/>
    <w:rsid w:val="50A76ECD"/>
    <w:rsid w:val="50B066FA"/>
    <w:rsid w:val="50FB36C9"/>
    <w:rsid w:val="51684B94"/>
    <w:rsid w:val="55321431"/>
    <w:rsid w:val="57754922"/>
    <w:rsid w:val="57F97435"/>
    <w:rsid w:val="597160E4"/>
    <w:rsid w:val="59917528"/>
    <w:rsid w:val="5A51252E"/>
    <w:rsid w:val="5BFE7BBD"/>
    <w:rsid w:val="5CAF3C3D"/>
    <w:rsid w:val="5CB67973"/>
    <w:rsid w:val="5EC450EE"/>
    <w:rsid w:val="5ECE7D1A"/>
    <w:rsid w:val="5EE375B1"/>
    <w:rsid w:val="5FA10F8B"/>
    <w:rsid w:val="5FB84304"/>
    <w:rsid w:val="608D150F"/>
    <w:rsid w:val="61C97E28"/>
    <w:rsid w:val="623567B2"/>
    <w:rsid w:val="62406DE0"/>
    <w:rsid w:val="62792BC7"/>
    <w:rsid w:val="64EF2799"/>
    <w:rsid w:val="64EF4547"/>
    <w:rsid w:val="65031979"/>
    <w:rsid w:val="65E860BF"/>
    <w:rsid w:val="65FA7647"/>
    <w:rsid w:val="6650370B"/>
    <w:rsid w:val="66FE6CC3"/>
    <w:rsid w:val="67303132"/>
    <w:rsid w:val="6AB75B07"/>
    <w:rsid w:val="6B397C51"/>
    <w:rsid w:val="6E7855AD"/>
    <w:rsid w:val="6EB20ABF"/>
    <w:rsid w:val="75A66EA3"/>
    <w:rsid w:val="76382C84"/>
    <w:rsid w:val="78B13B95"/>
    <w:rsid w:val="78B83C1C"/>
    <w:rsid w:val="7A805F15"/>
    <w:rsid w:val="7BEA50DF"/>
    <w:rsid w:val="7C0135D5"/>
    <w:rsid w:val="7CD75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autoRedefine/>
    <w:semiHidden/>
    <w:unhideWhenUsed/>
    <w:qFormat/>
    <w:uiPriority w:val="0"/>
    <w:pPr>
      <w:outlineLvl w:val="1"/>
    </w:pPr>
    <w:rPr>
      <w:sz w:val="36"/>
      <w:szCs w:val="36"/>
    </w:rPr>
  </w:style>
  <w:style w:type="paragraph" w:styleId="3">
    <w:name w:val="heading 3"/>
    <w:basedOn w:val="1"/>
    <w:next w:val="1"/>
    <w:autoRedefine/>
    <w:semiHidden/>
    <w:unhideWhenUsed/>
    <w:qFormat/>
    <w:uiPriority w:val="0"/>
    <w:pPr>
      <w:spacing w:beforeAutospacing="1" w:afterAutospacing="1"/>
      <w:jc w:val="left"/>
      <w:outlineLvl w:val="2"/>
    </w:pPr>
    <w:rPr>
      <w:rFonts w:hint="eastAsia" w:ascii="宋体" w:hAnsi="宋体" w:cs="Times New Roman"/>
      <w:kern w:val="0"/>
      <w:sz w:val="27"/>
      <w:szCs w:val="27"/>
    </w:rPr>
  </w:style>
  <w:style w:type="paragraph" w:styleId="4">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5">
    <w:name w:val="index 8"/>
    <w:basedOn w:val="1"/>
    <w:next w:val="1"/>
    <w:autoRedefine/>
    <w:qFormat/>
    <w:uiPriority w:val="0"/>
    <w:pPr>
      <w:ind w:left="2940"/>
    </w:pPr>
  </w:style>
  <w:style w:type="paragraph" w:styleId="6">
    <w:name w:val="Normal Indent"/>
    <w:basedOn w:val="1"/>
    <w:autoRedefine/>
    <w:qFormat/>
    <w:uiPriority w:val="0"/>
    <w:pPr>
      <w:ind w:firstLine="420"/>
    </w:pPr>
  </w:style>
  <w:style w:type="paragraph" w:styleId="7">
    <w:name w:val="annotation text"/>
    <w:basedOn w:val="1"/>
    <w:next w:val="8"/>
    <w:autoRedefine/>
    <w:qFormat/>
    <w:uiPriority w:val="0"/>
    <w:pPr>
      <w:jc w:val="left"/>
    </w:pPr>
  </w:style>
  <w:style w:type="paragraph" w:styleId="8">
    <w:name w:val="toc 5"/>
    <w:basedOn w:val="1"/>
    <w:next w:val="1"/>
    <w:autoRedefine/>
    <w:semiHidden/>
    <w:qFormat/>
    <w:uiPriority w:val="0"/>
    <w:pPr>
      <w:ind w:left="840"/>
      <w:jc w:val="left"/>
    </w:pPr>
    <w:rPr>
      <w:szCs w:val="21"/>
    </w:rPr>
  </w:style>
  <w:style w:type="paragraph" w:styleId="9">
    <w:name w:val="Body Text"/>
    <w:basedOn w:val="1"/>
    <w:next w:val="1"/>
    <w:autoRedefine/>
    <w:qFormat/>
    <w:uiPriority w:val="0"/>
    <w:pPr>
      <w:autoSpaceDE w:val="0"/>
      <w:autoSpaceDN w:val="0"/>
      <w:jc w:val="left"/>
    </w:pPr>
    <w:rPr>
      <w:rFonts w:ascii="宋体" w:hAnsi="宋体"/>
      <w:kern w:val="0"/>
      <w:sz w:val="32"/>
      <w:szCs w:val="32"/>
    </w:rPr>
  </w:style>
  <w:style w:type="paragraph" w:styleId="10">
    <w:name w:val="Plain Text"/>
    <w:basedOn w:val="1"/>
    <w:autoRedefine/>
    <w:qFormat/>
    <w:uiPriority w:val="0"/>
    <w:rPr>
      <w:rFonts w:hint="eastAsia" w:ascii="宋体" w:hAnsi="Courier New"/>
      <w:kern w:val="0"/>
      <w:sz w:val="20"/>
      <w:szCs w:val="21"/>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nhideWhenUsed/>
    <w:qFormat/>
    <w:uiPriority w:val="39"/>
  </w:style>
  <w:style w:type="paragraph" w:styleId="14">
    <w:name w:val="Body Text 2"/>
    <w:basedOn w:val="1"/>
    <w:autoRedefine/>
    <w:qFormat/>
    <w:uiPriority w:val="0"/>
    <w:pPr>
      <w:spacing w:line="360" w:lineRule="auto"/>
    </w:pPr>
    <w:rPr>
      <w:rFonts w:ascii="Times New Roman" w:hAnsi="Times New Roman"/>
      <w:kern w:val="0"/>
      <w:sz w:val="24"/>
    </w:rPr>
  </w:style>
  <w:style w:type="paragraph" w:styleId="15">
    <w:name w:val="Normal (Web)"/>
    <w:basedOn w:val="1"/>
    <w:autoRedefine/>
    <w:qFormat/>
    <w:uiPriority w:val="0"/>
    <w:pPr>
      <w:spacing w:beforeAutospacing="1" w:afterAutospacing="1"/>
      <w:jc w:val="left"/>
    </w:pPr>
    <w:rPr>
      <w:rFonts w:cs="Times New Roman"/>
      <w:kern w:val="0"/>
      <w:sz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p0"/>
    <w:basedOn w:val="1"/>
    <w:autoRedefine/>
    <w:qFormat/>
    <w:uiPriority w:val="0"/>
    <w:pPr>
      <w:widowControl/>
    </w:pPr>
    <w:rPr>
      <w:kern w:val="0"/>
      <w:szCs w:val="21"/>
    </w:rPr>
  </w:style>
  <w:style w:type="paragraph" w:customStyle="1" w:styleId="20">
    <w:name w:val="列出段落111"/>
    <w:basedOn w:val="1"/>
    <w:autoRedefine/>
    <w:qFormat/>
    <w:uiPriority w:val="0"/>
    <w:pPr>
      <w:ind w:firstLine="420" w:firstLineChars="200"/>
    </w:pPr>
  </w:style>
  <w:style w:type="paragraph" w:customStyle="1" w:styleId="21">
    <w:name w:val="Table Text"/>
    <w:basedOn w:val="1"/>
    <w:autoRedefine/>
    <w:semiHidden/>
    <w:qFormat/>
    <w:uiPriority w:val="0"/>
    <w:rPr>
      <w:rFonts w:ascii="仿宋" w:hAnsi="仿宋" w:eastAsia="仿宋" w:cs="仿宋"/>
      <w:sz w:val="21"/>
      <w:szCs w:val="21"/>
      <w:lang w:val="en-US" w:eastAsia="en-US" w:bidi="ar-SA"/>
    </w:rPr>
  </w:style>
  <w:style w:type="paragraph" w:customStyle="1" w:styleId="22">
    <w:name w:val="_Style 1"/>
    <w:basedOn w:val="1"/>
    <w:next w:val="1"/>
    <w:autoRedefine/>
    <w:qFormat/>
    <w:uiPriority w:val="99"/>
    <w:pPr>
      <w:ind w:firstLine="420" w:firstLineChars="200"/>
    </w:pPr>
  </w:style>
  <w:style w:type="character" w:customStyle="1" w:styleId="23">
    <w:name w:val="正文_2 Char"/>
    <w:autoRedefine/>
    <w:qFormat/>
    <w:uiPriority w:val="0"/>
    <w:rPr>
      <w:rFonts w:hint="eastAsia" w:ascii="宋体" w:hAnsi="宋体" w:eastAsia="宋体"/>
      <w:kern w:val="2"/>
      <w:sz w:val="21"/>
      <w:szCs w:val="22"/>
      <w:lang w:val="en-US" w:eastAsia="zh-CN"/>
    </w:rPr>
  </w:style>
  <w:style w:type="paragraph" w:customStyle="1" w:styleId="24">
    <w:name w:val="正文+首行缩进2 字符"/>
    <w:basedOn w:val="1"/>
    <w:autoRedefine/>
    <w:qFormat/>
    <w:uiPriority w:val="0"/>
    <w:pPr>
      <w:spacing w:afterLines="25" w:line="300" w:lineRule="auto"/>
      <w:ind w:firstLine="480" w:firstLineChars="200"/>
    </w:pPr>
    <w:rPr>
      <w:rFonts w:ascii="Times New Roman" w:hAnsi="Times New Roman" w:cs="宋体"/>
      <w:szCs w:val="20"/>
    </w:rPr>
  </w:style>
  <w:style w:type="paragraph" w:customStyle="1" w:styleId="25">
    <w:name w:val="列出段落3"/>
    <w:basedOn w:val="1"/>
    <w:autoRedefine/>
    <w:qFormat/>
    <w:uiPriority w:val="34"/>
    <w:pPr>
      <w:ind w:firstLine="420" w:firstLineChars="200"/>
    </w:pPr>
  </w:style>
  <w:style w:type="paragraph" w:customStyle="1" w:styleId="26">
    <w:name w:val="列出段落1"/>
    <w:basedOn w:val="1"/>
    <w:autoRedefine/>
    <w:qFormat/>
    <w:uiPriority w:val="34"/>
    <w:pPr>
      <w:ind w:firstLine="420" w:firstLineChars="200"/>
    </w:pPr>
  </w:style>
  <w:style w:type="paragraph" w:styleId="27">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28">
    <w:name w:val="纯文本1"/>
    <w:basedOn w:val="1"/>
    <w:autoRedefine/>
    <w:qFormat/>
    <w:uiPriority w:val="0"/>
    <w:rPr>
      <w:rFonts w:ascii="宋体" w:hAnsi="Courier New"/>
      <w:szCs w:val="20"/>
    </w:rPr>
  </w:style>
  <w:style w:type="paragraph" w:customStyle="1" w:styleId="2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10887</Words>
  <Characters>11236</Characters>
  <Lines>0</Lines>
  <Paragraphs>0</Paragraphs>
  <TotalTime>99</TotalTime>
  <ScaleCrop>false</ScaleCrop>
  <LinksUpToDate>false</LinksUpToDate>
  <CharactersWithSpaces>11312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2025-05-27T09:58:00Z</dcterms:created>
  <dc:creator>张生</dc:creator>
  <cp:lastModifiedBy>HyoQi</cp:lastModifiedBy>
  <cp:lastPrinted>2025-08-13T06:53:00Z</cp:lastPrinted>
  <dcterms:modified xsi:type="dcterms:W3CDTF">2025-08-15T02:20:47Z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E63050435E70420EBB2501DD3CC7A10F_13</vt:lpwstr>
  </property>
  <property fmtid="{D5CDD505-2E9C-101B-9397-08002B2CF9AE}" pid="4" name="KSOTemplateDocerSaveRecord">
    <vt:lpwstr>eyJoZGlkIjoiN2RiNWQ5NGYzY2IxYzY2OGVkMjg0YWI2OWFlOGVkZmIiLCJ1c2VySWQiOiI0MDk2MDE5NTQifQ==</vt:lpwstr>
  </property>
</Properties>
</file>