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报价单位：</w:t>
            </w:r>
          </w:p>
        </w:tc>
        <w:tc>
          <w:tcPr>
            <w:tcW w:w="464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一、公区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清洁开荒报价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（含税，元）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4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海科兴留学生产业园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工业软件园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二、停车场清洁开荒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（含税，元）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4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海科兴留学生产业园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工业软件园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外墙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清洗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</w:t>
            </w:r>
          </w:p>
        </w:tc>
        <w:tc>
          <w:tcPr>
            <w:tcW w:w="4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（含税，元）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4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海科兴留学生产业园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工业软件园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合计（一、二、三）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1.各单位需前往现场踏勘后，再进行报价，并加盖公章。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2.上述报价为包干价。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F49DE"/>
    <w:rsid w:val="9F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2025-08-13T09:07:00Z</dcterms:created>
  <dc:creator>王自秋原</dc:creator>
  <cp:lastModifiedBy>王自秋原</cp:lastModifiedBy>
  <dcterms:modified xsi:type="dcterms:W3CDTF">2025-08-13T09:07:39Z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FD4CD7AC8CBCE1F534E59B6890EF4D02</vt:lpwstr>
  </property>
</Properties>
</file>