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w:t>
      </w:r>
      <w:r>
        <w:rPr>
          <w:rFonts w:hint="eastAsia" w:ascii="仿宋" w:hAnsi="仿宋" w:eastAsia="仿宋" w:cs="仿宋"/>
          <w:b/>
          <w:bCs/>
          <w:sz w:val="44"/>
          <w:szCs w:val="44"/>
          <w:highlight w:val="none"/>
          <w:lang w:eastAsia="zh-CN"/>
        </w:rPr>
        <w:t>标准化智慧实验室管理平台升级</w:t>
      </w:r>
      <w:r>
        <w:rPr>
          <w:rFonts w:hint="eastAsia" w:ascii="仿宋" w:hAnsi="仿宋" w:eastAsia="仿宋" w:cs="仿宋"/>
          <w:b/>
          <w:bCs/>
          <w:sz w:val="44"/>
          <w:szCs w:val="44"/>
          <w:highlight w:val="none"/>
        </w:rPr>
        <w:t>服务招标文件信息</w:t>
      </w:r>
    </w:p>
    <w:tbl>
      <w:tblPr>
        <w:tblStyle w:val="21"/>
        <w:tblW w:w="7938" w:type="dxa"/>
        <w:jc w:val="center"/>
        <w:tblCellSpacing w:w="0" w:type="dxa"/>
        <w:tblLayout w:type="fixed"/>
        <w:tblCellMar>
          <w:top w:w="45" w:type="dxa"/>
          <w:left w:w="45" w:type="dxa"/>
          <w:bottom w:w="45" w:type="dxa"/>
          <w:right w:w="45" w:type="dxa"/>
        </w:tblCellMar>
      </w:tblPr>
      <w:tblGrid>
        <w:gridCol w:w="2722"/>
        <w:gridCol w:w="5216"/>
      </w:tblGrid>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LGZXYYZBB20250804-1</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w:t>
            </w:r>
            <w:r>
              <w:rPr>
                <w:rFonts w:hint="eastAsia" w:ascii="仿宋" w:hAnsi="仿宋" w:eastAsia="仿宋" w:cs="仿宋"/>
                <w:sz w:val="28"/>
                <w:szCs w:val="28"/>
                <w:highlight w:val="none"/>
                <w:lang w:eastAsia="zh-CN"/>
              </w:rPr>
              <w:t>标准化智慧实验室管理平台升级</w:t>
            </w:r>
            <w:r>
              <w:rPr>
                <w:rFonts w:hint="eastAsia" w:ascii="仿宋" w:hAnsi="仿宋" w:eastAsia="仿宋" w:cs="仿宋"/>
                <w:sz w:val="28"/>
                <w:szCs w:val="28"/>
                <w:highlight w:val="none"/>
              </w:rPr>
              <w:t>服务</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服务类</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pPr>
        <w:pStyle w:val="18"/>
        <w:jc w:val="center"/>
        <w:outlineLvl w:val="1"/>
        <w:rPr>
          <w:rFonts w:hint="eastAsia" w:ascii="仿宋" w:hAnsi="仿宋" w:eastAsia="仿宋" w:cs="仿宋"/>
          <w:sz w:val="24"/>
          <w:szCs w:val="24"/>
          <w:highlight w:val="none"/>
        </w:rPr>
      </w:pPr>
    </w:p>
    <w:p>
      <w:pPr>
        <w:pStyle w:val="18"/>
        <w:jc w:val="center"/>
        <w:outlineLvl w:val="1"/>
        <w:rPr>
          <w:rFonts w:hint="eastAsia" w:ascii="仿宋" w:hAnsi="仿宋" w:eastAsia="仿宋" w:cs="仿宋"/>
          <w:sz w:val="24"/>
          <w:szCs w:val="24"/>
          <w:highlight w:val="none"/>
        </w:rPr>
      </w:pPr>
    </w:p>
    <w:p>
      <w:pPr>
        <w:pStyle w:val="18"/>
        <w:jc w:val="center"/>
        <w:outlineLvl w:val="1"/>
        <w:rPr>
          <w:rFonts w:hint="eastAsia" w:ascii="仿宋" w:hAnsi="仿宋" w:eastAsia="仿宋" w:cs="仿宋"/>
          <w:sz w:val="24"/>
          <w:szCs w:val="24"/>
          <w:highlight w:val="none"/>
        </w:rPr>
      </w:pPr>
    </w:p>
    <w:p>
      <w:pPr>
        <w:pStyle w:val="18"/>
        <w:widowControl/>
        <w:jc w:val="center"/>
        <w:outlineLvl w:val="1"/>
        <w:rPr>
          <w:rFonts w:hint="eastAsia" w:ascii="仿宋" w:hAnsi="仿宋" w:eastAsia="仿宋" w:cs="仿宋"/>
          <w:sz w:val="40"/>
          <w:szCs w:val="40"/>
          <w:highlight w:val="none"/>
        </w:rPr>
      </w:pPr>
    </w:p>
    <w:p>
      <w:pPr>
        <w:pStyle w:val="18"/>
        <w:widowControl/>
        <w:jc w:val="center"/>
        <w:outlineLvl w:val="1"/>
        <w:rPr>
          <w:rFonts w:hint="eastAsia" w:ascii="仿宋" w:hAnsi="仿宋" w:eastAsia="仿宋" w:cs="仿宋"/>
          <w:sz w:val="40"/>
          <w:szCs w:val="40"/>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pPr>
        <w:pStyle w:val="18"/>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51"/>
        <w:tblW w:w="9165"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165" w:type="dxa"/>
            <w:tcBorders>
              <w:top w:val="nil"/>
              <w:left w:val="nil"/>
              <w:bottom w:val="single" w:color="000000" w:sz="8" w:space="0"/>
              <w:right w:val="nil"/>
            </w:tcBorders>
            <w:noWrap w:val="0"/>
            <w:vAlign w:val="top"/>
          </w:tcPr>
          <w:p>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65" w:type="dxa"/>
            <w:tcBorders>
              <w:top w:val="single" w:color="000000" w:sz="8" w:space="0"/>
              <w:left w:val="nil"/>
              <w:bottom w:val="single" w:color="000000" w:sz="8" w:space="0"/>
              <w:right w:val="nil"/>
            </w:tcBorders>
            <w:noWrap w:val="0"/>
            <w:vAlign w:val="top"/>
          </w:tcPr>
          <w:p>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PrEx>
        <w:trPr>
          <w:trHeight w:val="647" w:hRule="atLeast"/>
        </w:trPr>
        <w:tc>
          <w:tcPr>
            <w:tcW w:w="9165" w:type="dxa"/>
            <w:tcBorders>
              <w:top w:val="single" w:color="000000" w:sz="8" w:space="0"/>
              <w:left w:val="nil"/>
              <w:bottom w:val="single" w:color="000000" w:sz="8" w:space="0"/>
              <w:right w:val="nil"/>
            </w:tcBorders>
            <w:noWrap w:val="0"/>
            <w:vAlign w:val="top"/>
          </w:tcPr>
          <w:p>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165" w:type="dxa"/>
            <w:tcBorders>
              <w:top w:val="single" w:color="000000" w:sz="8" w:space="0"/>
              <w:left w:val="nil"/>
              <w:bottom w:val="single" w:color="auto" w:sz="8" w:space="0"/>
              <w:right w:val="nil"/>
            </w:tcBorders>
            <w:noWrap w:val="0"/>
            <w:vAlign w:val="top"/>
          </w:tcPr>
          <w:p>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pPr>
        <w:pStyle w:val="18"/>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21"/>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我单位不存在投标保证金（根据采购文件要求提交）不是从我单位基本账户转出的“提供虚假资料”违法行为。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pPr>
              <w:pStyle w:val="18"/>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pPr>
              <w:pStyle w:val="18"/>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pPr>
        <w:pStyle w:val="18"/>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pPr>
        <w:pStyle w:val="18"/>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投标供应商名称（盖公章）：</w:t>
      </w:r>
    </w:p>
    <w:p>
      <w:pPr>
        <w:pStyle w:val="18"/>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u w:val="single"/>
        </w:rPr>
      </w:pPr>
      <w:r>
        <w:rPr>
          <w:rFonts w:hint="eastAsia" w:ascii="仿宋" w:hAnsi="仿宋" w:eastAsia="仿宋" w:cs="仿宋"/>
          <w:b/>
          <w:bCs w:val="0"/>
          <w:kern w:val="2"/>
          <w:sz w:val="21"/>
          <w:szCs w:val="21"/>
          <w:lang w:val="en-US" w:eastAsia="zh-CN" w:bidi="ar"/>
        </w:rPr>
        <w:t>法定代表人（或授权代表）签字：</w:t>
      </w:r>
    </w:p>
    <w:p>
      <w:pPr>
        <w:pStyle w:val="52"/>
        <w:widowControl/>
        <w:ind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日期：   年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 xml:space="preserve">月  </w:t>
      </w:r>
      <w:r>
        <w:rPr>
          <w:rFonts w:hint="eastAsia" w:ascii="仿宋" w:hAnsi="仿宋" w:eastAsia="仿宋" w:cs="仿宋"/>
          <w:b/>
          <w:bCs w:val="0"/>
          <w:kern w:val="2"/>
          <w:sz w:val="21"/>
          <w:szCs w:val="21"/>
          <w:lang w:val="en-US" w:eastAsia="zh-CN"/>
        </w:rPr>
        <w:t xml:space="preserve"> </w:t>
      </w:r>
      <w:r>
        <w:rPr>
          <w:rFonts w:hint="eastAsia" w:ascii="仿宋" w:hAnsi="仿宋" w:eastAsia="仿宋" w:cs="仿宋"/>
          <w:b/>
          <w:bCs w:val="0"/>
          <w:kern w:val="2"/>
          <w:sz w:val="21"/>
          <w:szCs w:val="21"/>
        </w:rPr>
        <w:t>日</w:t>
      </w:r>
    </w:p>
    <w:p>
      <w:pPr>
        <w:pStyle w:val="52"/>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pPr>
        <w:pStyle w:val="52"/>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pPr>
        <w:pStyle w:val="52"/>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1"/>
          <w:szCs w:val="21"/>
        </w:rPr>
        <w:t>注：该确认表用于对供应商违法行为的警示，不作为供应商资格性审查及符合性审查条件</w:t>
      </w:r>
      <w:r>
        <w:rPr>
          <w:rFonts w:hint="eastAsia" w:ascii="仿宋" w:hAnsi="仿宋" w:eastAsia="仿宋" w:cs="仿宋"/>
          <w:b/>
          <w:bCs/>
          <w:color w:val="FF0000"/>
          <w:spacing w:val="-4"/>
          <w:kern w:val="0"/>
          <w:sz w:val="21"/>
          <w:szCs w:val="21"/>
          <w:lang w:eastAsia="zh-CN"/>
        </w:rPr>
        <w:t>。</w:t>
      </w:r>
    </w:p>
    <w:p>
      <w:pPr>
        <w:pStyle w:val="18"/>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21"/>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5"/>
        <w:gridCol w:w="7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pPr>
        <w:pStyle w:val="18"/>
        <w:widowControl/>
        <w:spacing w:before="280" w:beforeAutospacing="0"/>
        <w:jc w:val="both"/>
        <w:outlineLvl w:val="1"/>
        <w:rPr>
          <w:rFonts w:hint="eastAsia" w:ascii="仿宋" w:hAnsi="仿宋" w:eastAsia="仿宋" w:cs="仿宋"/>
          <w:sz w:val="40"/>
          <w:szCs w:val="40"/>
          <w:highlight w:val="none"/>
        </w:rPr>
      </w:pPr>
    </w:p>
    <w:p>
      <w:pPr>
        <w:pStyle w:val="18"/>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pPr>
        <w:pStyle w:val="18"/>
        <w:jc w:val="center"/>
        <w:outlineLvl w:val="1"/>
        <w:rPr>
          <w:rFonts w:hint="eastAsia" w:ascii="仿宋" w:hAnsi="仿宋" w:eastAsia="仿宋" w:cs="仿宋"/>
          <w:sz w:val="40"/>
          <w:szCs w:val="40"/>
          <w:highlight w:val="none"/>
        </w:rPr>
      </w:pPr>
    </w:p>
    <w:p>
      <w:pPr>
        <w:pStyle w:val="18"/>
        <w:jc w:val="center"/>
        <w:outlineLvl w:val="1"/>
        <w:rPr>
          <w:rFonts w:hint="eastAsia" w:ascii="仿宋" w:hAnsi="仿宋" w:eastAsia="仿宋" w:cs="仿宋"/>
          <w:sz w:val="24"/>
          <w:szCs w:val="24"/>
          <w:highlight w:val="none"/>
        </w:rPr>
      </w:pPr>
    </w:p>
    <w:p>
      <w:pPr>
        <w:pStyle w:val="18"/>
        <w:jc w:val="center"/>
        <w:outlineLvl w:val="1"/>
        <w:rPr>
          <w:rFonts w:hint="eastAsia" w:ascii="仿宋" w:hAnsi="仿宋" w:eastAsia="仿宋" w:cs="仿宋"/>
          <w:sz w:val="24"/>
          <w:szCs w:val="24"/>
          <w:highlight w:val="none"/>
        </w:rPr>
      </w:pPr>
    </w:p>
    <w:p>
      <w:pPr>
        <w:pStyle w:val="18"/>
        <w:spacing w:after="1134"/>
        <w:jc w:val="center"/>
        <w:outlineLvl w:val="1"/>
        <w:rPr>
          <w:rFonts w:hint="eastAsia" w:ascii="仿宋" w:hAnsi="仿宋" w:eastAsia="仿宋" w:cs="仿宋"/>
          <w:b/>
          <w:bCs/>
          <w:sz w:val="32"/>
          <w:szCs w:val="32"/>
          <w:highlight w:val="none"/>
        </w:rPr>
      </w:pPr>
    </w:p>
    <w:p>
      <w:pPr>
        <w:pStyle w:val="18"/>
        <w:spacing w:after="1134"/>
        <w:jc w:val="center"/>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21"/>
        <w:tblW w:w="5154" w:type="pct"/>
        <w:jc w:val="center"/>
        <w:tblCellSpacing w:w="0" w:type="dxa"/>
        <w:tblLayout w:type="fixed"/>
        <w:tblCellMar>
          <w:top w:w="45" w:type="dxa"/>
          <w:left w:w="45" w:type="dxa"/>
          <w:bottom w:w="45" w:type="dxa"/>
          <w:right w:w="45" w:type="dxa"/>
        </w:tblCellMar>
      </w:tblPr>
      <w:tblGrid>
        <w:gridCol w:w="32"/>
        <w:gridCol w:w="27"/>
        <w:gridCol w:w="390"/>
        <w:gridCol w:w="450"/>
        <w:gridCol w:w="803"/>
        <w:gridCol w:w="638"/>
        <w:gridCol w:w="3902"/>
        <w:gridCol w:w="144"/>
        <w:gridCol w:w="1920"/>
        <w:gridCol w:w="350"/>
      </w:tblGrid>
      <w:tr>
        <w:tblPrEx>
          <w:tblCellMar>
            <w:top w:w="45" w:type="dxa"/>
            <w:left w:w="45" w:type="dxa"/>
            <w:bottom w:w="45" w:type="dxa"/>
            <w:right w:w="45" w:type="dxa"/>
          </w:tblCellMar>
        </w:tblPrEx>
        <w:trPr>
          <w:gridBefore w:val="1"/>
          <w:gridAfter w:val="2"/>
          <w:wBefore w:w="18" w:type="pct"/>
          <w:wAfter w:w="1311" w:type="pct"/>
          <w:tblCellSpacing w:w="0" w:type="dxa"/>
          <w:jc w:val="center"/>
        </w:trPr>
        <w:tc>
          <w:tcPr>
            <w:tcW w:w="3587" w:type="pct"/>
            <w:gridSpan w:val="6"/>
            <w:tcBorders>
              <w:top w:val="nil"/>
              <w:left w:val="nil"/>
              <w:bottom w:val="nil"/>
              <w:right w:val="nil"/>
            </w:tcBorders>
            <w:vAlign w:val="center"/>
          </w:tcPr>
          <w:p>
            <w:pPr>
              <w:keepNext w:val="0"/>
              <w:keepLines w:val="0"/>
              <w:suppressLineNumbers w:val="0"/>
              <w:spacing w:before="0" w:beforeAutospacing="0" w:after="0" w:afterAutospacing="0"/>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83" w:type="pct"/>
            <w:tcBorders>
              <w:top w:val="nil"/>
              <w:left w:val="nil"/>
              <w:bottom w:val="nil"/>
              <w:right w:val="nil"/>
            </w:tcBorders>
            <w:vAlign w:val="center"/>
          </w:tcPr>
          <w:p>
            <w:pPr>
              <w:keepNext w:val="0"/>
              <w:keepLines w:val="0"/>
              <w:suppressLineNumbers w:val="0"/>
              <w:spacing w:before="0" w:beforeAutospacing="0" w:after="0" w:afterAutospacing="0"/>
              <w:ind w:left="0" w:right="0"/>
              <w:rPr>
                <w:rFonts w:hint="eastAsia" w:ascii="仿宋" w:hAnsi="仿宋" w:eastAsia="仿宋" w:cs="仿宋"/>
                <w:b/>
                <w:bCs/>
                <w:sz w:val="24"/>
                <w:szCs w:val="24"/>
                <w:highlight w:val="none"/>
              </w:rPr>
            </w:pPr>
          </w:p>
        </w:tc>
      </w:tr>
      <w:tr>
        <w:tblPrEx>
          <w:tblCellMar>
            <w:top w:w="45" w:type="dxa"/>
            <w:left w:w="45" w:type="dxa"/>
            <w:bottom w:w="45" w:type="dxa"/>
            <w:right w:w="45" w:type="dxa"/>
          </w:tblCellMar>
        </w:tblPrEx>
        <w:trPr>
          <w:gridBefore w:val="2"/>
          <w:gridAfter w:val="1"/>
          <w:wBefore w:w="34" w:type="pct"/>
          <w:wAfter w:w="202" w:type="pct"/>
          <w:trHeight w:val="90" w:hRule="atLeast"/>
          <w:tblCellSpacing w:w="0" w:type="dxa"/>
          <w:jc w:val="center"/>
        </w:trPr>
        <w:tc>
          <w:tcPr>
            <w:tcW w:w="4763" w:type="pct"/>
            <w:gridSpan w:val="7"/>
            <w:tcBorders>
              <w:top w:val="nil"/>
              <w:left w:val="nil"/>
              <w:bottom w:val="nil"/>
              <w:right w:val="nil"/>
            </w:tcBorders>
            <w:vAlign w:val="center"/>
          </w:tcPr>
          <w:tbl>
            <w:tblPr>
              <w:tblStyle w:val="21"/>
              <w:tblW w:w="5000" w:type="pct"/>
              <w:jc w:val="center"/>
              <w:tblCellSpacing w:w="0" w:type="dxa"/>
              <w:tblLayout w:type="fixed"/>
              <w:tblCellMar>
                <w:top w:w="45" w:type="dxa"/>
                <w:left w:w="45" w:type="dxa"/>
                <w:bottom w:w="45" w:type="dxa"/>
                <w:right w:w="45" w:type="dxa"/>
              </w:tblCellMar>
            </w:tblPr>
            <w:tblGrid>
              <w:gridCol w:w="8157"/>
            </w:tblGrid>
            <w:tr>
              <w:trPr>
                <w:tblCellSpacing w:w="0" w:type="dxa"/>
                <w:jc w:val="center"/>
              </w:trPr>
              <w:tc>
                <w:tcPr>
                  <w:tcW w:w="5000" w:type="pct"/>
                  <w:tcBorders>
                    <w:top w:val="nil"/>
                    <w:left w:val="nil"/>
                    <w:bottom w:val="nil"/>
                    <w:right w:val="nil"/>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bookmarkStart w:id="0" w:name="_Hlk71970739"/>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投标人提供的服务全部均由优惠主体承接，则对其投标总价给予</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%的扣除，用扣除后的价格参与评审。满足多项优惠政策的企业，不重复享受多项价格扣除政策。</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b</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优惠主体承接是指提供服务的人员为中小企业依照《中华人民共和国劳动合同法》订立劳动合同的从业人员。</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号）、《金融业企业划型标准规定》（银发〔2015〕309号）或国务院批准的其他中小企业划分标准文件，本项目采购标的（服务需求）对应的中小企业划分标准所属行业为</w:t>
                  </w:r>
                  <w:r>
                    <w:rPr>
                      <w:rFonts w:hint="eastAsia" w:ascii="仿宋" w:hAnsi="仿宋" w:eastAsia="仿宋" w:cs="仿宋"/>
                      <w:kern w:val="0"/>
                      <w:szCs w:val="24"/>
                      <w:u w:val="single"/>
                    </w:rPr>
                    <w:t>软件和信息技术服务业</w:t>
                  </w:r>
                  <w:r>
                    <w:rPr>
                      <w:rFonts w:hint="eastAsia" w:ascii="仿宋" w:hAnsi="仿宋" w:eastAsia="仿宋" w:cs="仿宋"/>
                      <w:color w:val="auto"/>
                      <w:kern w:val="0"/>
                      <w:sz w:val="24"/>
                      <w:szCs w:val="24"/>
                      <w:highlight w:val="none"/>
                      <w:u w:val="single"/>
                      <w:lang w:val="en-US" w:eastAsia="zh-CN"/>
                    </w:rPr>
                    <w:t>。</w:t>
                  </w:r>
                  <w:bookmarkEnd w:id="0"/>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pPr>
                    <w:pStyle w:val="18"/>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259" w:type="pct"/>
            <w:gridSpan w:val="3"/>
            <w:tcBorders>
              <w:top w:val="single" w:color="auto" w:sz="4" w:space="0"/>
              <w:left w:val="single" w:color="auto" w:sz="4" w:space="0"/>
              <w:bottom w:val="single" w:color="auto" w:sz="4" w:space="0"/>
              <w:right w:val="single" w:color="auto" w:sz="4" w:space="0"/>
            </w:tcBorders>
            <w:vAlign w:val="center"/>
          </w:tcPr>
          <w:p>
            <w:pPr>
              <w:pStyle w:val="9"/>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09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64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259" w:type="pct"/>
            <w:gridSpan w:val="3"/>
            <w:tcBorders>
              <w:top w:val="single" w:color="auto" w:sz="4" w:space="0"/>
              <w:left w:val="single" w:color="auto" w:sz="4" w:space="0"/>
              <w:bottom w:val="single" w:color="auto" w:sz="4" w:space="0"/>
              <w:right w:val="single" w:color="auto" w:sz="4" w:space="0"/>
            </w:tcBorders>
            <w:vAlign w:val="center"/>
          </w:tcPr>
          <w:p>
            <w:pPr>
              <w:pStyle w:val="9"/>
              <w:keepNext w:val="0"/>
              <w:keepLines w:val="0"/>
              <w:suppressLineNumbers w:val="0"/>
              <w:spacing w:before="0" w:beforeAutospacing="0" w:after="0" w:afterAutospacing="0"/>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09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64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259" w:type="pct"/>
            <w:gridSpan w:val="3"/>
            <w:vMerge w:val="restart"/>
            <w:tcBorders>
              <w:top w:val="single" w:color="auto" w:sz="4" w:space="0"/>
              <w:left w:val="single" w:color="auto" w:sz="4" w:space="0"/>
              <w:right w:val="single" w:color="auto" w:sz="4" w:space="0"/>
            </w:tcBorders>
            <w:vAlign w:val="center"/>
          </w:tcPr>
          <w:p>
            <w:pPr>
              <w:pStyle w:val="9"/>
              <w:keepNext w:val="0"/>
              <w:keepLines w:val="0"/>
              <w:suppressLineNumbers w:val="0"/>
              <w:spacing w:before="0" w:beforeAutospacing="0" w:after="0" w:afterAutospacing="0"/>
              <w:ind w:left="0" w:right="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09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64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59" w:type="pct"/>
            <w:gridSpan w:val="3"/>
            <w:vMerge w:val="continue"/>
            <w:tcBorders>
              <w:left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3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64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val="0"/>
              <w:overflowPunct/>
              <w:topLinePunct w:val="0"/>
              <w:autoSpaceDE/>
              <w:autoSpaceDN/>
              <w:bidi w:val="0"/>
              <w:snapToGrid/>
              <w:spacing w:before="0" w:beforeAutospacing="0" w:after="0" w:afterAutospacing="0" w:line="36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59" w:type="pct"/>
            <w:gridSpan w:val="3"/>
            <w:vMerge w:val="continue"/>
            <w:tcBorders>
              <w:left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380" w:lineRule="exact"/>
              <w:ind w:left="0" w:right="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技术要求偏离情况</w:t>
            </w:r>
          </w:p>
        </w:tc>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35</w:t>
            </w:r>
          </w:p>
        </w:tc>
        <w:tc>
          <w:tcPr>
            <w:tcW w:w="364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pacing w:before="0" w:beforeAutospacing="0" w:after="0" w:afterAutospacing="0" w:line="320" w:lineRule="exact"/>
              <w:ind w:left="0" w:right="0"/>
              <w:rPr>
                <w:rFonts w:hint="default" w:ascii="仿宋" w:hAnsi="仿宋" w:eastAsia="仿宋" w:cs="仿宋"/>
                <w:b/>
                <w:bCs/>
                <w:color w:val="000000"/>
                <w:szCs w:val="24"/>
                <w:highlight w:val="none"/>
              </w:rPr>
            </w:pPr>
            <w:r>
              <w:rPr>
                <w:rFonts w:hint="eastAsia" w:ascii="仿宋" w:hAnsi="仿宋" w:eastAsia="仿宋" w:cs="仿宋"/>
                <w:b/>
                <w:bCs/>
                <w:color w:val="000000"/>
                <w:szCs w:val="24"/>
                <w:highlight w:val="none"/>
              </w:rPr>
              <w:t>（一）评分内容：</w:t>
            </w:r>
          </w:p>
          <w:p>
            <w:pPr>
              <w:keepNext w:val="0"/>
              <w:keepLines w:val="0"/>
              <w:suppressLineNumbers w:val="0"/>
              <w:adjustRightInd w:val="0"/>
              <w:snapToGrid w:val="0"/>
              <w:spacing w:before="0" w:beforeAutospacing="0" w:after="0" w:afterAutospacing="0" w:line="380" w:lineRule="exact"/>
              <w:ind w:left="0" w:right="0"/>
              <w:jc w:val="left"/>
              <w:rPr>
                <w:rFonts w:hint="default"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以投标文件《技术条款偏离表》中的响应情况为评分依据，完全符合招标要求的，得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35</w:t>
            </w:r>
            <w:r>
              <w:rPr>
                <w:rFonts w:hint="eastAsia" w:ascii="仿宋" w:hAnsi="仿宋" w:eastAsia="仿宋" w:cs="仿宋"/>
                <w:color w:val="000000" w:themeColor="text1"/>
                <w:sz w:val="24"/>
                <w:szCs w:val="24"/>
                <w:highlight w:val="none"/>
                <w14:textFill>
                  <w14:solidFill>
                    <w14:schemeClr w14:val="tx1"/>
                  </w14:solidFill>
                </w14:textFill>
              </w:rPr>
              <w:t>分，有一项▲号参数负偏离的扣</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分。对</w:t>
            </w:r>
            <w:r>
              <w:rPr>
                <w:rFonts w:hint="eastAsia" w:ascii="仿宋" w:hAnsi="仿宋" w:eastAsia="仿宋" w:cs="仿宋"/>
                <w:color w:val="000000" w:themeColor="text1"/>
                <w:sz w:val="24"/>
                <w:szCs w:val="24"/>
                <w:highlight w:val="none"/>
                <w:lang w:eastAsia="zh-C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一般参数条款响应为负偏离的，一项扣</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0.43</w:t>
            </w:r>
            <w:r>
              <w:rPr>
                <w:rFonts w:hint="eastAsia" w:ascii="仿宋" w:hAnsi="仿宋" w:eastAsia="仿宋" w:cs="仿宋"/>
                <w:color w:val="000000" w:themeColor="text1"/>
                <w:sz w:val="24"/>
                <w:szCs w:val="24"/>
                <w:highlight w:val="none"/>
                <w14:textFill>
                  <w14:solidFill>
                    <w14:schemeClr w14:val="tx1"/>
                  </w14:solidFill>
                </w14:textFill>
              </w:rPr>
              <w:t>分，扣完为止。</w:t>
            </w:r>
          </w:p>
          <w:p>
            <w:pPr>
              <w:pStyle w:val="18"/>
              <w:keepNext w:val="0"/>
              <w:keepLines w:val="0"/>
              <w:widowControl/>
              <w:suppressLineNumbers w:val="0"/>
              <w:spacing w:before="0" w:beforeAutospacing="0" w:after="0" w:afterAutospacing="0" w:line="320" w:lineRule="exact"/>
              <w:ind w:left="0" w:right="0"/>
              <w:rPr>
                <w:rFonts w:hint="default" w:ascii="仿宋" w:hAnsi="仿宋" w:eastAsia="仿宋" w:cs="仿宋"/>
                <w:b/>
                <w:bCs/>
                <w:color w:val="000000"/>
                <w:szCs w:val="24"/>
                <w:highlight w:val="none"/>
              </w:rPr>
            </w:pPr>
            <w:r>
              <w:rPr>
                <w:rFonts w:hint="eastAsia" w:ascii="仿宋" w:hAnsi="仿宋" w:eastAsia="仿宋" w:cs="仿宋"/>
                <w:b/>
                <w:bCs/>
                <w:color w:val="000000"/>
                <w:szCs w:val="24"/>
                <w:highlight w:val="none"/>
              </w:rPr>
              <w:t>（二）评分依据：</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《技术条款偏离表》</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备注：</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zh-CN"/>
              </w:rPr>
              <w:t>“▲”号参数响应时</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lang w:val="zh-CN"/>
              </w:rPr>
              <w:t>需提供功能演示，未演示的视为负偏离</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val="zh-CN"/>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zh-CN"/>
              </w:rPr>
              <w:t>现场演示讲解人须为本项目负责人或</w:t>
            </w:r>
            <w:r>
              <w:rPr>
                <w:rFonts w:hint="eastAsia" w:ascii="仿宋" w:hAnsi="仿宋" w:eastAsia="仿宋" w:cs="仿宋"/>
                <w:sz w:val="24"/>
                <w:szCs w:val="24"/>
                <w:highlight w:val="none"/>
                <w:lang w:val="en-US" w:eastAsia="zh-CN"/>
              </w:rPr>
              <w:t>团队</w:t>
            </w:r>
            <w:r>
              <w:rPr>
                <w:rFonts w:hint="eastAsia" w:ascii="仿宋" w:hAnsi="仿宋" w:eastAsia="仿宋" w:cs="仿宋"/>
                <w:sz w:val="24"/>
                <w:szCs w:val="24"/>
                <w:highlight w:val="none"/>
                <w:lang w:val="zh-CN"/>
              </w:rPr>
              <w:t>成员</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en-US" w:eastAsia="zh-CN"/>
              </w:rPr>
              <w:t>与投标文件中的人员保持一致</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zh-CN"/>
              </w:rPr>
              <w:t>，了解产品性能。演示时须提供演示讲解人身份证原件（原件请随身携带，在讲解时提供评审委员会核对检验后退还）。每</w:t>
            </w:r>
            <w:r>
              <w:rPr>
                <w:rFonts w:hint="eastAsia" w:ascii="仿宋" w:hAnsi="仿宋" w:eastAsia="仿宋" w:cs="仿宋"/>
                <w:sz w:val="24"/>
                <w:szCs w:val="24"/>
                <w:highlight w:val="none"/>
                <w:lang w:val="en-US" w:eastAsia="zh-CN"/>
              </w:rPr>
              <w:t>家</w:t>
            </w:r>
            <w:r>
              <w:rPr>
                <w:rFonts w:hint="eastAsia" w:ascii="仿宋" w:hAnsi="仿宋" w:eastAsia="仿宋" w:cs="仿宋"/>
                <w:sz w:val="24"/>
                <w:szCs w:val="24"/>
                <w:highlight w:val="none"/>
                <w:lang w:val="zh-CN"/>
              </w:rPr>
              <w:t>投标人现场讲解时间应控制在10分钟内，请各供应商自行备好演示电脑及系统等相关的工具或物品。每</w:t>
            </w:r>
            <w:r>
              <w:rPr>
                <w:rFonts w:hint="eastAsia" w:ascii="仿宋" w:hAnsi="仿宋" w:eastAsia="仿宋" w:cs="仿宋"/>
                <w:sz w:val="24"/>
                <w:szCs w:val="24"/>
                <w:highlight w:val="none"/>
                <w:lang w:val="en-US" w:eastAsia="zh-CN"/>
              </w:rPr>
              <w:t>家</w:t>
            </w:r>
            <w:r>
              <w:rPr>
                <w:rFonts w:hint="eastAsia" w:ascii="仿宋" w:hAnsi="仿宋" w:eastAsia="仿宋" w:cs="仿宋"/>
                <w:sz w:val="24"/>
                <w:szCs w:val="24"/>
                <w:highlight w:val="none"/>
                <w:lang w:val="zh-CN"/>
              </w:rPr>
              <w:t>投标人参</w:t>
            </w:r>
            <w:r>
              <w:rPr>
                <w:rFonts w:hint="eastAsia" w:ascii="仿宋" w:hAnsi="仿宋" w:eastAsia="仿宋" w:cs="仿宋"/>
                <w:sz w:val="24"/>
                <w:szCs w:val="24"/>
                <w:highlight w:val="none"/>
                <w:lang w:val="en-US" w:eastAsia="zh-CN"/>
              </w:rPr>
              <w:t>与</w:t>
            </w:r>
            <w:r>
              <w:rPr>
                <w:rFonts w:hint="eastAsia" w:ascii="仿宋" w:hAnsi="仿宋" w:eastAsia="仿宋" w:cs="仿宋"/>
                <w:sz w:val="24"/>
                <w:szCs w:val="24"/>
                <w:highlight w:val="none"/>
                <w:lang w:val="zh-CN"/>
              </w:rPr>
              <w:t>演示讲解人数不超过2人</w:t>
            </w:r>
            <w:r>
              <w:rPr>
                <w:rFonts w:hint="eastAsia" w:ascii="仿宋" w:hAnsi="仿宋" w:eastAsia="仿宋" w:cs="仿宋"/>
                <w:sz w:val="24"/>
                <w:szCs w:val="24"/>
                <w:highlight w:val="none"/>
                <w:lang w:val="zh-CN" w:eastAsia="zh-CN"/>
              </w:rPr>
              <w:t>，按</w:t>
            </w:r>
            <w:r>
              <w:rPr>
                <w:rFonts w:hint="eastAsia" w:ascii="仿宋" w:hAnsi="仿宋" w:eastAsia="仿宋" w:cs="仿宋"/>
                <w:sz w:val="24"/>
                <w:szCs w:val="24"/>
                <w:highlight w:val="none"/>
                <w:lang w:val="en-US" w:eastAsia="zh-CN"/>
              </w:rPr>
              <w:t>开标当天的</w:t>
            </w:r>
            <w:r>
              <w:rPr>
                <w:rFonts w:hint="eastAsia" w:ascii="仿宋" w:hAnsi="仿宋" w:eastAsia="仿宋" w:cs="仿宋"/>
                <w:sz w:val="24"/>
                <w:szCs w:val="24"/>
                <w:highlight w:val="none"/>
                <w:lang w:val="zh-CN" w:eastAsia="zh-CN"/>
              </w:rPr>
              <w:t>签到顺序</w:t>
            </w:r>
            <w:r>
              <w:rPr>
                <w:rFonts w:hint="eastAsia" w:ascii="仿宋" w:hAnsi="仿宋" w:eastAsia="仿宋" w:cs="仿宋"/>
                <w:sz w:val="24"/>
                <w:szCs w:val="24"/>
                <w:highlight w:val="none"/>
                <w:lang w:val="en-US" w:eastAsia="zh-CN"/>
              </w:rPr>
              <w:t>进行演示</w:t>
            </w:r>
            <w:r>
              <w:rPr>
                <w:rFonts w:hint="eastAsia" w:ascii="仿宋" w:hAnsi="仿宋" w:eastAsia="仿宋" w:cs="仿宋"/>
                <w:sz w:val="24"/>
                <w:szCs w:val="24"/>
                <w:highlight w:val="none"/>
                <w:lang w:val="zh-CN"/>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z w:val="24"/>
                <w:szCs w:val="24"/>
                <w:highlight w:val="none"/>
                <w:lang w:val="zh-CN"/>
              </w:rPr>
              <w:t>3</w:t>
            </w:r>
            <w:r>
              <w:rPr>
                <w:rFonts w:hint="eastAsia" w:ascii="仿宋" w:hAnsi="仿宋" w:eastAsia="仿宋" w:cs="仿宋"/>
                <w:sz w:val="24"/>
                <w:szCs w:val="24"/>
                <w:highlight w:val="none"/>
                <w:lang w:val="zh-CN" w:eastAsia="zh-CN"/>
              </w:rPr>
              <w:t>、</w:t>
            </w:r>
            <w:r>
              <w:rPr>
                <w:rFonts w:hint="eastAsia" w:ascii="仿宋" w:hAnsi="仿宋" w:eastAsia="仿宋" w:cs="仿宋"/>
                <w:sz w:val="24"/>
                <w:szCs w:val="24"/>
                <w:highlight w:val="none"/>
                <w:lang w:val="zh-CN"/>
              </w:rPr>
              <w:t>投标人参与演示环节</w:t>
            </w:r>
            <w:r>
              <w:rPr>
                <w:rFonts w:hint="eastAsia" w:ascii="仿宋" w:hAnsi="仿宋" w:eastAsia="仿宋" w:cs="仿宋"/>
                <w:sz w:val="24"/>
                <w:szCs w:val="24"/>
                <w:highlight w:val="none"/>
                <w:lang w:val="en-US" w:eastAsia="zh-CN"/>
              </w:rPr>
              <w:t>时</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相关功能</w:t>
            </w:r>
            <w:r>
              <w:rPr>
                <w:rFonts w:hint="eastAsia" w:ascii="仿宋" w:hAnsi="仿宋" w:eastAsia="仿宋" w:cs="仿宋"/>
                <w:sz w:val="24"/>
                <w:szCs w:val="24"/>
                <w:highlight w:val="none"/>
                <w:lang w:val="zh-CN"/>
              </w:rPr>
              <w:t>未提供演示或演示系统无法正常演示或演示</w:t>
            </w:r>
            <w:r>
              <w:rPr>
                <w:rFonts w:hint="eastAsia" w:ascii="仿宋" w:hAnsi="仿宋" w:eastAsia="仿宋" w:cs="仿宋"/>
                <w:sz w:val="24"/>
                <w:szCs w:val="24"/>
                <w:highlight w:val="none"/>
                <w:lang w:val="en-US" w:eastAsia="zh-CN"/>
              </w:rPr>
              <w:t>内容</w:t>
            </w:r>
            <w:r>
              <w:rPr>
                <w:rFonts w:hint="eastAsia" w:ascii="仿宋" w:hAnsi="仿宋" w:eastAsia="仿宋" w:cs="仿宋"/>
                <w:sz w:val="24"/>
                <w:szCs w:val="24"/>
                <w:highlight w:val="none"/>
                <w:lang w:val="zh-CN"/>
              </w:rPr>
              <w:t>不符合</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lang w:val="zh-CN"/>
              </w:rPr>
              <w:t>要求的，评审委员</w:t>
            </w:r>
            <w:r>
              <w:rPr>
                <w:rFonts w:hint="eastAsia" w:ascii="仿宋" w:hAnsi="仿宋" w:eastAsia="仿宋" w:cs="仿宋"/>
                <w:sz w:val="24"/>
                <w:szCs w:val="24"/>
                <w:highlight w:val="none"/>
                <w:lang w:val="en-US" w:eastAsia="zh-CN"/>
              </w:rPr>
              <w:t>会</w:t>
            </w:r>
            <w:r>
              <w:rPr>
                <w:rFonts w:hint="eastAsia" w:ascii="仿宋" w:hAnsi="仿宋" w:eastAsia="仿宋" w:cs="仿宋"/>
                <w:sz w:val="24"/>
                <w:szCs w:val="24"/>
                <w:highlight w:val="none"/>
                <w:lang w:val="zh-CN"/>
              </w:rPr>
              <w:t>可视为负偏离扣分</w:t>
            </w:r>
            <w:r>
              <w:rPr>
                <w:rFonts w:hint="eastAsia" w:ascii="仿宋" w:hAnsi="仿宋" w:eastAsia="仿宋" w:cs="仿宋"/>
                <w:sz w:val="24"/>
                <w:szCs w:val="24"/>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59" w:type="pct"/>
            <w:gridSpan w:val="3"/>
            <w:vMerge w:val="continue"/>
            <w:tcBorders>
              <w:left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方案</w:t>
            </w:r>
          </w:p>
        </w:tc>
        <w:tc>
          <w:tcPr>
            <w:tcW w:w="3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w:t>
            </w:r>
          </w:p>
        </w:tc>
        <w:tc>
          <w:tcPr>
            <w:tcW w:w="364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
              </w:numPr>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评分内容：</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投标人</w:t>
            </w:r>
            <w:r>
              <w:rPr>
                <w:rFonts w:hint="eastAsia" w:ascii="仿宋" w:hAnsi="仿宋" w:eastAsia="仿宋" w:cs="仿宋"/>
                <w:sz w:val="24"/>
                <w:szCs w:val="24"/>
                <w:highlight w:val="none"/>
              </w:rPr>
              <w:t>针对本项目的需求制定</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方案</w:t>
            </w:r>
            <w:r>
              <w:rPr>
                <w:rFonts w:hint="eastAsia" w:ascii="仿宋" w:hAnsi="仿宋" w:eastAsia="仿宋" w:cs="仿宋"/>
                <w:sz w:val="24"/>
                <w:szCs w:val="24"/>
                <w:highlight w:val="none"/>
                <w:lang w:eastAsia="zh-CN"/>
              </w:rPr>
              <w:t>，内容包括但不限于：</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设计方案；</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实施方案。</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bCs/>
                <w:color w:val="000000" w:themeColor="text1"/>
                <w:sz w:val="24"/>
                <w:szCs w:val="24"/>
                <w:highlight w:val="none"/>
                <w14:textFill>
                  <w14:solidFill>
                    <w14:schemeClr w14:val="tx1"/>
                  </w14:solidFill>
                </w14:textFill>
              </w:rPr>
              <w:t>）评分依据：</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提供上述一项内容的得</w:t>
            </w:r>
            <w:r>
              <w:rPr>
                <w:rFonts w:hint="eastAsia" w:ascii="仿宋" w:hAnsi="仿宋" w:eastAsia="仿宋" w:cs="仿宋"/>
                <w:color w:val="000000"/>
                <w:sz w:val="24"/>
                <w:szCs w:val="24"/>
                <w:highlight w:val="none"/>
                <w:lang w:val="en-US" w:eastAsia="zh-CN"/>
              </w:rPr>
              <w:t>2.5</w:t>
            </w:r>
            <w:r>
              <w:rPr>
                <w:rFonts w:hint="eastAsia" w:ascii="仿宋" w:hAnsi="仿宋" w:eastAsia="仿宋" w:cs="仿宋"/>
                <w:color w:val="000000"/>
                <w:sz w:val="24"/>
                <w:szCs w:val="24"/>
                <w:highlight w:val="none"/>
                <w:lang w:val="zh-CN"/>
              </w:rPr>
              <w:t>分，最高</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zh-CN"/>
              </w:rPr>
              <w:t>分，其他不得分。</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2.在此基础上，专家根据供应商的具体响应内容按照量化的评审因素指标进一步评审</w:t>
            </w:r>
            <w:r>
              <w:rPr>
                <w:rFonts w:hint="eastAsia" w:ascii="仿宋" w:hAnsi="仿宋" w:eastAsia="仿宋" w:cs="仿宋"/>
                <w:color w:val="000000"/>
                <w:sz w:val="24"/>
                <w:szCs w:val="24"/>
                <w:highlight w:val="none"/>
              </w:rPr>
              <w:t>：</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方案整体科学合理、针对性强、可操作性强，评审为优</w:t>
            </w:r>
            <w:r>
              <w:rPr>
                <w:rFonts w:hint="eastAsia" w:ascii="仿宋" w:hAnsi="仿宋" w:eastAsia="仿宋" w:cs="仿宋"/>
                <w:color w:val="000000"/>
                <w:sz w:val="24"/>
                <w:szCs w:val="24"/>
                <w:highlight w:val="none"/>
                <w:lang w:val="en-US" w:eastAsia="zh-CN"/>
              </w:rPr>
              <w:t>加3</w:t>
            </w:r>
            <w:r>
              <w:rPr>
                <w:rFonts w:hint="eastAsia" w:ascii="仿宋" w:hAnsi="仿宋" w:eastAsia="仿宋" w:cs="仿宋"/>
                <w:color w:val="000000"/>
                <w:sz w:val="24"/>
                <w:szCs w:val="24"/>
                <w:highlight w:val="none"/>
              </w:rPr>
              <w:t>分；</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方案较合理、有一定针对性、一定可操作性，评审为良</w:t>
            </w:r>
            <w:r>
              <w:rPr>
                <w:rFonts w:hint="eastAsia" w:ascii="仿宋" w:hAnsi="仿宋" w:eastAsia="仿宋" w:cs="仿宋"/>
                <w:color w:val="000000"/>
                <w:sz w:val="24"/>
                <w:szCs w:val="24"/>
                <w:highlight w:val="none"/>
                <w:lang w:val="en-US" w:eastAsia="zh-CN"/>
              </w:rPr>
              <w:t>加2</w:t>
            </w:r>
            <w:r>
              <w:rPr>
                <w:rFonts w:hint="eastAsia" w:ascii="仿宋" w:hAnsi="仿宋" w:eastAsia="仿宋" w:cs="仿宋"/>
                <w:color w:val="000000"/>
                <w:sz w:val="24"/>
                <w:szCs w:val="24"/>
                <w:highlight w:val="none"/>
              </w:rPr>
              <w:t>分；</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方案较一般、针对性一般、可操作性一般，评审为中</w:t>
            </w:r>
            <w:r>
              <w:rPr>
                <w:rFonts w:hint="eastAsia" w:ascii="仿宋" w:hAnsi="仿宋" w:eastAsia="仿宋" w:cs="仿宋"/>
                <w:color w:val="000000"/>
                <w:sz w:val="24"/>
                <w:szCs w:val="24"/>
                <w:highlight w:val="none"/>
                <w:lang w:val="en-US" w:eastAsia="zh-CN"/>
              </w:rPr>
              <w:t>加1</w:t>
            </w:r>
            <w:r>
              <w:rPr>
                <w:rFonts w:hint="eastAsia" w:ascii="仿宋" w:hAnsi="仿宋" w:eastAsia="仿宋" w:cs="仿宋"/>
                <w:color w:val="000000"/>
                <w:sz w:val="24"/>
                <w:szCs w:val="24"/>
                <w:highlight w:val="none"/>
              </w:rPr>
              <w:t>分；</w:t>
            </w:r>
          </w:p>
          <w:p>
            <w:pPr>
              <w:keepNext w:val="0"/>
              <w:keepLines w:val="0"/>
              <w:suppressLineNumbers w:val="0"/>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方案较差、</w:t>
            </w:r>
            <w:r>
              <w:rPr>
                <w:rFonts w:hint="eastAsia" w:ascii="仿宋" w:hAnsi="仿宋" w:eastAsia="仿宋" w:cs="仿宋"/>
                <w:color w:val="000000"/>
                <w:sz w:val="24"/>
                <w:szCs w:val="24"/>
                <w:highlight w:val="none"/>
                <w:lang w:val="en-US" w:eastAsia="zh-CN"/>
              </w:rPr>
              <w:t>无</w:t>
            </w:r>
            <w:r>
              <w:rPr>
                <w:rFonts w:hint="eastAsia" w:ascii="仿宋" w:hAnsi="仿宋" w:eastAsia="仿宋" w:cs="仿宋"/>
                <w:color w:val="000000"/>
                <w:sz w:val="24"/>
                <w:szCs w:val="24"/>
                <w:highlight w:val="none"/>
              </w:rPr>
              <w:t>针对性、无可操作性，评审为差</w:t>
            </w:r>
            <w:r>
              <w:rPr>
                <w:rFonts w:hint="eastAsia" w:ascii="仿宋" w:hAnsi="仿宋" w:eastAsia="仿宋" w:cs="仿宋"/>
                <w:color w:val="000000"/>
                <w:sz w:val="24"/>
                <w:szCs w:val="24"/>
                <w:highlight w:val="none"/>
                <w:lang w:val="en-US" w:eastAsia="zh-CN"/>
              </w:rPr>
              <w:t>不加</w:t>
            </w:r>
            <w:r>
              <w:rPr>
                <w:rFonts w:hint="eastAsia" w:ascii="仿宋" w:hAnsi="仿宋" w:eastAsia="仿宋" w:cs="仿宋"/>
                <w:color w:val="000000"/>
                <w:sz w:val="24"/>
                <w:szCs w:val="24"/>
                <w:highlight w:val="none"/>
              </w:rPr>
              <w:t>分。</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CellSpacing w:w="0" w:type="dxa"/>
          <w:jc w:val="center"/>
        </w:trPr>
        <w:tc>
          <w:tcPr>
            <w:tcW w:w="259" w:type="pct"/>
            <w:gridSpan w:val="3"/>
            <w:vMerge w:val="continue"/>
            <w:tcBorders>
              <w:left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项目重点难点分析、应对措施及相关的合理化建议</w:t>
            </w:r>
          </w:p>
        </w:tc>
        <w:tc>
          <w:tcPr>
            <w:tcW w:w="3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364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投标人</w:t>
            </w:r>
            <w:r>
              <w:rPr>
                <w:rFonts w:hint="eastAsia" w:ascii="仿宋" w:hAnsi="仿宋" w:eastAsia="仿宋" w:cs="仿宋"/>
                <w:sz w:val="24"/>
                <w:szCs w:val="24"/>
                <w:highlight w:val="none"/>
              </w:rPr>
              <w:t>针对本项目的需求制定</w:t>
            </w:r>
            <w:r>
              <w:rPr>
                <w:rFonts w:hint="eastAsia" w:ascii="仿宋" w:hAnsi="仿宋" w:eastAsia="仿宋" w:cs="仿宋"/>
                <w:sz w:val="24"/>
                <w:szCs w:val="24"/>
                <w:highlight w:val="none"/>
                <w:lang w:val="zh-CN"/>
              </w:rPr>
              <w:t>项目重点难点分析、应对措施及相关的合理化建议，</w:t>
            </w:r>
            <w:r>
              <w:rPr>
                <w:rFonts w:hint="eastAsia" w:ascii="仿宋" w:hAnsi="仿宋" w:eastAsia="仿宋" w:cs="仿宋"/>
                <w:sz w:val="24"/>
                <w:szCs w:val="24"/>
                <w:highlight w:val="none"/>
                <w:lang w:eastAsia="zh-CN"/>
              </w:rPr>
              <w:t>内容包括但不限于：</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1.项目重点难点分析；</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2.应对措施</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lang w:val="zh-CN"/>
              </w:rPr>
              <w:t>相关的合理化建议。</w:t>
            </w:r>
          </w:p>
          <w:p>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）评分依据：</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提供上述一项内容的得</w:t>
            </w: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zh-CN"/>
              </w:rPr>
              <w:t>分，最高</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zh-CN"/>
              </w:rPr>
              <w:t>分，其他不得分。</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kern w:val="0"/>
                <w:sz w:val="24"/>
                <w:szCs w:val="24"/>
                <w:highlight w:val="none"/>
                <w:lang w:val="en-US" w:eastAsia="zh-CN"/>
              </w:rPr>
              <w:t>2.</w:t>
            </w:r>
            <w:r>
              <w:rPr>
                <w:rFonts w:hint="eastAsia" w:ascii="仿宋" w:hAnsi="仿宋" w:eastAsia="仿宋" w:cs="仿宋"/>
                <w:color w:val="000000"/>
                <w:sz w:val="24"/>
                <w:szCs w:val="24"/>
                <w:highlight w:val="none"/>
                <w:lang w:val="en-US" w:eastAsia="zh-CN"/>
              </w:rPr>
              <w:t>在此基础上，专家根据供应商的具体响应内容按照量化的评审因素指标进一步评审</w:t>
            </w:r>
            <w:r>
              <w:rPr>
                <w:rFonts w:hint="eastAsia" w:ascii="仿宋" w:hAnsi="仿宋" w:eastAsia="仿宋" w:cs="仿宋"/>
                <w:sz w:val="24"/>
                <w:szCs w:val="24"/>
                <w:highlight w:val="none"/>
                <w:lang w:val="zh-CN"/>
              </w:rPr>
              <w:t>：</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方案符合实际、完整、规范、思路清晰，内容合理性强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评价为优</w:t>
            </w:r>
            <w:r>
              <w:rPr>
                <w:rFonts w:hint="eastAsia" w:ascii="仿宋" w:hAnsi="仿宋" w:eastAsia="仿宋" w:cs="仿宋"/>
                <w:sz w:val="24"/>
                <w:szCs w:val="24"/>
                <w:highlight w:val="none"/>
                <w:lang w:val="en-US" w:eastAsia="zh-CN"/>
              </w:rPr>
              <w:t>加3</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方案较符合实际、较完整规范、思路较清晰，内容合理性较强。评价为良</w:t>
            </w:r>
            <w:r>
              <w:rPr>
                <w:rFonts w:hint="eastAsia" w:ascii="仿宋" w:hAnsi="仿宋" w:eastAsia="仿宋" w:cs="仿宋"/>
                <w:sz w:val="24"/>
                <w:szCs w:val="24"/>
                <w:highlight w:val="none"/>
                <w:lang w:val="en-US" w:eastAsia="zh-CN"/>
              </w:rPr>
              <w:t>加2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方案较普通、完整性规范性一般，思路不够清晰，内容合理性一般。评价为中</w:t>
            </w:r>
            <w:r>
              <w:rPr>
                <w:rFonts w:hint="eastAsia" w:ascii="仿宋" w:hAnsi="仿宋" w:eastAsia="仿宋" w:cs="仿宋"/>
                <w:sz w:val="24"/>
                <w:szCs w:val="24"/>
                <w:highlight w:val="none"/>
                <w:lang w:val="en-US" w:eastAsia="zh-CN"/>
              </w:rPr>
              <w:t>加1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suppressLineNumbers w:val="0"/>
              <w:wordWrap w:val="0"/>
              <w:adjustRightInd w:val="0"/>
              <w:snapToGrid w:val="0"/>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方案不完整、不规范，思路不清晰，内容合理性较差或未提供。评价为差</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不</w:t>
            </w:r>
            <w:r>
              <w:rPr>
                <w:rFonts w:hint="eastAsia" w:ascii="仿宋" w:hAnsi="仿宋" w:eastAsia="仿宋" w:cs="仿宋"/>
                <w:sz w:val="24"/>
                <w:szCs w:val="24"/>
                <w:highlight w:val="none"/>
                <w:lang w:val="en-US" w:eastAsia="zh-CN"/>
              </w:rPr>
              <w:t>加</w:t>
            </w:r>
            <w:r>
              <w:rPr>
                <w:rFonts w:hint="eastAsia" w:ascii="仿宋" w:hAnsi="仿宋" w:eastAsia="仿宋" w:cs="仿宋"/>
                <w:sz w:val="24"/>
                <w:szCs w:val="24"/>
                <w:highlight w:val="none"/>
              </w:rPr>
              <w:t>分。</w:t>
            </w:r>
          </w:p>
          <w:p>
            <w:pPr>
              <w:pStyle w:val="8"/>
              <w:keepNext w:val="0"/>
              <w:keepLines w:val="0"/>
              <w:suppressLineNumbers w:val="0"/>
              <w:spacing w:before="0" w:beforeAutospacing="0" w:after="0" w:afterAutospacing="0"/>
              <w:ind w:left="0" w:right="0"/>
              <w:rPr>
                <w:rFonts w:hint="eastAsia"/>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CellSpacing w:w="0" w:type="dxa"/>
          <w:jc w:val="center"/>
        </w:trPr>
        <w:tc>
          <w:tcPr>
            <w:tcW w:w="259" w:type="pct"/>
            <w:gridSpan w:val="3"/>
            <w:vMerge w:val="continue"/>
            <w:tcBorders>
              <w:left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售后服务</w:t>
            </w:r>
            <w:r>
              <w:rPr>
                <w:rFonts w:hint="eastAsia" w:ascii="仿宋" w:hAnsi="仿宋" w:eastAsia="仿宋" w:cs="仿宋"/>
                <w:sz w:val="24"/>
                <w:szCs w:val="24"/>
                <w:highlight w:val="none"/>
                <w:lang w:val="en-US" w:eastAsia="zh-CN"/>
              </w:rPr>
              <w:t>方案</w:t>
            </w:r>
          </w:p>
        </w:tc>
        <w:tc>
          <w:tcPr>
            <w:tcW w:w="3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364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投标人详细说明</w:t>
            </w:r>
            <w:r>
              <w:rPr>
                <w:rFonts w:hint="eastAsia" w:ascii="仿宋" w:hAnsi="仿宋" w:eastAsia="仿宋" w:cs="仿宋"/>
                <w:sz w:val="24"/>
                <w:szCs w:val="24"/>
                <w:highlight w:val="none"/>
              </w:rPr>
              <w:t>售后服务</w:t>
            </w:r>
            <w:r>
              <w:rPr>
                <w:rFonts w:hint="eastAsia" w:ascii="仿宋" w:hAnsi="仿宋" w:eastAsia="仿宋" w:cs="仿宋"/>
                <w:sz w:val="24"/>
                <w:szCs w:val="24"/>
                <w:highlight w:val="none"/>
                <w:lang w:val="en-US" w:eastAsia="zh-CN"/>
              </w:rPr>
              <w:t>方案</w:t>
            </w:r>
            <w:r>
              <w:rPr>
                <w:rFonts w:hint="eastAsia" w:ascii="仿宋" w:hAnsi="仿宋" w:eastAsia="仿宋" w:cs="仿宋"/>
                <w:sz w:val="24"/>
                <w:szCs w:val="24"/>
                <w:highlight w:val="none"/>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1.售后</w:t>
            </w:r>
            <w:r>
              <w:rPr>
                <w:rFonts w:hint="eastAsia" w:ascii="仿宋" w:hAnsi="仿宋" w:eastAsia="仿宋" w:cs="仿宋"/>
                <w:sz w:val="24"/>
                <w:szCs w:val="24"/>
                <w:highlight w:val="none"/>
                <w:lang w:val="en-US" w:eastAsia="zh-CN"/>
              </w:rPr>
              <w:t>内容</w:t>
            </w:r>
            <w:r>
              <w:rPr>
                <w:rFonts w:hint="eastAsia" w:ascii="仿宋" w:hAnsi="仿宋" w:eastAsia="仿宋" w:cs="仿宋"/>
                <w:sz w:val="24"/>
                <w:szCs w:val="24"/>
                <w:highlight w:val="none"/>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.保修期；</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80" w:lineRule="exact"/>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提供上述一项内容的得</w:t>
            </w: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zh-CN"/>
              </w:rPr>
              <w:t>分，最高</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zh-CN"/>
              </w:rPr>
              <w:t>分，其他不得分。</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zh-CN"/>
              </w:rPr>
            </w:pPr>
            <w:r>
              <w:rPr>
                <w:rFonts w:hint="eastAsia" w:ascii="仿宋" w:hAnsi="仿宋" w:eastAsia="仿宋" w:cs="仿宋"/>
                <w:kern w:val="0"/>
                <w:sz w:val="24"/>
                <w:szCs w:val="24"/>
                <w:highlight w:val="none"/>
                <w:lang w:val="en-US" w:eastAsia="zh-CN"/>
              </w:rPr>
              <w:t>2.</w:t>
            </w:r>
            <w:r>
              <w:rPr>
                <w:rFonts w:hint="eastAsia" w:ascii="仿宋" w:hAnsi="仿宋" w:eastAsia="仿宋" w:cs="仿宋"/>
                <w:color w:val="000000"/>
                <w:sz w:val="24"/>
                <w:szCs w:val="24"/>
                <w:highlight w:val="none"/>
                <w:lang w:val="en-US" w:eastAsia="zh-CN"/>
              </w:rPr>
              <w:t>在此基础上，专家根据供应商的具体响应内容按照量化的评审因素指标进一步评审</w:t>
            </w:r>
            <w:r>
              <w:rPr>
                <w:rFonts w:hint="eastAsia" w:ascii="仿宋" w:hAnsi="仿宋" w:eastAsia="仿宋" w:cs="仿宋"/>
                <w:sz w:val="24"/>
                <w:szCs w:val="24"/>
                <w:highlight w:val="none"/>
                <w:lang w:val="zh-CN"/>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方案整体科学合理、针对性强、可操作性强，评审为优</w:t>
            </w:r>
            <w:r>
              <w:rPr>
                <w:rFonts w:hint="eastAsia" w:ascii="仿宋" w:hAnsi="仿宋" w:eastAsia="仿宋" w:cs="仿宋"/>
                <w:sz w:val="24"/>
                <w:szCs w:val="24"/>
                <w:highlight w:val="none"/>
                <w:lang w:val="en-US" w:eastAsia="zh-CN"/>
              </w:rPr>
              <w:t>加3</w:t>
            </w:r>
            <w:r>
              <w:rPr>
                <w:rFonts w:hint="eastAsia" w:ascii="仿宋" w:hAnsi="仿宋" w:eastAsia="仿宋" w:cs="仿宋"/>
                <w:sz w:val="24"/>
                <w:szCs w:val="24"/>
                <w:highlight w:val="none"/>
              </w:rPr>
              <w:t>分；</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方案较合理、有一定针对性、一定可操作性，评审为良</w:t>
            </w:r>
            <w:r>
              <w:rPr>
                <w:rFonts w:hint="eastAsia" w:ascii="仿宋" w:hAnsi="仿宋" w:eastAsia="仿宋" w:cs="仿宋"/>
                <w:sz w:val="24"/>
                <w:szCs w:val="24"/>
                <w:highlight w:val="none"/>
                <w:lang w:val="en-US" w:eastAsia="zh-CN"/>
              </w:rPr>
              <w:t>加2</w:t>
            </w:r>
            <w:r>
              <w:rPr>
                <w:rFonts w:hint="eastAsia" w:ascii="仿宋" w:hAnsi="仿宋" w:eastAsia="仿宋" w:cs="仿宋"/>
                <w:sz w:val="24"/>
                <w:szCs w:val="24"/>
                <w:highlight w:val="none"/>
              </w:rPr>
              <w:t>分；</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方案较一般、针对性一般、可操作性一般，评审为中</w:t>
            </w:r>
            <w:r>
              <w:rPr>
                <w:rFonts w:hint="eastAsia" w:ascii="仿宋" w:hAnsi="仿宋" w:eastAsia="仿宋" w:cs="仿宋"/>
                <w:sz w:val="24"/>
                <w:szCs w:val="24"/>
                <w:highlight w:val="none"/>
                <w:lang w:val="en-US" w:eastAsia="zh-CN"/>
              </w:rPr>
              <w:t>加1</w:t>
            </w:r>
            <w:r>
              <w:rPr>
                <w:rFonts w:hint="eastAsia" w:ascii="仿宋" w:hAnsi="仿宋" w:eastAsia="仿宋" w:cs="仿宋"/>
                <w:sz w:val="24"/>
                <w:szCs w:val="24"/>
                <w:highlight w:val="none"/>
              </w:rPr>
              <w:t>分；</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方案较差、</w:t>
            </w:r>
            <w:r>
              <w:rPr>
                <w:rFonts w:hint="eastAsia" w:ascii="仿宋" w:hAnsi="仿宋" w:eastAsia="仿宋" w:cs="仿宋"/>
                <w:sz w:val="24"/>
                <w:szCs w:val="24"/>
                <w:highlight w:val="none"/>
                <w:lang w:val="en-US" w:eastAsia="zh-CN"/>
              </w:rPr>
              <w:t>无</w:t>
            </w:r>
            <w:r>
              <w:rPr>
                <w:rFonts w:hint="eastAsia" w:ascii="仿宋" w:hAnsi="仿宋" w:eastAsia="仿宋" w:cs="仿宋"/>
                <w:sz w:val="24"/>
                <w:szCs w:val="24"/>
                <w:highlight w:val="none"/>
              </w:rPr>
              <w:t>针对性、无可操作性，评审为差</w:t>
            </w:r>
            <w:r>
              <w:rPr>
                <w:rFonts w:hint="eastAsia" w:ascii="仿宋" w:hAnsi="仿宋" w:eastAsia="仿宋" w:cs="仿宋"/>
                <w:sz w:val="24"/>
                <w:szCs w:val="24"/>
                <w:highlight w:val="none"/>
                <w:lang w:val="en-US" w:eastAsia="zh-CN"/>
              </w:rPr>
              <w:t>不加</w:t>
            </w:r>
            <w:r>
              <w:rPr>
                <w:rFonts w:hint="eastAsia" w:ascii="仿宋" w:hAnsi="仿宋" w:eastAsia="仿宋" w:cs="仿宋"/>
                <w:sz w:val="24"/>
                <w:szCs w:val="24"/>
                <w:highlight w:val="none"/>
              </w:rPr>
              <w:t>分。</w:t>
            </w:r>
          </w:p>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未提供证明材料或提供的不符合或专家无法凭所提供材料判断是否得分的情况，一律作不得分处理。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blCellSpacing w:w="0" w:type="dxa"/>
          <w:jc w:val="center"/>
        </w:trPr>
        <w:tc>
          <w:tcPr>
            <w:tcW w:w="259" w:type="pct"/>
            <w:gridSpan w:val="3"/>
            <w:vMerge w:val="continue"/>
            <w:tcBorders>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应急响应时间</w:t>
            </w:r>
          </w:p>
        </w:tc>
        <w:tc>
          <w:tcPr>
            <w:tcW w:w="3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80" w:lineRule="exact"/>
              <w:ind w:left="0" w:right="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64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应急响应情况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投标方承诺应急响应情况</w:t>
            </w:r>
            <w:r>
              <w:rPr>
                <w:rFonts w:hint="eastAsia" w:ascii="仿宋" w:hAnsi="仿宋" w:eastAsia="仿宋" w:cs="仿宋"/>
                <w:sz w:val="24"/>
                <w:szCs w:val="24"/>
                <w:highlight w:val="none"/>
                <w:lang w:eastAsia="zh-CN"/>
              </w:rPr>
              <w:t>：</w:t>
            </w:r>
          </w:p>
          <w:p>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1.24</w:t>
            </w:r>
            <w:r>
              <w:rPr>
                <w:rFonts w:hint="eastAsia" w:ascii="仿宋" w:hAnsi="仿宋" w:eastAsia="仿宋" w:cs="仿宋"/>
                <w:sz w:val="24"/>
                <w:szCs w:val="24"/>
                <w:highlight w:val="none"/>
              </w:rPr>
              <w:t xml:space="preserve">小时内响应并处理的得 </w:t>
            </w:r>
            <w:r>
              <w:rPr>
                <w:rFonts w:hint="eastAsia" w:ascii="仿宋" w:hAnsi="仿宋" w:eastAsia="仿宋" w:cs="仿宋"/>
                <w:color w:val="000000"/>
                <w:sz w:val="24"/>
                <w:szCs w:val="24"/>
                <w:highlight w:val="none"/>
                <w:lang w:val="en-US" w:eastAsia="zh-CN"/>
              </w:rPr>
              <w:t>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2.≥24</w:t>
            </w:r>
            <w:r>
              <w:rPr>
                <w:rFonts w:hint="eastAsia" w:ascii="仿宋" w:hAnsi="仿宋" w:eastAsia="仿宋" w:cs="仿宋"/>
                <w:sz w:val="24"/>
                <w:szCs w:val="24"/>
                <w:highlight w:val="none"/>
              </w:rPr>
              <w:t>小时到</w:t>
            </w:r>
            <w:r>
              <w:rPr>
                <w:rFonts w:hint="eastAsia" w:ascii="仿宋" w:hAnsi="仿宋" w:eastAsia="仿宋" w:cs="仿宋"/>
                <w:sz w:val="24"/>
                <w:szCs w:val="24"/>
                <w:highlight w:val="none"/>
                <w:lang w:val="en-US" w:eastAsia="zh-CN"/>
              </w:rPr>
              <w:t>48</w:t>
            </w:r>
            <w:r>
              <w:rPr>
                <w:rFonts w:hint="eastAsia" w:ascii="仿宋" w:hAnsi="仿宋" w:eastAsia="仿宋" w:cs="仿宋"/>
                <w:sz w:val="24"/>
                <w:szCs w:val="24"/>
                <w:highlight w:val="none"/>
              </w:rPr>
              <w:t>小时内响应并处理的得</w:t>
            </w:r>
            <w:r>
              <w:rPr>
                <w:rFonts w:hint="eastAsia" w:ascii="仿宋" w:hAnsi="仿宋" w:eastAsia="仿宋" w:cs="仿宋"/>
                <w:color w:val="000000"/>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3.≥48</w:t>
            </w:r>
            <w:r>
              <w:rPr>
                <w:rFonts w:hint="eastAsia" w:ascii="仿宋" w:hAnsi="仿宋" w:eastAsia="仿宋" w:cs="仿宋"/>
                <w:sz w:val="24"/>
                <w:szCs w:val="24"/>
                <w:highlight w:val="none"/>
              </w:rPr>
              <w:t>小时响应并处理的</w:t>
            </w:r>
            <w:r>
              <w:rPr>
                <w:rFonts w:hint="eastAsia" w:ascii="仿宋" w:hAnsi="仿宋" w:eastAsia="仿宋" w:cs="仿宋"/>
                <w:sz w:val="24"/>
                <w:szCs w:val="24"/>
                <w:highlight w:val="none"/>
                <w:lang w:val="en-US" w:eastAsia="zh-CN"/>
              </w:rPr>
              <w:t>不得</w:t>
            </w:r>
            <w:r>
              <w:rPr>
                <w:rFonts w:hint="eastAsia" w:ascii="仿宋" w:hAnsi="仿宋" w:eastAsia="仿宋" w:cs="仿宋"/>
                <w:sz w:val="24"/>
                <w:szCs w:val="24"/>
                <w:highlight w:val="none"/>
              </w:rPr>
              <w:t>分。</w:t>
            </w:r>
          </w:p>
          <w:p>
            <w:pPr>
              <w:keepNext w:val="0"/>
              <w:keepLines w:val="0"/>
              <w:pageBreakBefore w:val="0"/>
              <w:suppressLineNumbers w:val="0"/>
              <w:tabs>
                <w:tab w:val="left" w:pos="426"/>
              </w:tabs>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pPr>
              <w:keepNext w:val="0"/>
              <w:keepLines w:val="0"/>
              <w:pageBreakBefore w:val="0"/>
              <w:suppressLineNumbers w:val="0"/>
              <w:kinsoku/>
              <w:wordWrap/>
              <w:overflowPunct/>
              <w:topLinePunct w:val="0"/>
              <w:bidi w:val="0"/>
              <w:snapToGrid/>
              <w:spacing w:before="0" w:beforeAutospacing="0" w:after="0" w:afterAutospacing="0" w:line="240" w:lineRule="auto"/>
              <w:ind w:left="0" w:right="0"/>
              <w:jc w:val="left"/>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投标人</w:t>
            </w:r>
            <w:r>
              <w:rPr>
                <w:rFonts w:hint="eastAsia" w:ascii="仿宋" w:hAnsi="仿宋" w:eastAsia="仿宋" w:cs="仿宋"/>
                <w:sz w:val="24"/>
                <w:szCs w:val="24"/>
                <w:highlight w:val="none"/>
              </w:rPr>
              <w:t>提供应急响应时间承诺函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格式自拟</w:t>
            </w:r>
            <w:r>
              <w:rPr>
                <w:rFonts w:hint="eastAsia" w:ascii="仿宋" w:hAnsi="仿宋" w:eastAsia="仿宋" w:cs="仿宋"/>
                <w:sz w:val="24"/>
                <w:szCs w:val="24"/>
                <w:highlight w:val="none"/>
                <w:lang w:val="en-US" w:eastAsia="zh-CN"/>
              </w:rPr>
              <w:t>并加盖公章）</w:t>
            </w:r>
            <w:r>
              <w:rPr>
                <w:rFonts w:hint="eastAsia" w:ascii="仿宋" w:hAnsi="仿宋" w:eastAsia="仿宋" w:cs="仿宋"/>
                <w:sz w:val="24"/>
                <w:szCs w:val="24"/>
                <w:highlight w:val="none"/>
              </w:rPr>
              <w:t>，未提供或提供不符合要求本项不得分或提供的不清晰导致专家无法判断的或所提供的证明材料未能体现上述评分内容的不得分。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blCellSpacing w:w="0" w:type="dxa"/>
          <w:jc w:val="center"/>
        </w:trPr>
        <w:tc>
          <w:tcPr>
            <w:tcW w:w="259" w:type="pct"/>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3</w:t>
            </w:r>
          </w:p>
        </w:tc>
        <w:tc>
          <w:tcPr>
            <w:tcW w:w="109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综合实力</w:t>
            </w:r>
            <w:r>
              <w:rPr>
                <w:rFonts w:hint="eastAsia" w:ascii="仿宋" w:hAnsi="仿宋" w:eastAsia="仿宋" w:cs="仿宋"/>
                <w:b/>
                <w:sz w:val="24"/>
                <w:szCs w:val="24"/>
                <w:highlight w:val="none"/>
              </w:rPr>
              <w:t>部分</w:t>
            </w:r>
          </w:p>
        </w:tc>
        <w:tc>
          <w:tcPr>
            <w:tcW w:w="364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259"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3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64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blCellSpacing w:w="0" w:type="dxa"/>
          <w:jc w:val="center"/>
        </w:trPr>
        <w:tc>
          <w:tcPr>
            <w:tcW w:w="259"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同类项目业绩</w:t>
            </w:r>
          </w:p>
        </w:tc>
        <w:tc>
          <w:tcPr>
            <w:tcW w:w="3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3648" w:type="pct"/>
            <w:gridSpan w:val="4"/>
            <w:tcBorders>
              <w:top w:val="single" w:color="auto" w:sz="4" w:space="0"/>
              <w:left w:val="single" w:color="auto" w:sz="4" w:space="0"/>
              <w:bottom w:val="single" w:color="auto" w:sz="4" w:space="0"/>
              <w:right w:val="single" w:color="auto" w:sz="4" w:space="0"/>
            </w:tcBorders>
            <w:vAlign w:val="top"/>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评分内容：</w:t>
            </w:r>
          </w:p>
          <w:p>
            <w:pPr>
              <w:keepNext w:val="0"/>
              <w:keepLines w:val="0"/>
              <w:pageBreakBefore w:val="0"/>
              <w:widowControl/>
              <w:numPr>
                <w:ilvl w:val="0"/>
                <w:numId w:val="0"/>
              </w:numPr>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投标人提供从</w:t>
            </w:r>
            <w:r>
              <w:rPr>
                <w:rFonts w:hint="eastAsia" w:ascii="仿宋" w:hAnsi="仿宋" w:eastAsia="仿宋" w:cs="仿宋"/>
                <w:sz w:val="24"/>
                <w:szCs w:val="24"/>
                <w:highlight w:val="none"/>
                <w:lang w:val="en-US" w:eastAsia="zh-CN"/>
              </w:rPr>
              <w:t>2022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月1日至本项目投标截止日（以合同签订日期为准）</w:t>
            </w:r>
            <w:r>
              <w:rPr>
                <w:rFonts w:hint="eastAsia" w:ascii="仿宋" w:hAnsi="仿宋" w:eastAsia="仿宋" w:cs="仿宋"/>
                <w:sz w:val="24"/>
                <w:szCs w:val="24"/>
                <w:highlight w:val="none"/>
                <w:lang w:val="en-US" w:eastAsia="zh-CN"/>
              </w:rPr>
              <w:t>同类</w:t>
            </w:r>
            <w:r>
              <w:rPr>
                <w:rFonts w:hint="eastAsia" w:ascii="仿宋" w:hAnsi="仿宋" w:eastAsia="仿宋" w:cs="仿宋"/>
                <w:sz w:val="24"/>
                <w:szCs w:val="24"/>
                <w:highlight w:val="none"/>
              </w:rPr>
              <w:t>项目业绩，每提供1项得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分，最高得</w:t>
            </w:r>
            <w:r>
              <w:rPr>
                <w:rFonts w:hint="eastAsia" w:ascii="仿宋" w:hAnsi="仿宋" w:eastAsia="仿宋" w:cs="仿宋"/>
                <w:color w:val="000000"/>
                <w:sz w:val="24"/>
                <w:szCs w:val="24"/>
                <w:highlight w:val="none"/>
                <w:lang w:val="en-US" w:eastAsia="zh-CN"/>
              </w:rPr>
              <w:t>8</w:t>
            </w:r>
            <w:r>
              <w:rPr>
                <w:rFonts w:hint="eastAsia" w:ascii="仿宋" w:hAnsi="仿宋" w:eastAsia="仿宋" w:cs="仿宋"/>
                <w:sz w:val="24"/>
                <w:szCs w:val="24"/>
                <w:highlight w:val="none"/>
              </w:rPr>
              <w:t>分。注：长期续签合同只计算一个业绩。</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（二）评分依据：</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1.提供合同关键页【应包含但不限于合同签约主体名称、项目（合同）名称、服务内容、签订合同时间、签约主体公章等关键信息】。</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kern w:val="2"/>
                <w:sz w:val="24"/>
                <w:szCs w:val="24"/>
                <w:highlight w:val="none"/>
                <w:lang w:val="en-US" w:eastAsia="zh-CN" w:bidi="ar-SA"/>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以上资料均要求提供</w:t>
            </w:r>
            <w:r>
              <w:rPr>
                <w:rFonts w:hint="eastAsia" w:ascii="仿宋" w:hAnsi="仿宋" w:eastAsia="仿宋" w:cs="仿宋"/>
                <w:sz w:val="24"/>
                <w:szCs w:val="24"/>
                <w:highlight w:val="none"/>
                <w:lang w:val="en-US" w:eastAsia="zh-CN"/>
              </w:rPr>
              <w:t>扫描件</w:t>
            </w:r>
            <w:r>
              <w:rPr>
                <w:rFonts w:hint="eastAsia" w:ascii="仿宋" w:hAnsi="仿宋" w:eastAsia="仿宋" w:cs="仿宋"/>
                <w:sz w:val="24"/>
                <w:szCs w:val="24"/>
                <w:highlight w:val="none"/>
              </w:rPr>
              <w:t>，原件备查。评分中出现无证明资料或专家无法凭所提供资料判断是否得分的情况，一律作不得分处理。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259"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szCs w:val="24"/>
                <w:highlight w:val="none"/>
              </w:rPr>
              <w:t>认证情况</w:t>
            </w:r>
          </w:p>
        </w:tc>
        <w:tc>
          <w:tcPr>
            <w:tcW w:w="36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仿宋" w:hAnsi="仿宋" w:eastAsia="仿宋" w:cs="仿宋"/>
                <w:sz w:val="24"/>
                <w:highlight w:val="none"/>
                <w:lang w:val="en-US" w:eastAsia="zh-CN"/>
              </w:rPr>
            </w:pPr>
            <w:r>
              <w:rPr>
                <w:rFonts w:hint="eastAsia" w:ascii="宋体" w:hAnsi="宋体" w:eastAsia="仿宋" w:cs="宋体"/>
                <w:kern w:val="0"/>
                <w:szCs w:val="21"/>
                <w:lang w:val="en-US" w:eastAsia="zh-CN"/>
              </w:rPr>
              <w:t>6</w:t>
            </w:r>
          </w:p>
        </w:tc>
        <w:tc>
          <w:tcPr>
            <w:tcW w:w="3648" w:type="pct"/>
            <w:gridSpan w:val="4"/>
            <w:tcBorders>
              <w:top w:val="single" w:color="auto" w:sz="4" w:space="0"/>
              <w:left w:val="single" w:color="auto" w:sz="4" w:space="0"/>
              <w:bottom w:val="single" w:color="auto" w:sz="4" w:space="0"/>
              <w:right w:val="single" w:color="auto" w:sz="4" w:space="0"/>
            </w:tcBorders>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20" w:lineRule="exact"/>
              <w:ind w:left="0" w:right="0"/>
              <w:rPr>
                <w:rFonts w:hint="eastAsia" w:ascii="仿宋" w:hAnsi="仿宋" w:eastAsia="仿宋" w:cs="仿宋"/>
                <w:b/>
                <w:bCs/>
                <w:color w:val="000000"/>
                <w:szCs w:val="24"/>
                <w:highlight w:val="none"/>
              </w:rPr>
            </w:pPr>
            <w:r>
              <w:rPr>
                <w:rFonts w:hint="eastAsia" w:ascii="仿宋" w:hAnsi="仿宋" w:eastAsia="仿宋" w:cs="仿宋"/>
                <w:b/>
                <w:bCs/>
                <w:color w:val="000000"/>
                <w:szCs w:val="24"/>
                <w:highlight w:val="none"/>
              </w:rPr>
              <w:t>（一）评分内容：</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1.具有质量管理体系</w:t>
            </w:r>
            <w:r>
              <w:rPr>
                <w:rFonts w:hint="eastAsia" w:ascii="仿宋" w:hAnsi="仿宋" w:eastAsia="仿宋" w:cs="仿宋"/>
                <w:sz w:val="24"/>
                <w:szCs w:val="24"/>
                <w:highlight w:val="none"/>
                <w:lang w:val="en-US" w:eastAsia="zh-CN"/>
              </w:rPr>
              <w:t>认证</w:t>
            </w:r>
            <w:r>
              <w:rPr>
                <w:rFonts w:hint="eastAsia" w:ascii="仿宋" w:hAnsi="仿宋" w:eastAsia="仿宋" w:cs="仿宋"/>
                <w:sz w:val="24"/>
                <w:szCs w:val="24"/>
                <w:highlight w:val="none"/>
              </w:rPr>
              <w:t>证书，得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2.具有标准化智慧实验室管理相关的软件著作权证书，每提供1个得1分，满分5分；</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color w:val="000000"/>
                <w:kern w:val="0"/>
                <w:szCs w:val="24"/>
                <w:highlight w:val="none"/>
              </w:rPr>
            </w:pPr>
            <w:r>
              <w:rPr>
                <w:rFonts w:hint="eastAsia" w:ascii="仿宋" w:hAnsi="仿宋" w:eastAsia="仿宋" w:cs="仿宋"/>
                <w:b/>
                <w:bCs/>
                <w:color w:val="000000"/>
                <w:kern w:val="0"/>
                <w:szCs w:val="24"/>
                <w:highlight w:val="none"/>
              </w:rPr>
              <w:t>（二）评分依据：</w:t>
            </w:r>
          </w:p>
          <w:p>
            <w:pPr>
              <w:pStyle w:val="18"/>
              <w:keepNext w:val="0"/>
              <w:keepLines w:val="0"/>
              <w:suppressLineNumbers w:val="0"/>
              <w:spacing w:before="0" w:beforeAutospacing="0" w:after="0" w:afterAutospacing="0" w:line="320" w:lineRule="exact"/>
              <w:ind w:left="0" w:right="0"/>
              <w:jc w:val="both"/>
              <w:rPr>
                <w:rFonts w:hint="eastAsia" w:ascii="仿宋" w:hAnsi="仿宋" w:eastAsia="仿宋" w:cs="仿宋"/>
                <w:color w:val="000000"/>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第1项：</w:t>
            </w:r>
            <w:r>
              <w:rPr>
                <w:rFonts w:hint="eastAsia" w:ascii="仿宋" w:hAnsi="仿宋" w:eastAsia="仿宋" w:cs="仿宋"/>
                <w:sz w:val="24"/>
                <w:szCs w:val="24"/>
                <w:highlight w:val="none"/>
              </w:rPr>
              <w:t>投标人提供有效的认证证书扫描件和国家市场监督管理总局全国认证认可信息公共服务平台网站（http://cx.cnca.cn/CertECloud/result/skipResultList）的查询截图作为得分依据，原件备查；如投标人距本项目开标之日的注册成立时间不足3个月，且未取得以上认证证书的，可提供承诺函</w:t>
            </w:r>
            <w:r>
              <w:rPr>
                <w:rFonts w:hint="eastAsia" w:ascii="仿宋" w:hAnsi="仿宋" w:eastAsia="仿宋" w:cs="仿宋"/>
                <w:color w:val="000000"/>
              </w:rPr>
              <w:t>【格式自拟，至少包含中标（成交）后4个月内取得评审因素相关认证证书等内容】，亦视为符合。如未按承诺要求在4个月内取得相关认证证书的，将视为合同违约，需支付合同金额10%的违约金。</w:t>
            </w:r>
          </w:p>
          <w:p>
            <w:pPr>
              <w:pStyle w:val="8"/>
              <w:keepNext w:val="0"/>
              <w:keepLines w:val="0"/>
              <w:suppressLineNumbers w:val="0"/>
              <w:spacing w:before="0" w:beforeLines="0" w:beforeAutospacing="0" w:after="0" w:afterLines="0" w:afterAutospacing="0" w:line="240" w:lineRule="auto"/>
              <w:ind w:left="0" w:right="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2.第2项：</w:t>
            </w:r>
          </w:p>
          <w:p>
            <w:pPr>
              <w:keepNext w:val="0"/>
              <w:keepLines w:val="0"/>
              <w:suppressLineNumbers w:val="0"/>
              <w:tabs>
                <w:tab w:val="left" w:pos="426"/>
              </w:tabs>
              <w:spacing w:before="0" w:beforeAutospacing="0" w:after="0" w:afterAutospacing="0"/>
              <w:ind w:left="0" w:right="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（1）投标人自有的，提供计算机软件著作权登记证书（著作权人为投标人）及其在中国版权中心（http://www.ccopy</w:t>
            </w:r>
            <w:r>
              <w:rPr>
                <w:rFonts w:hint="default" w:ascii="仿宋" w:hAnsi="仿宋" w:eastAsia="仿宋" w:cs="仿宋"/>
                <w:kern w:val="0"/>
                <w:sz w:val="24"/>
                <w:szCs w:val="24"/>
                <w:highlight w:val="none"/>
                <w:lang w:val="en-US" w:eastAsia="zh-CN" w:bidi="ar-SA"/>
              </w:rPr>
              <w:t>r</w:t>
            </w:r>
            <w:r>
              <w:rPr>
                <w:rFonts w:hint="eastAsia" w:ascii="仿宋" w:hAnsi="仿宋" w:eastAsia="仿宋" w:cs="仿宋"/>
                <w:kern w:val="0"/>
                <w:sz w:val="24"/>
                <w:szCs w:val="24"/>
                <w:highlight w:val="none"/>
                <w:lang w:val="en-US" w:eastAsia="zh-CN" w:bidi="ar-SA"/>
              </w:rPr>
              <w:t>ight</w:t>
            </w:r>
            <w:r>
              <w:rPr>
                <w:rFonts w:hint="default" w:ascii="仿宋" w:hAnsi="仿宋" w:eastAsia="仿宋" w:cs="仿宋"/>
                <w:kern w:val="0"/>
                <w:sz w:val="24"/>
                <w:szCs w:val="24"/>
                <w:highlight w:val="none"/>
                <w:lang w:val="en-US" w:eastAsia="zh-CN" w:bidi="ar-SA"/>
              </w:rPr>
              <w:t>.</w:t>
            </w:r>
            <w:r>
              <w:rPr>
                <w:rFonts w:hint="eastAsia" w:ascii="仿宋" w:hAnsi="仿宋" w:eastAsia="仿宋" w:cs="仿宋"/>
                <w:kern w:val="0"/>
                <w:sz w:val="24"/>
                <w:szCs w:val="24"/>
                <w:highlight w:val="none"/>
                <w:lang w:val="en-US" w:eastAsia="zh-CN" w:bidi="ar-SA"/>
              </w:rPr>
              <w:t>com.cn）的查询截图；</w:t>
            </w:r>
          </w:p>
          <w:p>
            <w:pPr>
              <w:keepNext w:val="0"/>
              <w:keepLines w:val="0"/>
              <w:suppressLineNumbers w:val="0"/>
              <w:tabs>
                <w:tab w:val="left" w:pos="426"/>
              </w:tabs>
              <w:spacing w:before="0" w:beforeAutospacing="0" w:after="0" w:afterAutospacing="0"/>
              <w:ind w:left="0" w:right="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（2）投标人购买的，①提供计算机软件著作权登记证书（著作权人为出售方）及其在中国版权中心（http://www.ccopy</w:t>
            </w:r>
            <w:r>
              <w:rPr>
                <w:rFonts w:hint="default" w:ascii="仿宋" w:hAnsi="仿宋" w:eastAsia="仿宋" w:cs="仿宋"/>
                <w:kern w:val="0"/>
                <w:sz w:val="24"/>
                <w:szCs w:val="24"/>
                <w:highlight w:val="none"/>
                <w:lang w:val="en-US" w:eastAsia="zh-CN" w:bidi="ar-SA"/>
              </w:rPr>
              <w:t>r</w:t>
            </w:r>
            <w:r>
              <w:rPr>
                <w:rFonts w:hint="eastAsia" w:ascii="仿宋" w:hAnsi="仿宋" w:eastAsia="仿宋" w:cs="仿宋"/>
                <w:kern w:val="0"/>
                <w:sz w:val="24"/>
                <w:szCs w:val="24"/>
                <w:highlight w:val="none"/>
                <w:lang w:val="en-US" w:eastAsia="zh-CN" w:bidi="ar-SA"/>
              </w:rPr>
              <w:t>ight</w:t>
            </w:r>
            <w:r>
              <w:rPr>
                <w:rFonts w:hint="default" w:ascii="仿宋" w:hAnsi="仿宋" w:eastAsia="仿宋" w:cs="仿宋"/>
                <w:kern w:val="0"/>
                <w:sz w:val="24"/>
                <w:szCs w:val="24"/>
                <w:highlight w:val="none"/>
                <w:lang w:val="en-US" w:eastAsia="zh-CN" w:bidi="ar-SA"/>
              </w:rPr>
              <w:t>.</w:t>
            </w:r>
            <w:r>
              <w:rPr>
                <w:rFonts w:hint="eastAsia" w:ascii="仿宋" w:hAnsi="仿宋" w:eastAsia="仿宋" w:cs="仿宋"/>
                <w:kern w:val="0"/>
                <w:sz w:val="24"/>
                <w:szCs w:val="24"/>
                <w:highlight w:val="none"/>
                <w:lang w:val="en-US" w:eastAsia="zh-CN" w:bidi="ar-SA"/>
              </w:rPr>
              <w:t>com.cn）的查询截图；②购买合同（合同内包括：计算机软件著作权登记证书名称、签订日期、合同内容、签订合同双方的落款盖章）；③对应的购买发票；</w:t>
            </w:r>
          </w:p>
          <w:p>
            <w:pPr>
              <w:keepNext w:val="0"/>
              <w:keepLines w:val="0"/>
              <w:widowControl/>
              <w:suppressLineNumbers w:val="0"/>
              <w:wordWrap w:val="0"/>
              <w:autoSpaceDE/>
              <w:autoSpaceDN/>
              <w:adjustRightInd/>
              <w:spacing w:before="0" w:beforeAutospacing="0" w:after="0" w:afterAutospacing="0" w:line="320" w:lineRule="exact"/>
              <w:ind w:left="0" w:right="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bidi="ar-SA"/>
              </w:rPr>
              <w:t>3.以上资料均要求提供扫描件，原件备查。评分中出现无证明资料或专家无法凭所提供资料判断是否得分的情况，一律作不得分处理。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259"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拟安排的项目团队成员</w:t>
            </w:r>
          </w:p>
        </w:tc>
        <w:tc>
          <w:tcPr>
            <w:tcW w:w="3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wordWrap w:val="0"/>
              <w:adjustRightInd w:val="0"/>
              <w:snapToGrid w:val="0"/>
              <w:spacing w:before="0" w:beforeAutospacing="0" w:after="0" w:afterAutospacing="0"/>
              <w:ind w:left="0" w:right="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3648" w:type="pct"/>
            <w:gridSpan w:val="4"/>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评分内容：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拟安排的项目团队成员为投标单位自有员工（以社保为准），否则本项不得分，在此基础上根据以下情况进行打分：</w:t>
            </w:r>
          </w:p>
          <w:p>
            <w:pPr>
              <w:keepNext w:val="0"/>
              <w:keepLines w:val="0"/>
              <w:suppressLineNumbers w:val="0"/>
              <w:adjustRightInd w:val="0"/>
              <w:snapToGrid w:val="0"/>
              <w:spacing w:before="0" w:beforeAutospacing="0" w:after="0" w:afterAutospacing="0" w:line="380" w:lineRule="exact"/>
              <w:ind w:left="0" w:right="0"/>
              <w:jc w:val="left"/>
              <w:rPr>
                <w:rFonts w:hint="default" w:ascii="仿宋" w:hAnsi="仿宋" w:eastAsia="仿宋" w:cs="仿宋"/>
                <w:b/>
                <w:bCs/>
                <w:sz w:val="24"/>
                <w:szCs w:val="24"/>
                <w:highlight w:val="none"/>
              </w:rPr>
            </w:pPr>
            <w:r>
              <w:rPr>
                <w:rFonts w:hint="eastAsia" w:ascii="仿宋" w:hAnsi="仿宋" w:eastAsia="仿宋" w:cs="仿宋"/>
                <w:b/>
                <w:bCs/>
                <w:sz w:val="24"/>
                <w:szCs w:val="24"/>
                <w:highlight w:val="none"/>
              </w:rPr>
              <w:t>1.项目负责人</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仅限1人</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w:t>
            </w:r>
          </w:p>
          <w:p>
            <w:pPr>
              <w:keepNext w:val="0"/>
              <w:keepLines w:val="0"/>
              <w:numPr>
                <w:ilvl w:val="-1"/>
                <w:numId w:val="0"/>
              </w:numPr>
              <w:suppressLineNumbers w:val="0"/>
              <w:adjustRightInd w:val="0"/>
              <w:snapToGrid w:val="0"/>
              <w:spacing w:before="0" w:beforeAutospacing="0" w:after="0" w:afterAutospacing="0"/>
              <w:ind w:left="0" w:leftChars="0" w:right="0" w:firstLine="0" w:firstLineChars="0"/>
              <w:rPr>
                <w:rFonts w:hint="default" w:ascii="仿宋" w:hAnsi="仿宋" w:eastAsia="仿宋" w:cs="仿宋"/>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kern w:val="2"/>
                <w:sz w:val="24"/>
                <w:szCs w:val="24"/>
                <w:highlight w:val="none"/>
                <w:lang w:val="en-US" w:eastAsia="zh-CN" w:bidi="ar-SA"/>
              </w:rPr>
              <w:t>）具有本科或以上学历证书的，得1分</w:t>
            </w:r>
          </w:p>
          <w:p>
            <w:pPr>
              <w:keepNext w:val="0"/>
              <w:keepLines w:val="0"/>
              <w:numPr>
                <w:ilvl w:val="-1"/>
                <w:numId w:val="0"/>
              </w:numPr>
              <w:suppressLineNumbers w:val="0"/>
              <w:adjustRightInd w:val="0"/>
              <w:snapToGrid w:val="0"/>
              <w:spacing w:before="0" w:beforeAutospacing="0" w:after="0" w:afterAutospacing="0"/>
              <w:ind w:left="0" w:leftChars="0" w:right="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（2）具有5年（含）以上工作经验的，得1 分。</w:t>
            </w:r>
          </w:p>
          <w:p>
            <w:pPr>
              <w:keepNext w:val="0"/>
              <w:keepLines w:val="0"/>
              <w:numPr>
                <w:ilvl w:val="-1"/>
                <w:numId w:val="0"/>
              </w:numPr>
              <w:suppressLineNumbers w:val="0"/>
              <w:adjustRightInd w:val="0"/>
              <w:snapToGrid w:val="0"/>
              <w:spacing w:before="0" w:beforeAutospacing="0" w:after="0" w:afterAutospacing="0"/>
              <w:ind w:left="0" w:leftChars="0" w:right="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（3）具有计算机技术与软件专业技术资格证书（专业：信息系统项目管理师）的，得 3 分。</w:t>
            </w:r>
          </w:p>
          <w:p>
            <w:pPr>
              <w:keepNext w:val="0"/>
              <w:keepLines w:val="0"/>
              <w:suppressLineNumbers w:val="0"/>
              <w:adjustRightInd w:val="0"/>
              <w:snapToGrid w:val="0"/>
              <w:spacing w:before="0" w:beforeAutospacing="0" w:after="0" w:afterAutospacing="0" w:line="380" w:lineRule="exact"/>
              <w:ind w:left="0" w:right="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本项累计最高得5分</w:t>
            </w:r>
          </w:p>
          <w:p>
            <w:pPr>
              <w:keepNext w:val="0"/>
              <w:keepLines w:val="0"/>
              <w:numPr>
                <w:ilvl w:val="-1"/>
                <w:numId w:val="0"/>
              </w:numPr>
              <w:suppressLineNumbers w:val="0"/>
              <w:adjustRightInd w:val="0"/>
              <w:snapToGrid w:val="0"/>
              <w:spacing w:before="0" w:beforeAutospacing="0" w:after="0" w:afterAutospacing="0"/>
              <w:ind w:left="0" w:leftChars="0" w:right="0" w:firstLine="0" w:firstLineChars="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lang w:val="en-US" w:eastAsia="zh-CN"/>
              </w:rPr>
              <w:t>2</w:t>
            </w:r>
            <w:r>
              <w:rPr>
                <w:rFonts w:hint="eastAsia" w:ascii="仿宋" w:hAnsi="仿宋" w:eastAsia="仿宋" w:cs="仿宋"/>
                <w:b/>
                <w:bCs/>
                <w:kern w:val="2"/>
                <w:sz w:val="24"/>
                <w:szCs w:val="24"/>
                <w:highlight w:val="none"/>
                <w:lang w:val="en-US" w:eastAsia="zh-CN" w:bidi="ar-SA"/>
              </w:rPr>
              <w:t>.团队成员2人（项目负责人除外）：</w:t>
            </w:r>
          </w:p>
          <w:p>
            <w:pPr>
              <w:keepNext w:val="0"/>
              <w:keepLines w:val="0"/>
              <w:numPr>
                <w:ilvl w:val="-1"/>
                <w:numId w:val="0"/>
              </w:numPr>
              <w:suppressLineNumbers w:val="0"/>
              <w:adjustRightInd w:val="0"/>
              <w:snapToGrid w:val="0"/>
              <w:spacing w:before="0" w:beforeAutospacing="0" w:after="0" w:afterAutospacing="0"/>
              <w:ind w:left="0" w:leftChars="0" w:right="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（1）每提供1人具有信息化相关专业中级工程师（或以上）职称证书的，得2分，最高得4分。</w:t>
            </w:r>
          </w:p>
          <w:p>
            <w:pPr>
              <w:keepNext w:val="0"/>
              <w:keepLines w:val="0"/>
              <w:numPr>
                <w:ilvl w:val="-1"/>
                <w:numId w:val="0"/>
              </w:numPr>
              <w:suppressLineNumbers w:val="0"/>
              <w:adjustRightInd w:val="0"/>
              <w:snapToGrid w:val="0"/>
              <w:spacing w:before="0" w:beforeAutospacing="0" w:after="0" w:afterAutospacing="0"/>
              <w:ind w:left="0" w:leftChars="0" w:right="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（2）每提供1人具有5年（含）以上工作经验的，得1分，最高得2分。</w:t>
            </w:r>
          </w:p>
          <w:p>
            <w:pPr>
              <w:keepNext w:val="0"/>
              <w:keepLines w:val="0"/>
              <w:numPr>
                <w:ilvl w:val="-1"/>
                <w:numId w:val="0"/>
              </w:numPr>
              <w:suppressLineNumbers w:val="0"/>
              <w:adjustRightInd w:val="0"/>
              <w:snapToGrid w:val="0"/>
              <w:spacing w:before="0" w:beforeAutospacing="0" w:after="0" w:afterAutospacing="0"/>
              <w:ind w:left="0" w:leftChars="0" w:right="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本项累计最高得6分</w:t>
            </w:r>
          </w:p>
          <w:p>
            <w:pPr>
              <w:keepNext w:val="0"/>
              <w:keepLines w:val="0"/>
              <w:numPr>
                <w:ilvl w:val="-1"/>
                <w:numId w:val="0"/>
              </w:numPr>
              <w:suppressLineNumbers w:val="0"/>
              <w:adjustRightInd w:val="0"/>
              <w:snapToGrid w:val="0"/>
              <w:spacing w:before="0" w:beforeAutospacing="0" w:after="0" w:afterAutospacing="0"/>
              <w:ind w:left="0" w:leftChars="0" w:right="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备注：以上不同岗位人员不得为同一人员，1-2项累计最高得11分。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right="0"/>
              <w:jc w:val="both"/>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（二）评分依据：</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1.提供人员名单（至少包含：姓名、性别、年龄、学历、专业、职称、联系方式、工作年限、岗位等）。</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毕业证书</w:t>
            </w:r>
            <w:r>
              <w:rPr>
                <w:rFonts w:hint="eastAsia" w:ascii="仿宋" w:hAnsi="仿宋" w:eastAsia="仿宋" w:cs="仿宋"/>
                <w:sz w:val="24"/>
                <w:szCs w:val="24"/>
                <w:highlight w:val="none"/>
              </w:rPr>
              <w:t>以及学信网查询记录；学信网无法查询的，可提供其他佐证材料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如毕业院校、人社部门等颁发机构或监管机构等单位出具的证明，留学归国人员如无法提供学信网查询记录截图，提供国（境）外学历证书（以及中文翻译件）和教育部留学服务中心出具的国外学历学位认证书【或教育部留学服务中心网站（http://zwfw.cscse.edu.cn/）在线查询截图】也予以认可。）</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提供人员的资质证书复印件或扫描件。</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kern w:val="2"/>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kern w:val="2"/>
                <w:sz w:val="24"/>
                <w:szCs w:val="24"/>
                <w:highlight w:val="none"/>
              </w:rPr>
              <w:t>提供上述人员</w:t>
            </w:r>
            <w:r>
              <w:rPr>
                <w:rFonts w:hint="eastAsia" w:ascii="仿宋" w:hAnsi="仿宋" w:eastAsia="仿宋" w:cs="仿宋"/>
                <w:kern w:val="2"/>
                <w:sz w:val="24"/>
                <w:szCs w:val="24"/>
                <w:highlight w:val="none"/>
                <w:lang w:val="en-US" w:eastAsia="zh-CN"/>
              </w:rPr>
              <w:t>最</w:t>
            </w:r>
            <w:r>
              <w:rPr>
                <w:rFonts w:hint="eastAsia" w:ascii="仿宋" w:hAnsi="仿宋" w:eastAsia="仿宋" w:cs="仿宋"/>
                <w:kern w:val="2"/>
                <w:sz w:val="24"/>
                <w:szCs w:val="24"/>
                <w:highlight w:val="none"/>
              </w:rPr>
              <w:t>近一个月投标</w:t>
            </w:r>
            <w:r>
              <w:rPr>
                <w:rFonts w:hint="eastAsia" w:ascii="仿宋" w:hAnsi="仿宋" w:eastAsia="仿宋" w:cs="仿宋"/>
                <w:kern w:val="2"/>
                <w:sz w:val="24"/>
                <w:szCs w:val="24"/>
                <w:highlight w:val="none"/>
                <w:lang w:val="en-US" w:eastAsia="zh-CN"/>
              </w:rPr>
              <w:t>人</w:t>
            </w:r>
            <w:r>
              <w:rPr>
                <w:rFonts w:hint="eastAsia" w:ascii="仿宋" w:hAnsi="仿宋" w:eastAsia="仿宋" w:cs="仿宋"/>
                <w:kern w:val="2"/>
                <w:sz w:val="24"/>
                <w:szCs w:val="24"/>
                <w:highlight w:val="none"/>
              </w:rPr>
              <w:t>为其购买的社保证明（由于社保部门或税务部</w:t>
            </w:r>
            <w:r>
              <w:rPr>
                <w:rFonts w:hint="eastAsia" w:ascii="仿宋" w:hAnsi="仿宋" w:eastAsia="仿宋" w:cs="仿宋"/>
                <w:kern w:val="2"/>
                <w:sz w:val="24"/>
                <w:szCs w:val="24"/>
                <w:highlight w:val="none"/>
                <w:lang w:eastAsia="zh-CN"/>
              </w:rPr>
              <w:t>门的</w:t>
            </w:r>
            <w:r>
              <w:rPr>
                <w:rFonts w:hint="eastAsia" w:ascii="仿宋" w:hAnsi="仿宋" w:eastAsia="仿宋" w:cs="仿宋"/>
                <w:kern w:val="2"/>
                <w:sz w:val="24"/>
                <w:szCs w:val="24"/>
                <w:highlight w:val="none"/>
              </w:rPr>
              <w:t>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5.</w:t>
            </w:r>
            <w:r>
              <w:rPr>
                <w:rFonts w:hint="eastAsia" w:ascii="仿宋" w:hAnsi="仿宋" w:eastAsia="仿宋" w:cs="仿宋"/>
                <w:kern w:val="2"/>
                <w:sz w:val="24"/>
                <w:szCs w:val="24"/>
                <w:highlight w:val="none"/>
              </w:rPr>
              <w:t>工作经验</w:t>
            </w:r>
            <w:r>
              <w:rPr>
                <w:rFonts w:hint="eastAsia" w:ascii="仿宋" w:hAnsi="仿宋" w:eastAsia="仿宋" w:cs="仿宋"/>
                <w:kern w:val="2"/>
                <w:sz w:val="24"/>
                <w:szCs w:val="24"/>
                <w:highlight w:val="none"/>
                <w:lang w:val="en-US" w:eastAsia="zh-CN"/>
              </w:rPr>
              <w:t>证明：</w:t>
            </w:r>
            <w:r>
              <w:rPr>
                <w:rFonts w:hint="eastAsia" w:ascii="仿宋" w:hAnsi="仿宋" w:eastAsia="仿宋" w:cs="仿宋"/>
                <w:kern w:val="2"/>
                <w:sz w:val="24"/>
                <w:szCs w:val="24"/>
                <w:highlight w:val="none"/>
              </w:rPr>
              <w:t>投标人需提供</w:t>
            </w:r>
            <w:r>
              <w:rPr>
                <w:rFonts w:hint="eastAsia" w:ascii="仿宋" w:hAnsi="仿宋" w:eastAsia="仿宋" w:cs="仿宋"/>
                <w:kern w:val="2"/>
                <w:sz w:val="24"/>
                <w:szCs w:val="24"/>
                <w:highlight w:val="none"/>
                <w:lang w:val="en-US" w:eastAsia="zh-CN"/>
              </w:rPr>
              <w:t>项目</w:t>
            </w:r>
            <w:r>
              <w:rPr>
                <w:rFonts w:hint="eastAsia" w:ascii="仿宋" w:hAnsi="仿宋" w:eastAsia="仿宋" w:cs="仿宋"/>
                <w:kern w:val="2"/>
                <w:sz w:val="24"/>
                <w:szCs w:val="24"/>
                <w:highlight w:val="none"/>
              </w:rPr>
              <w:t>合同关键页</w:t>
            </w:r>
            <w:r>
              <w:rPr>
                <w:rFonts w:hint="eastAsia" w:ascii="仿宋" w:hAnsi="仿宋" w:eastAsia="仿宋" w:cs="仿宋"/>
                <w:kern w:val="2"/>
                <w:sz w:val="24"/>
                <w:szCs w:val="24"/>
                <w:highlight w:val="none"/>
                <w:lang w:val="en-US" w:eastAsia="zh-CN"/>
              </w:rPr>
              <w:t>（内容至少包括合同首页、合同签约主体名称、采购内容页、签订合同双方的落款盖章、签订日期的关键页）；关键信息须体现团队人员姓名，通过合同关键信息无法判断是否得分的，还需同时提供能证明得分的其他证明资料，如项目报告或合同甲方出具的证明文件等。</w:t>
            </w:r>
          </w:p>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left"/>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kern w:val="2"/>
                <w:sz w:val="24"/>
                <w:szCs w:val="24"/>
                <w:highlight w:val="none"/>
                <w:lang w:val="en-US" w:eastAsia="zh-CN"/>
              </w:rPr>
              <w:t>6.</w:t>
            </w:r>
            <w:r>
              <w:rPr>
                <w:rFonts w:hint="eastAsia" w:ascii="仿宋" w:hAnsi="仿宋" w:eastAsia="仿宋" w:cs="仿宋"/>
                <w:kern w:val="2"/>
                <w:sz w:val="24"/>
                <w:szCs w:val="24"/>
                <w:highlight w:val="none"/>
              </w:rPr>
              <w:t>未提供或提供的不符合</w:t>
            </w:r>
            <w:r>
              <w:rPr>
                <w:rFonts w:hint="eastAsia" w:ascii="仿宋" w:hAnsi="仿宋" w:eastAsia="仿宋" w:cs="仿宋"/>
                <w:sz w:val="24"/>
                <w:szCs w:val="24"/>
                <w:highlight w:val="none"/>
              </w:rPr>
              <w:t>或提供不清晰导致无法判断的均不得分。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6" w:hRule="atLeast"/>
          <w:tblCellSpacing w:w="0" w:type="dxa"/>
          <w:jc w:val="center"/>
        </w:trPr>
        <w:tc>
          <w:tcPr>
            <w:tcW w:w="259" w:type="pct"/>
            <w:gridSpan w:val="3"/>
            <w:vMerge w:val="restart"/>
            <w:tcBorders>
              <w:top w:val="single" w:color="auto" w:sz="4" w:space="0"/>
              <w:left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09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highlight w:val="none"/>
                <w:lang w:val="en-US" w:eastAsia="zh-CN"/>
              </w:rPr>
            </w:pPr>
            <w:r>
              <w:rPr>
                <w:rFonts w:hint="eastAsia" w:asciiTheme="minorEastAsia" w:hAnsiTheme="minorEastAsia" w:eastAsiaTheme="minorEastAsia" w:cstheme="minorEastAsia"/>
                <w:b/>
                <w:bCs/>
                <w:color w:val="auto"/>
                <w:szCs w:val="21"/>
                <w:highlight w:val="none"/>
              </w:rPr>
              <w:t>诚信情况</w:t>
            </w:r>
          </w:p>
        </w:tc>
        <w:tc>
          <w:tcPr>
            <w:tcW w:w="364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1" w:hRule="atLeast"/>
          <w:tblCellSpacing w:w="0" w:type="dxa"/>
          <w:jc w:val="center"/>
        </w:trPr>
        <w:tc>
          <w:tcPr>
            <w:tcW w:w="259" w:type="pct"/>
            <w:gridSpan w:val="3"/>
            <w:vMerge w:val="continue"/>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jc w:val="left"/>
              <w:textAlignment w:val="auto"/>
              <w:rPr>
                <w:rFonts w:hint="eastAsia" w:ascii="仿宋" w:hAnsi="仿宋" w:eastAsia="仿宋" w:cs="仿宋"/>
                <w:sz w:val="24"/>
                <w:szCs w:val="24"/>
                <w:highlight w:val="none"/>
              </w:rPr>
            </w:pPr>
          </w:p>
        </w:tc>
        <w:tc>
          <w:tcPr>
            <w:tcW w:w="259" w:type="pct"/>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center"/>
              <w:textAlignment w:val="auto"/>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1</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诚信情况</w:t>
            </w:r>
          </w:p>
        </w:tc>
        <w:tc>
          <w:tcPr>
            <w:tcW w:w="3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648"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pPr>
              <w:pStyle w:val="8"/>
              <w:keepNext w:val="0"/>
              <w:keepLines w:val="0"/>
              <w:suppressLineNumbers w:val="0"/>
              <w:spacing w:before="0" w:beforeAutospacing="0" w:after="0" w:afterAutospacing="0"/>
              <w:ind w:left="0" w:right="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pPr>
              <w:keepNext w:val="0"/>
              <w:keepLines w:val="0"/>
              <w:pageBreakBefore w:val="0"/>
              <w:widowControl/>
              <w:suppressLineNumbers w:val="0"/>
              <w:kinsoku/>
              <w:wordWrap w:val="0"/>
              <w:overflowPunct/>
              <w:topLinePunct w:val="0"/>
              <w:autoSpaceDE/>
              <w:autoSpaceDN/>
              <w:bidi w:val="0"/>
              <w:snapToGrid/>
              <w:spacing w:before="0" w:beforeAutospacing="0" w:after="0" w:afterAutospacing="0" w:line="320" w:lineRule="exact"/>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80" w:lineRule="exact"/>
              <w:ind w:left="0" w:leftChars="0" w:right="0" w:firstLine="0" w:firstLineChars="0"/>
              <w:jc w:val="left"/>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pPr>
        <w:pStyle w:val="18"/>
        <w:keepNext w:val="0"/>
        <w:keepLines w:val="0"/>
        <w:widowControl/>
        <w:suppressLineNumbers w:val="0"/>
        <w:spacing w:before="0" w:beforeAutospacing="0" w:after="0" w:afterAutospacing="0" w:line="379" w:lineRule="auto"/>
        <w:ind w:left="0" w:leftChars="0" w:right="454" w:firstLine="0" w:firstLineChars="0"/>
        <w:jc w:val="both"/>
        <w:outlineLvl w:val="0"/>
        <w:rPr>
          <w:rFonts w:hint="eastAsia" w:ascii="仿宋" w:hAnsi="仿宋" w:eastAsia="仿宋" w:cs="仿宋"/>
          <w:b/>
          <w:bCs/>
          <w:color w:val="FF0000"/>
          <w:sz w:val="24"/>
          <w:szCs w:val="24"/>
          <w:highlight w:val="yellow"/>
        </w:rPr>
      </w:pPr>
      <w:r>
        <w:rPr>
          <w:rFonts w:hint="default" w:ascii="仿宋" w:hAnsi="仿宋" w:eastAsia="仿宋" w:cs="仿宋"/>
          <w:b/>
          <w:bCs/>
          <w:color w:val="FF0000"/>
          <w:sz w:val="24"/>
          <w:szCs w:val="24"/>
          <w:highlight w:val="yellow"/>
        </w:rPr>
        <w:t>注：以上评分项目如需提供资料/材料的，未提供证明材料或提供的不符合或专家无法凭所提供材料判断是否得分的情况，一律作不得分处理。</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2"/>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pPr>
        <w:numPr>
          <w:ilvl w:val="0"/>
          <w:numId w:val="3"/>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pPr>
        <w:numPr>
          <w:ilvl w:val="0"/>
          <w:numId w:val="3"/>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（一）具有独立法人资格或是具有独立承担民事责任能力的其他组织（提供营业执照或事业单位法人证书等证明资料扫描件，原件备查）；</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（二）本项目不接受联合体投标（由供应商作出声明，格式自拟）；</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pPr>
        <w:numPr>
          <w:ilvl w:val="0"/>
          <w:numId w:val="4"/>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综合评分法）方式进行采购；（2）仅有1家时，则本项目采用现场转为单一来源方式进行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综合评分法）方式进行采购；（2）仅有1家时，则本项目采用现场转为单一来源方式进行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pPr>
        <w:pStyle w:val="2"/>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21"/>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585"/>
        <w:gridCol w:w="3139"/>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LGZXYYZBB20250804-1</w:t>
            </w:r>
          </w:p>
        </w:tc>
        <w:tc>
          <w:tcPr>
            <w:tcW w:w="1848"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深圳市龙岗中心医院</w:t>
            </w:r>
            <w:r>
              <w:rPr>
                <w:rFonts w:hint="eastAsia" w:ascii="仿宋" w:hAnsi="仿宋" w:eastAsia="仿宋" w:cs="仿宋"/>
                <w:b w:val="0"/>
                <w:bCs w:val="0"/>
                <w:color w:val="auto"/>
                <w:sz w:val="24"/>
                <w:szCs w:val="24"/>
                <w:highlight w:val="none"/>
                <w:lang w:eastAsia="zh-CN"/>
              </w:rPr>
              <w:t>标准化智慧实验室管理平台升级</w:t>
            </w:r>
            <w:r>
              <w:rPr>
                <w:rFonts w:hint="eastAsia" w:ascii="仿宋" w:hAnsi="仿宋" w:eastAsia="仿宋" w:cs="仿宋"/>
                <w:b w:val="0"/>
                <w:bCs w:val="0"/>
                <w:color w:val="auto"/>
                <w:sz w:val="24"/>
                <w:szCs w:val="24"/>
                <w:highlight w:val="none"/>
              </w:rPr>
              <w:t>服务</w:t>
            </w:r>
          </w:p>
        </w:tc>
        <w:tc>
          <w:tcPr>
            <w:tcW w:w="1378"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180000</w:t>
            </w:r>
          </w:p>
        </w:tc>
      </w:tr>
    </w:tbl>
    <w:p>
      <w:pPr>
        <w:pStyle w:val="2"/>
        <w:spacing w:before="120" w:beforeLines="50" w:after="120" w:afterLines="50"/>
        <w:jc w:val="both"/>
        <w:rPr>
          <w:rFonts w:hint="eastAsia" w:ascii="仿宋" w:hAnsi="仿宋" w:eastAsia="仿宋" w:cs="仿宋"/>
          <w:color w:val="auto"/>
          <w:szCs w:val="24"/>
          <w:highlight w:val="none"/>
        </w:rPr>
      </w:pPr>
    </w:p>
    <w:p>
      <w:pPr>
        <w:pStyle w:val="2"/>
        <w:spacing w:before="120" w:beforeLines="50" w:after="120" w:afterLines="5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二、项目概况</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进一步提升病理科的管理水平和诊断能力，满足龙岗区区域病理中心及龙岗区医学重点学科的要求，需要建设一套符合ISO15189实验室认可标准的管理系统。系统需具备强大的数据存储和备份功能，确保所有病理资料的安全保存，并支持随时查询和调阅。</w:t>
      </w:r>
    </w:p>
    <w:p>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rPr>
        <w:t>三、</w:t>
      </w:r>
      <w:bookmarkStart w:id="1" w:name="_Hlk72073432"/>
      <w:r>
        <w:rPr>
          <w:rFonts w:hint="eastAsia" w:ascii="仿宋" w:hAnsi="仿宋" w:eastAsia="仿宋" w:cs="仿宋"/>
          <w:szCs w:val="24"/>
          <w:highlight w:val="none"/>
        </w:rPr>
        <w:t>服务需求明细</w:t>
      </w:r>
      <w:bookmarkEnd w:id="1"/>
    </w:p>
    <w:tbl>
      <w:tblPr>
        <w:tblStyle w:val="21"/>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496"/>
        <w:gridCol w:w="1615"/>
        <w:gridCol w:w="569"/>
        <w:gridCol w:w="774"/>
        <w:gridCol w:w="1299"/>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2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1012"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服务需求名称</w:t>
            </w:r>
          </w:p>
        </w:tc>
        <w:tc>
          <w:tcPr>
            <w:tcW w:w="373"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493"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80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最高单价限价（元）</w:t>
            </w:r>
          </w:p>
        </w:tc>
        <w:tc>
          <w:tcPr>
            <w:tcW w:w="80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8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2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LGZXYYZBB20250804-1</w:t>
            </w:r>
          </w:p>
        </w:tc>
        <w:tc>
          <w:tcPr>
            <w:tcW w:w="1012"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 w:val="0"/>
                <w:bCs w:val="0"/>
                <w:color w:val="auto"/>
                <w:sz w:val="24"/>
                <w:szCs w:val="24"/>
                <w:highlight w:val="none"/>
                <w:lang w:eastAsia="zh-CN"/>
              </w:rPr>
              <w:t>标准化智慧实验室管理平台升级</w:t>
            </w:r>
            <w:r>
              <w:rPr>
                <w:rFonts w:hint="eastAsia" w:ascii="仿宋" w:hAnsi="仿宋" w:eastAsia="仿宋" w:cs="仿宋"/>
                <w:b w:val="0"/>
                <w:bCs w:val="0"/>
                <w:color w:val="auto"/>
                <w:sz w:val="24"/>
                <w:szCs w:val="24"/>
                <w:highlight w:val="none"/>
              </w:rPr>
              <w:t>服务</w:t>
            </w:r>
          </w:p>
        </w:tc>
        <w:tc>
          <w:tcPr>
            <w:tcW w:w="373" w:type="pct"/>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lang w:val="en-US" w:eastAsia="zh-CN"/>
              </w:rPr>
              <w:t>1</w:t>
            </w:r>
          </w:p>
        </w:tc>
        <w:tc>
          <w:tcPr>
            <w:tcW w:w="493" w:type="pct"/>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项</w:t>
            </w:r>
          </w:p>
        </w:tc>
        <w:tc>
          <w:tcPr>
            <w:tcW w:w="801"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180000</w:t>
            </w:r>
          </w:p>
        </w:tc>
        <w:tc>
          <w:tcPr>
            <w:tcW w:w="80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180000</w:t>
            </w:r>
          </w:p>
        </w:tc>
      </w:tr>
    </w:tbl>
    <w:p>
      <w:pPr>
        <w:pStyle w:val="2"/>
        <w:spacing w:before="120" w:beforeLines="50" w:after="120" w:afterLines="50"/>
        <w:rPr>
          <w:rFonts w:hint="eastAsia" w:ascii="仿宋" w:hAnsi="仿宋" w:eastAsia="仿宋" w:cs="仿宋"/>
          <w:szCs w:val="24"/>
          <w:highlight w:val="none"/>
        </w:rPr>
      </w:pPr>
    </w:p>
    <w:p>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rPr>
        <w:t>四、实质性条款</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vAlign w:val="top"/>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69" w:type="pct"/>
            <w:vAlign w:val="top"/>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69" w:type="pct"/>
            <w:vAlign w:val="top"/>
          </w:tcPr>
          <w:p>
            <w:pPr>
              <w:keepNext w:val="0"/>
              <w:keepLines w:val="0"/>
              <w:suppressLineNumbers w:val="0"/>
              <w:spacing w:before="0" w:beforeAutospacing="0" w:after="0" w:afterAutospacing="0"/>
              <w:ind w:left="0" w:right="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★人员类别</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★人员数量</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★人员必须具备条件</w:t>
            </w:r>
          </w:p>
          <w:p>
            <w:pPr>
              <w:keepNext w:val="0"/>
              <w:keepLines w:val="0"/>
              <w:suppressLineNumbers w:val="0"/>
              <w:spacing w:before="0" w:beforeAutospacing="0" w:after="0" w:afterAutospacing="0"/>
              <w:ind w:left="0" w:right="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项目负责人</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1人</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投标人自有员工</w:t>
            </w:r>
          </w:p>
          <w:p>
            <w:pPr>
              <w:keepNext w:val="0"/>
              <w:keepLines w:val="0"/>
              <w:suppressLineNumbers w:val="0"/>
              <w:spacing w:before="0" w:beforeAutospacing="0" w:after="0" w:afterAutospacing="0"/>
              <w:ind w:left="0" w:right="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团队成员</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2人</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投标人自有员工</w:t>
            </w:r>
          </w:p>
        </w:tc>
      </w:tr>
    </w:tbl>
    <w:p>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pPr>
        <w:rPr>
          <w:rFonts w:hint="eastAsia" w:ascii="仿宋" w:hAnsi="仿宋" w:eastAsia="仿宋" w:cs="仿宋"/>
          <w:b/>
          <w:bCs/>
          <w:sz w:val="24"/>
          <w:highlight w:val="none"/>
        </w:rPr>
      </w:pPr>
    </w:p>
    <w:p>
      <w:pPr>
        <w:ind w:left="2800"/>
        <w:jc w:val="left"/>
        <w:outlineLvl w:val="0"/>
        <w:rPr>
          <w:rFonts w:hint="eastAsia" w:ascii="仿宋" w:hAnsi="仿宋" w:eastAsia="仿宋" w:cs="仿宋"/>
          <w:b/>
          <w:bCs w:val="0"/>
          <w:kern w:val="0"/>
          <w:sz w:val="24"/>
          <w:szCs w:val="24"/>
          <w:highlight w:val="none"/>
          <w:lang w:val="en-US" w:eastAsia="zh-CN" w:bidi="ar-SA"/>
        </w:rPr>
      </w:pPr>
    </w:p>
    <w:p>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五、技术要求</w:t>
      </w:r>
    </w:p>
    <w:p>
      <w:pPr>
        <w:spacing w:line="500" w:lineRule="exact"/>
        <w:rPr>
          <w:rFonts w:hint="default"/>
          <w:lang w:val="en-US"/>
        </w:rPr>
      </w:pPr>
      <w:r>
        <w:rPr>
          <w:rFonts w:hint="eastAsia" w:ascii="仿宋" w:hAnsi="仿宋" w:eastAsia="仿宋" w:cs="仿宋"/>
          <w:b/>
          <w:bCs w:val="0"/>
          <w:kern w:val="0"/>
          <w:sz w:val="24"/>
          <w:szCs w:val="24"/>
          <w:highlight w:val="none"/>
          <w:lang w:val="en-US" w:eastAsia="zh-CN" w:bidi="ar-SA"/>
        </w:rPr>
        <w:t>（一）技术参数</w:t>
      </w:r>
    </w:p>
    <w:tbl>
      <w:tblPr>
        <w:tblStyle w:val="21"/>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004"/>
        <w:gridCol w:w="7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50" w:type="dxa"/>
            <w:vAlign w:val="center"/>
          </w:tcPr>
          <w:p>
            <w:pPr>
              <w:keepNext w:val="0"/>
              <w:keepLines w:val="0"/>
              <w:suppressLineNumbers w:val="0"/>
              <w:spacing w:before="0" w:beforeAutospacing="0" w:after="0" w:afterAutospacing="0"/>
              <w:ind w:left="0" w:right="0"/>
              <w:jc w:val="center"/>
              <w:rPr>
                <w:rFonts w:hint="default" w:ascii="宋体" w:hAnsi="宋体"/>
                <w:bCs/>
                <w:color w:val="auto"/>
                <w:szCs w:val="21"/>
                <w:highlight w:val="none"/>
              </w:rPr>
            </w:pPr>
            <w:r>
              <w:rPr>
                <w:rFonts w:hint="eastAsia" w:ascii="宋体" w:hAnsi="宋体"/>
                <w:bCs/>
                <w:color w:val="auto"/>
                <w:szCs w:val="21"/>
                <w:highlight w:val="none"/>
              </w:rPr>
              <w:t>序号</w:t>
            </w:r>
          </w:p>
        </w:tc>
        <w:tc>
          <w:tcPr>
            <w:tcW w:w="1004" w:type="dxa"/>
            <w:vAlign w:val="center"/>
          </w:tcPr>
          <w:p>
            <w:pPr>
              <w:keepNext w:val="0"/>
              <w:keepLines w:val="0"/>
              <w:suppressLineNumbers w:val="0"/>
              <w:spacing w:before="0" w:beforeAutospacing="0" w:after="0" w:afterAutospacing="0"/>
              <w:ind w:left="0" w:right="0"/>
              <w:jc w:val="center"/>
              <w:rPr>
                <w:rFonts w:hint="default" w:ascii="宋体" w:hAnsi="宋体"/>
                <w:bCs/>
                <w:color w:val="auto"/>
                <w:szCs w:val="21"/>
                <w:highlight w:val="none"/>
              </w:rPr>
            </w:pPr>
            <w:r>
              <w:rPr>
                <w:rFonts w:hint="eastAsia" w:ascii="宋体" w:hAnsi="宋体"/>
                <w:bCs/>
                <w:color w:val="auto"/>
                <w:szCs w:val="21"/>
                <w:highlight w:val="none"/>
                <w:lang w:val="en-US" w:eastAsia="zh-CN"/>
              </w:rPr>
              <w:t>模块</w:t>
            </w:r>
            <w:r>
              <w:rPr>
                <w:rFonts w:hint="eastAsia" w:ascii="宋体" w:hAnsi="宋体"/>
                <w:bCs/>
                <w:color w:val="auto"/>
                <w:szCs w:val="21"/>
                <w:highlight w:val="none"/>
              </w:rPr>
              <w:t>名称</w:t>
            </w:r>
          </w:p>
        </w:tc>
        <w:tc>
          <w:tcPr>
            <w:tcW w:w="7474" w:type="dxa"/>
            <w:vAlign w:val="center"/>
          </w:tcPr>
          <w:p>
            <w:pPr>
              <w:keepNext w:val="0"/>
              <w:keepLines w:val="0"/>
              <w:suppressLineNumbers w:val="0"/>
              <w:spacing w:before="0" w:beforeAutospacing="0" w:after="0" w:afterAutospacing="0"/>
              <w:ind w:left="0" w:right="0"/>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50" w:type="dxa"/>
            <w:vAlign w:val="center"/>
          </w:tcPr>
          <w:p>
            <w:pPr>
              <w:keepNext w:val="0"/>
              <w:keepLines w:val="0"/>
              <w:numPr>
                <w:ilvl w:val="0"/>
                <w:numId w:val="5"/>
              </w:numPr>
              <w:suppressLineNumbers w:val="0"/>
              <w:spacing w:before="0" w:beforeAutospacing="0" w:after="0" w:afterAutospacing="0"/>
              <w:ind w:left="425" w:leftChars="0" w:right="0" w:hanging="425" w:firstLineChars="0"/>
              <w:rPr>
                <w:rFonts w:hint="default" w:ascii="宋体" w:hAnsi="宋体"/>
                <w:bCs/>
                <w:color w:val="auto"/>
                <w:szCs w:val="21"/>
                <w:highlight w:val="none"/>
              </w:rPr>
            </w:pPr>
          </w:p>
        </w:tc>
        <w:tc>
          <w:tcPr>
            <w:tcW w:w="1004" w:type="dxa"/>
            <w:vAlign w:val="center"/>
          </w:tcPr>
          <w:p>
            <w:pPr>
              <w:keepNext w:val="0"/>
              <w:keepLines w:val="0"/>
              <w:suppressLineNumbers w:val="0"/>
              <w:spacing w:before="0" w:beforeAutospacing="0" w:after="0" w:afterAutospacing="0"/>
              <w:ind w:left="0" w:right="0"/>
              <w:jc w:val="center"/>
              <w:rPr>
                <w:rFonts w:hint="default" w:ascii="宋体" w:hAnsi="宋体"/>
                <w:bCs/>
                <w:color w:val="auto"/>
                <w:szCs w:val="21"/>
                <w:highlight w:val="none"/>
              </w:rPr>
            </w:pPr>
            <w:r>
              <w:rPr>
                <w:rFonts w:hint="eastAsia" w:ascii="宋体" w:hAnsi="宋体" w:cs="宋体"/>
                <w:b w:val="0"/>
                <w:bCs w:val="0"/>
                <w:color w:val="auto"/>
                <w:szCs w:val="21"/>
                <w:highlight w:val="none"/>
                <w:lang w:val="en-US" w:eastAsia="zh-CN"/>
              </w:rPr>
              <w:t>文件管理</w:t>
            </w:r>
          </w:p>
        </w:tc>
        <w:tc>
          <w:tcPr>
            <w:tcW w:w="7474" w:type="dxa"/>
            <w:vAlign w:val="center"/>
          </w:tcPr>
          <w:p>
            <w:pPr>
              <w:keepNext w:val="0"/>
              <w:keepLines w:val="0"/>
              <w:numPr>
                <w:ilvl w:val="0"/>
                <w:numId w:val="6"/>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满足ISO 15189:2022版标准8.2和8.3的认可要求，支持内部文件、外部文件在线预览、下载管理、文档查阅记录功能；</w:t>
            </w:r>
          </w:p>
          <w:p>
            <w:pPr>
              <w:keepNext w:val="0"/>
              <w:keepLines w:val="0"/>
              <w:numPr>
                <w:ilvl w:val="0"/>
                <w:numId w:val="6"/>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支持查看文件信息、历史记录及阅读量；</w:t>
            </w:r>
          </w:p>
          <w:p>
            <w:pPr>
              <w:keepNext w:val="0"/>
              <w:keepLines w:val="0"/>
              <w:numPr>
                <w:ilvl w:val="0"/>
                <w:numId w:val="6"/>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支持文件电子归档，文件管理流程</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新建、修订、审核、批准、发布、借阅、废止等</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符合ISO15189：2022规范要求；</w:t>
            </w:r>
          </w:p>
          <w:p>
            <w:pPr>
              <w:pStyle w:val="52"/>
              <w:numPr>
                <w:ilvl w:val="0"/>
                <w:numId w:val="6"/>
              </w:numPr>
              <w:ind w:left="425" w:leftChars="0" w:hanging="425"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支持在线协同编辑；</w:t>
            </w:r>
          </w:p>
          <w:p>
            <w:pPr>
              <w:pStyle w:val="52"/>
              <w:numPr>
                <w:ilvl w:val="0"/>
                <w:numId w:val="6"/>
              </w:numPr>
              <w:ind w:left="425" w:leftChars="0" w:hanging="425" w:firstLineChars="0"/>
              <w:jc w:val="left"/>
              <w:rPr>
                <w:rFonts w:hint="eastAsia" w:ascii="宋体" w:hAnsi="宋体" w:cs="宋体"/>
                <w:b w:val="0"/>
                <w:bCs w:val="0"/>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支持批量上传文件，文件格式包含:doc/docx、xls/xlsx、ppt/pptx、pdf、txt、png/jpg/jpeg/bmp；</w:t>
            </w:r>
          </w:p>
          <w:p>
            <w:pPr>
              <w:pStyle w:val="52"/>
              <w:numPr>
                <w:ilvl w:val="0"/>
                <w:numId w:val="6"/>
              </w:numPr>
              <w:ind w:left="425" w:leftChars="0" w:hanging="425" w:firstLineChars="0"/>
              <w:jc w:val="both"/>
              <w:rPr>
                <w:rFonts w:ascii="宋体" w:hAnsi="宋体"/>
                <w:bCs/>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满足文件评审的要求，支持文件评审的流程制度、实施和报告生成</w:t>
            </w:r>
            <w:r>
              <w:rPr>
                <w:rFonts w:hint="eastAsia" w:ascii="宋体" w:hAnsi="宋体" w:cs="宋体"/>
                <w:b w:val="0"/>
                <w:bCs w:val="0"/>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50" w:type="dxa"/>
            <w:vAlign w:val="center"/>
          </w:tcPr>
          <w:p>
            <w:pPr>
              <w:keepNext w:val="0"/>
              <w:keepLines w:val="0"/>
              <w:numPr>
                <w:ilvl w:val="0"/>
                <w:numId w:val="5"/>
              </w:numPr>
              <w:suppressLineNumbers w:val="0"/>
              <w:spacing w:before="0" w:beforeAutospacing="0" w:after="0" w:afterAutospacing="0"/>
              <w:ind w:left="425" w:leftChars="0" w:right="0" w:hanging="425" w:firstLineChars="0"/>
              <w:rPr>
                <w:rFonts w:hint="default" w:ascii="宋体" w:hAnsi="宋体"/>
                <w:bCs/>
                <w:color w:val="auto"/>
                <w:szCs w:val="21"/>
                <w:highlight w:val="none"/>
              </w:rPr>
            </w:pPr>
          </w:p>
        </w:tc>
        <w:tc>
          <w:tcPr>
            <w:tcW w:w="1004" w:type="dxa"/>
            <w:vAlign w:val="center"/>
          </w:tcPr>
          <w:p>
            <w:pPr>
              <w:keepNext w:val="0"/>
              <w:keepLines w:val="0"/>
              <w:suppressLineNumbers w:val="0"/>
              <w:spacing w:before="0" w:beforeAutospacing="0" w:after="0" w:afterAutospacing="0"/>
              <w:ind w:left="0" w:right="0"/>
              <w:jc w:val="center"/>
              <w:rPr>
                <w:rFonts w:hint="default" w:ascii="宋体" w:hAnsi="宋体"/>
                <w:bCs/>
                <w:color w:val="auto"/>
                <w:szCs w:val="21"/>
                <w:highlight w:val="none"/>
              </w:rPr>
            </w:pPr>
            <w:r>
              <w:rPr>
                <w:rFonts w:hint="eastAsia" w:ascii="宋体" w:hAnsi="宋体" w:cs="宋体"/>
                <w:b w:val="0"/>
                <w:bCs w:val="0"/>
                <w:color w:val="auto"/>
                <w:szCs w:val="21"/>
                <w:highlight w:val="none"/>
                <w:lang w:val="en-US" w:eastAsia="zh-CN"/>
              </w:rPr>
              <w:t>电子记录</w:t>
            </w:r>
          </w:p>
        </w:tc>
        <w:tc>
          <w:tcPr>
            <w:tcW w:w="7474" w:type="dxa"/>
            <w:vAlign w:val="center"/>
          </w:tcPr>
          <w:p>
            <w:pPr>
              <w:keepNext w:val="0"/>
              <w:keepLines w:val="0"/>
              <w:numPr>
                <w:ilvl w:val="0"/>
                <w:numId w:val="7"/>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按照 ISO 15189：2022条款要求进行分类，所有记录进行电子化，</w:t>
            </w:r>
            <w:r>
              <w:rPr>
                <w:rFonts w:hint="eastAsia" w:ascii="宋体" w:hAnsi="宋体" w:cs="宋体"/>
                <w:b w:val="0"/>
                <w:bCs w:val="0"/>
                <w:color w:val="auto"/>
                <w:sz w:val="21"/>
                <w:szCs w:val="21"/>
                <w:highlight w:val="none"/>
                <w:lang w:val="en-US" w:eastAsia="zh-CN"/>
              </w:rPr>
              <w:t>工作</w:t>
            </w:r>
            <w:r>
              <w:rPr>
                <w:rFonts w:hint="eastAsia" w:ascii="宋体" w:hAnsi="宋体" w:eastAsia="宋体" w:cs="宋体"/>
                <w:b w:val="0"/>
                <w:bCs w:val="0"/>
                <w:color w:val="auto"/>
                <w:sz w:val="21"/>
                <w:szCs w:val="21"/>
                <w:highlight w:val="none"/>
                <w:lang w:val="en-US" w:eastAsia="zh-CN"/>
              </w:rPr>
              <w:t>人员按分类索引可快捷找到所需表单；</w:t>
            </w:r>
          </w:p>
          <w:p>
            <w:pPr>
              <w:keepNext w:val="0"/>
              <w:keepLines w:val="0"/>
              <w:numPr>
                <w:ilvl w:val="0"/>
                <w:numId w:val="7"/>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各专业组</w:t>
            </w:r>
            <w:r>
              <w:rPr>
                <w:rFonts w:hint="eastAsia" w:ascii="宋体" w:hAnsi="宋体" w:cs="宋体"/>
                <w:b w:val="0"/>
                <w:bCs w:val="0"/>
                <w:color w:val="auto"/>
                <w:sz w:val="21"/>
                <w:szCs w:val="21"/>
                <w:highlight w:val="none"/>
                <w:lang w:val="en-US" w:eastAsia="zh-CN"/>
              </w:rPr>
              <w:t>（常规技术组、病理诊断组、分子病理组、免疫组织组、细胞病例组）</w:t>
            </w:r>
            <w:r>
              <w:rPr>
                <w:rFonts w:hint="eastAsia" w:ascii="宋体" w:hAnsi="宋体" w:eastAsia="宋体" w:cs="宋体"/>
                <w:b w:val="0"/>
                <w:bCs w:val="0"/>
                <w:color w:val="auto"/>
                <w:sz w:val="21"/>
                <w:szCs w:val="21"/>
                <w:highlight w:val="none"/>
                <w:lang w:val="en-US" w:eastAsia="zh-CN"/>
              </w:rPr>
              <w:t>表单记录电子化；</w:t>
            </w:r>
          </w:p>
          <w:p>
            <w:pPr>
              <w:keepNext w:val="0"/>
              <w:keepLines w:val="0"/>
              <w:numPr>
                <w:ilvl w:val="0"/>
                <w:numId w:val="7"/>
              </w:numPr>
              <w:suppressLineNumbers w:val="0"/>
              <w:spacing w:before="0" w:beforeAutospacing="0" w:after="0" w:afterAutospacing="0"/>
              <w:ind w:left="425" w:leftChars="0" w:right="0" w:hanging="425" w:firstLineChars="0"/>
              <w:rPr>
                <w:rFonts w:hint="eastAsia" w:ascii="宋体" w:hAnsi="宋体" w:cs="宋体"/>
                <w:b w:val="0"/>
                <w:bCs w:val="0"/>
                <w:color w:val="auto"/>
                <w:szCs w:val="21"/>
                <w:highlight w:val="none"/>
              </w:rPr>
            </w:pPr>
            <w:r>
              <w:rPr>
                <w:rFonts w:hint="eastAsia" w:ascii="宋体" w:hAnsi="宋体" w:eastAsia="宋体" w:cs="宋体"/>
                <w:b w:val="0"/>
                <w:bCs w:val="0"/>
                <w:color w:val="auto"/>
                <w:sz w:val="21"/>
                <w:szCs w:val="21"/>
                <w:highlight w:val="none"/>
                <w:lang w:val="en-US" w:eastAsia="zh-CN"/>
              </w:rPr>
              <w:t>针对其中多环节的记录表格，采用流程化管理，流转分配给相应岗位的工作人员。流程结束支持表单自动生成，可打印、导出PDF格式文件；</w:t>
            </w:r>
          </w:p>
          <w:p>
            <w:pPr>
              <w:keepNext w:val="0"/>
              <w:keepLines w:val="0"/>
              <w:numPr>
                <w:ilvl w:val="0"/>
                <w:numId w:val="7"/>
              </w:numPr>
              <w:suppressLineNumbers w:val="0"/>
              <w:spacing w:before="0" w:beforeAutospacing="0" w:after="0" w:afterAutospacing="0"/>
              <w:ind w:left="425" w:leftChars="0" w:right="0" w:hanging="425" w:firstLineChars="0"/>
              <w:rPr>
                <w:rFonts w:hint="default" w:ascii="宋体" w:hAnsi="宋体"/>
                <w:bCs/>
                <w:color w:val="auto"/>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表单格式和记录流程可自定义配置</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全面满足ISO15189:2022中8.3和8.4的要求。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50" w:type="dxa"/>
            <w:vAlign w:val="center"/>
          </w:tcPr>
          <w:p>
            <w:pPr>
              <w:keepNext w:val="0"/>
              <w:keepLines w:val="0"/>
              <w:numPr>
                <w:ilvl w:val="0"/>
                <w:numId w:val="5"/>
              </w:numPr>
              <w:suppressLineNumbers w:val="0"/>
              <w:spacing w:before="0" w:beforeAutospacing="0" w:after="0" w:afterAutospacing="0"/>
              <w:ind w:left="425" w:leftChars="0" w:right="0" w:hanging="425" w:firstLineChars="0"/>
              <w:rPr>
                <w:rFonts w:hint="default" w:ascii="宋体" w:hAnsi="宋体"/>
                <w:bCs/>
                <w:color w:val="auto"/>
                <w:szCs w:val="21"/>
                <w:highlight w:val="none"/>
              </w:rPr>
            </w:pPr>
          </w:p>
        </w:tc>
        <w:tc>
          <w:tcPr>
            <w:tcW w:w="1004" w:type="dxa"/>
            <w:vAlign w:val="center"/>
          </w:tcPr>
          <w:p>
            <w:pPr>
              <w:keepNext w:val="0"/>
              <w:keepLines w:val="0"/>
              <w:suppressLineNumbers w:val="0"/>
              <w:spacing w:before="0" w:beforeAutospacing="0" w:after="0" w:afterAutospacing="0"/>
              <w:ind w:left="0" w:right="0"/>
              <w:jc w:val="center"/>
              <w:rPr>
                <w:rFonts w:hint="default" w:ascii="宋体" w:hAnsi="宋体"/>
                <w:bCs/>
                <w:color w:val="auto"/>
                <w:szCs w:val="21"/>
                <w:highlight w:val="none"/>
              </w:rPr>
            </w:pPr>
            <w:r>
              <w:rPr>
                <w:rFonts w:hint="eastAsia" w:ascii="宋体" w:hAnsi="宋体" w:cs="宋体"/>
                <w:b w:val="0"/>
                <w:bCs w:val="0"/>
                <w:color w:val="auto"/>
                <w:szCs w:val="21"/>
                <w:highlight w:val="none"/>
                <w:lang w:val="en-US" w:eastAsia="zh-CN"/>
              </w:rPr>
              <w:t>人事管理</w:t>
            </w:r>
          </w:p>
        </w:tc>
        <w:tc>
          <w:tcPr>
            <w:tcW w:w="7474" w:type="dxa"/>
            <w:vAlign w:val="center"/>
          </w:tcPr>
          <w:p>
            <w:pPr>
              <w:keepNext w:val="0"/>
              <w:keepLines w:val="0"/>
              <w:numPr>
                <w:ilvl w:val="0"/>
                <w:numId w:val="8"/>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系统从科室维度登记人员的各个维度信息，包括参加岗位培训、岗位能力评估、继续教育、培训进修、论文专著、社会任职的情况，通过系统提供丰富的查询维度，可方便查询科室各种查询条件下的人员维度信息；</w:t>
            </w:r>
          </w:p>
          <w:p>
            <w:pPr>
              <w:keepNext w:val="0"/>
              <w:keepLines w:val="0"/>
              <w:numPr>
                <w:ilvl w:val="0"/>
                <w:numId w:val="8"/>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符合 ISO 15189:2022 要求的实验室人员电子档案管理功能，内容包括人员基本信息、教育经历、工作经历、专业轮岗记录、培训记录、进修记录、继续教育、论文专著、社会任职、资质证书、科研成果、个人健康信息；</w:t>
            </w:r>
          </w:p>
          <w:p>
            <w:pPr>
              <w:keepNext w:val="0"/>
              <w:keepLines w:val="0"/>
              <w:numPr>
                <w:ilvl w:val="0"/>
                <w:numId w:val="8"/>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人事管理系统能实现与电子记录相关联，系统内个人技术培训记录自动存入个人电子档案；</w:t>
            </w:r>
          </w:p>
          <w:p>
            <w:pPr>
              <w:keepNext w:val="0"/>
              <w:keepLines w:val="0"/>
              <w:numPr>
                <w:ilvl w:val="0"/>
                <w:numId w:val="8"/>
              </w:numPr>
              <w:suppressLineNumbers w:val="0"/>
              <w:spacing w:before="0" w:beforeAutospacing="0" w:after="0" w:afterAutospacing="0"/>
              <w:ind w:left="425" w:leftChars="0" w:right="0" w:hanging="425" w:firstLineChars="0"/>
              <w:rPr>
                <w:rFonts w:hint="eastAsia" w:ascii="宋体" w:hAnsi="宋体" w:cs="宋体"/>
                <w:b w:val="0"/>
                <w:bCs w:val="0"/>
                <w:color w:val="auto"/>
                <w:szCs w:val="21"/>
                <w:highlight w:val="none"/>
              </w:rPr>
            </w:pPr>
            <w:r>
              <w:rPr>
                <w:rFonts w:hint="eastAsia" w:ascii="宋体" w:hAnsi="宋体" w:eastAsia="宋体" w:cs="宋体"/>
                <w:b w:val="0"/>
                <w:bCs w:val="0"/>
                <w:color w:val="auto"/>
                <w:sz w:val="21"/>
                <w:szCs w:val="21"/>
                <w:highlight w:val="none"/>
                <w:lang w:val="en-US" w:eastAsia="zh-CN"/>
              </w:rPr>
              <w:t>岗位培训、能力评估、授权记录管理通过流程式表单进行登记和审批；</w:t>
            </w:r>
          </w:p>
          <w:p>
            <w:pPr>
              <w:keepNext w:val="0"/>
              <w:keepLines w:val="0"/>
              <w:numPr>
                <w:ilvl w:val="0"/>
                <w:numId w:val="8"/>
              </w:numPr>
              <w:suppressLineNumbers w:val="0"/>
              <w:spacing w:before="0" w:beforeAutospacing="0" w:after="0" w:afterAutospacing="0"/>
              <w:ind w:left="425" w:leftChars="0" w:right="0" w:hanging="425" w:firstLineChars="0"/>
              <w:rPr>
                <w:rFonts w:hint="default" w:ascii="宋体" w:hAnsi="宋体"/>
                <w:bCs/>
                <w:color w:val="auto"/>
                <w:szCs w:val="21"/>
                <w:highlight w:val="none"/>
              </w:rPr>
            </w:pPr>
            <w:r>
              <w:rPr>
                <w:rFonts w:hint="eastAsia" w:ascii="宋体" w:hAnsi="宋体" w:eastAsia="宋体" w:cs="宋体"/>
                <w:b w:val="0"/>
                <w:bCs w:val="0"/>
                <w:color w:val="auto"/>
                <w:sz w:val="21"/>
                <w:szCs w:val="21"/>
                <w:highlight w:val="none"/>
                <w:lang w:val="en-US" w:eastAsia="zh-CN"/>
              </w:rPr>
              <w:t>支持各种支撑材料可实现拍照或扫描录入。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50" w:type="dxa"/>
            <w:vAlign w:val="center"/>
          </w:tcPr>
          <w:p>
            <w:pPr>
              <w:keepNext w:val="0"/>
              <w:keepLines w:val="0"/>
              <w:numPr>
                <w:ilvl w:val="0"/>
                <w:numId w:val="5"/>
              </w:numPr>
              <w:suppressLineNumbers w:val="0"/>
              <w:spacing w:before="0" w:beforeAutospacing="0" w:after="0" w:afterAutospacing="0"/>
              <w:ind w:left="425" w:leftChars="0" w:right="0" w:hanging="425" w:firstLineChars="0"/>
              <w:rPr>
                <w:rFonts w:hint="default" w:ascii="宋体" w:hAnsi="宋体"/>
                <w:bCs/>
                <w:color w:val="auto"/>
                <w:szCs w:val="21"/>
                <w:highlight w:val="none"/>
              </w:rPr>
            </w:pPr>
          </w:p>
        </w:tc>
        <w:tc>
          <w:tcPr>
            <w:tcW w:w="1004" w:type="dxa"/>
            <w:vAlign w:val="center"/>
          </w:tcPr>
          <w:p>
            <w:pPr>
              <w:keepNext w:val="0"/>
              <w:keepLines w:val="0"/>
              <w:suppressLineNumbers w:val="0"/>
              <w:spacing w:before="0" w:beforeAutospacing="0" w:after="0" w:afterAutospacing="0"/>
              <w:ind w:left="0" w:right="0"/>
              <w:jc w:val="center"/>
              <w:rPr>
                <w:rFonts w:hint="default" w:ascii="宋体" w:hAnsi="宋体"/>
                <w:bCs/>
                <w:color w:val="auto"/>
                <w:szCs w:val="21"/>
                <w:highlight w:val="none"/>
              </w:rPr>
            </w:pPr>
            <w:r>
              <w:rPr>
                <w:rFonts w:hint="eastAsia" w:ascii="宋体" w:hAnsi="宋体" w:cs="宋体"/>
                <w:b w:val="0"/>
                <w:bCs w:val="0"/>
                <w:color w:val="auto"/>
                <w:szCs w:val="21"/>
                <w:highlight w:val="none"/>
                <w:lang w:val="en-US" w:eastAsia="zh-CN"/>
              </w:rPr>
              <w:t>设备管理</w:t>
            </w:r>
          </w:p>
        </w:tc>
        <w:tc>
          <w:tcPr>
            <w:tcW w:w="7474" w:type="dxa"/>
            <w:vAlign w:val="center"/>
          </w:tcPr>
          <w:p>
            <w:pPr>
              <w:keepNext w:val="0"/>
              <w:keepLines w:val="0"/>
              <w:numPr>
                <w:ilvl w:val="0"/>
                <w:numId w:val="9"/>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通过一个表格即可快速有效展示本实验室内所有仪器设备的基本情况，并提供丰富的检索条件，可根据需求快速检索出需要查看的仪器设备列表；</w:t>
            </w:r>
          </w:p>
          <w:p>
            <w:pPr>
              <w:pStyle w:val="52"/>
              <w:numPr>
                <w:ilvl w:val="0"/>
                <w:numId w:val="9"/>
              </w:numPr>
              <w:ind w:left="425" w:leftChars="0" w:hanging="425"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覆盖设备整个生命周期的各个环节，建立设备层次结构、位置体系和分类体系；</w:t>
            </w:r>
          </w:p>
          <w:p>
            <w:pPr>
              <w:pStyle w:val="52"/>
              <w:numPr>
                <w:ilvl w:val="0"/>
                <w:numId w:val="9"/>
              </w:numPr>
              <w:ind w:left="425" w:leftChars="0" w:hanging="425"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按照ISO15189:2022的要求建立完备的设备档案，设备信息完整，包括设备基本信息、仪器类别、所属部门、负责人、厂商、供应商，可上传三证、说明书等资料；</w:t>
            </w:r>
          </w:p>
          <w:p>
            <w:pPr>
              <w:pStyle w:val="52"/>
              <w:numPr>
                <w:ilvl w:val="0"/>
                <w:numId w:val="9"/>
              </w:numPr>
              <w:ind w:left="425" w:leftChars="0" w:hanging="425" w:firstLine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设备信息可按部门、岗位、负责人等自定义分类规则索引，相关信息可在全平台调用；</w:t>
            </w:r>
          </w:p>
          <w:p>
            <w:pPr>
              <w:pStyle w:val="52"/>
              <w:numPr>
                <w:ilvl w:val="0"/>
                <w:numId w:val="9"/>
              </w:numPr>
              <w:ind w:left="425" w:leftChars="0" w:hanging="425" w:firstLineChars="0"/>
              <w:jc w:val="both"/>
              <w:rPr>
                <w:rFonts w:hint="eastAsia" w:ascii="宋体" w:hAnsi="宋体" w:cs="宋体"/>
                <w:b w:val="0"/>
                <w:bCs w:val="0"/>
                <w:color w:val="auto"/>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与电子记录关联，建立和共享设备校准记录、维护保养记录、维修记录。 自动统计分析设备情况，包括资产总值、大小型设备分布情况、专业组设备情况等；</w:t>
            </w:r>
          </w:p>
          <w:p>
            <w:pPr>
              <w:pStyle w:val="52"/>
              <w:numPr>
                <w:ilvl w:val="0"/>
                <w:numId w:val="9"/>
              </w:numPr>
              <w:ind w:left="425" w:leftChars="0" w:hanging="425" w:firstLineChars="0"/>
              <w:jc w:val="both"/>
              <w:rPr>
                <w:rFonts w:ascii="宋体" w:hAnsi="宋体"/>
                <w:bCs/>
                <w:color w:val="auto"/>
                <w:szCs w:val="21"/>
                <w:highlight w:val="none"/>
              </w:rPr>
            </w:pPr>
            <w:r>
              <w:rPr>
                <w:rFonts w:hint="eastAsia" w:ascii="宋体" w:hAnsi="宋体" w:eastAsia="宋体" w:cs="宋体"/>
                <w:b w:val="0"/>
                <w:bCs w:val="0"/>
                <w:color w:val="auto"/>
                <w:sz w:val="21"/>
                <w:szCs w:val="21"/>
                <w:highlight w:val="none"/>
                <w:lang w:val="en-US" w:eastAsia="zh-CN"/>
              </w:rPr>
              <w:t>系统可按计划按时提醒工作人员执行相关计划，并快捷执行</w:t>
            </w:r>
            <w:r>
              <w:rPr>
                <w:rFonts w:hint="eastAsia" w:ascii="宋体" w:hAnsi="宋体" w:cs="宋体"/>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50" w:type="dxa"/>
            <w:vAlign w:val="center"/>
          </w:tcPr>
          <w:p>
            <w:pPr>
              <w:keepNext w:val="0"/>
              <w:keepLines w:val="0"/>
              <w:numPr>
                <w:ilvl w:val="0"/>
                <w:numId w:val="5"/>
              </w:numPr>
              <w:suppressLineNumbers w:val="0"/>
              <w:spacing w:before="0" w:beforeAutospacing="0" w:after="0" w:afterAutospacing="0"/>
              <w:ind w:left="425" w:leftChars="0" w:right="0" w:hanging="425" w:firstLineChars="0"/>
              <w:rPr>
                <w:rFonts w:hint="default" w:ascii="宋体" w:hAnsi="宋体"/>
                <w:bCs/>
                <w:color w:val="auto"/>
                <w:szCs w:val="21"/>
                <w:highlight w:val="none"/>
              </w:rPr>
            </w:pPr>
          </w:p>
        </w:tc>
        <w:tc>
          <w:tcPr>
            <w:tcW w:w="1004" w:type="dxa"/>
            <w:vAlign w:val="center"/>
          </w:tcPr>
          <w:p>
            <w:pPr>
              <w:keepNext w:val="0"/>
              <w:keepLines w:val="0"/>
              <w:suppressLineNumbers w:val="0"/>
              <w:spacing w:before="0" w:beforeAutospacing="0" w:after="0" w:afterAutospacing="0"/>
              <w:ind w:left="0" w:right="0"/>
              <w:jc w:val="center"/>
              <w:rPr>
                <w:rFonts w:hint="default" w:ascii="宋体" w:hAnsi="宋体"/>
                <w:bCs/>
                <w:color w:val="auto"/>
                <w:szCs w:val="21"/>
                <w:highlight w:val="none"/>
              </w:rPr>
            </w:pPr>
            <w:r>
              <w:rPr>
                <w:rFonts w:hint="eastAsia" w:ascii="宋体" w:hAnsi="宋体" w:cs="宋体"/>
                <w:b w:val="0"/>
                <w:bCs w:val="0"/>
                <w:color w:val="auto"/>
                <w:szCs w:val="21"/>
                <w:highlight w:val="none"/>
                <w:lang w:val="en-US" w:eastAsia="zh-CN"/>
              </w:rPr>
              <w:t>认可迎检</w:t>
            </w:r>
          </w:p>
        </w:tc>
        <w:tc>
          <w:tcPr>
            <w:tcW w:w="7474" w:type="dxa"/>
            <w:vAlign w:val="center"/>
          </w:tcPr>
          <w:p>
            <w:pPr>
              <w:keepNext w:val="0"/>
              <w:keepLines w:val="0"/>
              <w:numPr>
                <w:ilvl w:val="0"/>
                <w:numId w:val="10"/>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提供ISO15189：2022新版认可准则对应的标准解读和专家现场方法和迎检要点，以及实验室各亚专业</w:t>
            </w:r>
            <w:r>
              <w:rPr>
                <w:rFonts w:hint="eastAsia" w:ascii="宋体" w:hAnsi="宋体" w:cs="宋体"/>
                <w:b w:val="0"/>
                <w:bCs w:val="0"/>
                <w:color w:val="auto"/>
                <w:sz w:val="21"/>
                <w:szCs w:val="21"/>
                <w:highlight w:val="none"/>
                <w:lang w:val="en-US" w:eastAsia="zh-CN"/>
              </w:rPr>
              <w:t>（组织病理学、细胞病理学、临床分子生物学）</w:t>
            </w:r>
            <w:r>
              <w:rPr>
                <w:rFonts w:hint="eastAsia" w:ascii="宋体" w:hAnsi="宋体" w:eastAsia="宋体" w:cs="宋体"/>
                <w:b w:val="0"/>
                <w:bCs w:val="0"/>
                <w:color w:val="auto"/>
                <w:sz w:val="21"/>
                <w:szCs w:val="21"/>
                <w:highlight w:val="none"/>
                <w:lang w:val="en-US" w:eastAsia="zh-CN"/>
              </w:rPr>
              <w:t>的认可要求和迎检思路；</w:t>
            </w:r>
          </w:p>
          <w:p>
            <w:pPr>
              <w:keepNext w:val="0"/>
              <w:keepLines w:val="0"/>
              <w:numPr>
                <w:ilvl w:val="0"/>
                <w:numId w:val="10"/>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满足实验室申请ISO15189换版认可的监督评审、复评审和扩项评审；</w:t>
            </w:r>
          </w:p>
          <w:p>
            <w:pPr>
              <w:keepNext w:val="0"/>
              <w:keepLines w:val="0"/>
              <w:numPr>
                <w:ilvl w:val="0"/>
                <w:numId w:val="10"/>
              </w:numPr>
              <w:suppressLineNumbers w:val="0"/>
              <w:spacing w:before="0" w:beforeAutospacing="0" w:after="0" w:afterAutospacing="0"/>
              <w:ind w:left="425" w:leftChars="0" w:right="0" w:hanging="425" w:firstLineChars="0"/>
              <w:rPr>
                <w:rFonts w:hint="eastAsia" w:ascii="宋体" w:hAnsi="宋体" w:cs="宋体"/>
                <w:b w:val="0"/>
                <w:bCs w:val="0"/>
                <w:color w:val="auto"/>
                <w:szCs w:val="21"/>
                <w:highlight w:val="none"/>
              </w:rPr>
            </w:pPr>
            <w:r>
              <w:rPr>
                <w:rFonts w:hint="eastAsia" w:ascii="宋体" w:hAnsi="宋体" w:eastAsia="宋体" w:cs="宋体"/>
                <w:b w:val="0"/>
                <w:bCs w:val="0"/>
                <w:color w:val="auto"/>
                <w:sz w:val="21"/>
                <w:szCs w:val="21"/>
                <w:highlight w:val="none"/>
                <w:lang w:val="en-US" w:eastAsia="zh-CN"/>
              </w:rPr>
              <w:t>能实现ISO15189：2022认可准则、应用要求等相关文件的任务分配和条款自查功能，确保每个条款落实到人，全员参与，循序渐进，自查自纠，监控条款完成情况和认可进度；</w:t>
            </w:r>
          </w:p>
          <w:p>
            <w:pPr>
              <w:keepNext w:val="0"/>
              <w:keepLines w:val="0"/>
              <w:numPr>
                <w:ilvl w:val="0"/>
                <w:numId w:val="10"/>
              </w:numPr>
              <w:suppressLineNumbers w:val="0"/>
              <w:spacing w:before="0" w:beforeAutospacing="0" w:after="0" w:afterAutospacing="0"/>
              <w:ind w:left="425" w:leftChars="0" w:right="0" w:hanging="425" w:firstLineChars="0"/>
              <w:rPr>
                <w:rFonts w:hint="default" w:ascii="宋体" w:hAnsi="宋体"/>
                <w:bCs/>
                <w:color w:val="auto"/>
                <w:szCs w:val="21"/>
                <w:highlight w:val="none"/>
              </w:rPr>
            </w:pPr>
            <w:r>
              <w:rPr>
                <w:rFonts w:hint="eastAsia" w:ascii="宋体" w:hAnsi="宋体" w:eastAsia="宋体" w:cs="宋体"/>
                <w:b w:val="0"/>
                <w:bCs w:val="0"/>
                <w:color w:val="auto"/>
                <w:sz w:val="21"/>
                <w:szCs w:val="21"/>
                <w:highlight w:val="none"/>
                <w:lang w:val="en-US" w:eastAsia="zh-CN"/>
              </w:rPr>
              <w:t>支持各种证据性文件上传保存，与文件系统、电子记录系统、内审系统交互，提升内审和现场评审质量和效率。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50" w:type="dxa"/>
            <w:vAlign w:val="center"/>
          </w:tcPr>
          <w:p>
            <w:pPr>
              <w:keepNext w:val="0"/>
              <w:keepLines w:val="0"/>
              <w:numPr>
                <w:ilvl w:val="0"/>
                <w:numId w:val="5"/>
              </w:numPr>
              <w:suppressLineNumbers w:val="0"/>
              <w:spacing w:before="0" w:beforeAutospacing="0" w:after="0" w:afterAutospacing="0"/>
              <w:ind w:left="425" w:leftChars="0" w:right="0" w:hanging="425" w:firstLineChars="0"/>
              <w:rPr>
                <w:rFonts w:hint="default" w:ascii="宋体" w:hAnsi="宋体"/>
                <w:bCs/>
                <w:color w:val="auto"/>
                <w:szCs w:val="21"/>
                <w:highlight w:val="none"/>
              </w:rPr>
            </w:pPr>
          </w:p>
        </w:tc>
        <w:tc>
          <w:tcPr>
            <w:tcW w:w="1004" w:type="dxa"/>
            <w:vAlign w:val="center"/>
          </w:tcPr>
          <w:p>
            <w:pPr>
              <w:keepNext w:val="0"/>
              <w:keepLines w:val="0"/>
              <w:suppressLineNumbers w:val="0"/>
              <w:spacing w:before="0" w:beforeAutospacing="0" w:after="0" w:afterAutospacing="0"/>
              <w:ind w:left="0" w:right="0"/>
              <w:jc w:val="center"/>
              <w:rPr>
                <w:rFonts w:hint="default" w:ascii="宋体" w:hAnsi="宋体"/>
                <w:bCs/>
                <w:color w:val="auto"/>
                <w:szCs w:val="21"/>
                <w:highlight w:val="none"/>
              </w:rPr>
            </w:pPr>
            <w:r>
              <w:rPr>
                <w:rFonts w:hint="eastAsia" w:ascii="宋体" w:hAnsi="宋体" w:cs="宋体"/>
                <w:b w:val="0"/>
                <w:bCs w:val="0"/>
                <w:color w:val="auto"/>
                <w:szCs w:val="21"/>
                <w:highlight w:val="none"/>
                <w:lang w:val="en-US" w:eastAsia="zh-CN"/>
              </w:rPr>
              <w:t>内部审核</w:t>
            </w:r>
          </w:p>
        </w:tc>
        <w:tc>
          <w:tcPr>
            <w:tcW w:w="7474" w:type="dxa"/>
            <w:vAlign w:val="center"/>
          </w:tcPr>
          <w:p>
            <w:pPr>
              <w:keepNext w:val="0"/>
              <w:keepLines w:val="0"/>
              <w:numPr>
                <w:ilvl w:val="0"/>
                <w:numId w:val="11"/>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按照CNAS-GL011：2018《实验室和检验机构内部审核指南》要求，从内审策划到完成内审报告，各个环节按照指南要求固化内审流程，预置相关表单和内审核查表；</w:t>
            </w:r>
          </w:p>
          <w:p>
            <w:pPr>
              <w:keepNext w:val="0"/>
              <w:keepLines w:val="0"/>
              <w:numPr>
                <w:ilvl w:val="0"/>
                <w:numId w:val="11"/>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与认可迎检系统交互，条款自查数据和支撑材料可以直接提交至内审系统，作为内审的直接证据；</w:t>
            </w:r>
          </w:p>
          <w:p>
            <w:pPr>
              <w:keepNext w:val="0"/>
              <w:keepLines w:val="0"/>
              <w:numPr>
                <w:ilvl w:val="0"/>
                <w:numId w:val="11"/>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基于CNAS-PD14-16-09D2《医学实验室质量和能力认可准则和应用要求》核查表，系统预置CNAS-CL02：2023《医学实验室质量和能力认可准则》和CNAS-CL02-A001：2023《医学实验室质量和能力认可准则的应用要求》内容，实验室无需编制内部审核表；</w:t>
            </w:r>
          </w:p>
          <w:p>
            <w:pPr>
              <w:keepNext w:val="0"/>
              <w:keepLines w:val="0"/>
              <w:numPr>
                <w:ilvl w:val="0"/>
                <w:numId w:val="11"/>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可通过部门和认可准则要素类型进行交叉筛选条款，方便内审员查看专业组和科室级别的条款内容；</w:t>
            </w:r>
          </w:p>
          <w:p>
            <w:pPr>
              <w:keepNext w:val="0"/>
              <w:keepLines w:val="0"/>
              <w:numPr>
                <w:ilvl w:val="0"/>
                <w:numId w:val="11"/>
              </w:numPr>
              <w:suppressLineNumbers w:val="0"/>
              <w:spacing w:before="0" w:beforeAutospacing="0" w:after="0" w:afterAutospacing="0"/>
              <w:ind w:left="425" w:leftChars="0" w:right="0" w:hanging="425" w:firstLineChars="0"/>
              <w:rPr>
                <w:rFonts w:hint="eastAsia" w:ascii="宋体" w:hAnsi="宋体" w:cs="宋体"/>
                <w:b w:val="0"/>
                <w:bCs w:val="0"/>
                <w:color w:val="auto"/>
                <w:szCs w:val="21"/>
                <w:highlight w:val="none"/>
              </w:rPr>
            </w:pPr>
            <w:r>
              <w:rPr>
                <w:rFonts w:hint="eastAsia" w:ascii="宋体" w:hAnsi="宋体" w:eastAsia="宋体" w:cs="宋体"/>
                <w:b w:val="0"/>
                <w:bCs w:val="0"/>
                <w:color w:val="auto"/>
                <w:sz w:val="21"/>
                <w:szCs w:val="21"/>
                <w:highlight w:val="none"/>
                <w:lang w:val="en-US" w:eastAsia="zh-CN"/>
              </w:rPr>
              <w:t>依据内部审核表和上传至每一条款的支撑材料实施内审，当判断为“N”时填写不符合项事实，系统自动汇总内审中产生的不符合项，自动形成不符合项报告表和不符合项分布表；</w:t>
            </w:r>
          </w:p>
          <w:p>
            <w:pPr>
              <w:keepNext w:val="0"/>
              <w:keepLines w:val="0"/>
              <w:numPr>
                <w:ilvl w:val="0"/>
                <w:numId w:val="11"/>
              </w:numPr>
              <w:suppressLineNumbers w:val="0"/>
              <w:spacing w:before="0" w:beforeAutospacing="0" w:after="0" w:afterAutospacing="0"/>
              <w:ind w:left="425" w:leftChars="0" w:right="0" w:hanging="425" w:firstLineChars="0"/>
              <w:rPr>
                <w:rFonts w:hint="default" w:ascii="宋体" w:hAnsi="宋体"/>
                <w:bCs/>
                <w:color w:val="auto"/>
                <w:szCs w:val="21"/>
                <w:highlight w:val="none"/>
              </w:rPr>
            </w:pPr>
            <w:r>
              <w:rPr>
                <w:rFonts w:hint="eastAsia" w:ascii="宋体" w:hAnsi="宋体" w:eastAsia="宋体" w:cs="宋体"/>
                <w:b w:val="0"/>
                <w:bCs w:val="0"/>
                <w:color w:val="auto"/>
                <w:sz w:val="21"/>
                <w:szCs w:val="21"/>
                <w:highlight w:val="none"/>
                <w:lang w:val="en-US" w:eastAsia="zh-CN"/>
              </w:rPr>
              <w:t>内部审核系统与电子记录系统交互，通过链接快捷启动不符合项整改流程，系统可监控纠正措施实施进度和完成情况，自动生成不符合项报告和纠正措施记录表。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50" w:type="dxa"/>
            <w:vAlign w:val="center"/>
          </w:tcPr>
          <w:p>
            <w:pPr>
              <w:keepNext w:val="0"/>
              <w:keepLines w:val="0"/>
              <w:numPr>
                <w:ilvl w:val="0"/>
                <w:numId w:val="5"/>
              </w:numPr>
              <w:suppressLineNumbers w:val="0"/>
              <w:spacing w:before="0" w:beforeAutospacing="0" w:after="0" w:afterAutospacing="0"/>
              <w:ind w:left="425" w:leftChars="0" w:right="0" w:hanging="425" w:firstLineChars="0"/>
              <w:rPr>
                <w:rFonts w:hint="default" w:ascii="宋体" w:hAnsi="宋体"/>
                <w:bCs/>
                <w:color w:val="auto"/>
                <w:szCs w:val="21"/>
                <w:highlight w:val="none"/>
              </w:rPr>
            </w:pPr>
          </w:p>
        </w:tc>
        <w:tc>
          <w:tcPr>
            <w:tcW w:w="1004" w:type="dxa"/>
            <w:vAlign w:val="center"/>
          </w:tcPr>
          <w:p>
            <w:pPr>
              <w:keepNext w:val="0"/>
              <w:keepLines w:val="0"/>
              <w:suppressLineNumbers w:val="0"/>
              <w:spacing w:before="0" w:beforeAutospacing="0" w:after="0" w:afterAutospacing="0"/>
              <w:ind w:left="0" w:right="0"/>
              <w:jc w:val="center"/>
              <w:rPr>
                <w:rFonts w:hint="default" w:ascii="宋体" w:hAnsi="宋体"/>
                <w:bCs/>
                <w:color w:val="auto"/>
                <w:szCs w:val="21"/>
                <w:highlight w:val="none"/>
              </w:rPr>
            </w:pPr>
            <w:r>
              <w:rPr>
                <w:rFonts w:hint="eastAsia" w:ascii="宋体" w:hAnsi="宋体" w:cs="宋体"/>
                <w:b w:val="0"/>
                <w:bCs w:val="0"/>
                <w:color w:val="auto"/>
                <w:szCs w:val="21"/>
                <w:highlight w:val="none"/>
                <w:lang w:val="en-US" w:eastAsia="zh-CN"/>
              </w:rPr>
              <w:t>管理评审</w:t>
            </w:r>
          </w:p>
        </w:tc>
        <w:tc>
          <w:tcPr>
            <w:tcW w:w="7474" w:type="dxa"/>
            <w:vAlign w:val="center"/>
          </w:tcPr>
          <w:p>
            <w:pPr>
              <w:keepNext w:val="0"/>
              <w:keepLines w:val="0"/>
              <w:numPr>
                <w:ilvl w:val="0"/>
                <w:numId w:val="12"/>
              </w:numPr>
              <w:suppressLineNumbers w:val="0"/>
              <w:spacing w:before="0" w:beforeAutospacing="0" w:after="0" w:afterAutospacing="0"/>
              <w:ind w:left="425" w:leftChars="0" w:right="0" w:hanging="425" w:firstLineChars="0"/>
              <w:rPr>
                <w:rFonts w:hint="eastAsia" w:ascii="宋体" w:hAnsi="宋体" w:cs="宋体"/>
                <w:b w:val="0"/>
                <w:bCs w:val="0"/>
                <w:color w:val="auto"/>
                <w:szCs w:val="21"/>
                <w:highlight w:val="none"/>
              </w:rPr>
            </w:pPr>
            <w:r>
              <w:rPr>
                <w:rFonts w:hint="eastAsia" w:ascii="宋体" w:hAnsi="宋体" w:eastAsia="宋体" w:cs="宋体"/>
                <w:b w:val="0"/>
                <w:bCs w:val="0"/>
                <w:color w:val="auto"/>
                <w:sz w:val="21"/>
                <w:szCs w:val="21"/>
                <w:highlight w:val="none"/>
                <w:lang w:val="en-US" w:eastAsia="zh-CN"/>
              </w:rPr>
              <w:t>按照CNAS-GL012：2018《</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"https://www.cnas.org.cn/rkgf/jcjgrk/rkzn/2018/03/889186.shtml"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实验室和检验机构管理评审指南</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要求，从管理评审策划到完成管理评审报告。各个环节按照指南要求固化管理评审流程，预置相关表单，包括但不限于：管理评审计划、管理评审输入报告、管理评审活动、管理评审输出项记录、管理评审报告；</w:t>
            </w:r>
          </w:p>
          <w:p>
            <w:pPr>
              <w:keepNext w:val="0"/>
              <w:keepLines w:val="0"/>
              <w:numPr>
                <w:ilvl w:val="0"/>
                <w:numId w:val="12"/>
              </w:numPr>
              <w:suppressLineNumbers w:val="0"/>
              <w:spacing w:before="0" w:beforeAutospacing="0" w:after="0" w:afterAutospacing="0"/>
              <w:ind w:left="425" w:leftChars="0" w:right="0" w:hanging="425" w:firstLineChars="0"/>
              <w:rPr>
                <w:rFonts w:hint="default" w:ascii="宋体" w:hAnsi="宋体"/>
                <w:bCs/>
                <w:color w:val="auto"/>
                <w:szCs w:val="21"/>
                <w:highlight w:val="none"/>
              </w:rPr>
            </w:pPr>
            <w:r>
              <w:rPr>
                <w:rFonts w:hint="eastAsia" w:ascii="宋体" w:hAnsi="宋体" w:eastAsia="宋体" w:cs="宋体"/>
                <w:b w:val="0"/>
                <w:bCs w:val="0"/>
                <w:color w:val="auto"/>
                <w:sz w:val="21"/>
                <w:szCs w:val="21"/>
                <w:highlight w:val="none"/>
                <w:lang w:val="en-US" w:eastAsia="zh-CN"/>
              </w:rPr>
              <w:t>关联电子记录系统，针对评审输出内容进行持续改进管理，完成评审输出项的闭环管理。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50" w:type="dxa"/>
            <w:vAlign w:val="center"/>
          </w:tcPr>
          <w:p>
            <w:pPr>
              <w:keepNext w:val="0"/>
              <w:keepLines w:val="0"/>
              <w:numPr>
                <w:ilvl w:val="0"/>
                <w:numId w:val="5"/>
              </w:numPr>
              <w:suppressLineNumbers w:val="0"/>
              <w:spacing w:before="0" w:beforeAutospacing="0" w:after="0" w:afterAutospacing="0"/>
              <w:ind w:left="425" w:leftChars="0" w:right="0" w:hanging="425" w:firstLineChars="0"/>
              <w:rPr>
                <w:rFonts w:hint="default" w:ascii="宋体" w:hAnsi="宋体"/>
                <w:bCs/>
                <w:color w:val="auto"/>
                <w:szCs w:val="21"/>
                <w:highlight w:val="none"/>
              </w:rPr>
            </w:pPr>
          </w:p>
        </w:tc>
        <w:tc>
          <w:tcPr>
            <w:tcW w:w="1004" w:type="dxa"/>
            <w:vAlign w:val="center"/>
          </w:tcPr>
          <w:p>
            <w:pPr>
              <w:keepNext w:val="0"/>
              <w:keepLines w:val="0"/>
              <w:suppressLineNumbers w:val="0"/>
              <w:spacing w:before="0" w:beforeAutospacing="0" w:after="0" w:afterAutospacing="0"/>
              <w:ind w:left="0" w:right="0"/>
              <w:jc w:val="center"/>
              <w:rPr>
                <w:rFonts w:hint="default" w:ascii="宋体" w:hAnsi="宋体"/>
                <w:bCs/>
                <w:color w:val="auto"/>
                <w:szCs w:val="21"/>
                <w:highlight w:val="none"/>
              </w:rPr>
            </w:pPr>
            <w:r>
              <w:rPr>
                <w:rFonts w:hint="eastAsia" w:ascii="宋体" w:hAnsi="宋体" w:cs="宋体"/>
                <w:b w:val="0"/>
                <w:bCs w:val="0"/>
                <w:color w:val="auto"/>
                <w:szCs w:val="21"/>
                <w:highlight w:val="none"/>
                <w:lang w:val="en-US" w:eastAsia="zh-CN"/>
              </w:rPr>
              <w:t>智能考核</w:t>
            </w:r>
          </w:p>
        </w:tc>
        <w:tc>
          <w:tcPr>
            <w:tcW w:w="7474" w:type="dxa"/>
            <w:vAlign w:val="center"/>
          </w:tcPr>
          <w:p>
            <w:pPr>
              <w:keepNext w:val="0"/>
              <w:keepLines w:val="0"/>
              <w:numPr>
                <w:ilvl w:val="0"/>
                <w:numId w:val="13"/>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系统提供题库管理，可对题目内容、答案、题目类型进行管理；</w:t>
            </w:r>
          </w:p>
          <w:p>
            <w:pPr>
              <w:keepNext w:val="0"/>
              <w:keepLines w:val="0"/>
              <w:numPr>
                <w:ilvl w:val="0"/>
                <w:numId w:val="13"/>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支持科室自建题库；</w:t>
            </w:r>
          </w:p>
          <w:p>
            <w:pPr>
              <w:keepNext w:val="0"/>
              <w:keepLines w:val="0"/>
              <w:numPr>
                <w:ilvl w:val="0"/>
                <w:numId w:val="13"/>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题目类型支持：单选题、多选题、判断题、填空题、问答题、识图题；</w:t>
            </w:r>
          </w:p>
          <w:p>
            <w:pPr>
              <w:keepNext w:val="0"/>
              <w:keepLines w:val="0"/>
              <w:numPr>
                <w:ilvl w:val="0"/>
                <w:numId w:val="13"/>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系统支持手动组题功能组成考卷；</w:t>
            </w:r>
          </w:p>
          <w:p>
            <w:pPr>
              <w:keepNext w:val="0"/>
              <w:keepLines w:val="0"/>
              <w:numPr>
                <w:ilvl w:val="0"/>
                <w:numId w:val="13"/>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系统支持按照题目分类、题目难度、题目类型多维度智能组题；</w:t>
            </w:r>
          </w:p>
          <w:p>
            <w:pPr>
              <w:keepNext w:val="0"/>
              <w:keepLines w:val="0"/>
              <w:numPr>
                <w:ilvl w:val="0"/>
                <w:numId w:val="13"/>
              </w:numPr>
              <w:suppressLineNumbers w:val="0"/>
              <w:spacing w:before="0" w:beforeAutospacing="0" w:after="0" w:afterAutospacing="0"/>
              <w:ind w:left="425" w:leftChars="0" w:right="0" w:hanging="425"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考卷题目和选择题选项支持乱序排列；</w:t>
            </w:r>
          </w:p>
          <w:p>
            <w:pPr>
              <w:keepNext w:val="0"/>
              <w:keepLines w:val="0"/>
              <w:numPr>
                <w:ilvl w:val="0"/>
                <w:numId w:val="13"/>
              </w:numPr>
              <w:suppressLineNumbers w:val="0"/>
              <w:spacing w:before="0" w:beforeAutospacing="0" w:after="0" w:afterAutospacing="0"/>
              <w:ind w:left="425" w:leftChars="0" w:right="0" w:hanging="425" w:firstLineChars="0"/>
              <w:rPr>
                <w:rFonts w:hint="default" w:ascii="宋体" w:hAnsi="宋体"/>
                <w:bCs/>
                <w:color w:val="auto"/>
                <w:szCs w:val="21"/>
                <w:highlight w:val="none"/>
              </w:rPr>
            </w:pPr>
            <w:r>
              <w:rPr>
                <w:rFonts w:hint="eastAsia" w:ascii="宋体" w:hAnsi="宋体" w:eastAsia="宋体" w:cs="宋体"/>
                <w:b w:val="0"/>
                <w:bCs w:val="0"/>
                <w:color w:val="auto"/>
                <w:sz w:val="21"/>
                <w:szCs w:val="21"/>
                <w:highlight w:val="none"/>
                <w:lang w:val="en-US" w:eastAsia="zh-CN"/>
              </w:rPr>
              <w:t>可对客观题进行自动打分，并提供错题回顾分析。</w:t>
            </w:r>
          </w:p>
        </w:tc>
      </w:tr>
    </w:tbl>
    <w:p>
      <w:pPr>
        <w:widowControl/>
        <w:rPr>
          <w:rFonts w:hint="eastAsia" w:ascii="仿宋" w:hAnsi="仿宋" w:eastAsia="仿宋" w:cs="仿宋"/>
          <w:color w:val="000000"/>
          <w:kern w:val="0"/>
          <w:sz w:val="24"/>
          <w:szCs w:val="24"/>
          <w:highlight w:val="none"/>
          <w:lang w:val="en-US" w:eastAsia="zh-CN"/>
        </w:rPr>
      </w:pPr>
    </w:p>
    <w:p>
      <w:pPr>
        <w:widowControl/>
        <w:rPr>
          <w:rFonts w:hint="eastAsia" w:ascii="仿宋" w:hAnsi="仿宋" w:eastAsia="仿宋" w:cs="仿宋"/>
          <w:b/>
          <w:kern w:val="0"/>
          <w:sz w:val="24"/>
          <w:highlight w:val="none"/>
        </w:rPr>
      </w:pPr>
      <w:r>
        <w:rPr>
          <w:rFonts w:hint="eastAsia" w:ascii="仿宋" w:hAnsi="仿宋" w:eastAsia="仿宋" w:cs="仿宋"/>
          <w:b/>
          <w:kern w:val="0"/>
          <w:sz w:val="24"/>
          <w:highlight w:val="none"/>
        </w:rPr>
        <w:t>（</w:t>
      </w:r>
      <w:r>
        <w:rPr>
          <w:rFonts w:hint="eastAsia" w:ascii="仿宋" w:hAnsi="仿宋" w:eastAsia="仿宋" w:cs="仿宋"/>
          <w:b/>
          <w:kern w:val="0"/>
          <w:sz w:val="24"/>
          <w:highlight w:val="none"/>
          <w:lang w:val="en-US" w:eastAsia="zh-CN"/>
        </w:rPr>
        <w:t>二</w:t>
      </w:r>
      <w:r>
        <w:rPr>
          <w:rFonts w:hint="eastAsia" w:ascii="仿宋" w:hAnsi="仿宋" w:eastAsia="仿宋" w:cs="仿宋"/>
          <w:b/>
          <w:kern w:val="0"/>
          <w:sz w:val="24"/>
          <w:highlight w:val="none"/>
        </w:rPr>
        <w:t>）项目人员需求一览表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471"/>
        <w:gridCol w:w="1065"/>
        <w:gridCol w:w="1539"/>
        <w:gridCol w:w="3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6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序号</w:t>
            </w:r>
          </w:p>
        </w:tc>
        <w:tc>
          <w:tcPr>
            <w:tcW w:w="86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★人员类别</w:t>
            </w:r>
          </w:p>
        </w:tc>
        <w:tc>
          <w:tcPr>
            <w:tcW w:w="62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★人员数量</w:t>
            </w:r>
          </w:p>
        </w:tc>
        <w:tc>
          <w:tcPr>
            <w:tcW w:w="90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★人员必须具备条件</w:t>
            </w:r>
          </w:p>
        </w:tc>
        <w:tc>
          <w:tcPr>
            <w:tcW w:w="2142"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人员可偏离条件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86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r>
              <w:rPr>
                <w:rFonts w:hint="default" w:ascii="仿宋" w:hAnsi="仿宋" w:eastAsia="仿宋" w:cs="仿宋"/>
                <w:color w:val="000000"/>
                <w:kern w:val="0"/>
                <w:sz w:val="24"/>
                <w:szCs w:val="24"/>
                <w:highlight w:val="none"/>
                <w:lang w:val="en-US" w:eastAsia="zh-CN"/>
              </w:rPr>
              <w:t>项目负责人</w:t>
            </w:r>
          </w:p>
        </w:tc>
        <w:tc>
          <w:tcPr>
            <w:tcW w:w="62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1人</w:t>
            </w:r>
          </w:p>
        </w:tc>
        <w:tc>
          <w:tcPr>
            <w:tcW w:w="90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投标人自有员工</w:t>
            </w:r>
          </w:p>
        </w:tc>
        <w:tc>
          <w:tcPr>
            <w:tcW w:w="2142" w:type="pct"/>
            <w:vAlign w:val="center"/>
          </w:tcPr>
          <w:p>
            <w:pPr>
              <w:keepNext w:val="0"/>
              <w:keepLines w:val="0"/>
              <w:numPr>
                <w:ilvl w:val="-1"/>
                <w:numId w:val="0"/>
              </w:numPr>
              <w:suppressLineNumbers w:val="0"/>
              <w:adjustRightInd w:val="0"/>
              <w:snapToGrid w:val="0"/>
              <w:spacing w:before="0" w:beforeAutospacing="0" w:after="0" w:afterAutospacing="0"/>
              <w:ind w:left="0" w:leftChars="0" w:right="0" w:firstLine="0" w:firstLineChars="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（1）具有本科或以上学历证书</w:t>
            </w:r>
          </w:p>
          <w:p>
            <w:pPr>
              <w:keepNext w:val="0"/>
              <w:keepLines w:val="0"/>
              <w:numPr>
                <w:ilvl w:val="-1"/>
                <w:numId w:val="0"/>
              </w:numPr>
              <w:suppressLineNumbers w:val="0"/>
              <w:adjustRightInd w:val="0"/>
              <w:snapToGrid w:val="0"/>
              <w:spacing w:before="0" w:beforeAutospacing="0" w:after="0" w:afterAutospacing="0"/>
              <w:ind w:left="0" w:leftChars="0" w:right="0" w:firstLine="0" w:firstLine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sz w:val="24"/>
                <w:szCs w:val="24"/>
              </w:rPr>
              <w:t>具</w:t>
            </w:r>
            <w:r>
              <w:rPr>
                <w:rFonts w:hint="eastAsia" w:ascii="仿宋" w:hAnsi="仿宋" w:eastAsia="仿宋" w:cs="仿宋"/>
                <w:sz w:val="24"/>
                <w:szCs w:val="24"/>
                <w:lang w:val="en-US" w:eastAsia="zh-CN"/>
              </w:rPr>
              <w:t>有</w:t>
            </w:r>
            <w:r>
              <w:rPr>
                <w:rFonts w:hint="eastAsia" w:ascii="仿宋" w:hAnsi="仿宋" w:eastAsia="仿宋" w:cs="仿宋"/>
                <w:sz w:val="24"/>
                <w:szCs w:val="24"/>
              </w:rPr>
              <w:t>5年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w:t>
            </w:r>
            <w:r>
              <w:rPr>
                <w:rFonts w:hint="eastAsia" w:ascii="仿宋" w:hAnsi="仿宋" w:eastAsia="仿宋" w:cs="仿宋"/>
                <w:sz w:val="24"/>
                <w:szCs w:val="24"/>
                <w:lang w:eastAsia="zh-CN"/>
              </w:rPr>
              <w:t>）</w:t>
            </w:r>
            <w:r>
              <w:rPr>
                <w:rFonts w:hint="eastAsia" w:ascii="仿宋" w:hAnsi="仿宋" w:eastAsia="仿宋" w:cs="仿宋"/>
                <w:sz w:val="24"/>
                <w:szCs w:val="24"/>
              </w:rPr>
              <w:t>以上</w:t>
            </w:r>
            <w:r>
              <w:rPr>
                <w:rFonts w:hint="eastAsia" w:ascii="仿宋" w:hAnsi="仿宋" w:eastAsia="仿宋" w:cs="仿宋"/>
                <w:sz w:val="24"/>
                <w:szCs w:val="24"/>
                <w:lang w:val="en-US" w:eastAsia="zh-CN"/>
              </w:rPr>
              <w:t>工作经验</w:t>
            </w:r>
          </w:p>
          <w:p>
            <w:pPr>
              <w:keepNext w:val="0"/>
              <w:keepLines w:val="0"/>
              <w:numPr>
                <w:ilvl w:val="-1"/>
                <w:numId w:val="0"/>
              </w:numPr>
              <w:suppressLineNumbers w:val="0"/>
              <w:adjustRightInd w:val="0"/>
              <w:snapToGrid w:val="0"/>
              <w:spacing w:before="0" w:beforeAutospacing="0" w:after="0" w:afterAutospacing="0"/>
              <w:ind w:left="0" w:leftChars="0" w:right="0" w:firstLine="0" w:firstLineChars="0"/>
              <w:rPr>
                <w:rFonts w:hint="eastAsia" w:ascii="仿宋" w:hAnsi="仿宋" w:eastAsia="仿宋" w:cs="仿宋"/>
                <w:color w:val="000000"/>
                <w:kern w:val="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sz w:val="24"/>
                <w:szCs w:val="24"/>
              </w:rPr>
              <w:t>具有计算机技术与软件专业技术资格证书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专业：</w:t>
            </w:r>
            <w:r>
              <w:rPr>
                <w:rFonts w:hint="eastAsia" w:ascii="仿宋" w:hAnsi="仿宋" w:eastAsia="仿宋" w:cs="仿宋"/>
                <w:b w:val="0"/>
                <w:bCs w:val="0"/>
                <w:color w:val="auto"/>
                <w:sz w:val="24"/>
                <w:szCs w:val="24"/>
                <w:highlight w:val="none"/>
                <w:lang w:val="en-US" w:eastAsia="zh-CN"/>
              </w:rPr>
              <w:t>信息系统项目管理师</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p>
        </w:tc>
        <w:tc>
          <w:tcPr>
            <w:tcW w:w="86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团队成员</w:t>
            </w:r>
          </w:p>
        </w:tc>
        <w:tc>
          <w:tcPr>
            <w:tcW w:w="62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000000"/>
                <w:kern w:val="0"/>
                <w:sz w:val="24"/>
                <w:szCs w:val="24"/>
                <w:highlight w:val="none"/>
                <w:lang w:val="en-US" w:eastAsia="zh-CN"/>
              </w:rPr>
            </w:pPr>
          </w:p>
        </w:tc>
        <w:tc>
          <w:tcPr>
            <w:tcW w:w="90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投标人自有员工</w:t>
            </w:r>
          </w:p>
        </w:tc>
        <w:tc>
          <w:tcPr>
            <w:tcW w:w="2142"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highlight w:val="none"/>
                <w:lang w:val="en-US" w:eastAsia="zh-CN"/>
              </w:rPr>
              <w:t>具有信息化相关专业中级工程师（或以上）职称证书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lang w:val="en-US" w:eastAsia="zh-CN" w:bidi="ar-SA"/>
              </w:rPr>
              <w:t>（2）</w:t>
            </w:r>
            <w:r>
              <w:rPr>
                <w:rFonts w:hint="eastAsia" w:ascii="仿宋" w:hAnsi="仿宋" w:eastAsia="仿宋" w:cs="仿宋"/>
                <w:sz w:val="24"/>
                <w:szCs w:val="24"/>
                <w:highlight w:val="none"/>
                <w:lang w:val="en-US" w:eastAsia="zh-CN"/>
              </w:rPr>
              <w:t>具有5年（含）以上工作经验</w:t>
            </w:r>
          </w:p>
        </w:tc>
      </w:tr>
    </w:tbl>
    <w:p>
      <w:pPr>
        <w:pStyle w:val="11"/>
        <w:numPr>
          <w:ilvl w:val="-1"/>
          <w:numId w:val="0"/>
        </w:numPr>
        <w:tabs>
          <w:tab w:val="left" w:pos="540"/>
        </w:tabs>
        <w:adjustRightInd w:val="0"/>
        <w:snapToGrid w:val="0"/>
        <w:spacing w:line="360" w:lineRule="auto"/>
        <w:ind w:left="0" w:firstLine="0"/>
        <w:rPr>
          <w:rFonts w:hint="eastAsia" w:hAnsi="宋体"/>
          <w:b/>
          <w:color w:val="auto"/>
        </w:rPr>
      </w:pPr>
      <w:r>
        <w:rPr>
          <w:rFonts w:hint="eastAsia" w:ascii="仿宋" w:hAnsi="仿宋" w:eastAsia="仿宋" w:cs="仿宋"/>
          <w:b/>
          <w:kern w:val="0"/>
          <w:sz w:val="24"/>
          <w:highlight w:val="none"/>
        </w:rPr>
        <w:t>（</w:t>
      </w:r>
      <w:r>
        <w:rPr>
          <w:rFonts w:hint="eastAsia" w:ascii="仿宋" w:hAnsi="仿宋" w:eastAsia="仿宋" w:cs="仿宋"/>
          <w:b/>
          <w:kern w:val="0"/>
          <w:sz w:val="24"/>
          <w:highlight w:val="none"/>
          <w:lang w:val="en-US" w:eastAsia="zh-CN"/>
        </w:rPr>
        <w:t>三</w:t>
      </w:r>
      <w:r>
        <w:rPr>
          <w:rFonts w:hint="eastAsia" w:ascii="仿宋" w:hAnsi="仿宋" w:eastAsia="仿宋" w:cs="仿宋"/>
          <w:b/>
          <w:kern w:val="0"/>
          <w:sz w:val="24"/>
          <w:highlight w:val="none"/>
        </w:rPr>
        <w:t>）</w:t>
      </w:r>
      <w:r>
        <w:rPr>
          <w:rFonts w:hint="eastAsia" w:ascii="仿宋" w:hAnsi="仿宋" w:eastAsia="仿宋" w:cs="仿宋"/>
          <w:b/>
          <w:kern w:val="0"/>
          <w:sz w:val="24"/>
          <w:szCs w:val="21"/>
          <w:highlight w:val="none"/>
          <w:lang w:val="en-US" w:eastAsia="zh-CN"/>
        </w:rPr>
        <w:t>其他</w:t>
      </w:r>
      <w:r>
        <w:rPr>
          <w:rFonts w:hint="eastAsia" w:ascii="仿宋" w:hAnsi="仿宋" w:eastAsia="仿宋" w:cs="仿宋"/>
          <w:b/>
          <w:kern w:val="0"/>
          <w:sz w:val="24"/>
          <w:szCs w:val="21"/>
          <w:highlight w:val="none"/>
        </w:rPr>
        <w:t>要求：</w:t>
      </w:r>
    </w:p>
    <w:p>
      <w:pPr>
        <w:pStyle w:val="11"/>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lang w:eastAsia="zh-CN"/>
        </w:rPr>
      </w:pPr>
      <w:r>
        <w:rPr>
          <w:rFonts w:hint="eastAsia" w:ascii="仿宋" w:hAnsi="仿宋" w:eastAsia="仿宋" w:cs="仿宋"/>
          <w:color w:val="000000"/>
          <w:kern w:val="0"/>
          <w:sz w:val="24"/>
          <w:szCs w:val="24"/>
          <w:highlight w:val="none"/>
          <w:lang w:val="en-US" w:eastAsia="zh-CN" w:bidi="ar-SA"/>
        </w:rPr>
        <w:t>投标人</w:t>
      </w:r>
      <w:bookmarkStart w:id="11" w:name="_GoBack"/>
      <w:bookmarkEnd w:id="11"/>
      <w:r>
        <w:rPr>
          <w:rFonts w:hint="eastAsia" w:ascii="仿宋" w:hAnsi="仿宋" w:eastAsia="仿宋" w:cs="仿宋"/>
          <w:color w:val="000000"/>
          <w:kern w:val="0"/>
          <w:sz w:val="24"/>
          <w:szCs w:val="24"/>
          <w:highlight w:val="none"/>
          <w:lang w:val="en-US" w:eastAsia="zh-CN" w:bidi="ar-SA"/>
        </w:rPr>
        <w:t>须为本项目制定服务方案、项目重点难点分析、应对措施及相关的合理化建议、售后服务方案等。</w:t>
      </w:r>
    </w:p>
    <w:p>
      <w:pPr>
        <w:ind w:firstLine="482" w:firstLineChars="200"/>
        <w:rPr>
          <w:rFonts w:hint="eastAsia"/>
          <w:b/>
          <w:color w:val="FF0000"/>
          <w:szCs w:val="21"/>
        </w:rPr>
      </w:pPr>
      <w:r>
        <w:rPr>
          <w:rFonts w:hint="eastAsia" w:ascii="仿宋" w:hAnsi="仿宋" w:eastAsia="仿宋" w:cs="仿宋"/>
          <w:b/>
          <w:bCs w:val="0"/>
          <w:kern w:val="0"/>
          <w:sz w:val="24"/>
          <w:szCs w:val="24"/>
          <w:highlight w:val="none"/>
          <w:lang w:val="en-US" w:eastAsia="zh-CN" w:bidi="ar-SA"/>
        </w:rPr>
        <w:t>六、</w:t>
      </w:r>
      <w:r>
        <w:rPr>
          <w:rFonts w:hint="eastAsia" w:ascii="仿宋" w:hAnsi="仿宋" w:eastAsia="仿宋" w:cs="仿宋"/>
          <w:b/>
          <w:bCs w:val="0"/>
          <w:kern w:val="0"/>
          <w:sz w:val="24"/>
          <w:szCs w:val="21"/>
          <w:highlight w:val="none"/>
          <w:lang w:val="en-US" w:eastAsia="zh-CN" w:bidi="ar-SA"/>
        </w:rPr>
        <w:t>商务要求：</w:t>
      </w:r>
      <w:r>
        <w:rPr>
          <w:rFonts w:hint="eastAsia" w:ascii="宋体" w:hAnsi="宋体" w:eastAsia="宋体" w:cs="宋体"/>
          <w:b/>
          <w:bCs/>
          <w:i w:val="0"/>
          <w:iCs w:val="0"/>
          <w:caps w:val="0"/>
          <w:color w:val="FF0000"/>
          <w:spacing w:val="0"/>
          <w:sz w:val="21"/>
          <w:szCs w:val="21"/>
          <w:shd w:val="clear" w:fill="FFFFFF"/>
        </w:rPr>
        <w:t>以下</w:t>
      </w:r>
      <w:r>
        <w:rPr>
          <w:rFonts w:hint="eastAsia" w:ascii="宋体" w:hAnsi="宋体" w:cs="宋体"/>
          <w:b/>
          <w:bCs/>
          <w:i w:val="0"/>
          <w:iCs w:val="0"/>
          <w:caps w:val="0"/>
          <w:color w:val="FF0000"/>
          <w:spacing w:val="0"/>
          <w:sz w:val="21"/>
          <w:szCs w:val="21"/>
          <w:shd w:val="clear" w:fill="FFFFFF"/>
          <w:lang w:val="en-US" w:eastAsia="zh-CN"/>
        </w:rPr>
        <w:t>条</w:t>
      </w:r>
      <w:r>
        <w:rPr>
          <w:rFonts w:hint="eastAsia" w:ascii="宋体" w:hAnsi="宋体" w:eastAsia="宋体" w:cs="宋体"/>
          <w:b/>
          <w:bCs/>
          <w:i w:val="0"/>
          <w:iCs w:val="0"/>
          <w:caps w:val="0"/>
          <w:color w:val="FF0000"/>
          <w:spacing w:val="0"/>
          <w:sz w:val="21"/>
          <w:szCs w:val="21"/>
          <w:shd w:val="clear" w:fill="FFFFFF"/>
        </w:rPr>
        <w:t>款为必须满足条</w:t>
      </w:r>
      <w:r>
        <w:rPr>
          <w:rFonts w:hint="eastAsia" w:hAnsi="宋体" w:cs="宋体"/>
          <w:b/>
          <w:bCs/>
          <w:i w:val="0"/>
          <w:iCs w:val="0"/>
          <w:caps w:val="0"/>
          <w:color w:val="FF0000"/>
          <w:spacing w:val="0"/>
          <w:sz w:val="21"/>
          <w:szCs w:val="21"/>
          <w:shd w:val="clear" w:fill="FFFFFF"/>
          <w:lang w:val="en-US" w:eastAsia="zh-CN"/>
        </w:rPr>
        <w:t>款</w:t>
      </w:r>
      <w:r>
        <w:rPr>
          <w:rFonts w:hint="eastAsia" w:ascii="宋体" w:hAnsi="宋体" w:eastAsia="宋体" w:cs="宋体"/>
          <w:b/>
          <w:bCs/>
          <w:i w:val="0"/>
          <w:iCs w:val="0"/>
          <w:caps w:val="0"/>
          <w:color w:val="FF0000"/>
          <w:spacing w:val="0"/>
          <w:sz w:val="21"/>
          <w:szCs w:val="21"/>
          <w:shd w:val="clear" w:fill="FFFFFF"/>
        </w:rPr>
        <w:t>，</w:t>
      </w:r>
      <w:r>
        <w:rPr>
          <w:rFonts w:hint="eastAsia" w:hAnsi="宋体" w:cs="宋体"/>
          <w:b/>
          <w:bCs/>
          <w:i w:val="0"/>
          <w:iCs w:val="0"/>
          <w:caps w:val="0"/>
          <w:color w:val="FF0000"/>
          <w:spacing w:val="0"/>
          <w:sz w:val="21"/>
          <w:szCs w:val="21"/>
          <w:shd w:val="clear" w:fill="FFFFFF"/>
          <w:lang w:val="en-US" w:eastAsia="zh-CN"/>
        </w:rPr>
        <w:t>无</w:t>
      </w:r>
      <w:r>
        <w:rPr>
          <w:rFonts w:hint="eastAsia" w:ascii="宋体"/>
          <w:b/>
          <w:color w:val="FF0000"/>
          <w:lang w:eastAsia="zh-CN"/>
        </w:rPr>
        <w:t>需投标人响应，</w:t>
      </w:r>
      <w:r>
        <w:rPr>
          <w:rFonts w:hint="eastAsia" w:ascii="宋体"/>
          <w:b/>
          <w:color w:val="FF0000"/>
          <w:lang w:val="en-US" w:eastAsia="zh-CN"/>
        </w:rPr>
        <w:t>均作为采购合同条款，任何供应商中标（成交）后均须满足。</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091"/>
        <w:gridCol w:w="6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3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序号</w:t>
            </w:r>
          </w:p>
        </w:tc>
        <w:tc>
          <w:tcPr>
            <w:tcW w:w="64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目录</w:t>
            </w:r>
          </w:p>
        </w:tc>
        <w:tc>
          <w:tcPr>
            <w:tcW w:w="4029"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3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64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服务期限</w:t>
            </w:r>
          </w:p>
        </w:tc>
        <w:tc>
          <w:tcPr>
            <w:tcW w:w="4029"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自合同签订之日起90个日历日内完成。（日历日为自然天，包括双休日及法定节假日，不等同于工作日。自项目最终验收合格之日起提供2年的免费维护服务。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3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64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服务地点</w:t>
            </w:r>
          </w:p>
        </w:tc>
        <w:tc>
          <w:tcPr>
            <w:tcW w:w="4029"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深圳市龙岗中心医院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w:t>
            </w:r>
          </w:p>
        </w:tc>
        <w:tc>
          <w:tcPr>
            <w:tcW w:w="64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付款方式</w:t>
            </w:r>
          </w:p>
        </w:tc>
        <w:tc>
          <w:tcPr>
            <w:tcW w:w="4029"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付款方式：采购人按照合同金额分2期支付，中标人需提前开具正式发票并送到采购人，因付款审批程序或政策变动等原因而导致价款不能及时到账的，采购人不承担违约责任中标人不得以此拒绝或怠于履行合同义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（1）第一次付款，合同签订后，在采购人收到中标人发票后按照相应时间规定，采购人向中标人支付合同总额的30%。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（2）第二次付款，安装调试完成并经采购人验收合格后，在采购人收到中标人发票后按照相应时间规定，采购人向中标人支付合同总额的70%。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33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640"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关于验收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p>
        </w:tc>
        <w:tc>
          <w:tcPr>
            <w:tcW w:w="4029" w:type="pc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1、服务经过双方检验认可后，签署验收报告。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2、当满足以下条件时，使用部门向中标人签发验收报告：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（1）中标人已按照合同规定提供了全部技术资料。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（2）服务项目符合招标文件的服务要求。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szCs w:val="24"/>
                <w:highlight w:val="none"/>
                <w:lang w:val="en-US" w:eastAsia="zh-CN"/>
              </w:rPr>
              <w:t>5</w:t>
            </w:r>
          </w:p>
        </w:tc>
        <w:tc>
          <w:tcPr>
            <w:tcW w:w="64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szCs w:val="24"/>
                <w:highlight w:val="none"/>
                <w:lang w:val="en-US" w:eastAsia="zh-CN"/>
              </w:rPr>
              <w:t>接口要求</w:t>
            </w:r>
          </w:p>
        </w:tc>
        <w:tc>
          <w:tcPr>
            <w:tcW w:w="4029" w:type="pct"/>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数据接口费用包含在投标报价中，采购人不另外支付。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w:t>
            </w:r>
          </w:p>
        </w:tc>
        <w:tc>
          <w:tcPr>
            <w:tcW w:w="64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关于违约</w:t>
            </w:r>
          </w:p>
        </w:tc>
        <w:tc>
          <w:tcPr>
            <w:tcW w:w="4029" w:type="pct"/>
            <w:shd w:val="clear" w:color="auto" w:fill="auto"/>
            <w:vAlign w:val="top"/>
          </w:tcPr>
          <w:p>
            <w:pPr>
              <w:pStyle w:val="18"/>
              <w:keepNext w:val="0"/>
              <w:keepLines w:val="0"/>
              <w:suppressLineNumbers w:val="0"/>
              <w:spacing w:before="0" w:beforeAutospacing="0" w:after="0" w:afterAutospacing="0" w:line="320" w:lineRule="exact"/>
              <w:ind w:left="0" w:right="0"/>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highlight w:val="none"/>
                <w:lang w:val="en-US" w:eastAsia="zh-CN"/>
              </w:rPr>
              <w:t>投标人如承诺</w:t>
            </w:r>
            <w:r>
              <w:rPr>
                <w:rFonts w:hint="eastAsia" w:ascii="仿宋" w:hAnsi="仿宋" w:eastAsia="仿宋" w:cs="仿宋"/>
                <w:color w:val="000000"/>
              </w:rPr>
              <w:t>中标（成交）后取得相关认证证书</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lang w:eastAsia="zh-CN"/>
              </w:rPr>
              <w:t>，</w:t>
            </w:r>
            <w:r>
              <w:rPr>
                <w:rFonts w:hint="eastAsia" w:ascii="仿宋" w:hAnsi="仿宋" w:eastAsia="仿宋" w:cs="仿宋"/>
                <w:color w:val="000000"/>
              </w:rPr>
              <w:t>如未按承诺要求</w:t>
            </w:r>
            <w:r>
              <w:rPr>
                <w:rFonts w:hint="eastAsia" w:ascii="仿宋" w:hAnsi="仿宋" w:eastAsia="仿宋" w:cs="仿宋"/>
                <w:color w:val="000000"/>
                <w:lang w:val="en-US" w:eastAsia="zh-CN"/>
              </w:rPr>
              <w:t>在相应时间内</w:t>
            </w:r>
            <w:r>
              <w:rPr>
                <w:rFonts w:hint="eastAsia" w:ascii="仿宋" w:hAnsi="仿宋" w:eastAsia="仿宋" w:cs="仿宋"/>
                <w:color w:val="000000"/>
              </w:rPr>
              <w:t>取得相关认证证书的，将视为合同违约，需支付合同金额10%的违约金。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w:t>
            </w:r>
          </w:p>
        </w:tc>
        <w:tc>
          <w:tcPr>
            <w:tcW w:w="64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知识产权</w:t>
            </w:r>
          </w:p>
        </w:tc>
        <w:tc>
          <w:tcPr>
            <w:tcW w:w="4029" w:type="pct"/>
            <w:shd w:val="clear" w:color="auto" w:fill="auto"/>
            <w:vAlign w:val="top"/>
          </w:tcPr>
          <w:p>
            <w:pPr>
              <w:pStyle w:val="18"/>
              <w:keepNext w:val="0"/>
              <w:keepLines w:val="0"/>
              <w:suppressLineNumbers w:val="0"/>
              <w:spacing w:before="0" w:beforeAutospacing="0" w:after="0" w:afterAutospacing="0" w:line="320" w:lineRule="exact"/>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乙方保证其提供的服务及成果不侵犯任何第三方的知识产权，包括但不限于侵犯其专利权、商标权、著作权、工业设计权等知识产权和侵犯其所有权、抵押权等物权及其他权利而引发的纠纷。若因此引发争议，乙方应承担全部法律责任及赔偿甲方因此产生的损失（含诉讼费、律师费等）。</w:t>
            </w:r>
          </w:p>
          <w:p>
            <w:pPr>
              <w:pStyle w:val="18"/>
              <w:keepNext w:val="0"/>
              <w:keepLines w:val="0"/>
              <w:suppressLineNumbers w:val="0"/>
              <w:spacing w:before="0" w:beforeAutospacing="0" w:after="0" w:afterAutospacing="0" w:line="320" w:lineRule="exact"/>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项目软件在实施过程中形成的文档资料、数据资料和统计分析资料等资料所有权属于甲方，乙方不得对上述资料进行复制、修改、发行、出售、翻译或交付任何第三方进行任何目的的使用，经甲方书面同意的除外。</w:t>
            </w:r>
          </w:p>
          <w:p>
            <w:pPr>
              <w:pStyle w:val="18"/>
              <w:keepNext w:val="0"/>
              <w:keepLines w:val="0"/>
              <w:suppressLineNumbers w:val="0"/>
              <w:spacing w:before="0" w:beforeAutospacing="0" w:after="0" w:afterAutospacing="0" w:line="320" w:lineRule="exact"/>
              <w:ind w:left="0" w:right="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3、系统产生的数据和二次开发源代码归采购人所有。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30" w:type="pct"/>
            <w:shd w:val="clear" w:color="auto" w:fill="auto"/>
            <w:vAlign w:val="center"/>
          </w:tcPr>
          <w:p>
            <w:pPr>
              <w:pStyle w:val="18"/>
              <w:keepNext w:val="0"/>
              <w:keepLines w:val="0"/>
              <w:suppressLineNumbers w:val="0"/>
              <w:spacing w:before="0" w:beforeAutospacing="0" w:after="0" w:afterAutospacing="0" w:line="320" w:lineRule="exact"/>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64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kern w:val="0"/>
                <w:sz w:val="24"/>
                <w:szCs w:val="24"/>
                <w:highlight w:val="none"/>
                <w:lang w:val="en-US" w:eastAsia="zh-CN"/>
              </w:rPr>
              <w:t>系统兼容性需求</w:t>
            </w:r>
          </w:p>
        </w:tc>
        <w:tc>
          <w:tcPr>
            <w:tcW w:w="4029" w:type="pct"/>
            <w:shd w:val="clear" w:color="auto" w:fill="auto"/>
            <w:vAlign w:val="top"/>
          </w:tcPr>
          <w:p>
            <w:pPr>
              <w:pStyle w:val="18"/>
              <w:keepNext w:val="0"/>
              <w:keepLines w:val="0"/>
              <w:suppressLineNumbers w:val="0"/>
              <w:spacing w:before="0" w:beforeAutospacing="0" w:after="0" w:afterAutospacing="0" w:line="320" w:lineRule="exact"/>
              <w:ind w:left="0" w:right="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投标方案必须基于我院现有标准化智慧实验室管理平台进行升级改造，保留原系统核心业务逻辑与数据库结构，确保业务连续性。</w:t>
            </w:r>
          </w:p>
        </w:tc>
      </w:tr>
    </w:tbl>
    <w:p>
      <w:pPr>
        <w:rPr>
          <w:rFonts w:hint="eastAsia" w:ascii="仿宋" w:hAnsi="仿宋" w:eastAsia="仿宋" w:cs="仿宋"/>
          <w:bCs/>
          <w:color w:val="000000"/>
          <w:sz w:val="24"/>
          <w:szCs w:val="24"/>
          <w:highlight w:val="none"/>
        </w:rPr>
      </w:pPr>
    </w:p>
    <w:p>
      <w:pPr>
        <w:numPr>
          <w:ilvl w:val="0"/>
          <w:numId w:val="0"/>
        </w:numPr>
        <w:jc w:val="both"/>
        <w:outlineLvl w:val="0"/>
        <w:rPr>
          <w:rFonts w:hint="eastAsia" w:ascii="仿宋" w:hAnsi="仿宋" w:eastAsia="仿宋" w:cs="仿宋"/>
          <w:b/>
          <w:bCs w:val="0"/>
          <w:kern w:val="0"/>
          <w:sz w:val="24"/>
          <w:szCs w:val="24"/>
          <w:highlight w:val="none"/>
          <w:lang w:val="en-US" w:eastAsia="zh-CN" w:bidi="ar-SA"/>
        </w:rPr>
      </w:pPr>
    </w:p>
    <w:p>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七、其他重要条款</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2、投标人应充分了解项目的位置、情况、道路及任何其它足以影响投标报价的情况，任何因忽视或误解项目情况而导致的索赔或服务期限延长申请将不获批准。</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pPr>
        <w:outlineLvl w:val="2"/>
        <w:rPr>
          <w:rFonts w:hint="eastAsia" w:ascii="仿宋" w:hAnsi="仿宋" w:eastAsia="仿宋" w:cs="仿宋"/>
          <w:sz w:val="24"/>
          <w:szCs w:val="24"/>
          <w:highlight w:val="none"/>
        </w:rPr>
      </w:pPr>
      <w:r>
        <w:rPr>
          <w:rStyle w:val="35"/>
          <w:rFonts w:hint="eastAsia" w:ascii="仿宋" w:hAnsi="仿宋" w:eastAsia="仿宋" w:cs="仿宋"/>
          <w:b/>
          <w:bCs w:val="0"/>
          <w:sz w:val="24"/>
          <w:szCs w:val="24"/>
          <w:highlight w:val="none"/>
        </w:rPr>
        <w:t>投标文件组成</w:t>
      </w:r>
    </w:p>
    <w:p>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pPr>
        <w:pStyle w:val="27"/>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7.合同条款及格式</w:t>
      </w:r>
    </w:p>
    <w:p>
      <w:pPr>
        <w:pStyle w:val="27"/>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8.投标人认为需要加以说明的其他内容</w:t>
      </w:r>
    </w:p>
    <w:p>
      <w:pPr>
        <w:outlineLvl w:val="2"/>
        <w:rPr>
          <w:rFonts w:hint="eastAsia" w:ascii="仿宋" w:hAnsi="仿宋" w:eastAsia="仿宋" w:cs="仿宋"/>
          <w:b/>
          <w:bCs/>
          <w:sz w:val="28"/>
          <w:szCs w:val="28"/>
          <w:highlight w:val="none"/>
        </w:rPr>
      </w:pPr>
    </w:p>
    <w:p>
      <w:pPr>
        <w:outlineLvl w:val="2"/>
        <w:rPr>
          <w:rFonts w:hint="eastAsia" w:ascii="仿宋" w:hAnsi="仿宋" w:eastAsia="仿宋" w:cs="仿宋"/>
          <w:b/>
          <w:bCs/>
          <w:sz w:val="28"/>
          <w:szCs w:val="28"/>
          <w:highlight w:val="none"/>
        </w:rPr>
      </w:pPr>
    </w:p>
    <w:p>
      <w:pPr>
        <w:outlineLvl w:val="2"/>
        <w:rPr>
          <w:rFonts w:hint="eastAsia" w:ascii="仿宋" w:hAnsi="仿宋" w:eastAsia="仿宋" w:cs="仿宋"/>
          <w:b/>
          <w:bCs/>
          <w:sz w:val="28"/>
          <w:szCs w:val="28"/>
          <w:highlight w:val="none"/>
        </w:rPr>
      </w:pPr>
    </w:p>
    <w:p>
      <w:pPr>
        <w:outlineLvl w:val="2"/>
        <w:rPr>
          <w:rFonts w:hint="eastAsia" w:ascii="仿宋" w:hAnsi="仿宋" w:eastAsia="仿宋" w:cs="仿宋"/>
          <w:b/>
          <w:bCs/>
          <w:sz w:val="28"/>
          <w:szCs w:val="28"/>
          <w:highlight w:val="none"/>
        </w:rPr>
      </w:pPr>
    </w:p>
    <w:p>
      <w:pPr>
        <w:outlineLvl w:val="2"/>
        <w:rPr>
          <w:rFonts w:hint="eastAsia" w:ascii="仿宋" w:hAnsi="仿宋" w:eastAsia="仿宋" w:cs="仿宋"/>
          <w:b/>
          <w:bCs/>
          <w:sz w:val="28"/>
          <w:szCs w:val="28"/>
          <w:highlight w:val="none"/>
        </w:rPr>
      </w:pPr>
    </w:p>
    <w:p>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5"/>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pPr>
        <w:pStyle w:val="8"/>
        <w:rPr>
          <w:rFonts w:hint="eastAsia" w:ascii="仿宋" w:hAnsi="仿宋" w:eastAsia="仿宋" w:cs="仿宋"/>
          <w:highlight w:val="none"/>
        </w:rPr>
      </w:pPr>
    </w:p>
    <w:p>
      <w:pPr>
        <w:keepNext/>
        <w:keepLines/>
        <w:spacing w:line="360" w:lineRule="auto"/>
        <w:outlineLvl w:val="3"/>
        <w:rPr>
          <w:rFonts w:hint="eastAsia" w:ascii="仿宋" w:hAnsi="仿宋" w:eastAsia="仿宋" w:cs="仿宋"/>
          <w:b/>
          <w:bCs/>
          <w:sz w:val="24"/>
          <w:szCs w:val="24"/>
          <w:highlight w:val="none"/>
        </w:rPr>
      </w:pPr>
      <w:bookmarkStart w:id="2" w:name="_Toc5828"/>
      <w:bookmarkStart w:id="3" w:name="_Toc24797"/>
      <w:bookmarkStart w:id="4" w:name="_Toc24698"/>
      <w:bookmarkStart w:id="5" w:name="_Toc18075"/>
      <w:r>
        <w:rPr>
          <w:rFonts w:hint="eastAsia" w:ascii="仿宋" w:hAnsi="仿宋" w:eastAsia="仿宋" w:cs="仿宋"/>
          <w:b/>
          <w:bCs/>
          <w:sz w:val="24"/>
          <w:szCs w:val="24"/>
          <w:highlight w:val="none"/>
        </w:rPr>
        <w:t>一、评标指引表</w:t>
      </w:r>
      <w:bookmarkEnd w:id="2"/>
      <w:bookmarkEnd w:id="3"/>
      <w:bookmarkEnd w:id="4"/>
      <w:bookmarkEnd w:id="5"/>
    </w:p>
    <w:tbl>
      <w:tblPr>
        <w:tblStyle w:val="21"/>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pPr>
              <w:keepNext w:val="0"/>
              <w:keepLines w:val="0"/>
              <w:suppressLineNumbers w:val="0"/>
              <w:spacing w:before="0" w:beforeAutospacing="0" w:after="0" w:afterAutospacing="0" w:line="360" w:lineRule="auto"/>
              <w:ind w:left="0" w:right="0"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255" w:type="dxa"/>
            <w:vMerge w:val="continue"/>
          </w:tcPr>
          <w:p>
            <w:pPr>
              <w:keepNext w:val="0"/>
              <w:keepLines w:val="0"/>
              <w:suppressLineNumbers w:val="0"/>
              <w:spacing w:before="0" w:beforeAutospacing="0" w:after="0" w:afterAutospacing="0" w:line="360" w:lineRule="auto"/>
              <w:ind w:left="0" w:right="0"/>
              <w:rPr>
                <w:rFonts w:hint="eastAsia" w:ascii="仿宋" w:hAnsi="仿宋" w:eastAsia="仿宋" w:cs="仿宋"/>
                <w:b/>
                <w:sz w:val="24"/>
                <w:szCs w:val="24"/>
                <w:highlight w:val="none"/>
              </w:rPr>
            </w:pPr>
          </w:p>
        </w:tc>
        <w:tc>
          <w:tcPr>
            <w:tcW w:w="1927"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pPr>
        <w:numPr>
          <w:ilvl w:val="0"/>
          <w:numId w:val="14"/>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pPr>
        <w:pStyle w:val="5"/>
        <w:ind w:left="0" w:leftChars="0" w:firstLine="0" w:firstLineChars="0"/>
        <w:rPr>
          <w:rFonts w:hint="eastAsia" w:ascii="仿宋" w:hAnsi="仿宋" w:eastAsia="仿宋" w:cs="仿宋"/>
          <w:b w:val="0"/>
          <w:i w:val="0"/>
          <w:caps w:val="0"/>
          <w:spacing w:val="0"/>
          <w:w w:val="100"/>
          <w:sz w:val="28"/>
          <w:highlight w:val="none"/>
        </w:rPr>
      </w:pPr>
    </w:p>
    <w:p>
      <w:pPr>
        <w:pStyle w:val="8"/>
        <w:rPr>
          <w:rFonts w:hint="eastAsia" w:ascii="仿宋" w:hAnsi="仿宋" w:eastAsia="仿宋" w:cs="仿宋"/>
          <w:highlight w:val="none"/>
        </w:rPr>
      </w:pPr>
    </w:p>
    <w:p>
      <w:pPr>
        <w:pStyle w:val="19"/>
        <w:rPr>
          <w:rFonts w:hint="eastAsia" w:ascii="仿宋" w:hAnsi="仿宋" w:eastAsia="仿宋" w:cs="仿宋"/>
          <w:highlight w:val="none"/>
        </w:rPr>
      </w:pPr>
    </w:p>
    <w:p>
      <w:pPr>
        <w:rPr>
          <w:rFonts w:hint="eastAsia" w:ascii="仿宋" w:hAnsi="仿宋" w:eastAsia="仿宋" w:cs="仿宋"/>
          <w:highlight w:val="none"/>
        </w:rPr>
      </w:pPr>
    </w:p>
    <w:p>
      <w:pPr>
        <w:pStyle w:val="27"/>
        <w:rPr>
          <w:rFonts w:hint="eastAsia" w:ascii="仿宋" w:hAnsi="仿宋" w:eastAsia="仿宋" w:cs="仿宋"/>
          <w:highlight w:val="none"/>
        </w:rPr>
      </w:pPr>
    </w:p>
    <w:p>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pPr>
        <w:pStyle w:val="8"/>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pPr>
        <w:ind w:left="540" w:leftChars="257"/>
        <w:rPr>
          <w:rFonts w:hint="eastAsia" w:ascii="仿宋" w:hAnsi="仿宋" w:eastAsia="仿宋" w:cs="仿宋"/>
          <w:color w:val="auto"/>
          <w:sz w:val="24"/>
          <w:szCs w:val="24"/>
          <w:highlight w:val="none"/>
        </w:rPr>
      </w:pPr>
    </w:p>
    <w:p>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pStyle w:val="27"/>
        <w:rPr>
          <w:rFonts w:hint="eastAsia" w:ascii="仿宋" w:hAnsi="仿宋" w:eastAsia="仿宋" w:cs="仿宋"/>
          <w:color w:val="auto"/>
          <w:sz w:val="24"/>
          <w:szCs w:val="24"/>
          <w:highlight w:val="none"/>
        </w:rPr>
      </w:pPr>
    </w:p>
    <w:p>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pPr>
        <w:rPr>
          <w:rFonts w:hint="eastAsia" w:ascii="仿宋" w:hAnsi="仿宋" w:eastAsia="仿宋" w:cs="仿宋"/>
          <w:highlight w:val="none"/>
        </w:rPr>
      </w:pPr>
    </w:p>
    <w:p>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（一）报价</w:t>
      </w:r>
      <w:r>
        <w:rPr>
          <w:rFonts w:hint="eastAsia" w:ascii="仿宋" w:hAnsi="仿宋" w:eastAsia="仿宋" w:cs="仿宋"/>
          <w:b/>
          <w:sz w:val="24"/>
          <w:highlight w:val="none"/>
          <w:lang w:val="en-US" w:eastAsia="zh-CN"/>
        </w:rPr>
        <w:t>明细</w:t>
      </w:r>
      <w:r>
        <w:rPr>
          <w:rFonts w:hint="eastAsia" w:ascii="仿宋" w:hAnsi="仿宋" w:eastAsia="仿宋" w:cs="仿宋"/>
          <w:b/>
          <w:sz w:val="24"/>
          <w:highlight w:val="none"/>
        </w:rPr>
        <w:t>表</w:t>
      </w:r>
    </w:p>
    <w:tbl>
      <w:tblPr>
        <w:tblStyle w:val="21"/>
        <w:tblpPr w:leftFromText="180" w:rightFromText="180" w:vertAnchor="text" w:horzAnchor="margin" w:tblpY="173"/>
        <w:tblW w:w="48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2496"/>
        <w:gridCol w:w="1778"/>
        <w:gridCol w:w="587"/>
        <w:gridCol w:w="544"/>
        <w:gridCol w:w="1401"/>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05"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37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110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服务需求名称</w:t>
            </w:r>
          </w:p>
        </w:tc>
        <w:tc>
          <w:tcPr>
            <w:tcW w:w="382"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355"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876"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投标报价（元）</w:t>
            </w:r>
          </w:p>
        </w:tc>
        <w:tc>
          <w:tcPr>
            <w:tcW w:w="602"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05"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37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LGZXYYZBB20250804-1</w:t>
            </w:r>
          </w:p>
        </w:tc>
        <w:tc>
          <w:tcPr>
            <w:tcW w:w="110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rPr>
            </w:pPr>
            <w:r>
              <w:rPr>
                <w:rFonts w:hint="eastAsia" w:ascii="仿宋" w:hAnsi="仿宋" w:eastAsia="仿宋" w:cs="仿宋"/>
                <w:b w:val="0"/>
                <w:bCs w:val="0"/>
                <w:color w:val="auto"/>
                <w:sz w:val="24"/>
                <w:szCs w:val="24"/>
                <w:highlight w:val="none"/>
                <w:lang w:eastAsia="zh-CN"/>
              </w:rPr>
              <w:t>标准化智慧实验室管理平台升级</w:t>
            </w:r>
            <w:r>
              <w:rPr>
                <w:rFonts w:hint="eastAsia" w:ascii="仿宋" w:hAnsi="仿宋" w:eastAsia="仿宋" w:cs="仿宋"/>
                <w:b w:val="0"/>
                <w:bCs w:val="0"/>
                <w:color w:val="auto"/>
                <w:sz w:val="24"/>
                <w:szCs w:val="24"/>
                <w:highlight w:val="none"/>
              </w:rPr>
              <w:t>服务</w:t>
            </w:r>
          </w:p>
        </w:tc>
        <w:tc>
          <w:tcPr>
            <w:tcW w:w="382"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sz w:val="24"/>
                <w:szCs w:val="24"/>
                <w:highlight w:val="none"/>
                <w:lang w:val="en-US" w:eastAsia="zh-CN"/>
              </w:rPr>
              <w:t>1</w:t>
            </w:r>
          </w:p>
        </w:tc>
        <w:tc>
          <w:tcPr>
            <w:tcW w:w="355"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项</w:t>
            </w:r>
          </w:p>
        </w:tc>
        <w:tc>
          <w:tcPr>
            <w:tcW w:w="87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p>
        </w:tc>
        <w:tc>
          <w:tcPr>
            <w:tcW w:w="602"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highlight w:val="none"/>
                <w:lang w:val="en-US" w:eastAsia="zh-CN"/>
              </w:rPr>
            </w:pPr>
          </w:p>
        </w:tc>
      </w:tr>
    </w:tbl>
    <w:p>
      <w:pPr>
        <w:ind w:firstLine="482" w:firstLineChars="200"/>
        <w:rPr>
          <w:rFonts w:hint="eastAsia" w:ascii="仿宋" w:hAnsi="仿宋" w:eastAsia="仿宋" w:cs="仿宋"/>
          <w:b/>
          <w:bCs/>
          <w:sz w:val="24"/>
          <w:highlight w:val="none"/>
        </w:rPr>
      </w:pPr>
    </w:p>
    <w:p>
      <w:pPr>
        <w:tabs>
          <w:tab w:val="left" w:pos="720"/>
        </w:tabs>
        <w:jc w:val="center"/>
        <w:rPr>
          <w:rFonts w:hint="eastAsia" w:ascii="仿宋" w:hAnsi="仿宋" w:eastAsia="仿宋" w:cs="仿宋"/>
          <w:b/>
          <w:sz w:val="24"/>
          <w:highlight w:val="none"/>
        </w:rPr>
      </w:pPr>
      <w:r>
        <w:rPr>
          <w:rFonts w:hint="eastAsia" w:ascii="仿宋" w:hAnsi="仿宋" w:eastAsia="仿宋" w:cs="仿宋"/>
          <w:b/>
          <w:sz w:val="24"/>
          <w:highlight w:val="none"/>
        </w:rPr>
        <w:t>（二）投标人认为需要涉及的其他内容报价清单</w:t>
      </w:r>
    </w:p>
    <w:p>
      <w:pPr>
        <w:rPr>
          <w:rFonts w:hint="eastAsia" w:ascii="仿宋" w:hAnsi="仿宋" w:eastAsia="仿宋" w:cs="仿宋"/>
          <w:b/>
          <w:bCs/>
          <w:highlight w:val="none"/>
        </w:rPr>
      </w:pPr>
    </w:p>
    <w:p>
      <w:pPr>
        <w:ind w:firstLine="482" w:firstLineChars="200"/>
        <w:rPr>
          <w:rFonts w:hint="eastAsia" w:ascii="仿宋" w:hAnsi="仿宋" w:eastAsia="仿宋" w:cs="仿宋"/>
          <w:b/>
          <w:bCs/>
          <w:sz w:val="24"/>
          <w:highlight w:val="none"/>
        </w:rPr>
      </w:pPr>
    </w:p>
    <w:p>
      <w:pPr>
        <w:pStyle w:val="11"/>
        <w:spacing w:line="360" w:lineRule="auto"/>
        <w:ind w:firstLine="420" w:firstLineChars="200"/>
        <w:rPr>
          <w:rFonts w:hint="eastAsia" w:ascii="仿宋" w:hAnsi="仿宋" w:eastAsia="仿宋" w:cs="仿宋"/>
          <w:szCs w:val="21"/>
          <w:highlight w:val="none"/>
        </w:rPr>
      </w:pPr>
    </w:p>
    <w:p>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br w:type="page"/>
      </w:r>
    </w:p>
    <w:p>
      <w:pPr>
        <w:numPr>
          <w:ilvl w:val="0"/>
          <w:numId w:val="0"/>
        </w:numPr>
        <w:jc w:val="both"/>
        <w:rPr>
          <w:rFonts w:hint="eastAsia" w:ascii="仿宋" w:hAnsi="仿宋" w:eastAsia="仿宋" w:cs="仿宋"/>
          <w:sz w:val="24"/>
          <w:szCs w:val="24"/>
          <w:highlight w:val="none"/>
        </w:rPr>
      </w:pPr>
      <w:r>
        <w:rPr>
          <w:rFonts w:hint="eastAsia" w:ascii="仿宋" w:hAnsi="仿宋" w:eastAsia="仿宋" w:cs="仿宋"/>
          <w:b/>
          <w:bCs w:val="0"/>
          <w:kern w:val="2"/>
          <w:sz w:val="24"/>
          <w:szCs w:val="24"/>
          <w:highlight w:val="none"/>
          <w:lang w:val="en-US" w:eastAsia="zh-CN"/>
        </w:rPr>
        <w:t>四、自行采购项目供应商资格审查表</w:t>
      </w:r>
    </w:p>
    <w:p>
      <w:pPr>
        <w:keepNext w:val="0"/>
        <w:keepLines w:val="0"/>
        <w:pageBreakBefore w:val="0"/>
        <w:widowControl/>
        <w:numPr>
          <w:ilvl w:val="0"/>
          <w:numId w:val="0"/>
        </w:numPr>
        <w:spacing w:line="480" w:lineRule="exact"/>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2"/>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p>
        </w:tc>
        <w:tc>
          <w:tcPr>
            <w:tcW w:w="1323"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pPr>
              <w:keepNext w:val="0"/>
              <w:keepLines w:val="0"/>
              <w:suppressLineNumbers w:val="0"/>
              <w:spacing w:before="0" w:beforeAutospacing="0" w:after="0" w:afterAutospacing="0"/>
              <w:ind w:left="0" w:right="0"/>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采购人内部排查</w:t>
            </w:r>
          </w:p>
          <w:p>
            <w:pPr>
              <w:keepNext w:val="0"/>
              <w:keepLines w:val="0"/>
              <w:suppressLineNumbers w:val="0"/>
              <w:spacing w:before="0" w:beforeAutospacing="0" w:after="0" w:afterAutospacing="0"/>
              <w:ind w:left="0" w:right="0"/>
              <w:rPr>
                <w:rFonts w:hint="eastAsia" w:ascii="Calibri" w:hAnsi="Calibri" w:eastAsia="宋体" w:cs="Calibri"/>
                <w:kern w:val="2"/>
                <w:sz w:val="21"/>
                <w:szCs w:val="21"/>
                <w:lang w:val="en-US" w:eastAsia="zh-CN" w:bidi="ar-SA"/>
              </w:rPr>
            </w:pPr>
          </w:p>
          <w:p>
            <w:pPr>
              <w:keepNext w:val="0"/>
              <w:keepLines w:val="0"/>
              <w:suppressLineNumbers w:val="0"/>
              <w:spacing w:before="0" w:beforeAutospacing="0" w:after="0" w:afterAutospacing="0"/>
              <w:ind w:left="0" w:right="0"/>
              <w:jc w:val="center"/>
              <w:rPr>
                <w:rFonts w:hint="eastAsia"/>
                <w:lang w:val="en-US" w:eastAsia="zh-CN"/>
              </w:rPr>
            </w:pPr>
          </w:p>
        </w:tc>
        <w:tc>
          <w:tcPr>
            <w:tcW w:w="1323"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pPr>
        <w:outlineLvl w:val="3"/>
        <w:rPr>
          <w:rFonts w:hint="eastAsia" w:ascii="仿宋" w:hAnsi="仿宋" w:eastAsia="仿宋" w:cs="仿宋"/>
          <w:b/>
          <w:szCs w:val="21"/>
          <w:highlight w:val="none"/>
        </w:rPr>
      </w:pPr>
      <w:bookmarkStart w:id="7" w:name="_Toc7602"/>
    </w:p>
    <w:bookmarkEnd w:id="7"/>
    <w:p>
      <w:pPr>
        <w:rPr>
          <w:rFonts w:hint="eastAsia" w:ascii="仿宋" w:hAnsi="仿宋" w:eastAsia="仿宋" w:cs="仿宋"/>
          <w:highlight w:val="none"/>
        </w:rPr>
      </w:pPr>
    </w:p>
    <w:p>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pPr>
        <w:adjustRightInd w:val="0"/>
        <w:jc w:val="center"/>
        <w:outlineLvl w:val="4"/>
        <w:rPr>
          <w:rFonts w:hint="eastAsia" w:ascii="仿宋" w:hAnsi="仿宋" w:eastAsia="仿宋" w:cs="仿宋"/>
          <w:b/>
          <w:bCs/>
          <w:sz w:val="24"/>
          <w:szCs w:val="24"/>
          <w:highlight w:val="none"/>
        </w:rPr>
      </w:pPr>
    </w:p>
    <w:p>
      <w:pPr>
        <w:adjustRightInd w:val="0"/>
        <w:jc w:val="both"/>
        <w:outlineLvl w:val="4"/>
        <w:rPr>
          <w:rFonts w:hint="eastAsia" w:ascii="仿宋" w:hAnsi="仿宋" w:eastAsia="仿宋" w:cs="仿宋"/>
          <w:b/>
          <w:bCs/>
          <w:sz w:val="24"/>
          <w:szCs w:val="24"/>
          <w:highlight w:val="none"/>
          <w:lang w:val="en-US" w:eastAsia="zh-CN"/>
        </w:rPr>
      </w:pPr>
    </w:p>
    <w:p>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pPr>
        <w:shd w:val="clear"/>
        <w:snapToGrid w:val="0"/>
        <w:spacing w:line="360" w:lineRule="auto"/>
        <w:rPr>
          <w:rFonts w:hint="eastAsia" w:ascii="仿宋" w:hAnsi="仿宋" w:eastAsia="仿宋" w:cs="仿宋"/>
          <w:color w:val="auto"/>
          <w:sz w:val="24"/>
          <w:szCs w:val="24"/>
          <w:highlight w:val="none"/>
        </w:rPr>
      </w:pPr>
    </w:p>
    <w:p>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pPr>
        <w:shd w:val="clear"/>
        <w:spacing w:line="360" w:lineRule="auto"/>
        <w:ind w:firstLine="5760" w:firstLineChars="2400"/>
        <w:jc w:val="left"/>
        <w:rPr>
          <w:rFonts w:hint="eastAsia" w:ascii="仿宋" w:hAnsi="仿宋" w:eastAsia="仿宋" w:cs="仿宋"/>
          <w:color w:val="auto"/>
          <w:sz w:val="24"/>
          <w:szCs w:val="24"/>
          <w:highlight w:val="none"/>
        </w:rPr>
      </w:pPr>
    </w:p>
    <w:p>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pPr>
        <w:shd w:val="clear"/>
        <w:spacing w:line="360" w:lineRule="auto"/>
        <w:ind w:firstLine="4560" w:firstLineChars="1900"/>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pPr>
        <w:pStyle w:val="5"/>
        <w:widowControl w:val="0"/>
        <w:numPr>
          <w:ilvl w:val="0"/>
          <w:numId w:val="0"/>
        </w:numPr>
        <w:jc w:val="both"/>
        <w:rPr>
          <w:rFonts w:hint="default" w:ascii="仿宋" w:hAnsi="仿宋" w:eastAsia="仿宋" w:cs="仿宋"/>
          <w:b/>
          <w:bCs/>
          <w:sz w:val="24"/>
          <w:szCs w:val="24"/>
          <w:highlight w:val="none"/>
          <w:lang w:val="en-US" w:eastAsia="zh-CN"/>
        </w:rPr>
      </w:pPr>
    </w:p>
    <w:p>
      <w:pPr>
        <w:pStyle w:val="5"/>
        <w:widowControl w:val="0"/>
        <w:numPr>
          <w:ilvl w:val="0"/>
          <w:numId w:val="0"/>
        </w:numPr>
        <w:jc w:val="both"/>
        <w:rPr>
          <w:rFonts w:hint="default" w:ascii="仿宋" w:hAnsi="仿宋" w:eastAsia="仿宋" w:cs="仿宋"/>
          <w:b/>
          <w:bCs/>
          <w:sz w:val="24"/>
          <w:szCs w:val="24"/>
          <w:highlight w:val="none"/>
          <w:lang w:val="en-US" w:eastAsia="zh-CN"/>
        </w:rPr>
      </w:pPr>
    </w:p>
    <w:p>
      <w:pPr>
        <w:rPr>
          <w:rFonts w:hint="eastAsia" w:ascii="仿宋" w:hAnsi="仿宋" w:eastAsia="仿宋" w:cs="仿宋"/>
          <w:b/>
          <w:bCs/>
          <w:kern w:val="2"/>
          <w:sz w:val="24"/>
          <w:szCs w:val="24"/>
          <w:highlight w:val="none"/>
          <w:lang w:val="en-US" w:eastAsia="zh-CN" w:bidi="ar-SA"/>
        </w:rPr>
      </w:pPr>
      <w:bookmarkStart w:id="8" w:name="_Toc29757"/>
      <w:bookmarkStart w:id="9" w:name="_Toc743"/>
      <w:r>
        <w:rPr>
          <w:rFonts w:hint="eastAsia" w:ascii="仿宋" w:hAnsi="仿宋" w:eastAsia="仿宋" w:cs="仿宋"/>
          <w:b/>
          <w:bCs/>
          <w:kern w:val="2"/>
          <w:sz w:val="24"/>
          <w:szCs w:val="24"/>
          <w:highlight w:val="none"/>
          <w:lang w:val="en-US" w:eastAsia="zh-CN" w:bidi="ar-SA"/>
        </w:rPr>
        <w:br w:type="page"/>
      </w:r>
    </w:p>
    <w:p>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pPr>
        <w:pStyle w:val="11"/>
        <w:spacing w:line="360" w:lineRule="auto"/>
        <w:jc w:val="center"/>
        <w:rPr>
          <w:rFonts w:hint="eastAsia" w:ascii="仿宋" w:hAnsi="仿宋" w:eastAsia="仿宋" w:cs="仿宋"/>
          <w:b/>
          <w:bCs/>
          <w:sz w:val="24"/>
          <w:szCs w:val="24"/>
          <w:highlight w:val="none"/>
        </w:rPr>
      </w:pPr>
    </w:p>
    <w:p>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pPr>
        <w:widowControl/>
        <w:autoSpaceDE w:val="0"/>
        <w:autoSpaceDN w:val="0"/>
        <w:ind w:right="893"/>
        <w:jc w:val="center"/>
        <w:textAlignment w:val="bottom"/>
        <w:rPr>
          <w:rFonts w:hint="eastAsia" w:ascii="仿宋" w:hAnsi="仿宋" w:eastAsia="仿宋" w:cs="仿宋"/>
          <w:sz w:val="24"/>
          <w:szCs w:val="24"/>
          <w:highlight w:val="none"/>
        </w:rPr>
      </w:pPr>
    </w:p>
    <w:p>
      <w:pPr>
        <w:pStyle w:val="8"/>
        <w:rPr>
          <w:rFonts w:hint="eastAsia" w:ascii="仿宋" w:hAnsi="仿宋" w:eastAsia="仿宋" w:cs="仿宋"/>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pPr>
        <w:ind w:firstLine="480" w:firstLineChars="200"/>
        <w:rPr>
          <w:rFonts w:hint="eastAsia" w:ascii="仿宋" w:hAnsi="仿宋" w:eastAsia="仿宋" w:cs="仿宋"/>
          <w:bCs/>
          <w:color w:val="auto"/>
          <w:kern w:val="2"/>
          <w:sz w:val="24"/>
          <w:szCs w:val="24"/>
          <w:highlight w:val="none"/>
          <w:lang w:val="en-US" w:eastAsia="zh-CN" w:bidi="ar-SA"/>
        </w:rPr>
      </w:pPr>
    </w:p>
    <w:p>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pPr>
        <w:ind w:firstLine="480" w:firstLineChars="200"/>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pPr>
        <w:widowControl/>
        <w:autoSpaceDE w:val="0"/>
        <w:autoSpaceDN w:val="0"/>
        <w:ind w:right="893"/>
        <w:textAlignment w:val="bottom"/>
        <w:rPr>
          <w:rFonts w:hint="eastAsia" w:ascii="仿宋" w:hAnsi="仿宋" w:eastAsia="仿宋" w:cs="仿宋"/>
          <w:color w:val="auto"/>
          <w:sz w:val="24"/>
          <w:szCs w:val="24"/>
          <w:highlight w:val="none"/>
        </w:rPr>
      </w:pPr>
    </w:p>
    <w:p>
      <w:pPr>
        <w:widowControl/>
        <w:autoSpaceDE w:val="0"/>
        <w:autoSpaceDN w:val="0"/>
        <w:ind w:right="893"/>
        <w:textAlignment w:val="bottom"/>
        <w:rPr>
          <w:rFonts w:hint="eastAsia" w:ascii="仿宋" w:hAnsi="仿宋" w:eastAsia="仿宋" w:cs="仿宋"/>
          <w:color w:val="auto"/>
          <w:sz w:val="24"/>
          <w:szCs w:val="24"/>
          <w:highlight w:val="none"/>
        </w:rPr>
      </w:pPr>
    </w:p>
    <w:p>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pPr>
        <w:keepNext/>
        <w:keepLines/>
        <w:spacing w:line="360" w:lineRule="auto"/>
        <w:rPr>
          <w:rFonts w:hint="eastAsia" w:ascii="仿宋" w:hAnsi="仿宋" w:eastAsia="仿宋" w:cs="仿宋"/>
          <w:color w:val="auto"/>
          <w:sz w:val="24"/>
          <w:szCs w:val="24"/>
          <w:highlight w:val="none"/>
        </w:rPr>
      </w:pPr>
    </w:p>
    <w:p>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9" name="组合 9"/>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B6pAXzuQIAAP0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keepNext/>
        <w:keepLines/>
        <w:spacing w:line="360" w:lineRule="auto"/>
        <w:rPr>
          <w:rFonts w:hint="eastAsia" w:ascii="仿宋" w:hAnsi="仿宋" w:eastAsia="仿宋" w:cs="仿宋"/>
          <w:sz w:val="24"/>
          <w:szCs w:val="24"/>
          <w:highlight w:val="none"/>
        </w:rPr>
      </w:pPr>
    </w:p>
    <w:p>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pPr>
        <w:spacing w:line="360" w:lineRule="auto"/>
        <w:jc w:val="center"/>
        <w:rPr>
          <w:rFonts w:hint="eastAsia" w:ascii="仿宋" w:hAnsi="仿宋" w:eastAsia="仿宋" w:cs="仿宋"/>
          <w:b/>
          <w:bCs/>
          <w:sz w:val="24"/>
          <w:szCs w:val="24"/>
          <w:highlight w:val="none"/>
        </w:rPr>
      </w:pPr>
    </w:p>
    <w:p>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pPr>
        <w:spacing w:line="360" w:lineRule="auto"/>
        <w:jc w:val="center"/>
        <w:rPr>
          <w:rFonts w:hint="eastAsia" w:ascii="仿宋" w:hAnsi="仿宋" w:eastAsia="仿宋" w:cs="仿宋"/>
          <w:sz w:val="24"/>
          <w:szCs w:val="24"/>
          <w:highlight w:val="none"/>
        </w:rPr>
      </w:pP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pPr>
        <w:pStyle w:val="11"/>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val="en-US"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w:t>
      </w:r>
    </w:p>
    <w:p>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（被授权人的姓名、职务）为本公司的合法代表人，</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深圳</w:t>
      </w:r>
      <w:r>
        <w:rPr>
          <w:rFonts w:hint="eastAsia" w:ascii="仿宋" w:hAnsi="仿宋" w:eastAsia="仿宋" w:cs="仿宋"/>
          <w:color w:val="auto"/>
          <w:sz w:val="24"/>
          <w:szCs w:val="24"/>
          <w:highlight w:val="none"/>
          <w:lang w:val="en-US" w:eastAsia="zh-CN"/>
        </w:rPr>
        <w:t>市龙岗中心医院</w:t>
      </w:r>
      <w:r>
        <w:rPr>
          <w:rFonts w:hint="eastAsia" w:ascii="仿宋" w:hAnsi="仿宋" w:eastAsia="仿宋" w:cs="仿宋"/>
          <w:color w:val="auto"/>
          <w:sz w:val="24"/>
          <w:szCs w:val="24"/>
          <w:highlight w:val="none"/>
          <w:u w:val="single"/>
        </w:rPr>
        <w:t>　　　　　</w:t>
      </w:r>
      <w:r>
        <w:rPr>
          <w:rFonts w:hint="default"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val="en-US" w:eastAsia="zh-CN"/>
        </w:rPr>
        <w:t>名称</w:t>
      </w:r>
      <w:r>
        <w:rPr>
          <w:rFonts w:hint="default"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的投标和合同执行，以我方的名义处理一切与之有关的事宜。</w:t>
      </w:r>
    </w:p>
    <w:p>
      <w:pPr>
        <w:spacing w:line="360" w:lineRule="auto"/>
        <w:rPr>
          <w:rFonts w:hint="eastAsia" w:ascii="仿宋" w:hAnsi="仿宋" w:eastAsia="仿宋" w:cs="仿宋"/>
          <w:color w:val="auto"/>
          <w:sz w:val="24"/>
          <w:szCs w:val="24"/>
          <w:highlight w:val="none"/>
        </w:rPr>
      </w:pPr>
    </w:p>
    <w:p>
      <w:pPr>
        <w:pStyle w:val="11"/>
        <w:rPr>
          <w:rFonts w:hint="eastAsia"/>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pPr>
        <w:widowControl/>
        <w:autoSpaceDE w:val="0"/>
        <w:autoSpaceDN w:val="0"/>
        <w:ind w:right="893"/>
        <w:textAlignment w:val="bottom"/>
        <w:rPr>
          <w:rFonts w:hint="eastAsia" w:ascii="仿宋" w:hAnsi="仿宋" w:eastAsia="仿宋" w:cs="仿宋"/>
          <w:color w:val="auto"/>
          <w:sz w:val="24"/>
          <w:szCs w:val="24"/>
          <w:highlight w:val="none"/>
        </w:rPr>
      </w:pPr>
    </w:p>
    <w:p>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3"/>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8A2NsAAAAKAQAADwAAAAAAAAABACAA&#10;AAAiAAAAZHJzL2Rvd25yZXYueG1sUEsBAhQAFAAAAAgAh07iQO70Txa1AgAA/QcAAA4AAAAAAAAA&#10;AQAgAAAAKgEAAGRycy9lMm9Eb2MueG1sUEsFBgAAAAAGAAYAWQEAAFEGA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keepNext/>
        <w:keepLines/>
        <w:spacing w:line="360" w:lineRule="auto"/>
        <w:rPr>
          <w:rFonts w:hint="eastAsia" w:ascii="仿宋" w:hAnsi="仿宋" w:eastAsia="仿宋" w:cs="仿宋"/>
          <w:b/>
          <w:sz w:val="24"/>
          <w:szCs w:val="24"/>
          <w:highlight w:val="none"/>
        </w:rPr>
      </w:pPr>
    </w:p>
    <w:p>
      <w:pPr>
        <w:keepNext/>
        <w:keepLines/>
        <w:spacing w:line="360" w:lineRule="auto"/>
        <w:rPr>
          <w:rFonts w:hint="eastAsia" w:ascii="仿宋" w:hAnsi="仿宋" w:eastAsia="仿宋" w:cs="仿宋"/>
          <w:b/>
          <w:sz w:val="24"/>
          <w:szCs w:val="24"/>
          <w:highlight w:val="none"/>
        </w:rPr>
      </w:pPr>
    </w:p>
    <w:p>
      <w:pPr>
        <w:keepNext/>
        <w:keepLines/>
        <w:spacing w:line="360" w:lineRule="auto"/>
        <w:rPr>
          <w:rFonts w:hint="eastAsia" w:ascii="仿宋" w:hAnsi="仿宋" w:eastAsia="仿宋" w:cs="仿宋"/>
          <w:b/>
          <w:sz w:val="24"/>
          <w:szCs w:val="24"/>
          <w:highlight w:val="none"/>
        </w:rPr>
      </w:pPr>
    </w:p>
    <w:p>
      <w:pPr>
        <w:keepNext/>
        <w:keepLines/>
        <w:spacing w:line="360" w:lineRule="auto"/>
        <w:rPr>
          <w:rFonts w:hint="eastAsia" w:ascii="仿宋" w:hAnsi="仿宋" w:eastAsia="仿宋" w:cs="仿宋"/>
          <w:b/>
          <w:sz w:val="24"/>
          <w:szCs w:val="24"/>
          <w:highlight w:val="none"/>
        </w:rPr>
      </w:pPr>
    </w:p>
    <w:p>
      <w:pPr>
        <w:keepNext/>
        <w:keepLines/>
        <w:spacing w:line="360" w:lineRule="auto"/>
        <w:rPr>
          <w:rFonts w:hint="eastAsia" w:ascii="仿宋" w:hAnsi="仿宋" w:eastAsia="仿宋" w:cs="仿宋"/>
          <w:b/>
          <w:sz w:val="24"/>
          <w:szCs w:val="24"/>
          <w:highlight w:val="none"/>
        </w:rPr>
      </w:pPr>
    </w:p>
    <w:p>
      <w:pPr>
        <w:keepNext/>
        <w:keepLines/>
        <w:spacing w:line="360" w:lineRule="auto"/>
        <w:rPr>
          <w:rFonts w:hint="eastAsia" w:ascii="仿宋" w:hAnsi="仿宋" w:eastAsia="仿宋" w:cs="仿宋"/>
          <w:b/>
          <w:sz w:val="24"/>
          <w:szCs w:val="24"/>
          <w:highlight w:val="none"/>
        </w:rPr>
      </w:pPr>
    </w:p>
    <w:p>
      <w:pPr>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pPr>
        <w:spacing w:before="184" w:line="208" w:lineRule="auto"/>
        <w:jc w:val="center"/>
        <w:outlineLvl w:val="0"/>
        <w:rPr>
          <w:rFonts w:hint="eastAsia" w:ascii="仿宋" w:hAnsi="仿宋" w:eastAsia="仿宋" w:cs="仿宋"/>
          <w:sz w:val="43"/>
          <w:szCs w:val="43"/>
          <w:highlight w:val="none"/>
        </w:rPr>
      </w:pPr>
      <w:r>
        <w:rPr>
          <w:rFonts w:hint="eastAsia" w:ascii="仿宋" w:hAnsi="仿宋" w:eastAsia="仿宋" w:cs="仿宋"/>
          <w:b/>
          <w:bCs/>
          <w:spacing w:val="9"/>
          <w:sz w:val="43"/>
          <w:szCs w:val="43"/>
          <w:highlight w:val="none"/>
        </w:rPr>
        <w:t>供应商基本情况表</w:t>
      </w:r>
    </w:p>
    <w:p>
      <w:pPr>
        <w:spacing w:before="157" w:line="198" w:lineRule="auto"/>
        <w:ind w:left="126"/>
        <w:rPr>
          <w:rFonts w:hint="eastAsia" w:ascii="仿宋" w:hAnsi="仿宋" w:eastAsia="仿宋" w:cs="仿宋"/>
          <w:sz w:val="28"/>
          <w:szCs w:val="28"/>
          <w:highlight w:val="none"/>
        </w:rPr>
      </w:pPr>
      <w:r>
        <w:rPr>
          <w:rFonts w:hint="eastAsia" w:ascii="仿宋" w:hAnsi="仿宋" w:eastAsia="仿宋" w:cs="仿宋"/>
          <w:sz w:val="28"/>
          <w:szCs w:val="28"/>
          <w:highlight w:val="none"/>
        </w:rPr>
        <w:t>填表单位：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加</w:t>
      </w:r>
      <w:r>
        <w:rPr>
          <w:rFonts w:hint="eastAsia" w:ascii="仿宋" w:hAnsi="仿宋" w:eastAsia="仿宋" w:cs="仿宋"/>
          <w:sz w:val="28"/>
          <w:szCs w:val="28"/>
          <w:highlight w:val="none"/>
        </w:rPr>
        <w:t xml:space="preserve">盖单位公章）          填表日期：   年   月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w:t>
      </w:r>
    </w:p>
    <w:p>
      <w:pPr>
        <w:spacing w:line="75" w:lineRule="exact"/>
        <w:rPr>
          <w:rFonts w:hint="eastAsia" w:ascii="仿宋" w:hAnsi="仿宋" w:eastAsia="仿宋" w:cs="仿宋"/>
          <w:highlight w:val="none"/>
        </w:rPr>
      </w:pPr>
    </w:p>
    <w:tbl>
      <w:tblPr>
        <w:tblStyle w:val="50"/>
        <w:tblW w:w="502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7"/>
        <w:gridCol w:w="632"/>
        <w:gridCol w:w="949"/>
        <w:gridCol w:w="1299"/>
        <w:gridCol w:w="859"/>
        <w:gridCol w:w="1016"/>
        <w:gridCol w:w="1498"/>
        <w:gridCol w:w="14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10" w:type="dxa"/>
            <w:gridSpan w:val="2"/>
            <w:noWrap w:val="0"/>
            <w:vAlign w:val="center"/>
          </w:tcPr>
          <w:p>
            <w:pPr>
              <w:pStyle w:val="49"/>
              <w:spacing w:line="240" w:lineRule="auto"/>
              <w:ind w:left="0" w:right="0" w:firstLine="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lang w:val="en-US" w:eastAsia="zh-CN"/>
              </w:rPr>
              <w:t>投标（响应）供应商</w:t>
            </w:r>
          </w:p>
        </w:tc>
        <w:tc>
          <w:tcPr>
            <w:tcW w:w="2246" w:type="dxa"/>
            <w:gridSpan w:val="2"/>
            <w:noWrap w:val="0"/>
            <w:vAlign w:val="center"/>
          </w:tcPr>
          <w:p>
            <w:pPr>
              <w:pStyle w:val="49"/>
              <w:spacing w:line="240" w:lineRule="auto"/>
              <w:ind w:left="0" w:right="0" w:firstLine="0"/>
              <w:jc w:val="center"/>
              <w:rPr>
                <w:rFonts w:hint="default" w:ascii="仿宋" w:hAnsi="仿宋" w:eastAsia="仿宋" w:cs="仿宋"/>
                <w:spacing w:val="-4"/>
                <w:sz w:val="24"/>
                <w:szCs w:val="24"/>
                <w:highlight w:val="none"/>
                <w:lang w:val="en-US" w:eastAsia="zh-CN"/>
              </w:rPr>
            </w:pPr>
          </w:p>
        </w:tc>
        <w:tc>
          <w:tcPr>
            <w:tcW w:w="1873" w:type="dxa"/>
            <w:gridSpan w:val="2"/>
            <w:noWrap w:val="0"/>
            <w:vAlign w:val="center"/>
          </w:tcPr>
          <w:p>
            <w:pPr>
              <w:pStyle w:val="49"/>
              <w:spacing w:line="240" w:lineRule="auto"/>
              <w:ind w:left="0" w:right="0" w:firstLine="0"/>
              <w:jc w:val="cente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lang w:val="en-US" w:eastAsia="zh-CN"/>
              </w:rPr>
              <w:t>项目名称及编号</w:t>
            </w:r>
          </w:p>
        </w:tc>
        <w:tc>
          <w:tcPr>
            <w:tcW w:w="2915" w:type="dxa"/>
            <w:gridSpan w:val="2"/>
            <w:noWrap w:val="0"/>
            <w:vAlign w:val="center"/>
          </w:tcPr>
          <w:p>
            <w:pPr>
              <w:pStyle w:val="49"/>
              <w:spacing w:line="240" w:lineRule="auto"/>
              <w:ind w:left="0" w:right="0" w:firstLine="0"/>
              <w:jc w:val="center"/>
              <w:rPr>
                <w:rFonts w:hint="eastAsia" w:ascii="仿宋" w:hAnsi="仿宋" w:eastAsia="仿宋" w:cs="仿宋"/>
                <w:spacing w:val="-4"/>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4" w:type="dxa"/>
            <w:gridSpan w:val="8"/>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78" w:type="dxa"/>
            <w:noWrap w:val="0"/>
            <w:vAlign w:val="center"/>
          </w:tcPr>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580" w:type="dxa"/>
            <w:gridSpan w:val="2"/>
            <w:noWrap w:val="0"/>
            <w:vAlign w:val="center"/>
          </w:tcPr>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职务</w:t>
            </w:r>
          </w:p>
        </w:tc>
        <w:tc>
          <w:tcPr>
            <w:tcW w:w="1298" w:type="dxa"/>
            <w:noWrap w:val="0"/>
            <w:vAlign w:val="center"/>
          </w:tcPr>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姓名</w:t>
            </w:r>
          </w:p>
        </w:tc>
        <w:tc>
          <w:tcPr>
            <w:tcW w:w="1873" w:type="dxa"/>
            <w:gridSpan w:val="2"/>
            <w:noWrap w:val="0"/>
            <w:vAlign w:val="center"/>
          </w:tcPr>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身份证号码</w:t>
            </w:r>
          </w:p>
        </w:tc>
        <w:tc>
          <w:tcPr>
            <w:tcW w:w="1497" w:type="dxa"/>
            <w:noWrap w:val="0"/>
            <w:vAlign w:val="center"/>
          </w:tcPr>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劳动合同</w:t>
            </w:r>
            <w:r>
              <w:rPr>
                <w:rFonts w:hint="eastAsia" w:ascii="仿宋" w:hAnsi="仿宋" w:eastAsia="仿宋" w:cs="仿宋"/>
                <w:sz w:val="24"/>
                <w:szCs w:val="24"/>
                <w:highlight w:val="none"/>
              </w:rPr>
              <w:t xml:space="preserve"> </w:t>
            </w:r>
          </w:p>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关系单位</w:t>
            </w:r>
          </w:p>
        </w:tc>
        <w:tc>
          <w:tcPr>
            <w:tcW w:w="1418" w:type="dxa"/>
            <w:noWrap w:val="0"/>
            <w:vAlign w:val="center"/>
          </w:tcPr>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缴纳社会</w:t>
            </w:r>
            <w:r>
              <w:rPr>
                <w:rFonts w:hint="eastAsia" w:ascii="仿宋" w:hAnsi="仿宋" w:eastAsia="仿宋" w:cs="仿宋"/>
                <w:sz w:val="24"/>
                <w:szCs w:val="24"/>
                <w:highlight w:val="none"/>
              </w:rPr>
              <w:t xml:space="preserve"> </w:t>
            </w:r>
          </w:p>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78" w:type="dxa"/>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80" w:type="dxa"/>
            <w:gridSpan w:val="2"/>
            <w:noWrap w:val="0"/>
            <w:vAlign w:val="center"/>
          </w:tcPr>
          <w:p>
            <w:pPr>
              <w:pStyle w:val="49"/>
              <w:spacing w:line="240" w:lineRule="auto"/>
              <w:ind w:left="0" w:right="0" w:firstLine="0"/>
              <w:jc w:val="center"/>
              <w:rPr>
                <w:rFonts w:hint="eastAsia" w:ascii="仿宋" w:hAnsi="仿宋" w:eastAsia="仿宋" w:cs="仿宋"/>
                <w:sz w:val="24"/>
                <w:szCs w:val="24"/>
                <w:highlight w:val="none"/>
              </w:rPr>
            </w:pPr>
            <w:r>
              <w:rPr>
                <w:rFonts w:hint="eastAsia" w:ascii="仿宋" w:hAnsi="仿宋" w:eastAsia="仿宋" w:cs="仿宋"/>
                <w:spacing w:val="-3"/>
                <w:w w:val="98"/>
                <w:sz w:val="24"/>
                <w:szCs w:val="24"/>
                <w:highlight w:val="none"/>
              </w:rPr>
              <w:t>法定代表人/单位负责</w:t>
            </w:r>
            <w:r>
              <w:rPr>
                <w:rFonts w:hint="eastAsia" w:ascii="仿宋" w:hAnsi="仿宋" w:eastAsia="仿宋" w:cs="仿宋"/>
                <w:spacing w:val="-6"/>
                <w:sz w:val="24"/>
                <w:szCs w:val="24"/>
                <w:highlight w:val="none"/>
              </w:rPr>
              <w:t>人/主要经营负责人</w:t>
            </w:r>
          </w:p>
        </w:tc>
        <w:tc>
          <w:tcPr>
            <w:tcW w:w="1298" w:type="dxa"/>
            <w:noWrap w:val="0"/>
            <w:vAlign w:val="center"/>
          </w:tcPr>
          <w:p>
            <w:pPr>
              <w:jc w:val="center"/>
              <w:rPr>
                <w:rFonts w:hint="eastAsia" w:ascii="仿宋" w:hAnsi="仿宋" w:eastAsia="仿宋" w:cs="仿宋"/>
                <w:sz w:val="24"/>
                <w:szCs w:val="24"/>
                <w:highlight w:val="none"/>
              </w:rPr>
            </w:pPr>
          </w:p>
        </w:tc>
        <w:tc>
          <w:tcPr>
            <w:tcW w:w="1873" w:type="dxa"/>
            <w:gridSpan w:val="2"/>
            <w:noWrap w:val="0"/>
            <w:vAlign w:val="center"/>
          </w:tcPr>
          <w:p>
            <w:pPr>
              <w:jc w:val="center"/>
              <w:rPr>
                <w:rFonts w:hint="eastAsia" w:ascii="仿宋" w:hAnsi="仿宋" w:eastAsia="仿宋" w:cs="仿宋"/>
                <w:sz w:val="24"/>
                <w:szCs w:val="24"/>
                <w:highlight w:val="none"/>
              </w:rPr>
            </w:pPr>
          </w:p>
        </w:tc>
        <w:tc>
          <w:tcPr>
            <w:tcW w:w="1497" w:type="dxa"/>
            <w:noWrap w:val="0"/>
            <w:vAlign w:val="center"/>
          </w:tcPr>
          <w:p>
            <w:pPr>
              <w:jc w:val="center"/>
              <w:rPr>
                <w:rFonts w:hint="eastAsia" w:ascii="仿宋" w:hAnsi="仿宋" w:eastAsia="仿宋" w:cs="仿宋"/>
                <w:sz w:val="24"/>
                <w:szCs w:val="24"/>
                <w:highlight w:val="none"/>
              </w:rPr>
            </w:pPr>
          </w:p>
        </w:tc>
        <w:tc>
          <w:tcPr>
            <w:tcW w:w="1418" w:type="dxa"/>
            <w:noWrap w:val="0"/>
            <w:vAlign w:val="center"/>
          </w:tcPr>
          <w:p>
            <w:pPr>
              <w:jc w:val="center"/>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80" w:type="dxa"/>
            <w:gridSpan w:val="2"/>
            <w:noWrap w:val="0"/>
            <w:vAlign w:val="center"/>
          </w:tcPr>
          <w:p>
            <w:pPr>
              <w:pStyle w:val="49"/>
              <w:spacing w:line="240" w:lineRule="auto"/>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项目投标授权代表人</w:t>
            </w:r>
          </w:p>
        </w:tc>
        <w:tc>
          <w:tcPr>
            <w:tcW w:w="1298" w:type="dxa"/>
            <w:noWrap w:val="0"/>
            <w:vAlign w:val="center"/>
          </w:tcPr>
          <w:p>
            <w:pPr>
              <w:jc w:val="center"/>
              <w:rPr>
                <w:rFonts w:hint="eastAsia" w:ascii="仿宋" w:hAnsi="仿宋" w:eastAsia="仿宋" w:cs="仿宋"/>
                <w:sz w:val="24"/>
                <w:szCs w:val="24"/>
                <w:highlight w:val="none"/>
              </w:rPr>
            </w:pPr>
          </w:p>
        </w:tc>
        <w:tc>
          <w:tcPr>
            <w:tcW w:w="1873" w:type="dxa"/>
            <w:gridSpan w:val="2"/>
            <w:noWrap w:val="0"/>
            <w:vAlign w:val="center"/>
          </w:tcPr>
          <w:p>
            <w:pPr>
              <w:jc w:val="center"/>
              <w:rPr>
                <w:rFonts w:hint="eastAsia" w:ascii="仿宋" w:hAnsi="仿宋" w:eastAsia="仿宋" w:cs="仿宋"/>
                <w:sz w:val="24"/>
                <w:szCs w:val="24"/>
                <w:highlight w:val="none"/>
              </w:rPr>
            </w:pPr>
          </w:p>
        </w:tc>
        <w:tc>
          <w:tcPr>
            <w:tcW w:w="1497" w:type="dxa"/>
            <w:noWrap w:val="0"/>
            <w:vAlign w:val="center"/>
          </w:tcPr>
          <w:p>
            <w:pPr>
              <w:jc w:val="center"/>
              <w:rPr>
                <w:rFonts w:hint="eastAsia" w:ascii="仿宋" w:hAnsi="仿宋" w:eastAsia="仿宋" w:cs="仿宋"/>
                <w:sz w:val="24"/>
                <w:szCs w:val="24"/>
                <w:highlight w:val="none"/>
              </w:rPr>
            </w:pPr>
          </w:p>
        </w:tc>
        <w:tc>
          <w:tcPr>
            <w:tcW w:w="1418" w:type="dxa"/>
            <w:noWrap w:val="0"/>
            <w:vAlign w:val="center"/>
          </w:tcPr>
          <w:p>
            <w:pPr>
              <w:jc w:val="center"/>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580" w:type="dxa"/>
            <w:gridSpan w:val="2"/>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项目负责人</w:t>
            </w:r>
          </w:p>
        </w:tc>
        <w:tc>
          <w:tcPr>
            <w:tcW w:w="1298" w:type="dxa"/>
            <w:noWrap w:val="0"/>
            <w:vAlign w:val="center"/>
          </w:tcPr>
          <w:p>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pPr>
              <w:spacing w:line="240" w:lineRule="auto"/>
              <w:ind w:left="0"/>
              <w:jc w:val="center"/>
              <w:rPr>
                <w:rFonts w:hint="eastAsia" w:ascii="仿宋" w:hAnsi="仿宋" w:eastAsia="仿宋" w:cs="仿宋"/>
                <w:sz w:val="24"/>
                <w:szCs w:val="24"/>
                <w:highlight w:val="none"/>
              </w:rPr>
            </w:pPr>
          </w:p>
        </w:tc>
        <w:tc>
          <w:tcPr>
            <w:tcW w:w="1497" w:type="dxa"/>
            <w:noWrap w:val="0"/>
            <w:vAlign w:val="center"/>
          </w:tcPr>
          <w:p>
            <w:pPr>
              <w:spacing w:line="240" w:lineRule="auto"/>
              <w:ind w:left="0"/>
              <w:jc w:val="center"/>
              <w:rPr>
                <w:rFonts w:hint="eastAsia" w:ascii="仿宋" w:hAnsi="仿宋" w:eastAsia="仿宋" w:cs="仿宋"/>
                <w:sz w:val="24"/>
                <w:szCs w:val="24"/>
                <w:highlight w:val="none"/>
              </w:rPr>
            </w:pPr>
          </w:p>
        </w:tc>
        <w:tc>
          <w:tcPr>
            <w:tcW w:w="1418" w:type="dxa"/>
            <w:noWrap w:val="0"/>
            <w:vAlign w:val="center"/>
          </w:tcPr>
          <w:p>
            <w:pPr>
              <w:spacing w:line="240" w:lineRule="auto"/>
              <w:ind w:left="0"/>
              <w:jc w:val="center"/>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580" w:type="dxa"/>
            <w:gridSpan w:val="2"/>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主要技术人员</w:t>
            </w:r>
          </w:p>
        </w:tc>
        <w:tc>
          <w:tcPr>
            <w:tcW w:w="1298" w:type="dxa"/>
            <w:noWrap w:val="0"/>
            <w:vAlign w:val="center"/>
          </w:tcPr>
          <w:p>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pPr>
              <w:spacing w:line="240" w:lineRule="auto"/>
              <w:ind w:left="0"/>
              <w:jc w:val="center"/>
              <w:rPr>
                <w:rFonts w:hint="eastAsia" w:ascii="仿宋" w:hAnsi="仿宋" w:eastAsia="仿宋" w:cs="仿宋"/>
                <w:sz w:val="24"/>
                <w:szCs w:val="24"/>
                <w:highlight w:val="none"/>
              </w:rPr>
            </w:pPr>
          </w:p>
        </w:tc>
        <w:tc>
          <w:tcPr>
            <w:tcW w:w="1497" w:type="dxa"/>
            <w:noWrap w:val="0"/>
            <w:vAlign w:val="center"/>
          </w:tcPr>
          <w:p>
            <w:pPr>
              <w:spacing w:line="240" w:lineRule="auto"/>
              <w:ind w:left="0"/>
              <w:jc w:val="center"/>
              <w:rPr>
                <w:rFonts w:hint="eastAsia" w:ascii="仿宋" w:hAnsi="仿宋" w:eastAsia="仿宋" w:cs="仿宋"/>
                <w:sz w:val="24"/>
                <w:szCs w:val="24"/>
                <w:highlight w:val="none"/>
              </w:rPr>
            </w:pPr>
          </w:p>
        </w:tc>
        <w:tc>
          <w:tcPr>
            <w:tcW w:w="1418" w:type="dxa"/>
            <w:noWrap w:val="0"/>
            <w:vAlign w:val="center"/>
          </w:tcPr>
          <w:p>
            <w:pPr>
              <w:spacing w:line="240" w:lineRule="auto"/>
              <w:ind w:left="0"/>
              <w:jc w:val="center"/>
              <w:rPr>
                <w:rFonts w:hint="eastAsia" w:ascii="仿宋" w:hAnsi="仿宋" w:eastAsia="仿宋" w:cs="仿宋"/>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580" w:type="dxa"/>
            <w:gridSpan w:val="2"/>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投标文件编制人员</w:t>
            </w:r>
          </w:p>
        </w:tc>
        <w:tc>
          <w:tcPr>
            <w:tcW w:w="1298" w:type="dxa"/>
            <w:noWrap w:val="0"/>
            <w:vAlign w:val="center"/>
          </w:tcPr>
          <w:p>
            <w:pPr>
              <w:spacing w:line="240" w:lineRule="auto"/>
              <w:ind w:left="0"/>
              <w:jc w:val="center"/>
              <w:rPr>
                <w:rFonts w:hint="eastAsia" w:ascii="仿宋" w:hAnsi="仿宋" w:eastAsia="仿宋" w:cs="仿宋"/>
                <w:sz w:val="24"/>
                <w:szCs w:val="24"/>
                <w:highlight w:val="none"/>
              </w:rPr>
            </w:pPr>
          </w:p>
        </w:tc>
        <w:tc>
          <w:tcPr>
            <w:tcW w:w="1873" w:type="dxa"/>
            <w:gridSpan w:val="2"/>
            <w:noWrap w:val="0"/>
            <w:vAlign w:val="center"/>
          </w:tcPr>
          <w:p>
            <w:pPr>
              <w:spacing w:line="240" w:lineRule="auto"/>
              <w:ind w:left="0"/>
              <w:jc w:val="center"/>
              <w:rPr>
                <w:rFonts w:hint="eastAsia" w:ascii="仿宋" w:hAnsi="仿宋" w:eastAsia="仿宋" w:cs="仿宋"/>
                <w:sz w:val="24"/>
                <w:szCs w:val="24"/>
                <w:highlight w:val="none"/>
              </w:rPr>
            </w:pPr>
          </w:p>
        </w:tc>
        <w:tc>
          <w:tcPr>
            <w:tcW w:w="1497" w:type="dxa"/>
            <w:noWrap w:val="0"/>
            <w:vAlign w:val="center"/>
          </w:tcPr>
          <w:p>
            <w:pPr>
              <w:spacing w:line="240" w:lineRule="auto"/>
              <w:ind w:left="0"/>
              <w:jc w:val="center"/>
              <w:rPr>
                <w:rFonts w:hint="eastAsia" w:ascii="仿宋" w:hAnsi="仿宋" w:eastAsia="仿宋" w:cs="仿宋"/>
                <w:sz w:val="24"/>
                <w:szCs w:val="24"/>
                <w:highlight w:val="none"/>
              </w:rPr>
            </w:pPr>
          </w:p>
        </w:tc>
        <w:tc>
          <w:tcPr>
            <w:tcW w:w="1418" w:type="dxa"/>
            <w:noWrap w:val="0"/>
            <w:vAlign w:val="center"/>
          </w:tcPr>
          <w:p>
            <w:pPr>
              <w:spacing w:line="240" w:lineRule="auto"/>
              <w:ind w:left="0"/>
              <w:jc w:val="center"/>
              <w:rPr>
                <w:rFonts w:hint="eastAsia" w:ascii="仿宋" w:hAnsi="仿宋" w:eastAsia="仿宋" w:cs="仿宋"/>
                <w:sz w:val="24"/>
                <w:szCs w:val="24"/>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7" w:hRule="atLeast"/>
        </w:trPr>
        <w:tc>
          <w:tcPr>
            <w:tcW w:w="8344" w:type="dxa"/>
            <w:gridSpan w:val="8"/>
            <w:noWrap w:val="0"/>
            <w:vAlign w:val="center"/>
          </w:tcPr>
          <w:p>
            <w:pPr>
              <w:pStyle w:val="49"/>
              <w:spacing w:line="240" w:lineRule="auto"/>
              <w:ind w:left="0"/>
              <w:jc w:val="both"/>
              <w:rPr>
                <w:rFonts w:hint="eastAsia" w:ascii="仿宋" w:hAnsi="仿宋" w:eastAsia="仿宋" w:cs="仿宋"/>
                <w:b/>
                <w:bCs/>
                <w:spacing w:val="-1"/>
                <w:highlight w:val="none"/>
                <w:lang w:eastAsia="zh-CN"/>
              </w:rPr>
            </w:pPr>
            <w:r>
              <w:rPr>
                <w:rFonts w:hint="eastAsia" w:ascii="仿宋" w:hAnsi="仿宋" w:eastAsia="仿宋" w:cs="仿宋"/>
                <w:b/>
                <w:bCs/>
                <w:spacing w:val="-1"/>
                <w:sz w:val="24"/>
                <w:szCs w:val="24"/>
                <w:highlight w:val="none"/>
              </w:rPr>
              <w:t>说明：同一职务有多人担任（如主要技术人员</w:t>
            </w:r>
            <w:r>
              <w:rPr>
                <w:rFonts w:hint="eastAsia" w:ascii="仿宋" w:hAnsi="仿宋" w:eastAsia="仿宋" w:cs="仿宋"/>
                <w:b/>
                <w:bCs/>
                <w:spacing w:val="-42"/>
                <w:w w:val="95"/>
                <w:sz w:val="24"/>
                <w:szCs w:val="24"/>
                <w:highlight w:val="none"/>
              </w:rPr>
              <w:t>），</w:t>
            </w:r>
            <w:r>
              <w:rPr>
                <w:rFonts w:hint="eastAsia" w:ascii="仿宋" w:hAnsi="仿宋" w:eastAsia="仿宋" w:cs="仿宋"/>
                <w:b/>
                <w:bCs/>
                <w:spacing w:val="-1"/>
                <w:sz w:val="24"/>
                <w:szCs w:val="24"/>
                <w:highlight w:val="none"/>
              </w:rPr>
              <w:t>应分行填写</w:t>
            </w:r>
            <w:r>
              <w:rPr>
                <w:rFonts w:hint="eastAsia" w:ascii="仿宋" w:hAnsi="仿宋" w:eastAsia="仿宋" w:cs="仿宋"/>
                <w:b/>
                <w:bCs/>
                <w:spacing w:val="-1"/>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44" w:type="dxa"/>
            <w:gridSpan w:val="8"/>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8" w:type="dxa"/>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580" w:type="dxa"/>
            <w:gridSpan w:val="2"/>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关联关系类型</w:t>
            </w:r>
          </w:p>
        </w:tc>
        <w:tc>
          <w:tcPr>
            <w:tcW w:w="2156" w:type="dxa"/>
            <w:gridSpan w:val="2"/>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关联主体名称</w:t>
            </w:r>
          </w:p>
        </w:tc>
        <w:tc>
          <w:tcPr>
            <w:tcW w:w="3930" w:type="dxa"/>
            <w:gridSpan w:val="3"/>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678" w:type="dxa"/>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80" w:type="dxa"/>
            <w:gridSpan w:val="2"/>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控股股东</w:t>
            </w:r>
          </w:p>
        </w:tc>
        <w:tc>
          <w:tcPr>
            <w:tcW w:w="2156" w:type="dxa"/>
            <w:gridSpan w:val="2"/>
            <w:noWrap w:val="0"/>
            <w:vAlign w:val="center"/>
          </w:tcPr>
          <w:p>
            <w:pPr>
              <w:spacing w:line="240" w:lineRule="auto"/>
              <w:ind w:left="0"/>
              <w:jc w:val="center"/>
              <w:rPr>
                <w:rFonts w:hint="eastAsia" w:ascii="仿宋" w:hAnsi="仿宋" w:eastAsia="仿宋" w:cs="仿宋"/>
                <w:sz w:val="24"/>
                <w:szCs w:val="24"/>
                <w:highlight w:val="none"/>
              </w:rPr>
            </w:pPr>
          </w:p>
        </w:tc>
        <w:tc>
          <w:tcPr>
            <w:tcW w:w="3930" w:type="dxa"/>
            <w:gridSpan w:val="3"/>
            <w:noWrap w:val="0"/>
            <w:vAlign w:val="center"/>
          </w:tcPr>
          <w:p>
            <w:pPr>
              <w:pStyle w:val="49"/>
              <w:spacing w:line="240" w:lineRule="auto"/>
              <w:ind w:left="0" w:right="116" w:firstLine="19"/>
              <w:jc w:val="center"/>
              <w:rPr>
                <w:rFonts w:hint="eastAsia" w:ascii="仿宋" w:hAnsi="仿宋" w:eastAsia="仿宋" w:cs="仿宋"/>
                <w:sz w:val="24"/>
                <w:szCs w:val="24"/>
                <w:highlight w:val="none"/>
              </w:rPr>
            </w:pPr>
            <w:r>
              <w:rPr>
                <w:rFonts w:hint="eastAsia" w:ascii="仿宋" w:hAnsi="仿宋" w:eastAsia="仿宋" w:cs="仿宋"/>
                <w:spacing w:val="-1"/>
                <w:sz w:val="21"/>
                <w:szCs w:val="21"/>
                <w:highlight w:val="none"/>
              </w:rPr>
              <w:t>指出资额（或持有股份）占投标（响应）供应商资</w:t>
            </w:r>
            <w:r>
              <w:rPr>
                <w:rFonts w:hint="eastAsia" w:ascii="仿宋" w:hAnsi="仿宋" w:eastAsia="仿宋" w:cs="仿宋"/>
                <w:spacing w:val="-8"/>
                <w:sz w:val="21"/>
                <w:szCs w:val="21"/>
                <w:highlight w:val="none"/>
              </w:rPr>
              <w:t>本总额（或股本总额）50%以上的股东，以及出资额</w:t>
            </w:r>
            <w:r>
              <w:rPr>
                <w:rFonts w:hint="eastAsia" w:ascii="仿宋" w:hAnsi="仿宋" w:eastAsia="仿宋" w:cs="仿宋"/>
                <w:spacing w:val="-5"/>
                <w:sz w:val="21"/>
                <w:szCs w:val="21"/>
                <w:highlight w:val="none"/>
              </w:rPr>
              <w:t>（或持有股份）的比例虽然不足50%，但依</w:t>
            </w:r>
            <w:r>
              <w:rPr>
                <w:rFonts w:hint="eastAsia" w:ascii="仿宋" w:hAnsi="仿宋" w:eastAsia="仿宋" w:cs="仿宋"/>
                <w:spacing w:val="-6"/>
                <w:sz w:val="21"/>
                <w:szCs w:val="21"/>
                <w:highlight w:val="none"/>
              </w:rPr>
              <w:t>其出资</w:t>
            </w:r>
            <w:r>
              <w:rPr>
                <w:rFonts w:hint="eastAsia" w:ascii="仿宋" w:hAnsi="仿宋" w:eastAsia="仿宋" w:cs="仿宋"/>
                <w:spacing w:val="-9"/>
                <w:sz w:val="21"/>
                <w:szCs w:val="21"/>
                <w:highlight w:val="none"/>
              </w:rPr>
              <w:t>额（或持有股份）所享有的表决权已足以对投标（响</w:t>
            </w:r>
            <w:r>
              <w:rPr>
                <w:rFonts w:hint="eastAsia" w:ascii="仿宋" w:hAnsi="仿宋" w:eastAsia="仿宋" w:cs="仿宋"/>
                <w:sz w:val="21"/>
                <w:szCs w:val="21"/>
                <w:highlight w:val="none"/>
              </w:rPr>
              <w:t>应）供应商股东会（或股东大会）的决议产生重要</w:t>
            </w:r>
            <w:r>
              <w:rPr>
                <w:rFonts w:hint="eastAsia" w:ascii="仿宋" w:hAnsi="仿宋" w:eastAsia="仿宋" w:cs="仿宋"/>
                <w:spacing w:val="-2"/>
                <w:sz w:val="21"/>
                <w:szCs w:val="21"/>
                <w:highlight w:val="none"/>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78" w:type="dxa"/>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80" w:type="dxa"/>
            <w:gridSpan w:val="2"/>
            <w:noWrap w:val="0"/>
            <w:vAlign w:val="center"/>
          </w:tcPr>
          <w:p>
            <w:pPr>
              <w:pStyle w:val="49"/>
              <w:spacing w:line="240" w:lineRule="auto"/>
              <w:ind w:left="0"/>
              <w:jc w:val="center"/>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管理关系</w:t>
            </w:r>
          </w:p>
        </w:tc>
        <w:tc>
          <w:tcPr>
            <w:tcW w:w="2156" w:type="dxa"/>
            <w:gridSpan w:val="2"/>
            <w:noWrap w:val="0"/>
            <w:vAlign w:val="center"/>
          </w:tcPr>
          <w:p>
            <w:pPr>
              <w:spacing w:line="240" w:lineRule="auto"/>
              <w:ind w:left="0"/>
              <w:jc w:val="center"/>
              <w:rPr>
                <w:rFonts w:hint="eastAsia" w:ascii="仿宋" w:hAnsi="仿宋" w:eastAsia="仿宋" w:cs="仿宋"/>
                <w:sz w:val="24"/>
                <w:szCs w:val="24"/>
                <w:highlight w:val="none"/>
              </w:rPr>
            </w:pPr>
          </w:p>
        </w:tc>
        <w:tc>
          <w:tcPr>
            <w:tcW w:w="3930" w:type="dxa"/>
            <w:gridSpan w:val="3"/>
            <w:noWrap w:val="0"/>
            <w:vAlign w:val="center"/>
          </w:tcPr>
          <w:p>
            <w:pPr>
              <w:pStyle w:val="49"/>
              <w:spacing w:line="240" w:lineRule="auto"/>
              <w:ind w:left="0" w:right="24"/>
              <w:jc w:val="center"/>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指对投标（响应）供应商不具有出资持</w:t>
            </w:r>
            <w:r>
              <w:rPr>
                <w:rFonts w:hint="eastAsia" w:ascii="仿宋" w:hAnsi="仿宋" w:eastAsia="仿宋" w:cs="仿宋"/>
                <w:spacing w:val="-3"/>
                <w:sz w:val="24"/>
                <w:szCs w:val="24"/>
                <w:highlight w:val="none"/>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344" w:type="dxa"/>
            <w:gridSpan w:val="8"/>
            <w:noWrap w:val="0"/>
            <w:vAlign w:val="center"/>
          </w:tcPr>
          <w:p>
            <w:pPr>
              <w:pStyle w:val="49"/>
              <w:spacing w:line="240" w:lineRule="auto"/>
              <w:ind w:left="0"/>
              <w:jc w:val="both"/>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说明：同一关联关系类型有多个主体的，应分行填写。</w:t>
            </w:r>
          </w:p>
        </w:tc>
      </w:tr>
    </w:tbl>
    <w:p>
      <w:pPr>
        <w:pStyle w:val="9"/>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注</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rPr>
        <w:t>投标人务必完整填写上述《供应商基本情况表》中的相关信息，如无对应人员或内容的，应填写“无”，否则引起的不利后果由其自行承担。</w:t>
      </w:r>
    </w:p>
    <w:p>
      <w:pPr>
        <w:pStyle w:val="9"/>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请提供上述人员最近一个月社保缴纳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pPr>
        <w:pStyle w:val="9"/>
        <w:ind w:firstLine="482" w:firstLineChars="200"/>
        <w:rPr>
          <w:rFonts w:hint="eastAsia" w:ascii="仿宋" w:hAnsi="仿宋" w:eastAsia="仿宋" w:cs="仿宋"/>
          <w:b/>
          <w:bCs/>
          <w:color w:val="FF0000"/>
          <w:sz w:val="24"/>
          <w:szCs w:val="24"/>
          <w:highlight w:val="none"/>
        </w:rPr>
      </w:pPr>
      <w:r>
        <w:rPr>
          <w:rFonts w:hint="eastAsia" w:ascii="仿宋" w:hAnsi="仿宋" w:eastAsia="仿宋" w:cs="仿宋"/>
          <w:b/>
          <w:bCs/>
          <w:color w:val="FF0000"/>
          <w:sz w:val="24"/>
          <w:szCs w:val="24"/>
          <w:highlight w:val="none"/>
        </w:rPr>
        <w:t>投标时需提供以下附件，该要求作为供应商资格性审查的证明材料。如未提供，视为未提供资格审查的相关证明材料，按资格审查不通过处理。</w:t>
      </w:r>
    </w:p>
    <w:p>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1、法定代表人/单位负责人/主要经营负责人</w:t>
      </w:r>
    </w:p>
    <w:p>
      <w:pPr>
        <w:pStyle w:val="9"/>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2、项目投标授权代表人（如有）</w:t>
      </w:r>
    </w:p>
    <w:p>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3、项目负责人（如有）</w:t>
      </w:r>
    </w:p>
    <w:p>
      <w:pPr>
        <w:pStyle w:val="9"/>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4、主要技术人员（如有多人担任，应分行填写）</w:t>
      </w:r>
    </w:p>
    <w:p>
      <w:pPr>
        <w:pStyle w:val="9"/>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rPr>
      </w:pPr>
    </w:p>
    <w:p>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5、投标文件编制人员（如有多人担任，应分行填写） </w:t>
      </w:r>
    </w:p>
    <w:p>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r>
        <w:rPr>
          <w:rFonts w:hint="eastAsia" w:ascii="仿宋" w:hAnsi="仿宋" w:eastAsia="仿宋" w:cs="仿宋"/>
          <w:b/>
          <w:bCs/>
          <w:color w:val="auto"/>
          <w:sz w:val="24"/>
          <w:szCs w:val="24"/>
          <w:highlight w:val="none"/>
          <w:u w:val="single"/>
        </w:rPr>
        <w:t xml:space="preserve">         </w:t>
      </w:r>
    </w:p>
    <w:p>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最近一个月的社保缴纳证明：</w:t>
      </w:r>
    </w:p>
    <w:p>
      <w:pPr>
        <w:pStyle w:val="9"/>
        <w:rPr>
          <w:rFonts w:hint="eastAsia" w:ascii="仿宋" w:hAnsi="仿宋" w:eastAsia="仿宋" w:cs="仿宋"/>
          <w:b/>
          <w:bCs/>
          <w:color w:val="auto"/>
          <w:sz w:val="24"/>
          <w:szCs w:val="24"/>
          <w:highlight w:val="none"/>
        </w:rPr>
      </w:pPr>
    </w:p>
    <w:p>
      <w:pPr>
        <w:pStyle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6、企业股权关系证明材料</w:t>
      </w:r>
      <w:r>
        <w:rPr>
          <w:rFonts w:hint="eastAsia" w:ascii="宋体" w:hAnsi="宋体" w:cs="宋体"/>
          <w:b/>
          <w:szCs w:val="21"/>
        </w:rPr>
        <w:t>（提供国家企业信用信息公示系统(https://www.gsxt.gov.cn/index.html）或机关赋码和事业单位登记管理网（http://www.gjsy.gov.cn/sydwfrxxcx/）或全国社会组织信用信息公示平台（https://xxgs.chinanpo.mca.gov.cn/gsxt/newList）等网站截图；若企业无股权关系，除提供上述网站截图外，还须提供相关情况说明）。</w:t>
      </w:r>
    </w:p>
    <w:p>
      <w:pPr>
        <w:pStyle w:val="11"/>
        <w:adjustRightInd w:val="0"/>
        <w:snapToGrid w:val="0"/>
        <w:spacing w:line="360" w:lineRule="auto"/>
        <w:rPr>
          <w:rFonts w:hint="eastAsia" w:hAnsi="宋体" w:cs="宋体"/>
          <w:szCs w:val="21"/>
        </w:rPr>
      </w:pPr>
    </w:p>
    <w:p>
      <w:pPr>
        <w:pStyle w:val="11"/>
        <w:adjustRightInd w:val="0"/>
        <w:snapToGrid w:val="0"/>
        <w:spacing w:line="360" w:lineRule="auto"/>
        <w:rPr>
          <w:rFonts w:hint="eastAsia" w:hAnsi="宋体" w:cs="宋体"/>
          <w:szCs w:val="21"/>
        </w:rPr>
      </w:pPr>
    </w:p>
    <w:p>
      <w:pPr>
        <w:pStyle w:val="11"/>
        <w:adjustRightInd w:val="0"/>
        <w:snapToGrid w:val="0"/>
        <w:spacing w:line="360" w:lineRule="auto"/>
        <w:rPr>
          <w:rFonts w:hint="eastAsia" w:hAnsi="宋体" w:cs="宋体"/>
          <w:szCs w:val="21"/>
        </w:rPr>
      </w:pPr>
    </w:p>
    <w:p>
      <w:pPr>
        <w:pStyle w:val="11"/>
        <w:adjustRightInd w:val="0"/>
        <w:snapToGrid w:val="0"/>
        <w:spacing w:line="360" w:lineRule="auto"/>
        <w:rPr>
          <w:rFonts w:hint="eastAsia" w:hAnsi="宋体" w:cs="宋体"/>
          <w:szCs w:val="21"/>
        </w:rPr>
      </w:pPr>
    </w:p>
    <w:p>
      <w:pPr>
        <w:pStyle w:val="11"/>
        <w:adjustRightInd w:val="0"/>
        <w:snapToGrid w:val="0"/>
        <w:spacing w:line="360" w:lineRule="auto"/>
        <w:rPr>
          <w:rFonts w:hint="eastAsia" w:hAnsi="宋体" w:cs="宋体"/>
          <w:szCs w:val="21"/>
        </w:rPr>
      </w:pPr>
    </w:p>
    <w:p>
      <w:pPr>
        <w:pStyle w:val="11"/>
        <w:adjustRightInd w:val="0"/>
        <w:snapToGrid w:val="0"/>
        <w:spacing w:line="360" w:lineRule="auto"/>
        <w:rPr>
          <w:rFonts w:hint="eastAsia" w:hAnsi="宋体" w:cs="宋体"/>
          <w:szCs w:val="21"/>
        </w:rPr>
      </w:pPr>
    </w:p>
    <w:p>
      <w:pPr>
        <w:pStyle w:val="11"/>
        <w:adjustRightInd w:val="0"/>
        <w:snapToGrid w:val="0"/>
        <w:spacing w:line="360" w:lineRule="auto"/>
        <w:rPr>
          <w:rFonts w:hint="eastAsia" w:hAnsi="宋体" w:cs="宋体"/>
          <w:szCs w:val="21"/>
        </w:rPr>
      </w:pPr>
      <w:r>
        <w:rPr>
          <w:rFonts w:hint="eastAsia" w:hAnsi="宋体" w:cs="宋体"/>
          <w:szCs w:val="21"/>
        </w:rPr>
        <w:t>兹证明，上述说明属实，并已提供相应资料和数据，我方同意遵照贵方要求出示有关证明文件。</w:t>
      </w:r>
    </w:p>
    <w:p>
      <w:pPr>
        <w:wordWrap w:val="0"/>
        <w:adjustRightInd w:val="0"/>
        <w:snapToGrid w:val="0"/>
        <w:spacing w:line="360" w:lineRule="auto"/>
        <w:ind w:firstLine="4200" w:firstLineChars="2000"/>
        <w:rPr>
          <w:rFonts w:hint="eastAsia" w:ascii="宋体" w:hAnsi="宋体" w:cs="宋体"/>
          <w:szCs w:val="21"/>
        </w:rPr>
      </w:pPr>
    </w:p>
    <w:p>
      <w:pPr>
        <w:wordWrap w:val="0"/>
        <w:adjustRightInd w:val="0"/>
        <w:snapToGrid w:val="0"/>
        <w:spacing w:line="360" w:lineRule="auto"/>
        <w:ind w:firstLine="4200" w:firstLineChars="2000"/>
        <w:rPr>
          <w:rFonts w:hint="eastAsia" w:ascii="宋体" w:hAnsi="宋体" w:cs="宋体"/>
          <w:szCs w:val="21"/>
        </w:rPr>
      </w:pPr>
    </w:p>
    <w:p>
      <w:pPr>
        <w:wordWrap w:val="0"/>
        <w:adjustRightInd w:val="0"/>
        <w:snapToGrid w:val="0"/>
        <w:spacing w:line="360" w:lineRule="auto"/>
        <w:ind w:left="0" w:leftChars="0" w:firstLine="3780" w:firstLineChars="1800"/>
        <w:rPr>
          <w:rFonts w:hint="eastAsia" w:ascii="宋体" w:hAnsi="宋体" w:cs="宋体"/>
          <w:szCs w:val="21"/>
        </w:rPr>
      </w:pPr>
      <w:r>
        <w:rPr>
          <w:rFonts w:hint="eastAsia" w:ascii="宋体" w:hAnsi="宋体" w:cs="宋体"/>
          <w:szCs w:val="21"/>
        </w:rPr>
        <w:t xml:space="preserve">投标人（公章）：               </w:t>
      </w:r>
    </w:p>
    <w:p>
      <w:pPr>
        <w:adjustRightInd w:val="0"/>
        <w:snapToGrid w:val="0"/>
        <w:spacing w:line="360" w:lineRule="auto"/>
        <w:ind w:left="0" w:leftChars="0" w:firstLine="3780" w:firstLineChars="18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pPr>
        <w:adjustRightInd w:val="0"/>
        <w:snapToGrid w:val="0"/>
        <w:spacing w:line="360" w:lineRule="auto"/>
        <w:ind w:left="0" w:leftChars="0" w:firstLine="3780" w:firstLineChars="1800"/>
        <w:jc w:val="left"/>
        <w:rPr>
          <w:rFonts w:hint="eastAsia" w:ascii="宋体" w:hAnsi="宋体" w:cs="宋体"/>
          <w:szCs w:val="21"/>
        </w:rPr>
      </w:pPr>
      <w:r>
        <w:rPr>
          <w:rFonts w:hint="eastAsia" w:ascii="宋体" w:hAnsi="宋体" w:cs="宋体"/>
          <w:szCs w:val="21"/>
        </w:rPr>
        <w:t>日期：      年    月    日</w:t>
      </w:r>
    </w:p>
    <w:p>
      <w:pP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pPr>
        <w:pStyle w:val="5"/>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填写指引：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2、该部分内容填写需要参考的相关文件：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(2)《工业和信息化部、国家统计局、国家发展和改革委员会、财政部关于印发中小企业划型标准规定的通知》（工信部联企业〔2011〕300号，以下简称300号文）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(3)《统计上大中小微型企业划分办法（2017）》（国统字〔2017〕213号）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(5)《关于政府采购支持监狱企业发展有关问题的通知》（财库〔2014〕68号）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3、请依照提供的格式和内容填写声明函，不要随意变更格式；满足多项优惠政策的投标人，不重复享受多项价格扣除政策。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4、声明函具体填写要求：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第一处，在“单位名称”下划线处如实填写采购人名称；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highlight w:val="none"/>
          <w:lang w:val="en-US" w:eastAsia="zh-CN" w:bidi="ar"/>
        </w:rPr>
        <w:t>第二处，在“项目名称”下划线处如实填写采购项目名</w:t>
      </w:r>
      <w:r>
        <w:rPr>
          <w:rFonts w:hint="eastAsia" w:ascii="仿宋" w:hAnsi="仿宋" w:eastAsia="仿宋" w:cs="仿宋"/>
          <w:b w:val="0"/>
          <w:bCs w:val="0"/>
          <w:color w:val="FF0000"/>
          <w:kern w:val="0"/>
          <w:sz w:val="24"/>
          <w:szCs w:val="24"/>
          <w:lang w:val="en-US" w:eastAsia="zh-CN" w:bidi="ar"/>
        </w:rPr>
        <w:t>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服务（标的）的具体名称（以招标文件“服务需求明细”的“服务需求名称”一栏为准）；如果涉及多项服务（标的）为同一企业制造，“标的名称”下划线处可以如实填写多项服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pPr>
        <w:pStyle w:val="8"/>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服务</w:t>
      </w:r>
      <w:r>
        <w:rPr>
          <w:rFonts w:hint="eastAsia" w:ascii="仿宋" w:hAnsi="仿宋" w:eastAsia="仿宋" w:cs="仿宋"/>
          <w:b/>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采购活动，服务全部由符合政策要求的中小企业承接。相关企业的具体情况如下：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行业；承接企业为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行业；承接企业为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pPr>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80" w:firstLineChars="200"/>
        <w:rPr>
          <w:rFonts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pPr>
        <w:widowControl w:val="0"/>
        <w:jc w:val="both"/>
        <w:rPr>
          <w:rFonts w:hint="eastAsia" w:ascii="仿宋" w:hAnsi="仿宋" w:eastAsia="仿宋" w:cs="仿宋"/>
          <w:b/>
          <w:bCs/>
          <w:sz w:val="24"/>
          <w:szCs w:val="24"/>
          <w:highlight w:val="none"/>
        </w:rPr>
      </w:pPr>
    </w:p>
    <w:p>
      <w:pPr>
        <w:widowControl w:val="0"/>
        <w:jc w:val="both"/>
        <w:rPr>
          <w:rFonts w:hint="eastAsia" w:ascii="仿宋" w:hAnsi="仿宋" w:eastAsia="仿宋" w:cs="仿宋"/>
          <w:color w:val="FF0000"/>
          <w:kern w:val="2"/>
          <w:sz w:val="24"/>
          <w:szCs w:val="24"/>
          <w:highlight w:val="none"/>
        </w:rPr>
      </w:pPr>
    </w:p>
    <w:p>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21"/>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700"/>
        <w:gridCol w:w="2075"/>
        <w:gridCol w:w="17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bookmarkStart w:id="10" w:name="_Hlk72092651"/>
            <w:r>
              <w:rPr>
                <w:rFonts w:hint="eastAsia" w:ascii="仿宋" w:hAnsi="仿宋" w:eastAsia="仿宋" w:cs="仿宋"/>
                <w:b/>
                <w:sz w:val="24"/>
                <w:szCs w:val="24"/>
                <w:highlight w:val="none"/>
              </w:rPr>
              <w:t>序号</w:t>
            </w:r>
          </w:p>
        </w:tc>
        <w:tc>
          <w:tcPr>
            <w:tcW w:w="27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207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7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3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700" w:type="dxa"/>
            <w:vAlign w:val="top"/>
          </w:tcPr>
          <w:p>
            <w:pPr>
              <w:keepNext w:val="0"/>
              <w:keepLines w:val="0"/>
              <w:suppressLineNumbers w:val="0"/>
              <w:spacing w:before="0" w:beforeAutospacing="0" w:after="0" w:afterAutospacing="0"/>
              <w:ind w:left="0" w:right="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★人员类别</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★人员数量</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★人员必须具备条件</w:t>
            </w:r>
          </w:p>
          <w:p>
            <w:pPr>
              <w:keepNext w:val="0"/>
              <w:keepLines w:val="0"/>
              <w:suppressLineNumbers w:val="0"/>
              <w:spacing w:before="0" w:beforeAutospacing="0" w:after="0" w:afterAutospacing="0"/>
              <w:ind w:left="0" w:right="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项目负责人</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1人</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投标人自有员工</w:t>
            </w:r>
          </w:p>
          <w:p>
            <w:pPr>
              <w:keepNext w:val="0"/>
              <w:keepLines w:val="0"/>
              <w:suppressLineNumbers w:val="0"/>
              <w:spacing w:before="0" w:beforeAutospacing="0" w:after="0" w:afterAutospacing="0"/>
              <w:ind w:left="0" w:leftChars="0" w:right="0" w:right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团队成员</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2人</w:t>
            </w:r>
          </w:p>
          <w:p>
            <w:pPr>
              <w:keepNext w:val="0"/>
              <w:keepLines w:val="0"/>
              <w:suppressLineNumbers w:val="0"/>
              <w:spacing w:before="0" w:beforeAutospacing="0" w:after="0" w:afterAutospacing="0"/>
              <w:ind w:left="0" w:leftChars="0" w:right="0" w:rightChars="0"/>
              <w:rPr>
                <w:rFonts w:hint="default" w:hAnsi="宋体"/>
                <w:kern w:val="0"/>
                <w:sz w:val="24"/>
                <w:szCs w:val="24"/>
                <w:highlight w:val="none"/>
              </w:rPr>
            </w:pPr>
            <w:r>
              <w:rPr>
                <w:rFonts w:hint="eastAsia" w:ascii="仿宋" w:hAnsi="仿宋" w:eastAsia="仿宋" w:cs="仿宋"/>
                <w:kern w:val="0"/>
                <w:sz w:val="24"/>
                <w:szCs w:val="24"/>
                <w:highlight w:val="none"/>
              </w:rPr>
              <w:t>投标人自有员工</w:t>
            </w:r>
          </w:p>
        </w:tc>
        <w:tc>
          <w:tcPr>
            <w:tcW w:w="2075" w:type="dxa"/>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700" w:type="dxa"/>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300" w:type="dxa"/>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4"/>
                <w:szCs w:val="24"/>
                <w:highlight w:val="none"/>
              </w:rPr>
            </w:pPr>
          </w:p>
        </w:tc>
      </w:tr>
    </w:tbl>
    <w:p>
      <w:pPr>
        <w:numPr>
          <w:ilvl w:val="0"/>
          <w:numId w:val="0"/>
        </w:numPr>
        <w:ind w:leftChars="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存在未填写或响应不全（包括未填写整项实质性条款具体内容或者仅填写响应、全部响应等情况）均视为负偏离。</w:t>
      </w:r>
    </w:p>
    <w:p>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pPr>
        <w:numPr>
          <w:ilvl w:val="0"/>
          <w:numId w:val="0"/>
        </w:numPr>
        <w:ind w:leftChars="0"/>
        <w:jc w:val="both"/>
        <w:rPr>
          <w:rFonts w:hint="eastAsia" w:ascii="仿宋" w:hAnsi="仿宋" w:eastAsia="仿宋" w:cs="仿宋"/>
          <w:b/>
          <w:sz w:val="24"/>
          <w:highlight w:val="none"/>
          <w:lang w:val="en-US" w:eastAsia="zh-CN"/>
        </w:rPr>
      </w:pPr>
    </w:p>
    <w:p>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pPr>
        <w:rPr>
          <w:rFonts w:hint="default" w:ascii="仿宋" w:hAnsi="仿宋" w:eastAsia="仿宋" w:cs="仿宋"/>
          <w:b/>
          <w:bCs/>
          <w:kern w:val="2"/>
          <w:sz w:val="24"/>
          <w:szCs w:val="24"/>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七、合同条款及格式</w:t>
      </w:r>
    </w:p>
    <w:p>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b/>
          <w:bCs w:val="0"/>
          <w:kern w:val="2"/>
          <w:sz w:val="32"/>
          <w:szCs w:val="32"/>
        </w:rPr>
      </w:pPr>
      <w:r>
        <w:rPr>
          <w:rFonts w:hint="eastAsia" w:ascii="宋体" w:hAnsi="宋体" w:eastAsia="宋体" w:cs="宋体"/>
          <w:b/>
          <w:bCs w:val="0"/>
          <w:kern w:val="2"/>
          <w:sz w:val="32"/>
          <w:szCs w:val="32"/>
          <w:lang w:val="en-US" w:eastAsia="zh-CN" w:bidi="ar"/>
        </w:rPr>
        <w:t>合同编号：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kern w:val="2"/>
          <w:sz w:val="72"/>
          <w:szCs w:val="72"/>
        </w:rPr>
      </w:pPr>
      <w:r>
        <w:rPr>
          <w:rFonts w:hint="eastAsia" w:ascii="宋体" w:hAnsi="宋体" w:eastAsia="宋体" w:cs="Times New Roman"/>
          <w:b/>
          <w:bCs w:val="0"/>
          <w:kern w:val="2"/>
          <w:sz w:val="72"/>
          <w:szCs w:val="72"/>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kern w:val="2"/>
          <w:sz w:val="72"/>
          <w:szCs w:val="72"/>
        </w:rPr>
      </w:pPr>
      <w:r>
        <w:rPr>
          <w:rFonts w:hint="eastAsia" w:ascii="宋体" w:hAnsi="宋体" w:eastAsia="宋体" w:cs="宋体"/>
          <w:b/>
          <w:bCs w:val="0"/>
          <w:kern w:val="2"/>
          <w:sz w:val="72"/>
          <w:szCs w:val="72"/>
          <w:lang w:val="en-US" w:eastAsia="zh-CN" w:bidi="ar"/>
        </w:rPr>
        <w:t>深圳市龙岗中心医院</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52"/>
          <w:szCs w:val="52"/>
        </w:rPr>
      </w:pPr>
      <w:r>
        <w:rPr>
          <w:rFonts w:hint="eastAsia" w:ascii="宋体" w:hAnsi="宋体" w:eastAsia="宋体" w:cs="Times New Roman"/>
          <w:b/>
          <w:bCs w:val="0"/>
          <w:kern w:val="2"/>
          <w:sz w:val="52"/>
          <w:szCs w:val="52"/>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kern w:val="2"/>
          <w:sz w:val="72"/>
          <w:szCs w:val="72"/>
        </w:rPr>
      </w:pPr>
      <w:r>
        <w:rPr>
          <w:rFonts w:hint="eastAsia" w:ascii="宋体" w:hAnsi="宋体" w:eastAsia="宋体" w:cs="宋体"/>
          <w:b/>
          <w:bCs w:val="0"/>
          <w:kern w:val="2"/>
          <w:sz w:val="72"/>
          <w:szCs w:val="72"/>
          <w:lang w:val="en-US" w:eastAsia="zh-CN" w:bidi="ar"/>
        </w:rPr>
        <w:t>合同书</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kern w:val="2"/>
          <w:sz w:val="52"/>
          <w:szCs w:val="52"/>
        </w:rPr>
      </w:pPr>
      <w:r>
        <w:rPr>
          <w:rFonts w:hint="eastAsia" w:ascii="宋体" w:hAnsi="宋体" w:eastAsia="宋体" w:cs="宋体"/>
          <w:b/>
          <w:bCs w:val="0"/>
          <w:kern w:val="2"/>
          <w:sz w:val="52"/>
          <w:szCs w:val="52"/>
          <w:lang w:val="en-US" w:eastAsia="zh-CN" w:bidi="ar"/>
        </w:rPr>
        <w:t>（首签）</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52"/>
          <w:szCs w:val="52"/>
        </w:rPr>
      </w:pPr>
      <w:r>
        <w:rPr>
          <w:rFonts w:hint="eastAsia" w:ascii="宋体" w:hAnsi="宋体" w:eastAsia="宋体" w:cs="Times New Roman"/>
          <w:b/>
          <w:bCs w:val="0"/>
          <w:kern w:val="2"/>
          <w:sz w:val="52"/>
          <w:szCs w:val="52"/>
          <w:lang w:val="en-US" w:eastAsia="zh-CN" w:bidi="ar"/>
        </w:rPr>
        <w:t xml:space="preserve"> </w:t>
      </w:r>
    </w:p>
    <w:p>
      <w:pPr>
        <w:keepNext w:val="0"/>
        <w:keepLines w:val="0"/>
        <w:widowControl w:val="0"/>
        <w:suppressLineNumbers w:val="0"/>
        <w:spacing w:before="0" w:beforeAutospacing="0" w:after="0" w:afterAutospacing="0" w:line="360" w:lineRule="auto"/>
        <w:ind w:left="0" w:right="0" w:firstLine="964" w:firstLineChars="300"/>
        <w:jc w:val="both"/>
        <w:rPr>
          <w:rFonts w:hint="eastAsia" w:ascii="宋体" w:hAnsi="宋体" w:eastAsia="宋体" w:cs="Times New Roman"/>
          <w:b/>
          <w:bCs w:val="0"/>
          <w:kern w:val="2"/>
          <w:sz w:val="32"/>
          <w:szCs w:val="32"/>
        </w:rPr>
      </w:pPr>
      <w:r>
        <w:rPr>
          <w:rFonts w:hint="eastAsia" w:ascii="宋体" w:hAnsi="宋体" w:eastAsia="宋体" w:cs="Times New Roman"/>
          <w:b/>
          <w:bCs w:val="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964" w:firstLineChars="300"/>
        <w:jc w:val="both"/>
        <w:rPr>
          <w:rFonts w:hint="eastAsia" w:ascii="宋体" w:hAnsi="宋体" w:eastAsia="宋体" w:cs="Times New Roman"/>
          <w:b/>
          <w:bCs w:val="0"/>
          <w:kern w:val="2"/>
          <w:sz w:val="32"/>
          <w:szCs w:val="32"/>
        </w:rPr>
      </w:pPr>
      <w:r>
        <w:rPr>
          <w:rFonts w:hint="eastAsia" w:ascii="宋体" w:hAnsi="宋体" w:eastAsia="宋体" w:cs="Times New Roman"/>
          <w:b/>
          <w:bCs w:val="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2879" w:leftChars="300" w:right="0" w:hanging="2249" w:hangingChars="700"/>
        <w:jc w:val="both"/>
        <w:rPr>
          <w:rFonts w:hint="eastAsia" w:ascii="宋体" w:hAnsi="宋体" w:eastAsia="宋体" w:cs="Times New Roman"/>
          <w:b/>
          <w:bCs w:val="0"/>
          <w:color w:val="auto"/>
          <w:kern w:val="2"/>
          <w:sz w:val="32"/>
          <w:szCs w:val="32"/>
        </w:rPr>
      </w:pPr>
      <w:r>
        <w:rPr>
          <w:rFonts w:hint="eastAsia" w:ascii="宋体" w:hAnsi="宋体" w:eastAsia="宋体" w:cs="宋体"/>
          <w:b/>
          <w:bCs w:val="0"/>
          <w:color w:val="auto"/>
          <w:kern w:val="2"/>
          <w:sz w:val="32"/>
          <w:szCs w:val="32"/>
          <w:lang w:val="en-US" w:eastAsia="zh-CN" w:bidi="ar"/>
        </w:rPr>
        <w:t>项目编号：</w:t>
      </w:r>
      <w:r>
        <w:rPr>
          <w:rFonts w:hint="eastAsia" w:ascii="宋体" w:hAnsi="宋体" w:eastAsia="宋体" w:cs="Times New Roman"/>
          <w:b/>
          <w:bCs w:val="0"/>
          <w:color w:val="auto"/>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360" w:lineRule="auto"/>
        <w:ind w:left="2879" w:leftChars="300" w:right="0" w:hanging="2249" w:hangingChars="700"/>
        <w:jc w:val="both"/>
        <w:rPr>
          <w:rFonts w:hint="eastAsia" w:ascii="宋体" w:hAnsi="宋体" w:eastAsia="宋体" w:cs="Times New Roman"/>
          <w:b/>
          <w:bCs w:val="0"/>
          <w:color w:val="auto"/>
          <w:kern w:val="2"/>
          <w:sz w:val="32"/>
          <w:szCs w:val="32"/>
          <w:u w:val="single"/>
        </w:rPr>
      </w:pPr>
      <w:r>
        <w:rPr>
          <w:rFonts w:hint="eastAsia" w:ascii="宋体" w:hAnsi="宋体" w:eastAsia="宋体" w:cs="宋体"/>
          <w:b/>
          <w:bCs w:val="0"/>
          <w:color w:val="auto"/>
          <w:kern w:val="2"/>
          <w:sz w:val="32"/>
          <w:szCs w:val="32"/>
          <w:lang w:val="en-US" w:eastAsia="zh-CN" w:bidi="ar"/>
        </w:rPr>
        <w:t>项目名称：</w:t>
      </w:r>
      <w:r>
        <w:rPr>
          <w:rFonts w:hint="eastAsia" w:ascii="宋体" w:hAnsi="宋体" w:eastAsia="宋体" w:cs="Times New Roman"/>
          <w:b/>
          <w:bCs w:val="0"/>
          <w:color w:val="auto"/>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964" w:firstLineChars="300"/>
        <w:jc w:val="both"/>
        <w:rPr>
          <w:rFonts w:hint="eastAsia" w:ascii="宋体" w:hAnsi="宋体" w:eastAsia="宋体" w:cs="Times New Roman"/>
          <w:b/>
          <w:bCs w:val="0"/>
          <w:color w:val="auto"/>
          <w:kern w:val="2"/>
          <w:sz w:val="32"/>
          <w:szCs w:val="32"/>
        </w:rPr>
      </w:pPr>
      <w:r>
        <w:rPr>
          <w:rFonts w:hint="eastAsia" w:ascii="宋体" w:hAnsi="宋体" w:eastAsia="宋体" w:cs="Times New Roman"/>
          <w:b/>
          <w:bCs w:val="0"/>
          <w:color w:val="auto"/>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960" w:firstLineChars="300"/>
        <w:jc w:val="both"/>
        <w:rPr>
          <w:rFonts w:hint="eastAsia" w:ascii="宋体" w:hAnsi="宋体" w:eastAsia="宋体" w:cs="Times New Roman"/>
          <w:color w:val="auto"/>
          <w:kern w:val="2"/>
          <w:sz w:val="32"/>
          <w:szCs w:val="32"/>
        </w:rPr>
      </w:pPr>
      <w:r>
        <w:rPr>
          <w:rFonts w:hint="eastAsia" w:ascii="宋体" w:hAnsi="宋体" w:eastAsia="宋体" w:cs="Times New Roman"/>
          <w:color w:val="auto"/>
          <w:kern w:val="2"/>
          <w:sz w:val="32"/>
          <w:szCs w:val="32"/>
          <w:lang w:val="en-US" w:eastAsia="zh-CN" w:bidi="ar"/>
        </w:rPr>
        <w:t xml:space="preserve"> </w:t>
      </w:r>
    </w:p>
    <w:tbl>
      <w:tblPr>
        <w:tblStyle w:val="21"/>
        <w:tblW w:w="64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1"/>
        <w:gridCol w:w="4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2221"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color w:val="auto"/>
                <w:kern w:val="2"/>
                <w:sz w:val="28"/>
                <w:szCs w:val="28"/>
              </w:rPr>
            </w:pPr>
            <w:r>
              <w:rPr>
                <w:rFonts w:hint="eastAsia" w:ascii="宋体" w:hAnsi="宋体" w:eastAsia="宋体" w:cs="宋体"/>
                <w:b/>
                <w:bCs w:val="0"/>
                <w:color w:val="auto"/>
                <w:kern w:val="2"/>
                <w:sz w:val="28"/>
                <w:szCs w:val="28"/>
                <w:lang w:val="en-US" w:eastAsia="zh-CN" w:bidi="ar"/>
              </w:rPr>
              <w:t>甲</w:t>
            </w:r>
            <w:r>
              <w:rPr>
                <w:rFonts w:hint="eastAsia" w:ascii="宋体" w:hAnsi="宋体" w:eastAsia="宋体" w:cs="Times New Roman"/>
                <w:b/>
                <w:bCs w:val="0"/>
                <w:color w:val="auto"/>
                <w:kern w:val="2"/>
                <w:sz w:val="28"/>
                <w:szCs w:val="28"/>
                <w:lang w:val="en-US" w:eastAsia="zh-CN" w:bidi="ar"/>
              </w:rPr>
              <w:t xml:space="preserve"> </w:t>
            </w:r>
            <w:r>
              <w:rPr>
                <w:rFonts w:hint="eastAsia" w:ascii="宋体" w:hAnsi="宋体" w:eastAsia="宋体" w:cs="宋体"/>
                <w:b/>
                <w:bCs w:val="0"/>
                <w:color w:val="auto"/>
                <w:kern w:val="2"/>
                <w:sz w:val="28"/>
                <w:szCs w:val="28"/>
                <w:lang w:val="en-US" w:eastAsia="zh-CN" w:bidi="ar"/>
              </w:rPr>
              <w:t xml:space="preserve">   方：</w:t>
            </w:r>
          </w:p>
        </w:tc>
        <w:tc>
          <w:tcPr>
            <w:tcW w:w="4248"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color w:val="auto"/>
                <w:kern w:val="2"/>
                <w:sz w:val="28"/>
                <w:szCs w:val="28"/>
              </w:rPr>
            </w:pPr>
            <w:r>
              <w:rPr>
                <w:rFonts w:hint="eastAsia" w:ascii="宋体" w:hAnsi="宋体" w:eastAsia="宋体" w:cs="宋体"/>
                <w:b/>
                <w:bCs w:val="0"/>
                <w:color w:val="auto"/>
                <w:kern w:val="2"/>
                <w:sz w:val="28"/>
                <w:szCs w:val="28"/>
                <w:lang w:val="en-US" w:eastAsia="zh-CN" w:bidi="ar"/>
              </w:rPr>
              <w:t>深圳市龙岗中心医院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21"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color w:val="auto"/>
                <w:kern w:val="2"/>
                <w:sz w:val="28"/>
                <w:szCs w:val="28"/>
              </w:rPr>
            </w:pPr>
            <w:r>
              <w:rPr>
                <w:rFonts w:hint="eastAsia" w:ascii="宋体" w:hAnsi="宋体" w:eastAsia="宋体" w:cs="宋体"/>
                <w:b/>
                <w:bCs w:val="0"/>
                <w:color w:val="auto"/>
                <w:kern w:val="2"/>
                <w:sz w:val="28"/>
                <w:szCs w:val="28"/>
                <w:lang w:val="en-US" w:eastAsia="zh-CN" w:bidi="ar"/>
              </w:rPr>
              <w:t>乙</w:t>
            </w:r>
            <w:r>
              <w:rPr>
                <w:rFonts w:hint="eastAsia" w:ascii="宋体" w:hAnsi="宋体" w:eastAsia="宋体" w:cs="Times New Roman"/>
                <w:b/>
                <w:bCs w:val="0"/>
                <w:color w:val="auto"/>
                <w:kern w:val="2"/>
                <w:sz w:val="28"/>
                <w:szCs w:val="28"/>
                <w:lang w:val="en-US" w:eastAsia="zh-CN" w:bidi="ar"/>
              </w:rPr>
              <w:t xml:space="preserve"> </w:t>
            </w:r>
            <w:r>
              <w:rPr>
                <w:rFonts w:hint="eastAsia" w:ascii="宋体" w:hAnsi="宋体" w:eastAsia="宋体" w:cs="宋体"/>
                <w:b/>
                <w:bCs w:val="0"/>
                <w:color w:val="auto"/>
                <w:kern w:val="2"/>
                <w:sz w:val="28"/>
                <w:szCs w:val="28"/>
                <w:lang w:val="en-US" w:eastAsia="zh-CN" w:bidi="ar"/>
              </w:rPr>
              <w:t xml:space="preserve">   方：</w:t>
            </w:r>
          </w:p>
        </w:tc>
        <w:tc>
          <w:tcPr>
            <w:tcW w:w="4248"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color w:val="auto"/>
                <w:kern w:val="2"/>
                <w:sz w:val="28"/>
                <w:szCs w:val="28"/>
              </w:rPr>
            </w:pPr>
            <w:r>
              <w:rPr>
                <w:rFonts w:hint="eastAsia" w:ascii="宋体" w:hAnsi="宋体" w:eastAsia="宋体" w:cs="宋体"/>
                <w:b/>
                <w:bCs w:val="0"/>
                <w:color w:val="auto"/>
                <w:kern w:val="2"/>
                <w:sz w:val="28"/>
                <w:szCs w:val="28"/>
                <w:lang w:val="en-US" w:eastAsia="zh-CN" w:bidi="ar"/>
              </w:rPr>
              <w:t>XXX公司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21"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8"/>
                <w:szCs w:val="28"/>
              </w:rPr>
            </w:pPr>
          </w:p>
        </w:tc>
        <w:tc>
          <w:tcPr>
            <w:tcW w:w="4248"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color w:val="FF0000"/>
                <w:kern w:val="2"/>
                <w:sz w:val="28"/>
                <w:szCs w:val="28"/>
              </w:rPr>
            </w:pPr>
          </w:p>
        </w:tc>
      </w:tr>
    </w:tbl>
    <w:p>
      <w:pPr>
        <w:keepNext w:val="0"/>
        <w:keepLines w:val="0"/>
        <w:widowControl w:val="0"/>
        <w:suppressLineNumbers w:val="0"/>
        <w:spacing w:before="0" w:beforeAutospacing="0" w:after="0" w:afterAutospacing="0" w:line="360" w:lineRule="auto"/>
        <w:ind w:left="0" w:right="0" w:firstLine="960" w:firstLineChars="300"/>
        <w:jc w:val="both"/>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lang w:val="en-US" w:eastAsia="zh-CN" w:bidi="ar"/>
        </w:rPr>
        <w:t xml:space="preserve"> </w:t>
      </w:r>
    </w:p>
    <w:p>
      <w:pPr>
        <w:keepNext w:val="0"/>
        <w:keepLines w:val="0"/>
        <w:pageBreakBefore/>
        <w:widowControl w:val="0"/>
        <w:suppressLineNumbers w:val="0"/>
        <w:spacing w:before="0" w:beforeAutospacing="0" w:after="0" w:afterAutospacing="0" w:line="360" w:lineRule="auto"/>
        <w:ind w:left="0" w:right="0"/>
        <w:jc w:val="center"/>
        <w:rPr>
          <w:rFonts w:hint="eastAsia" w:ascii="仿宋_GB2312" w:hAnsi="宋体" w:eastAsia="仿宋_GB2312" w:cs="Times New Roman"/>
          <w:b/>
          <w:bCs w:val="0"/>
          <w:kern w:val="0"/>
          <w:sz w:val="44"/>
          <w:szCs w:val="44"/>
        </w:rPr>
      </w:pPr>
      <w:r>
        <w:rPr>
          <w:rFonts w:hint="eastAsia" w:ascii="仿宋_GB2312" w:hAnsi="宋体" w:eastAsia="仿宋_GB2312" w:cs="仿宋_GB2312"/>
          <w:b/>
          <w:bCs w:val="0"/>
          <w:kern w:val="0"/>
          <w:sz w:val="44"/>
          <w:szCs w:val="44"/>
          <w:lang w:val="en-US" w:eastAsia="zh-CN" w:bidi="ar"/>
        </w:rPr>
        <w:t>项目合同书</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b/>
          <w:bCs w:val="0"/>
          <w:kern w:val="2"/>
          <w:sz w:val="21"/>
          <w:szCs w:val="21"/>
        </w:rPr>
      </w:pPr>
      <w:r>
        <w:rPr>
          <w:rFonts w:hint="eastAsia" w:ascii="仿宋_GB2312" w:hAnsi="宋体" w:eastAsia="仿宋_GB2312" w:cs="Times New Roman"/>
          <w:b/>
          <w:bCs w:val="0"/>
          <w:kern w:val="2"/>
          <w:sz w:val="21"/>
          <w:szCs w:val="21"/>
          <w:lang w:val="en-US" w:eastAsia="zh-CN" w:bidi="ar"/>
        </w:rPr>
        <w:t xml:space="preserve"> </w:t>
      </w:r>
    </w:p>
    <w:tbl>
      <w:tblPr>
        <w:tblStyle w:val="2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4"/>
        <w:gridCol w:w="7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224"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b/>
                <w:bCs w:val="0"/>
                <w:kern w:val="2"/>
                <w:sz w:val="28"/>
                <w:szCs w:val="28"/>
              </w:rPr>
            </w:pPr>
            <w:r>
              <w:rPr>
                <w:rFonts w:hint="eastAsia" w:ascii="仿宋_GB2312" w:hAnsi="宋体" w:eastAsia="仿宋_GB2312" w:cs="仿宋_GB2312"/>
                <w:b/>
                <w:bCs w:val="0"/>
                <w:kern w:val="2"/>
                <w:sz w:val="28"/>
                <w:szCs w:val="28"/>
                <w:lang w:val="en-US" w:eastAsia="zh-CN" w:bidi="ar"/>
              </w:rPr>
              <w:t>甲</w:t>
            </w:r>
            <w:r>
              <w:rPr>
                <w:rFonts w:hint="eastAsia" w:ascii="仿宋_GB2312" w:hAnsi="宋体" w:eastAsia="仿宋_GB2312" w:cs="Times New Roman"/>
                <w:b/>
                <w:bCs w:val="0"/>
                <w:kern w:val="2"/>
                <w:sz w:val="28"/>
                <w:szCs w:val="28"/>
                <w:lang w:val="en-US" w:eastAsia="zh-CN" w:bidi="ar"/>
              </w:rPr>
              <w:t xml:space="preserve"> </w:t>
            </w:r>
            <w:r>
              <w:rPr>
                <w:rFonts w:hint="eastAsia" w:ascii="仿宋_GB2312" w:hAnsi="宋体" w:eastAsia="仿宋_GB2312" w:cs="仿宋_GB2312"/>
                <w:b/>
                <w:bCs w:val="0"/>
                <w:kern w:val="2"/>
                <w:sz w:val="28"/>
                <w:szCs w:val="28"/>
                <w:lang w:val="en-US" w:eastAsia="zh-CN" w:bidi="ar"/>
              </w:rPr>
              <w:t xml:space="preserve"> 方：</w:t>
            </w:r>
          </w:p>
        </w:tc>
        <w:tc>
          <w:tcPr>
            <w:tcW w:w="7082"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b/>
                <w:bCs w:val="0"/>
                <w:kern w:val="2"/>
                <w:sz w:val="28"/>
                <w:szCs w:val="28"/>
              </w:rPr>
            </w:pPr>
            <w:r>
              <w:rPr>
                <w:rFonts w:hint="eastAsia" w:ascii="仿宋_GB2312" w:hAnsi="宋体" w:eastAsia="仿宋_GB2312" w:cs="仿宋_GB2312"/>
                <w:b/>
                <w:bCs w:val="0"/>
                <w:kern w:val="2"/>
                <w:sz w:val="28"/>
                <w:szCs w:val="28"/>
                <w:lang w:val="en-US" w:eastAsia="zh-CN" w:bidi="ar"/>
              </w:rPr>
              <w:t>深圳市龙岗中心医院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24"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乙</w:t>
            </w:r>
            <w:r>
              <w:rPr>
                <w:rFonts w:hint="eastAsia" w:ascii="仿宋_GB2312" w:hAnsi="宋体" w:eastAsia="仿宋_GB2312" w:cs="Times New Roman"/>
                <w:b/>
                <w:bCs w:val="0"/>
                <w:color w:val="auto"/>
                <w:kern w:val="2"/>
                <w:sz w:val="28"/>
                <w:szCs w:val="28"/>
                <w:lang w:val="en-US" w:eastAsia="zh-CN" w:bidi="ar"/>
              </w:rPr>
              <w:t xml:space="preserve"> </w:t>
            </w:r>
            <w:r>
              <w:rPr>
                <w:rFonts w:hint="eastAsia" w:ascii="仿宋_GB2312" w:hAnsi="宋体" w:eastAsia="仿宋_GB2312" w:cs="仿宋_GB2312"/>
                <w:b/>
                <w:bCs w:val="0"/>
                <w:color w:val="auto"/>
                <w:kern w:val="2"/>
                <w:sz w:val="28"/>
                <w:szCs w:val="28"/>
                <w:lang w:val="en-US" w:eastAsia="zh-CN" w:bidi="ar"/>
              </w:rPr>
              <w:t xml:space="preserve"> 方：</w:t>
            </w:r>
          </w:p>
        </w:tc>
        <w:tc>
          <w:tcPr>
            <w:tcW w:w="7082"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b/>
                <w:bCs w:val="0"/>
                <w:color w:val="auto"/>
                <w:kern w:val="2"/>
                <w:sz w:val="28"/>
                <w:szCs w:val="28"/>
              </w:rPr>
            </w:pPr>
          </w:p>
        </w:tc>
      </w:tr>
    </w:tbl>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根据XXX项目（招标编号：XXX</w:t>
      </w:r>
      <w:r>
        <w:rPr>
          <w:rFonts w:hint="eastAsia" w:ascii="仿宋_GB2312" w:hAnsi="宋体" w:eastAsia="仿宋_GB2312" w:cs="Times New Roman"/>
          <w:color w:val="auto"/>
          <w:kern w:val="2"/>
          <w:sz w:val="28"/>
          <w:szCs w:val="28"/>
          <w:lang w:val="en-US" w:eastAsia="zh-CN" w:bidi="ar"/>
        </w:rPr>
        <w:tab/>
      </w:r>
      <w:r>
        <w:rPr>
          <w:rFonts w:hint="eastAsia" w:ascii="仿宋_GB2312" w:hAnsi="宋体" w:eastAsia="仿宋_GB2312" w:cs="仿宋_GB2312"/>
          <w:color w:val="auto"/>
          <w:kern w:val="2"/>
          <w:sz w:val="28"/>
          <w:szCs w:val="28"/>
          <w:lang w:val="en-US" w:eastAsia="zh-CN" w:bidi="ar"/>
        </w:rPr>
        <w:t>）的招标结果，确定XXX为中标方。根据《中华人民共和国政府采购法》、《中华人民共和国民法典》、《深圳经济特区政府采购条例》、《深圳经济特区政府采购条例实施细则》等法律法规，经深圳市龙岗中心医院（以下简称甲方）和XXX公司（以下简称乙方）协商，就甲方委托乙方承担深圳市龙岗中心医院XXX软件运维项目，本着平等互利和诚实信用的原则，</w:t>
      </w:r>
      <w:r>
        <w:rPr>
          <w:rFonts w:hint="eastAsia" w:ascii="仿宋_GB2312" w:hAnsi="宋体" w:eastAsia="仿宋_GB2312" w:cs="仿宋_GB2312"/>
          <w:color w:val="auto"/>
          <w:kern w:val="28"/>
          <w:sz w:val="28"/>
          <w:szCs w:val="28"/>
          <w:lang w:val="en-US" w:eastAsia="zh-CN" w:bidi="ar"/>
        </w:rPr>
        <w:t>一致同意达成以下合同条款：</w:t>
      </w:r>
    </w:p>
    <w:p>
      <w:pPr>
        <w:pStyle w:val="18"/>
        <w:keepNext w:val="0"/>
        <w:keepLines w:val="0"/>
        <w:widowControl w:val="0"/>
        <w:numPr>
          <w:ilvl w:val="0"/>
          <w:numId w:val="15"/>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color w:val="auto"/>
          <w:kern w:val="2"/>
          <w:sz w:val="28"/>
          <w:szCs w:val="28"/>
        </w:rPr>
      </w:pPr>
      <w:r>
        <w:rPr>
          <w:rFonts w:hint="eastAsia" w:ascii="仿宋_GB2312" w:hAnsi="宋体" w:eastAsia="仿宋_GB2312" w:cs="仿宋_GB2312"/>
          <w:b/>
          <w:bCs w:val="0"/>
          <w:color w:val="auto"/>
          <w:kern w:val="2"/>
          <w:sz w:val="28"/>
          <w:szCs w:val="28"/>
          <w:lang w:val="en-US" w:eastAsia="zh-CN" w:bidi="ar"/>
        </w:rPr>
        <w:t>合同项目金额</w:t>
      </w:r>
    </w:p>
    <w:p>
      <w:pPr>
        <w:keepNext w:val="0"/>
        <w:keepLines w:val="0"/>
        <w:widowControl w:val="0"/>
        <w:suppressLineNumbers w:val="0"/>
        <w:autoSpaceDE w:val="0"/>
        <w:autoSpaceDN w:val="0"/>
        <w:adjustRightInd w:val="0"/>
        <w:spacing w:before="0" w:beforeAutospacing="0" w:after="0" w:afterAutospacing="0" w:line="360" w:lineRule="auto"/>
        <w:ind w:left="0" w:right="0" w:firstLine="560" w:firstLineChars="200"/>
        <w:jc w:val="left"/>
        <w:rPr>
          <w:rFonts w:hint="eastAsia" w:ascii="仿宋_GB2312" w:hAnsi="宋体" w:eastAsia="仿宋_GB2312" w:cs="Times New Roman"/>
          <w:bCs/>
          <w:color w:val="auto"/>
          <w:kern w:val="2"/>
          <w:sz w:val="28"/>
          <w:szCs w:val="28"/>
        </w:rPr>
      </w:pPr>
      <w:r>
        <w:rPr>
          <w:rFonts w:hint="eastAsia" w:ascii="仿宋_GB2312" w:hAnsi="宋体" w:eastAsia="仿宋_GB2312" w:cs="仿宋_GB2312"/>
          <w:bCs/>
          <w:color w:val="auto"/>
          <w:kern w:val="2"/>
          <w:sz w:val="28"/>
          <w:szCs w:val="28"/>
          <w:lang w:val="en-US" w:eastAsia="zh-CN" w:bidi="ar"/>
        </w:rPr>
        <w:t>乙方应当根据采购公告、招标文件、投标文件及中标通知书等（以上统称为采购文件）提供下列软件运维服务：</w:t>
      </w:r>
    </w:p>
    <w:tbl>
      <w:tblPr>
        <w:tblStyle w:val="21"/>
        <w:tblW w:w="5126" w:type="pct"/>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66"/>
        <w:gridCol w:w="3236"/>
        <w:gridCol w:w="1080"/>
        <w:gridCol w:w="1052"/>
        <w:gridCol w:w="1417"/>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7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Arial"/>
                <w:color w:val="auto"/>
                <w:kern w:val="0"/>
                <w:sz w:val="28"/>
                <w:szCs w:val="28"/>
              </w:rPr>
            </w:pPr>
            <w:r>
              <w:rPr>
                <w:rFonts w:hint="eastAsia" w:ascii="仿宋_GB2312" w:hAnsi="宋体" w:eastAsia="仿宋_GB2312" w:cs="仿宋_GB2312"/>
                <w:color w:val="auto"/>
                <w:kern w:val="0"/>
                <w:sz w:val="28"/>
                <w:szCs w:val="28"/>
                <w:lang w:val="en-US" w:eastAsia="zh-CN" w:bidi="ar"/>
              </w:rPr>
              <w:t>序号</w:t>
            </w:r>
          </w:p>
        </w:tc>
        <w:tc>
          <w:tcPr>
            <w:tcW w:w="3268"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仿宋_GB2312"/>
                <w:color w:val="auto"/>
                <w:kern w:val="0"/>
                <w:sz w:val="28"/>
                <w:szCs w:val="28"/>
                <w:lang w:val="en-US" w:eastAsia="zh-CN" w:bidi="ar"/>
              </w:rPr>
              <w:t>项目名称</w:t>
            </w:r>
          </w:p>
        </w:tc>
        <w:tc>
          <w:tcPr>
            <w:tcW w:w="109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仿宋_GB2312"/>
                <w:color w:val="auto"/>
                <w:kern w:val="0"/>
                <w:sz w:val="28"/>
                <w:szCs w:val="28"/>
                <w:lang w:val="en-US" w:eastAsia="zh-CN" w:bidi="ar"/>
              </w:rPr>
              <w:t>数量</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仿宋_GB2312"/>
                <w:color w:val="auto"/>
                <w:kern w:val="0"/>
                <w:sz w:val="28"/>
                <w:szCs w:val="28"/>
                <w:lang w:val="en-US" w:eastAsia="zh-CN" w:bidi="ar"/>
              </w:rPr>
              <w:t>单位</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仿宋_GB2312"/>
                <w:color w:val="auto"/>
                <w:kern w:val="0"/>
                <w:sz w:val="28"/>
                <w:szCs w:val="28"/>
                <w:lang w:val="en-US" w:eastAsia="zh-CN" w:bidi="ar"/>
              </w:rPr>
              <w:t>金额（元）</w:t>
            </w:r>
          </w:p>
        </w:tc>
        <w:tc>
          <w:tcPr>
            <w:tcW w:w="95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仿宋_GB2312"/>
                <w:color w:val="auto"/>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87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Arial"/>
                <w:color w:val="auto"/>
                <w:kern w:val="0"/>
                <w:sz w:val="28"/>
                <w:szCs w:val="28"/>
              </w:rPr>
            </w:pPr>
            <w:r>
              <w:rPr>
                <w:rFonts w:hint="eastAsia" w:ascii="仿宋_GB2312" w:hAnsi="宋体" w:eastAsia="仿宋_GB2312" w:cs="仿宋_GB2312"/>
                <w:color w:val="auto"/>
                <w:kern w:val="0"/>
                <w:sz w:val="28"/>
                <w:szCs w:val="28"/>
                <w:lang w:val="en-US" w:eastAsia="zh-CN" w:bidi="ar"/>
              </w:rPr>
              <w:t>1</w:t>
            </w:r>
          </w:p>
        </w:tc>
        <w:tc>
          <w:tcPr>
            <w:tcW w:w="3268"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仿宋_GB2312"/>
                <w:color w:val="auto"/>
                <w:kern w:val="0"/>
                <w:sz w:val="28"/>
                <w:szCs w:val="28"/>
                <w:lang w:val="en-US" w:eastAsia="zh-CN" w:bidi="ar"/>
              </w:rPr>
              <w:t xml:space="preserve"> </w:t>
            </w:r>
          </w:p>
        </w:tc>
        <w:tc>
          <w:tcPr>
            <w:tcW w:w="1091"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bidi="ar"/>
              </w:rPr>
              <w:t xml:space="preserve"> </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仿宋_GB2312"/>
                <w:color w:val="auto"/>
                <w:kern w:val="0"/>
                <w:sz w:val="28"/>
                <w:szCs w:val="28"/>
                <w:lang w:val="en-US" w:eastAsia="zh-CN" w:bidi="ar"/>
              </w:rPr>
              <w:t xml:space="preserve"> </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宋体" w:eastAsia="仿宋_GB2312" w:cs="宋体"/>
                <w:color w:val="auto"/>
                <w:kern w:val="0"/>
                <w:sz w:val="28"/>
                <w:szCs w:val="28"/>
              </w:rPr>
            </w:pPr>
            <w:r>
              <w:rPr>
                <w:rFonts w:hint="eastAsia" w:ascii="仿宋_GB2312" w:hAnsi="宋体" w:eastAsia="仿宋_GB2312" w:cs="仿宋_GB2312"/>
                <w:color w:val="auto"/>
                <w:kern w:val="0"/>
                <w:sz w:val="28"/>
                <w:szCs w:val="28"/>
                <w:lang w:val="en-US" w:eastAsia="zh-CN" w:bidi="ar"/>
              </w:rPr>
              <w:t xml:space="preserve"> </w:t>
            </w:r>
          </w:p>
        </w:tc>
        <w:tc>
          <w:tcPr>
            <w:tcW w:w="955" w:type="dxa"/>
            <w:tcBorders>
              <w:top w:val="single" w:color="auto" w:sz="4" w:space="0"/>
              <w:left w:val="single" w:color="auto" w:sz="4" w:space="0"/>
              <w:bottom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宋体" w:eastAsia="仿宋_GB2312" w:cs="宋体"/>
                <w:color w:val="auto"/>
                <w:kern w:val="0"/>
                <w:sz w:val="28"/>
                <w:szCs w:val="28"/>
              </w:rPr>
            </w:pPr>
          </w:p>
        </w:tc>
      </w:tr>
    </w:tbl>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Times New Roman"/>
          <w:bCs/>
          <w:color w:val="auto"/>
          <w:kern w:val="2"/>
          <w:sz w:val="28"/>
          <w:szCs w:val="28"/>
        </w:rPr>
      </w:pPr>
      <w:r>
        <w:rPr>
          <w:rFonts w:hint="eastAsia" w:ascii="仿宋_GB2312" w:hAnsi="宋体" w:eastAsia="仿宋_GB2312" w:cs="仿宋_GB2312"/>
          <w:bCs/>
          <w:color w:val="auto"/>
          <w:kern w:val="2"/>
          <w:sz w:val="28"/>
          <w:szCs w:val="28"/>
          <w:lang w:val="en-US" w:eastAsia="zh-CN" w:bidi="ar"/>
        </w:rPr>
        <w:t>本合同总金额为（大写</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bCs/>
          <w:color w:val="auto"/>
          <w:kern w:val="2"/>
          <w:sz w:val="28"/>
          <w:szCs w:val="28"/>
          <w:lang w:val="en-US" w:eastAsia="zh-CN" w:bidi="ar"/>
        </w:rPr>
        <w:t>）人民币</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bCs/>
          <w:color w:val="auto"/>
          <w:kern w:val="2"/>
          <w:sz w:val="28"/>
          <w:szCs w:val="28"/>
          <w:lang w:val="en-US" w:eastAsia="zh-CN" w:bidi="ar"/>
        </w:rPr>
        <w:t>（</w:t>
      </w:r>
      <w:r>
        <w:rPr>
          <w:rFonts w:hint="default" w:ascii="Arial" w:hAnsi="Arial" w:eastAsia="仿宋_GB2312" w:cs="Arial"/>
          <w:bCs/>
          <w:color w:val="auto"/>
          <w:kern w:val="2"/>
          <w:sz w:val="28"/>
          <w:szCs w:val="28"/>
          <w:lang w:val="en-US" w:eastAsia="zh-CN" w:bidi="ar"/>
        </w:rPr>
        <w:t>¥</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bCs/>
          <w:color w:val="auto"/>
          <w:kern w:val="2"/>
          <w:sz w:val="28"/>
          <w:szCs w:val="28"/>
          <w:lang w:val="en-US" w:eastAsia="zh-CN" w:bidi="ar"/>
        </w:rPr>
        <w:t>元）。本合同总价款已包括乙方为履行本合同义务所发生的一切费用（如税费）。本合同总价款系固定不变价格，且不随通货膨胀的影响而波动。</w:t>
      </w:r>
    </w:p>
    <w:p>
      <w:pPr>
        <w:pStyle w:val="18"/>
        <w:keepNext w:val="0"/>
        <w:keepLines w:val="0"/>
        <w:widowControl w:val="0"/>
        <w:numPr>
          <w:ilvl w:val="0"/>
          <w:numId w:val="15"/>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服务期限和服务地点</w:t>
      </w:r>
    </w:p>
    <w:p>
      <w:pPr>
        <w:keepNext w:val="0"/>
        <w:keepLines w:val="0"/>
        <w:widowControl w:val="0"/>
        <w:numPr>
          <w:ilvl w:val="0"/>
          <w:numId w:val="16"/>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highlight w:val="none"/>
        </w:rPr>
      </w:pPr>
      <w:r>
        <w:rPr>
          <w:rFonts w:hint="eastAsia" w:ascii="仿宋_GB2312" w:hAnsi="Wingdings" w:eastAsia="仿宋_GB2312" w:cs="仿宋_GB2312"/>
          <w:color w:val="auto"/>
          <w:kern w:val="2"/>
          <w:sz w:val="28"/>
          <w:szCs w:val="28"/>
          <w:lang w:val="en-US" w:eastAsia="zh-CN" w:bidi="ar"/>
        </w:rPr>
        <w:t>¨</w:t>
      </w:r>
      <w:r>
        <w:rPr>
          <w:rFonts w:hint="eastAsia" w:ascii="仿宋_GB2312" w:hAnsi="宋体" w:eastAsia="仿宋_GB2312" w:cs="仿宋_GB2312"/>
          <w:color w:val="auto"/>
          <w:kern w:val="2"/>
          <w:sz w:val="28"/>
          <w:szCs w:val="28"/>
          <w:lang w:val="en-US" w:eastAsia="zh-CN" w:bidi="ar"/>
        </w:rPr>
        <w:t>本项目为</w:t>
      </w:r>
      <w:r>
        <w:rPr>
          <w:rFonts w:hint="eastAsia" w:ascii="仿宋_GB2312" w:hAnsi="宋体" w:eastAsia="仿宋_GB2312" w:cs="仿宋_GB2312"/>
          <w:color w:val="auto"/>
          <w:kern w:val="2"/>
          <w:sz w:val="28"/>
          <w:szCs w:val="28"/>
          <w:u w:val="single"/>
          <w:lang w:val="en-US" w:eastAsia="zh-CN" w:bidi="ar"/>
        </w:rPr>
        <w:t>非长</w:t>
      </w:r>
      <w:r>
        <w:rPr>
          <w:rFonts w:hint="eastAsia" w:ascii="仿宋_GB2312" w:hAnsi="宋体" w:eastAsia="仿宋_GB2312" w:cs="仿宋_GB2312"/>
          <w:color w:val="auto"/>
          <w:kern w:val="2"/>
          <w:sz w:val="28"/>
          <w:szCs w:val="28"/>
          <w:lang w:val="en-US" w:eastAsia="zh-CN" w:bidi="ar"/>
        </w:rPr>
        <w:t>期服务项目，合同服务期限为</w:t>
      </w:r>
      <w:r>
        <w:rPr>
          <w:rFonts w:hint="eastAsia" w:ascii="仿宋_GB2312" w:hAnsi="宋体" w:eastAsia="仿宋_GB2312" w:cs="仿宋_GB2312"/>
          <w:color w:val="auto"/>
          <w:kern w:val="2"/>
          <w:sz w:val="28"/>
          <w:szCs w:val="28"/>
          <w:u w:val="single"/>
          <w:lang w:val="en-US" w:eastAsia="zh-CN" w:bidi="ar"/>
        </w:rPr>
        <w:t>1</w:t>
      </w:r>
      <w:r>
        <w:rPr>
          <w:rFonts w:hint="eastAsia" w:ascii="仿宋_GB2312" w:hAnsi="宋体" w:eastAsia="仿宋_GB2312" w:cs="仿宋_GB2312"/>
          <w:color w:val="auto"/>
          <w:kern w:val="2"/>
          <w:sz w:val="28"/>
          <w:szCs w:val="28"/>
          <w:lang w:val="en-US" w:eastAsia="zh-CN" w:bidi="ar"/>
        </w:rPr>
        <w:t>年，</w:t>
      </w:r>
      <w:r>
        <w:rPr>
          <w:rFonts w:hint="eastAsia" w:ascii="仿宋_GB2312" w:hAnsi="宋体" w:eastAsia="仿宋_GB2312" w:cs="仿宋_GB2312"/>
          <w:color w:val="auto"/>
          <w:kern w:val="2"/>
          <w:sz w:val="28"/>
          <w:szCs w:val="28"/>
          <w:highlight w:val="none"/>
          <w:lang w:val="en-US" w:eastAsia="zh-CN" w:bidi="ar"/>
        </w:rPr>
        <w:t>自</w:t>
      </w:r>
      <w:r>
        <w:rPr>
          <w:rFonts w:hint="eastAsia" w:ascii="仿宋_GB2312" w:hAnsi="宋体" w:eastAsia="仿宋_GB2312" w:cs="Times New Roman"/>
          <w:color w:val="auto"/>
          <w:kern w:val="2"/>
          <w:sz w:val="28"/>
          <w:szCs w:val="28"/>
          <w:highlight w:val="none"/>
          <w:lang w:val="en-US" w:eastAsia="zh-CN" w:bidi="ar"/>
        </w:rPr>
        <w:t xml:space="preserve">   </w:t>
      </w:r>
      <w:r>
        <w:rPr>
          <w:rFonts w:hint="eastAsia" w:ascii="仿宋_GB2312" w:hAnsi="宋体" w:eastAsia="仿宋_GB2312" w:cs="仿宋_GB2312"/>
          <w:color w:val="auto"/>
          <w:kern w:val="2"/>
          <w:sz w:val="28"/>
          <w:szCs w:val="28"/>
          <w:highlight w:val="none"/>
          <w:lang w:val="en-US" w:eastAsia="zh-CN" w:bidi="ar"/>
        </w:rPr>
        <w:t>之日起算。</w:t>
      </w:r>
    </w:p>
    <w:p>
      <w:pPr>
        <w:keepNext w:val="0"/>
        <w:keepLines w:val="0"/>
        <w:widowControl w:val="0"/>
        <w:suppressLineNumbers w:val="0"/>
        <w:spacing w:before="0" w:beforeAutospacing="0" w:after="0" w:afterAutospacing="0" w:line="360" w:lineRule="auto"/>
        <w:ind w:left="559" w:leftChars="266" w:right="0"/>
        <w:jc w:val="both"/>
        <w:rPr>
          <w:rFonts w:hint="eastAsia" w:ascii="仿宋_GB2312" w:hAnsi="宋体" w:eastAsia="仿宋_GB2312" w:cs="Times New Roman"/>
          <w:color w:val="auto"/>
          <w:kern w:val="2"/>
          <w:sz w:val="28"/>
          <w:szCs w:val="28"/>
        </w:rPr>
      </w:pPr>
      <w:r>
        <w:rPr>
          <w:rFonts w:hint="eastAsia" w:ascii="仿宋_GB2312" w:hAnsi="Wingdings" w:eastAsia="仿宋_GB2312" w:cs="仿宋_GB2312"/>
          <w:color w:val="auto"/>
          <w:kern w:val="2"/>
          <w:sz w:val="28"/>
          <w:szCs w:val="28"/>
          <w:highlight w:val="none"/>
          <w:lang w:val="en-US" w:eastAsia="zh-CN" w:bidi="ar"/>
        </w:rPr>
        <w:t>¨</w:t>
      </w:r>
      <w:r>
        <w:rPr>
          <w:rFonts w:hint="eastAsia" w:ascii="仿宋_GB2312" w:hAnsi="宋体" w:eastAsia="仿宋_GB2312" w:cs="仿宋_GB2312"/>
          <w:color w:val="auto"/>
          <w:kern w:val="2"/>
          <w:sz w:val="28"/>
          <w:szCs w:val="28"/>
          <w:highlight w:val="none"/>
          <w:lang w:val="en-US" w:eastAsia="zh-CN" w:bidi="ar"/>
        </w:rPr>
        <w:t>本项目为</w:t>
      </w:r>
      <w:r>
        <w:rPr>
          <w:rFonts w:hint="eastAsia" w:ascii="仿宋_GB2312" w:hAnsi="宋体" w:eastAsia="仿宋_GB2312" w:cs="仿宋_GB2312"/>
          <w:bCs/>
          <w:color w:val="auto"/>
          <w:kern w:val="2"/>
          <w:sz w:val="28"/>
          <w:szCs w:val="28"/>
          <w:highlight w:val="none"/>
          <w:u w:val="single"/>
          <w:lang w:val="en-US" w:eastAsia="zh-CN" w:bidi="ar"/>
        </w:rPr>
        <w:t>长</w:t>
      </w:r>
      <w:r>
        <w:rPr>
          <w:rFonts w:hint="eastAsia" w:ascii="仿宋_GB2312" w:hAnsi="宋体" w:eastAsia="仿宋_GB2312" w:cs="仿宋_GB2312"/>
          <w:color w:val="auto"/>
          <w:kern w:val="2"/>
          <w:sz w:val="28"/>
          <w:szCs w:val="28"/>
          <w:highlight w:val="none"/>
          <w:lang w:val="en-US" w:eastAsia="zh-CN" w:bidi="ar"/>
        </w:rPr>
        <w:t>期服务项目，合同服务期限为</w:t>
      </w:r>
      <w:r>
        <w:rPr>
          <w:rFonts w:hint="eastAsia" w:ascii="仿宋_GB2312" w:hAnsi="宋体" w:eastAsia="仿宋_GB2312" w:cs="仿宋_GB2312"/>
          <w:color w:val="auto"/>
          <w:kern w:val="2"/>
          <w:sz w:val="28"/>
          <w:szCs w:val="28"/>
          <w:highlight w:val="none"/>
          <w:u w:val="single"/>
          <w:lang w:val="en-US" w:eastAsia="zh-CN" w:bidi="ar"/>
        </w:rPr>
        <w:t>1</w:t>
      </w:r>
      <w:r>
        <w:rPr>
          <w:rFonts w:hint="eastAsia" w:ascii="仿宋_GB2312" w:hAnsi="宋体" w:eastAsia="仿宋_GB2312" w:cs="仿宋_GB2312"/>
          <w:color w:val="auto"/>
          <w:kern w:val="2"/>
          <w:sz w:val="28"/>
          <w:szCs w:val="28"/>
          <w:highlight w:val="none"/>
          <w:lang w:val="en-US" w:eastAsia="zh-CN" w:bidi="ar"/>
        </w:rPr>
        <w:t>年，自</w:t>
      </w:r>
      <w:r>
        <w:rPr>
          <w:rFonts w:hint="eastAsia" w:ascii="仿宋_GB2312" w:hAnsi="宋体" w:eastAsia="仿宋_GB2312" w:cs="Times New Roman"/>
          <w:color w:val="auto"/>
          <w:kern w:val="2"/>
          <w:sz w:val="28"/>
          <w:szCs w:val="28"/>
          <w:highlight w:val="none"/>
          <w:lang w:val="en-US" w:eastAsia="zh-CN" w:bidi="ar"/>
        </w:rPr>
        <w:t xml:space="preserve">   </w:t>
      </w:r>
      <w:r>
        <w:rPr>
          <w:rFonts w:hint="eastAsia" w:ascii="仿宋_GB2312" w:hAnsi="宋体" w:eastAsia="仿宋_GB2312" w:cs="仿宋_GB2312"/>
          <w:color w:val="auto"/>
          <w:kern w:val="2"/>
          <w:sz w:val="28"/>
          <w:szCs w:val="28"/>
          <w:highlight w:val="none"/>
          <w:lang w:val="en-US" w:eastAsia="zh-CN" w:bidi="ar"/>
        </w:rPr>
        <w:t>之日起算。</w:t>
      </w:r>
      <w:r>
        <w:rPr>
          <w:rFonts w:hint="eastAsia" w:ascii="仿宋_GB2312" w:hAnsi="宋体" w:eastAsia="仿宋_GB2312" w:cs="仿宋_GB2312"/>
          <w:color w:val="auto"/>
          <w:kern w:val="2"/>
          <w:sz w:val="28"/>
          <w:szCs w:val="28"/>
          <w:lang w:val="en-US" w:eastAsia="zh-CN" w:bidi="ar"/>
        </w:rPr>
        <w:t>合同到期前甲方根据乙方履约情况确定是否延续合同期限，累计服务期限最长不超过3年。</w:t>
      </w:r>
    </w:p>
    <w:p>
      <w:pPr>
        <w:keepNext w:val="0"/>
        <w:keepLines w:val="0"/>
        <w:widowControl w:val="0"/>
        <w:numPr>
          <w:ilvl w:val="0"/>
          <w:numId w:val="16"/>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服务地点：深圳市龙岗中心医院。</w:t>
      </w:r>
    </w:p>
    <w:p>
      <w:pPr>
        <w:pStyle w:val="18"/>
        <w:keepNext w:val="0"/>
        <w:keepLines w:val="0"/>
        <w:widowControl w:val="0"/>
        <w:numPr>
          <w:ilvl w:val="0"/>
          <w:numId w:val="15"/>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合同服务内容</w:t>
      </w:r>
    </w:p>
    <w:p>
      <w:pPr>
        <w:keepNext w:val="0"/>
        <w:keepLines w:val="0"/>
        <w:widowControl w:val="0"/>
        <w:numPr>
          <w:ilvl w:val="0"/>
          <w:numId w:val="17"/>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建立本项目专业化运维服务小组（含项目经理、技术人员、客服人员等若干人），提供详细实际维护人员名单及联系方式（详见附件</w:t>
      </w:r>
      <w:r>
        <w:rPr>
          <w:rFonts w:hint="eastAsia" w:ascii="仿宋_GB2312" w:hAnsi="宋体" w:eastAsia="仿宋_GB2312" w:cs="Times New Roman"/>
          <w:color w:val="auto"/>
          <w:kern w:val="2"/>
          <w:sz w:val="28"/>
          <w:szCs w:val="28"/>
          <w:lang w:val="en-US" w:eastAsia="zh-CN" w:bidi="ar"/>
        </w:rPr>
        <w:t>3：技术服务团队），</w:t>
      </w:r>
      <w:r>
        <w:rPr>
          <w:rFonts w:hint="eastAsia" w:ascii="仿宋_GB2312" w:hAnsi="宋体" w:eastAsia="仿宋_GB2312" w:cs="仿宋_GB2312"/>
          <w:color w:val="auto"/>
          <w:kern w:val="2"/>
          <w:sz w:val="28"/>
          <w:szCs w:val="28"/>
          <w:lang w:val="en-US" w:eastAsia="zh-CN" w:bidi="ar"/>
        </w:rPr>
        <w:t>如有人员变更，须及时报备甲方。</w:t>
      </w:r>
    </w:p>
    <w:p>
      <w:pPr>
        <w:keepNext w:val="0"/>
        <w:keepLines w:val="0"/>
        <w:widowControl w:val="0"/>
        <w:numPr>
          <w:ilvl w:val="0"/>
          <w:numId w:val="17"/>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系统监控及维护：对甲方信息化系统进行监测，检查系统运行状态，及时发现并解决问题，保障软件系统的稳定运行。根据系统运行情况，</w:t>
      </w:r>
      <w:r>
        <w:rPr>
          <w:rFonts w:hint="eastAsia" w:ascii="仿宋_GB2312" w:hAnsi="宋体" w:eastAsia="仿宋_GB2312" w:cs="Times New Roman"/>
          <w:color w:val="auto"/>
          <w:kern w:val="2"/>
          <w:sz w:val="28"/>
          <w:szCs w:val="28"/>
          <w:lang w:val="en-US" w:eastAsia="zh-CN" w:bidi="ar"/>
        </w:rPr>
        <w:t xml:space="preserve"> </w:t>
      </w:r>
      <w:r>
        <w:rPr>
          <w:rFonts w:hint="eastAsia" w:ascii="仿宋_GB2312" w:hAnsi="宋体" w:eastAsia="仿宋_GB2312" w:cs="仿宋_GB2312"/>
          <w:color w:val="auto"/>
          <w:kern w:val="2"/>
          <w:sz w:val="28"/>
          <w:szCs w:val="28"/>
          <w:lang w:val="en-US" w:eastAsia="zh-CN" w:bidi="ar"/>
        </w:rPr>
        <w:t>定期进行系统性能评估，提出优化建议并实施，提升系统运行效率。</w:t>
      </w:r>
    </w:p>
    <w:p>
      <w:pPr>
        <w:keepNext w:val="0"/>
        <w:keepLines w:val="0"/>
        <w:widowControl w:val="0"/>
        <w:numPr>
          <w:ilvl w:val="0"/>
          <w:numId w:val="17"/>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技术支持服务：提供7*24小时技术服务，在系统出现故障时及时响应。乙方承诺在法定节假日及非工作日期间，服务响应标准不得低于工作日要求。不得以任何理由拖延故障解决，因乙方懈怠导致系统故障超</w:t>
      </w:r>
      <w:r>
        <w:rPr>
          <w:rFonts w:hint="eastAsia" w:ascii="仿宋_GB2312" w:hAnsi="宋体" w:eastAsia="仿宋_GB2312" w:cs="Times New Roman"/>
          <w:color w:val="auto"/>
          <w:kern w:val="2"/>
          <w:sz w:val="28"/>
          <w:szCs w:val="28"/>
          <w:lang w:val="en-US" w:eastAsia="zh-CN" w:bidi="ar"/>
        </w:rPr>
        <w:t>2小时，甲方有权解除合同并要求乙方赔偿直接损失。</w:t>
      </w:r>
    </w:p>
    <w:p>
      <w:pPr>
        <w:keepNext w:val="0"/>
        <w:keepLines w:val="0"/>
        <w:widowControl w:val="0"/>
        <w:numPr>
          <w:ilvl w:val="0"/>
          <w:numId w:val="17"/>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软件版本升级与更新：根据甲方需求或系统厂商发布的版本程序升级，对甲方系统进行同步升级，加强软件版本配置管理。</w:t>
      </w:r>
    </w:p>
    <w:p>
      <w:pPr>
        <w:keepNext w:val="0"/>
        <w:keepLines w:val="0"/>
        <w:widowControl w:val="0"/>
        <w:numPr>
          <w:ilvl w:val="0"/>
          <w:numId w:val="17"/>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网络安全维护：按照《龙岗中心医院网络和信息安全协议》</w:t>
      </w:r>
      <w:r>
        <w:rPr>
          <w:rFonts w:hint="eastAsia" w:ascii="仿宋_GB2312" w:hAnsi="宋体" w:eastAsia="仿宋_GB2312" w:cs="Times New Roman"/>
          <w:color w:val="auto"/>
          <w:kern w:val="2"/>
          <w:sz w:val="28"/>
          <w:szCs w:val="28"/>
          <w:lang w:val="en-US" w:eastAsia="zh-CN" w:bidi="ar"/>
        </w:rPr>
        <w:t xml:space="preserve"> </w:t>
      </w:r>
      <w:r>
        <w:rPr>
          <w:rFonts w:hint="eastAsia" w:ascii="仿宋_GB2312" w:hAnsi="宋体" w:eastAsia="仿宋_GB2312" w:cs="仿宋_GB2312"/>
          <w:color w:val="auto"/>
          <w:kern w:val="2"/>
          <w:sz w:val="28"/>
          <w:szCs w:val="28"/>
          <w:lang w:val="en-US" w:eastAsia="zh-CN" w:bidi="ar"/>
        </w:rPr>
        <w:t>进行安全检测和修复。</w:t>
      </w:r>
    </w:p>
    <w:p>
      <w:pPr>
        <w:keepNext w:val="0"/>
        <w:keepLines w:val="0"/>
        <w:widowControl w:val="0"/>
        <w:numPr>
          <w:ilvl w:val="0"/>
          <w:numId w:val="17"/>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用户培训与支持：解答用户关于操作系统和数据库的疑难问题，版本升级后提供新版操作手册，帮助用户掌握新功能及优化使用体验。</w:t>
      </w:r>
    </w:p>
    <w:p>
      <w:pPr>
        <w:keepNext w:val="0"/>
        <w:keepLines w:val="0"/>
        <w:widowControl w:val="0"/>
        <w:numPr>
          <w:ilvl w:val="0"/>
          <w:numId w:val="17"/>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提供服务器巡检服务记录（频率：</w:t>
      </w:r>
      <w:r>
        <w:rPr>
          <w:rFonts w:hint="eastAsia" w:ascii="仿宋_GB2312" w:hAnsi="Wingdings" w:eastAsia="仿宋_GB2312" w:cs="仿宋_GB2312"/>
          <w:color w:val="auto"/>
          <w:kern w:val="2"/>
          <w:sz w:val="28"/>
          <w:szCs w:val="28"/>
          <w:lang w:val="en-US" w:eastAsia="zh-CN" w:bidi="ar"/>
        </w:rPr>
        <w:t>¨</w:t>
      </w:r>
      <w:r>
        <w:rPr>
          <w:rFonts w:hint="eastAsia" w:ascii="仿宋_GB2312" w:hAnsi="宋体" w:eastAsia="仿宋_GB2312" w:cs="仿宋_GB2312"/>
          <w:color w:val="auto"/>
          <w:kern w:val="2"/>
          <w:sz w:val="28"/>
          <w:szCs w:val="28"/>
          <w:lang w:val="en-US" w:eastAsia="zh-CN" w:bidi="ar"/>
        </w:rPr>
        <w:t>每季度</w:t>
      </w:r>
      <w:r>
        <w:rPr>
          <w:rFonts w:hint="eastAsia" w:ascii="仿宋_GB2312" w:hAnsi="Wingdings" w:eastAsia="仿宋_GB2312" w:cs="仿宋_GB2312"/>
          <w:color w:val="auto"/>
          <w:kern w:val="2"/>
          <w:sz w:val="28"/>
          <w:szCs w:val="28"/>
          <w:lang w:val="en-US" w:eastAsia="zh-CN" w:bidi="ar"/>
        </w:rPr>
        <w:t>¨</w:t>
      </w:r>
      <w:r>
        <w:rPr>
          <w:rFonts w:hint="eastAsia" w:ascii="仿宋_GB2312" w:hAnsi="宋体" w:eastAsia="仿宋_GB2312" w:cs="仿宋_GB2312"/>
          <w:color w:val="auto"/>
          <w:kern w:val="2"/>
          <w:sz w:val="28"/>
          <w:szCs w:val="28"/>
          <w:lang w:val="en-US" w:eastAsia="zh-CN" w:bidi="ar"/>
        </w:rPr>
        <w:t>每月），对现有服务器运行状态进行评估，以保障后台服务器支撑体系的安全运行。针对服务器中产生的问题日志，提供远程查看与技术支持，并提供相关项目管理文档。</w:t>
      </w:r>
    </w:p>
    <w:p>
      <w:pPr>
        <w:keepNext w:val="0"/>
        <w:keepLines w:val="0"/>
        <w:widowControl w:val="0"/>
        <w:numPr>
          <w:ilvl w:val="0"/>
          <w:numId w:val="17"/>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在维保服务期内，乙方应配合甲方完成因政策、管理及业务流程变化所引发的接口变更或优化。</w:t>
      </w:r>
    </w:p>
    <w:p>
      <w:pPr>
        <w:pStyle w:val="18"/>
        <w:keepNext w:val="0"/>
        <w:keepLines w:val="0"/>
        <w:widowControl w:val="0"/>
        <w:numPr>
          <w:ilvl w:val="0"/>
          <w:numId w:val="15"/>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双方权利义务</w:t>
      </w:r>
    </w:p>
    <w:p>
      <w:pPr>
        <w:keepNext w:val="0"/>
        <w:keepLines w:val="0"/>
        <w:widowControl w:val="0"/>
        <w:numPr>
          <w:ilvl w:val="0"/>
          <w:numId w:val="18"/>
        </w:numPr>
        <w:suppressLineNumbers w:val="0"/>
        <w:spacing w:before="0" w:beforeAutospacing="0" w:after="0" w:afterAutospacing="0" w:line="360" w:lineRule="auto"/>
        <w:ind w:left="510" w:right="0" w:hanging="510"/>
        <w:jc w:val="both"/>
        <w:rPr>
          <w:rFonts w:hint="eastAsia" w:ascii="仿宋_GB2312" w:hAnsi="宋体" w:eastAsia="仿宋_GB2312" w:cs="Times New Roman"/>
          <w:b/>
          <w:bCs/>
          <w:color w:val="auto"/>
          <w:kern w:val="2"/>
          <w:sz w:val="28"/>
          <w:szCs w:val="28"/>
        </w:rPr>
      </w:pPr>
      <w:r>
        <w:rPr>
          <w:rFonts w:hint="eastAsia" w:ascii="仿宋_GB2312" w:hAnsi="宋体" w:eastAsia="仿宋_GB2312" w:cs="仿宋_GB2312"/>
          <w:b/>
          <w:bCs/>
          <w:color w:val="auto"/>
          <w:kern w:val="2"/>
          <w:sz w:val="28"/>
          <w:szCs w:val="28"/>
          <w:lang w:val="en-US" w:eastAsia="zh-CN" w:bidi="ar"/>
        </w:rPr>
        <w:t>甲方的权利和义务</w:t>
      </w:r>
    </w:p>
    <w:p>
      <w:pPr>
        <w:keepNext w:val="0"/>
        <w:keepLines w:val="0"/>
        <w:widowControl w:val="0"/>
        <w:numPr>
          <w:ilvl w:val="0"/>
          <w:numId w:val="19"/>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甲方负责配合乙方完成医院各部门协调等院内协调工作。</w:t>
      </w: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numPr>
          <w:ilvl w:val="0"/>
          <w:numId w:val="19"/>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组织相关工作人员参加乙方的维护业务知识培训。</w:t>
      </w: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numPr>
          <w:ilvl w:val="0"/>
          <w:numId w:val="19"/>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甲方有权对乙方的工作进行监督和检查、有权对乙方提出合理范围的修改意见和建议。</w:t>
      </w:r>
    </w:p>
    <w:p>
      <w:pPr>
        <w:keepNext w:val="0"/>
        <w:keepLines w:val="0"/>
        <w:widowControl w:val="0"/>
        <w:numPr>
          <w:ilvl w:val="0"/>
          <w:numId w:val="18"/>
        </w:numPr>
        <w:suppressLineNumbers w:val="0"/>
        <w:spacing w:before="0" w:beforeAutospacing="0" w:after="0" w:afterAutospacing="0" w:line="360" w:lineRule="auto"/>
        <w:ind w:left="510" w:right="0" w:hanging="510"/>
        <w:jc w:val="both"/>
        <w:rPr>
          <w:rFonts w:hint="eastAsia" w:ascii="仿宋_GB2312" w:hAnsi="宋体" w:eastAsia="仿宋_GB2312" w:cs="Times New Roman"/>
          <w:b/>
          <w:bCs/>
          <w:color w:val="auto"/>
          <w:kern w:val="2"/>
          <w:sz w:val="28"/>
          <w:szCs w:val="28"/>
        </w:rPr>
      </w:pPr>
      <w:r>
        <w:rPr>
          <w:rFonts w:hint="eastAsia" w:ascii="仿宋_GB2312" w:hAnsi="宋体" w:eastAsia="仿宋_GB2312" w:cs="仿宋_GB2312"/>
          <w:b/>
          <w:bCs/>
          <w:color w:val="auto"/>
          <w:kern w:val="2"/>
          <w:sz w:val="28"/>
          <w:szCs w:val="28"/>
          <w:lang w:val="en-US" w:eastAsia="zh-CN" w:bidi="ar"/>
        </w:rPr>
        <w:t>乙方的权利和义务</w:t>
      </w:r>
    </w:p>
    <w:p>
      <w:pPr>
        <w:keepNext w:val="0"/>
        <w:keepLines w:val="0"/>
        <w:widowControl w:val="0"/>
        <w:numPr>
          <w:ilvl w:val="1"/>
          <w:numId w:val="18"/>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要求甲方为本合同标的维护服务项目工作的开展提供必要的资料和便利。</w:t>
      </w: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numPr>
          <w:ilvl w:val="1"/>
          <w:numId w:val="18"/>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要求甲方按本合同约定及时支付合同款项。</w:t>
      </w: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numPr>
          <w:ilvl w:val="1"/>
          <w:numId w:val="18"/>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在合同期内，如乙方存在重大债务案件或申请破产等可能导致合同不能继续履行的情况时，甲方可暂缓支付相关费用。</w:t>
      </w:r>
    </w:p>
    <w:p>
      <w:pPr>
        <w:keepNext w:val="0"/>
        <w:keepLines w:val="0"/>
        <w:widowControl w:val="0"/>
        <w:numPr>
          <w:ilvl w:val="1"/>
          <w:numId w:val="18"/>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未经甲方书面同意，乙方不得将本合同项下的服务内容转包、变相转包或者分包。</w:t>
      </w:r>
    </w:p>
    <w:p>
      <w:pPr>
        <w:keepNext w:val="0"/>
        <w:keepLines w:val="0"/>
        <w:widowControl w:val="0"/>
        <w:numPr>
          <w:ilvl w:val="1"/>
          <w:numId w:val="18"/>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乙方在甲方院内提供服务的，应保证其工作人员严格遵守甲方各项管理规定，服务过程中如造成甲方场所及设施损坏、工作人员人身伤害或第三方人身伤害、财产损失，乙方应承担全部赔偿责任。</w:t>
      </w:r>
    </w:p>
    <w:p>
      <w:pPr>
        <w:pStyle w:val="18"/>
        <w:keepNext w:val="0"/>
        <w:keepLines w:val="0"/>
        <w:widowControl w:val="0"/>
        <w:numPr>
          <w:ilvl w:val="0"/>
          <w:numId w:val="15"/>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软件产权及相关责任</w:t>
      </w:r>
    </w:p>
    <w:p>
      <w:pPr>
        <w:keepNext w:val="0"/>
        <w:keepLines w:val="0"/>
        <w:widowControl w:val="0"/>
        <w:numPr>
          <w:ilvl w:val="1"/>
          <w:numId w:val="20"/>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乙方保证其提供的服务及成果不侵犯任何第三方的知识产权，包括但不限于侵犯其专利权、商标权、著作权、工业设计权等知识产权和侵犯其所有权、抵押权等物权及其他权利而引发的纠纷。若因此引发争议，乙方应承担全部法律责任及赔偿甲方因此产生的损失（含诉讼费、律师费等）。</w:t>
      </w:r>
    </w:p>
    <w:p>
      <w:pPr>
        <w:keepNext w:val="0"/>
        <w:keepLines w:val="0"/>
        <w:widowControl w:val="0"/>
        <w:numPr>
          <w:ilvl w:val="1"/>
          <w:numId w:val="20"/>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项目软件在实施过程中形成的文档资料、数据资料和统计分析资料等资料所有权属于甲方，乙方不得对上述资料进行复制、修改、发行、出售、翻译或交付任何第三方进行任何目的的使用，经甲方书面同意的除外。</w:t>
      </w:r>
    </w:p>
    <w:p>
      <w:pPr>
        <w:pStyle w:val="18"/>
        <w:keepNext w:val="0"/>
        <w:keepLines w:val="0"/>
        <w:widowControl w:val="0"/>
        <w:numPr>
          <w:ilvl w:val="0"/>
          <w:numId w:val="15"/>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违约责任</w:t>
      </w:r>
    </w:p>
    <w:p>
      <w:pPr>
        <w:keepNext w:val="0"/>
        <w:keepLines w:val="0"/>
        <w:widowControl w:val="0"/>
        <w:numPr>
          <w:ilvl w:val="1"/>
          <w:numId w:val="21"/>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甲方应依合同规定时间内，向乙方支付合同款项，每拖延一天乙方可向甲方加收当次支付金额0.</w:t>
      </w:r>
      <w:r>
        <w:rPr>
          <w:rFonts w:hint="eastAsia" w:ascii="仿宋_GB2312" w:hAnsi="宋体" w:eastAsia="仿宋_GB2312" w:cs="仿宋_GB2312"/>
          <w:color w:val="auto"/>
          <w:kern w:val="2"/>
          <w:sz w:val="28"/>
          <w:szCs w:val="28"/>
          <w:highlight w:val="none"/>
          <w:lang w:val="en-US" w:eastAsia="zh-CN" w:bidi="ar"/>
        </w:rPr>
        <w:t>5‰</w:t>
      </w:r>
      <w:r>
        <w:rPr>
          <w:rFonts w:hint="eastAsia" w:ascii="仿宋_GB2312" w:hAnsi="宋体" w:eastAsia="仿宋_GB2312" w:cs="仿宋_GB2312"/>
          <w:color w:val="auto"/>
          <w:kern w:val="2"/>
          <w:sz w:val="28"/>
          <w:szCs w:val="28"/>
          <w:lang w:val="en-US" w:eastAsia="zh-CN" w:bidi="ar"/>
        </w:rPr>
        <w:t>的违约金，违约金总额以合同金额的5%为限。</w:t>
      </w:r>
    </w:p>
    <w:p>
      <w:pPr>
        <w:keepNext w:val="0"/>
        <w:keepLines w:val="0"/>
        <w:widowControl w:val="0"/>
        <w:numPr>
          <w:ilvl w:val="1"/>
          <w:numId w:val="21"/>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乙方未能按时交付使用或者未按照本合同约定完成相关工作，如非甲方原因造成，每拖延一天，须向甲方支付合同金额的0.</w:t>
      </w:r>
      <w:r>
        <w:rPr>
          <w:rFonts w:hint="eastAsia" w:ascii="仿宋_GB2312" w:hAnsi="宋体" w:eastAsia="仿宋_GB2312" w:cs="仿宋_GB2312"/>
          <w:color w:val="auto"/>
          <w:kern w:val="2"/>
          <w:sz w:val="28"/>
          <w:szCs w:val="28"/>
          <w:highlight w:val="none"/>
          <w:lang w:val="en-US" w:eastAsia="zh-CN" w:bidi="ar"/>
        </w:rPr>
        <w:t>5‰</w:t>
      </w:r>
      <w:r>
        <w:rPr>
          <w:rFonts w:hint="eastAsia" w:ascii="仿宋_GB2312" w:hAnsi="宋体" w:eastAsia="仿宋_GB2312" w:cs="仿宋_GB2312"/>
          <w:color w:val="auto"/>
          <w:kern w:val="2"/>
          <w:sz w:val="28"/>
          <w:szCs w:val="28"/>
          <w:lang w:val="en-US" w:eastAsia="zh-CN" w:bidi="ar"/>
        </w:rPr>
        <w:t>的违约金，违约金总额以合同金额的5%为限。</w:t>
      </w:r>
    </w:p>
    <w:p>
      <w:pPr>
        <w:keepNext w:val="0"/>
        <w:keepLines w:val="0"/>
        <w:widowControl w:val="0"/>
        <w:numPr>
          <w:ilvl w:val="1"/>
          <w:numId w:val="21"/>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甲方无正当理由拒绝继续执行本合同的，乙方不退回甲方的已付款，同时甲方须向乙方支付甲方未付合同金额的</w:t>
      </w:r>
      <w:r>
        <w:rPr>
          <w:rFonts w:hint="eastAsia" w:ascii="仿宋_GB2312" w:hAnsi="宋体" w:eastAsia="仿宋_GB2312" w:cs="Times New Roman"/>
          <w:color w:val="auto"/>
          <w:kern w:val="2"/>
          <w:sz w:val="28"/>
          <w:szCs w:val="28"/>
          <w:lang w:val="en-US" w:eastAsia="zh-CN" w:bidi="ar"/>
        </w:rPr>
        <w:t>2</w:t>
      </w:r>
      <w:r>
        <w:rPr>
          <w:rFonts w:hint="eastAsia" w:ascii="仿宋_GB2312" w:hAnsi="宋体" w:eastAsia="仿宋_GB2312" w:cs="仿宋_GB2312"/>
          <w:color w:val="auto"/>
          <w:kern w:val="2"/>
          <w:sz w:val="28"/>
          <w:szCs w:val="28"/>
          <w:lang w:val="en-US" w:eastAsia="zh-CN" w:bidi="ar"/>
        </w:rPr>
        <w:t>0%作为违约金。</w:t>
      </w:r>
    </w:p>
    <w:p>
      <w:pPr>
        <w:keepNext w:val="0"/>
        <w:keepLines w:val="0"/>
        <w:widowControl w:val="0"/>
        <w:numPr>
          <w:ilvl w:val="1"/>
          <w:numId w:val="21"/>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乙方无正当理由拒绝继续执行本合同的，乙方须退还甲方已支付但尚未履行服务对应的合同款项，同时乙方须向甲方支付甲方未付合同金额的20%作为违约金。</w:t>
      </w:r>
    </w:p>
    <w:p>
      <w:pPr>
        <w:keepNext w:val="0"/>
        <w:keepLines w:val="0"/>
        <w:widowControl w:val="0"/>
        <w:numPr>
          <w:ilvl w:val="1"/>
          <w:numId w:val="21"/>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若非乙方原因导致合同解除的，乙方有权就已完成的履约部分收取相应合同款项。</w:t>
      </w:r>
    </w:p>
    <w:p>
      <w:pPr>
        <w:keepNext w:val="0"/>
        <w:keepLines w:val="0"/>
        <w:widowControl w:val="0"/>
        <w:numPr>
          <w:ilvl w:val="1"/>
          <w:numId w:val="21"/>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因一方违约导致合同未能履行也未按约定支付相关赔偿的，另一方因主张权利产生的损失（包括但不限于律师费、诉讼费、财产保全费等）由违约方承担。</w:t>
      </w:r>
    </w:p>
    <w:p>
      <w:pPr>
        <w:keepNext w:val="0"/>
        <w:keepLines w:val="0"/>
        <w:widowControl w:val="0"/>
        <w:numPr>
          <w:ilvl w:val="1"/>
          <w:numId w:val="21"/>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乙方违反本项目招标文件服务要求，未取得法律、行政法规规定的有效证明文件便与甲方签订本合同的，或甲方发现乙方提供虚假材料谋取中标的，甲方发现后有权解除本合同，并追究乙方的违约责任，合同还未履行的，乙方需按合同总额的</w:t>
      </w:r>
      <w:r>
        <w:rPr>
          <w:rFonts w:hint="eastAsia" w:ascii="仿宋_GB2312" w:hAnsi="宋体" w:eastAsia="仿宋_GB2312" w:cs="仿宋_GB2312"/>
          <w:color w:val="auto"/>
          <w:kern w:val="2"/>
          <w:sz w:val="28"/>
          <w:szCs w:val="28"/>
          <w:u w:val="single"/>
          <w:lang w:val="en-US" w:eastAsia="zh-CN" w:bidi="ar"/>
        </w:rPr>
        <w:t>30%</w:t>
      </w:r>
      <w:r>
        <w:rPr>
          <w:rFonts w:hint="eastAsia" w:ascii="仿宋_GB2312" w:hAnsi="宋体" w:eastAsia="仿宋_GB2312" w:cs="仿宋_GB2312"/>
          <w:color w:val="auto"/>
          <w:kern w:val="2"/>
          <w:sz w:val="28"/>
          <w:szCs w:val="28"/>
          <w:lang w:val="en-US" w:eastAsia="zh-CN" w:bidi="ar"/>
        </w:rPr>
        <w:t>支付违约金；合同已经履行的，甲方有权要求乙方退还已支付款项且不予支付合同项下的其他相关款项，同时乙方需按合同总额的30%支付违约金，双方出现的相关损失均由乙方负责。乙方出现上述情形的，甲方还需上报政府采购监管部门。</w:t>
      </w:r>
    </w:p>
    <w:p>
      <w:pPr>
        <w:pStyle w:val="18"/>
        <w:keepNext w:val="0"/>
        <w:keepLines w:val="0"/>
        <w:widowControl w:val="0"/>
        <w:numPr>
          <w:ilvl w:val="0"/>
          <w:numId w:val="15"/>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付款方式</w:t>
      </w:r>
    </w:p>
    <w:p>
      <w:pPr>
        <w:keepNext w:val="0"/>
        <w:keepLines w:val="0"/>
        <w:widowControl w:val="0"/>
        <w:numPr>
          <w:ilvl w:val="1"/>
          <w:numId w:val="22"/>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甲方按照合同金额分</w:t>
      </w:r>
      <w:r>
        <w:rPr>
          <w:rFonts w:hint="eastAsia" w:ascii="仿宋_GB2312" w:hAnsi="宋体" w:eastAsia="仿宋_GB2312" w:cs="Times New Roman"/>
          <w:color w:val="auto"/>
          <w:kern w:val="2"/>
          <w:sz w:val="28"/>
          <w:szCs w:val="28"/>
          <w:lang w:val="en-US" w:eastAsia="zh-CN" w:bidi="ar"/>
        </w:rPr>
        <w:t xml:space="preserve"> </w:t>
      </w:r>
      <w:r>
        <w:rPr>
          <w:rFonts w:hint="eastAsia" w:ascii="仿宋_GB2312" w:hAnsi="宋体" w:eastAsia="仿宋_GB2312" w:cs="仿宋_GB2312"/>
          <w:color w:val="auto"/>
          <w:kern w:val="2"/>
          <w:sz w:val="28"/>
          <w:szCs w:val="28"/>
          <w:lang w:val="en-US" w:eastAsia="zh-CN" w:bidi="ar"/>
        </w:rPr>
        <w:t xml:space="preserve">3 </w:t>
      </w:r>
      <w:r>
        <w:rPr>
          <w:rFonts w:hint="eastAsia" w:ascii="仿宋_GB2312" w:hAnsi="宋体" w:eastAsia="仿宋_GB2312" w:cs="Times New Roman"/>
          <w:color w:val="auto"/>
          <w:kern w:val="2"/>
          <w:sz w:val="28"/>
          <w:szCs w:val="28"/>
          <w:lang w:val="en-US" w:eastAsia="zh-CN" w:bidi="ar"/>
        </w:rPr>
        <w:t xml:space="preserve"> </w:t>
      </w:r>
      <w:r>
        <w:rPr>
          <w:rFonts w:hint="eastAsia" w:ascii="仿宋_GB2312" w:hAnsi="宋体" w:eastAsia="仿宋_GB2312" w:cs="仿宋_GB2312"/>
          <w:color w:val="auto"/>
          <w:kern w:val="2"/>
          <w:sz w:val="28"/>
          <w:szCs w:val="28"/>
          <w:lang w:val="en-US" w:eastAsia="zh-CN" w:bidi="ar"/>
        </w:rPr>
        <w:t>期支付，乙方需提前开具正式发票并送到甲方。因付款审批程序或政策变动等原因而导致价款不能及时到账的，甲方不承担违约责任，乙方不得以此拒绝或怠于履行合同义务。</w:t>
      </w:r>
    </w:p>
    <w:p>
      <w:pPr>
        <w:keepNext w:val="0"/>
        <w:keepLines w:val="0"/>
        <w:widowControl w:val="0"/>
        <w:numPr>
          <w:ilvl w:val="1"/>
          <w:numId w:val="22"/>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第一次付款，合同签订后，在甲方收到乙方发票60日内，甲方向乙方支付合同总额的 30  %，即人民币</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color w:val="auto"/>
          <w:kern w:val="2"/>
          <w:sz w:val="28"/>
          <w:szCs w:val="28"/>
          <w:lang w:val="en-US" w:eastAsia="zh-CN" w:bidi="ar"/>
        </w:rPr>
        <w:t>元整（小写</w:t>
      </w:r>
      <w:r>
        <w:rPr>
          <w:rFonts w:hint="default" w:ascii="Arial" w:hAnsi="Arial" w:eastAsia="仿宋_GB2312" w:cs="Arial"/>
          <w:color w:val="auto"/>
          <w:kern w:val="2"/>
          <w:sz w:val="28"/>
          <w:szCs w:val="28"/>
          <w:lang w:val="en-US" w:eastAsia="zh-CN" w:bidi="ar"/>
        </w:rPr>
        <w:t>¥</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color w:val="auto"/>
          <w:kern w:val="2"/>
          <w:sz w:val="28"/>
          <w:szCs w:val="28"/>
          <w:lang w:val="en-US" w:eastAsia="zh-CN" w:bidi="ar"/>
        </w:rPr>
        <w:t>元）；</w:t>
      </w:r>
    </w:p>
    <w:p>
      <w:pPr>
        <w:keepNext w:val="0"/>
        <w:keepLines w:val="0"/>
        <w:widowControl w:val="0"/>
        <w:numPr>
          <w:ilvl w:val="1"/>
          <w:numId w:val="22"/>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第二次付款，运维服务期</w:t>
      </w:r>
      <w:r>
        <w:rPr>
          <w:rFonts w:hint="eastAsia" w:ascii="仿宋_GB2312" w:hAnsi="宋体" w:eastAsia="仿宋_GB2312" w:cs="仿宋_GB2312"/>
          <w:color w:val="auto"/>
          <w:kern w:val="2"/>
          <w:sz w:val="28"/>
          <w:szCs w:val="28"/>
          <w:highlight w:val="none"/>
          <w:lang w:val="en-US" w:eastAsia="zh-CN" w:bidi="ar"/>
        </w:rPr>
        <w:t>达到</w:t>
      </w:r>
      <w:r>
        <w:rPr>
          <w:rFonts w:hint="eastAsia" w:ascii="仿宋_GB2312" w:hAnsi="宋体" w:eastAsia="仿宋_GB2312" w:cs="仿宋_GB2312"/>
          <w:color w:val="auto"/>
          <w:kern w:val="2"/>
          <w:sz w:val="28"/>
          <w:szCs w:val="28"/>
          <w:lang w:val="en-US" w:eastAsia="zh-CN" w:bidi="ar"/>
        </w:rPr>
        <w:t>6个月后，在甲方收到乙方发票60日内，甲方向乙方支付合同总额的 60  %，即人民币</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color w:val="auto"/>
          <w:kern w:val="2"/>
          <w:sz w:val="28"/>
          <w:szCs w:val="28"/>
          <w:lang w:val="en-US" w:eastAsia="zh-CN" w:bidi="ar"/>
        </w:rPr>
        <w:t>元整（小写</w:t>
      </w:r>
      <w:r>
        <w:rPr>
          <w:rFonts w:hint="default" w:ascii="Arial" w:hAnsi="Arial" w:eastAsia="仿宋_GB2312" w:cs="Arial"/>
          <w:color w:val="auto"/>
          <w:kern w:val="2"/>
          <w:sz w:val="28"/>
          <w:szCs w:val="28"/>
          <w:lang w:val="en-US" w:eastAsia="zh-CN" w:bidi="ar"/>
        </w:rPr>
        <w:t>¥</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color w:val="auto"/>
          <w:kern w:val="2"/>
          <w:sz w:val="28"/>
          <w:szCs w:val="28"/>
          <w:lang w:val="en-US" w:eastAsia="zh-CN" w:bidi="ar"/>
        </w:rPr>
        <w:t>元）；</w:t>
      </w:r>
    </w:p>
    <w:p>
      <w:pPr>
        <w:keepNext w:val="0"/>
        <w:keepLines w:val="0"/>
        <w:widowControl w:val="0"/>
        <w:numPr>
          <w:ilvl w:val="1"/>
          <w:numId w:val="22"/>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第三次付款，服务期结束后，在甲方收到乙方发票60日内，甲方向乙方支付合同总额 10  %，即人民币</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color w:val="auto"/>
          <w:kern w:val="2"/>
          <w:sz w:val="28"/>
          <w:szCs w:val="28"/>
          <w:lang w:val="en-US" w:eastAsia="zh-CN" w:bidi="ar"/>
        </w:rPr>
        <w:t>元整（小写</w:t>
      </w:r>
      <w:r>
        <w:rPr>
          <w:rFonts w:hint="default" w:ascii="Arial" w:hAnsi="Arial" w:eastAsia="仿宋_GB2312" w:cs="Arial"/>
          <w:color w:val="auto"/>
          <w:kern w:val="2"/>
          <w:sz w:val="28"/>
          <w:szCs w:val="28"/>
          <w:lang w:val="en-US" w:eastAsia="zh-CN" w:bidi="ar"/>
        </w:rPr>
        <w:t>¥</w:t>
      </w:r>
      <w:r>
        <w:rPr>
          <w:rFonts w:hint="eastAsia" w:ascii="仿宋_GB2312" w:hAnsi="宋体" w:eastAsia="仿宋_GB2312" w:cs="Times New Roman"/>
          <w:color w:val="auto"/>
          <w:kern w:val="2"/>
          <w:sz w:val="28"/>
          <w:szCs w:val="28"/>
          <w:u w:val="single"/>
          <w:lang w:val="en-US" w:eastAsia="zh-CN" w:bidi="ar"/>
        </w:rPr>
        <w:t xml:space="preserve">       </w:t>
      </w:r>
      <w:r>
        <w:rPr>
          <w:rFonts w:hint="eastAsia" w:ascii="仿宋_GB2312" w:hAnsi="宋体" w:eastAsia="仿宋_GB2312" w:cs="仿宋_GB2312"/>
          <w:color w:val="auto"/>
          <w:kern w:val="2"/>
          <w:sz w:val="28"/>
          <w:szCs w:val="28"/>
          <w:lang w:val="en-US" w:eastAsia="zh-CN" w:bidi="ar"/>
        </w:rPr>
        <w:t>元）；</w:t>
      </w:r>
    </w:p>
    <w:p>
      <w:pPr>
        <w:pStyle w:val="18"/>
        <w:keepNext w:val="0"/>
        <w:keepLines w:val="0"/>
        <w:widowControl w:val="0"/>
        <w:numPr>
          <w:ilvl w:val="0"/>
          <w:numId w:val="15"/>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争议的解决</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因履行本合同引起的或与本合同有关的争议，甲、乙双方应首先通过友好协商解决；如果协商不能解决争议的，任何一方可以向深圳市龙岗区人民法院提起诉讼。</w:t>
      </w:r>
    </w:p>
    <w:p>
      <w:pPr>
        <w:pStyle w:val="18"/>
        <w:keepNext w:val="0"/>
        <w:keepLines w:val="0"/>
        <w:widowControl w:val="0"/>
        <w:numPr>
          <w:ilvl w:val="0"/>
          <w:numId w:val="15"/>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不可抗力</w:t>
      </w:r>
      <w:r>
        <w:rPr>
          <w:rFonts w:hint="eastAsia" w:ascii="仿宋_GB2312" w:hAnsi="宋体" w:eastAsia="仿宋_GB2312" w:cs="Times New Roman"/>
          <w:b/>
          <w:bCs w:val="0"/>
          <w:color w:val="auto"/>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Times New Roman"/>
          <w:bCs/>
          <w:color w:val="auto"/>
          <w:kern w:val="2"/>
          <w:sz w:val="28"/>
          <w:szCs w:val="28"/>
        </w:rPr>
      </w:pPr>
      <w:r>
        <w:rPr>
          <w:rFonts w:hint="eastAsia" w:ascii="仿宋_GB2312" w:hAnsi="宋体" w:eastAsia="仿宋_GB2312" w:cs="仿宋_GB2312"/>
          <w:bCs/>
          <w:color w:val="auto"/>
          <w:kern w:val="2"/>
          <w:sz w:val="28"/>
          <w:szCs w:val="28"/>
          <w:lang w:val="en-US" w:eastAsia="zh-CN" w:bidi="ar"/>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pPr>
        <w:pStyle w:val="18"/>
        <w:keepNext w:val="0"/>
        <w:keepLines w:val="0"/>
        <w:widowControl w:val="0"/>
        <w:numPr>
          <w:ilvl w:val="0"/>
          <w:numId w:val="15"/>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保密义务</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乙方需与甲方签订《龙岗中心医院网络和信息安全协议》，其工作人员对涉及甲方的数据及其他资料负有保密义务。未经甲方许可，不得复印、复制或从事其他可能损害甲方利益的活动。如因乙方过失，造成甲方的数据及其它资料涉密，甲方保留追究乙方法律责任的权利。</w:t>
      </w:r>
    </w:p>
    <w:p>
      <w:pPr>
        <w:pStyle w:val="18"/>
        <w:keepNext w:val="0"/>
        <w:keepLines w:val="0"/>
        <w:widowControl w:val="0"/>
        <w:numPr>
          <w:ilvl w:val="0"/>
          <w:numId w:val="15"/>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合同生效及其他</w:t>
      </w:r>
    </w:p>
    <w:p>
      <w:pPr>
        <w:keepNext w:val="0"/>
        <w:keepLines w:val="0"/>
        <w:widowControl w:val="0"/>
        <w:numPr>
          <w:ilvl w:val="1"/>
          <w:numId w:val="23"/>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本合同书一式肆份，甲方执叁份，乙方执壹份，自甲乙双方</w:t>
      </w:r>
      <w:r>
        <w:rPr>
          <w:rFonts w:hint="eastAsia" w:ascii="仿宋_GB2312" w:hAnsi="宋体" w:eastAsia="仿宋_GB2312" w:cs="仿宋_GB2312"/>
          <w:color w:val="auto"/>
          <w:kern w:val="2"/>
          <w:sz w:val="28"/>
          <w:szCs w:val="28"/>
          <w:highlight w:val="none"/>
          <w:lang w:val="en-US" w:eastAsia="zh-CN" w:bidi="ar"/>
        </w:rPr>
        <w:t>法定代表人</w:t>
      </w:r>
      <w:r>
        <w:rPr>
          <w:rFonts w:hint="eastAsia" w:ascii="仿宋_GB2312" w:hAnsi="宋体" w:eastAsia="仿宋_GB2312" w:cs="仿宋_GB2312"/>
          <w:color w:val="auto"/>
          <w:kern w:val="2"/>
          <w:sz w:val="28"/>
          <w:szCs w:val="28"/>
          <w:lang w:val="en-US" w:eastAsia="zh-CN" w:bidi="ar"/>
        </w:rPr>
        <w:t>或其授权代表签字盖章后生效。</w:t>
      </w:r>
    </w:p>
    <w:p>
      <w:pPr>
        <w:keepNext w:val="0"/>
        <w:keepLines w:val="0"/>
        <w:widowControl w:val="0"/>
        <w:numPr>
          <w:ilvl w:val="1"/>
          <w:numId w:val="23"/>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项目的招标文件、答疑及补充通知、乙方的投标文件均为本合同的组成部分。</w:t>
      </w:r>
    </w:p>
    <w:p>
      <w:pPr>
        <w:keepNext w:val="0"/>
        <w:keepLines w:val="0"/>
        <w:widowControl w:val="0"/>
        <w:numPr>
          <w:ilvl w:val="1"/>
          <w:numId w:val="23"/>
        </w:numPr>
        <w:suppressLineNumbers w:val="0"/>
        <w:spacing w:before="0" w:beforeAutospacing="0" w:after="0" w:afterAutospacing="0" w:line="360" w:lineRule="auto"/>
        <w:ind w:left="510" w:right="0" w:hanging="51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本合同未尽事宜，双方可另行补充。</w:t>
      </w:r>
    </w:p>
    <w:p>
      <w:pPr>
        <w:pStyle w:val="18"/>
        <w:keepNext w:val="0"/>
        <w:keepLines w:val="0"/>
        <w:widowControl w:val="0"/>
        <w:numPr>
          <w:ilvl w:val="0"/>
          <w:numId w:val="15"/>
        </w:numPr>
        <w:suppressLineNumbers w:val="0"/>
        <w:adjustRightInd w:val="0"/>
        <w:spacing w:before="156" w:beforeLines="50" w:beforeAutospacing="0" w:after="156" w:afterLines="50" w:afterAutospacing="0" w:line="360" w:lineRule="auto"/>
        <w:ind w:left="57" w:right="0" w:hanging="57" w:firstLineChars="0"/>
        <w:jc w:val="both"/>
        <w:outlineLvl w:val="0"/>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本合同附件</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以下附件作为本合同的补充内容，具有同等法律效力。</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附件1：龙岗中心医院网络和信息安全协议；</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附件</w:t>
      </w:r>
      <w:r>
        <w:rPr>
          <w:rFonts w:hint="eastAsia" w:ascii="仿宋_GB2312" w:hAnsi="宋体" w:eastAsia="仿宋_GB2312" w:cs="Times New Roman"/>
          <w:color w:val="auto"/>
          <w:kern w:val="2"/>
          <w:sz w:val="28"/>
          <w:szCs w:val="28"/>
          <w:lang w:val="en-US" w:eastAsia="zh-CN" w:bidi="ar"/>
        </w:rPr>
        <w:t>2</w:t>
      </w:r>
      <w:r>
        <w:rPr>
          <w:rFonts w:hint="eastAsia" w:ascii="仿宋_GB2312" w:hAnsi="宋体" w:eastAsia="仿宋_GB2312" w:cs="仿宋_GB2312"/>
          <w:color w:val="auto"/>
          <w:kern w:val="2"/>
          <w:sz w:val="28"/>
          <w:szCs w:val="28"/>
          <w:lang w:val="en-US" w:eastAsia="zh-CN" w:bidi="ar"/>
        </w:rPr>
        <w:t>：龙岗区进一步规范政商交往行为“十个不得”告知书；</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附件</w:t>
      </w:r>
      <w:r>
        <w:rPr>
          <w:rFonts w:hint="eastAsia" w:ascii="仿宋_GB2312" w:hAnsi="宋体" w:eastAsia="仿宋_GB2312" w:cs="Times New Roman"/>
          <w:color w:val="auto"/>
          <w:kern w:val="2"/>
          <w:sz w:val="28"/>
          <w:szCs w:val="28"/>
          <w:lang w:val="en-US" w:eastAsia="zh-CN" w:bidi="ar"/>
        </w:rPr>
        <w:t>3：技术服务团队</w:t>
      </w:r>
      <w:r>
        <w:rPr>
          <w:rFonts w:hint="eastAsia" w:ascii="仿宋_GB2312" w:hAnsi="宋体" w:eastAsia="仿宋_GB2312" w:cs="仿宋_GB2312"/>
          <w:color w:val="auto"/>
          <w:kern w:val="2"/>
          <w:sz w:val="28"/>
          <w:szCs w:val="28"/>
          <w:lang w:val="en-US" w:eastAsia="zh-CN" w:bidi="ar"/>
        </w:rPr>
        <w:t>（加盖公章）；（以下签章区域无正文）</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br w:type="page"/>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（本页无正文，为合同签署页）</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tbl>
      <w:tblPr>
        <w:tblStyle w:val="2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03"/>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4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both"/>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甲方（盖章并加盖骑缝章）：深圳市龙岗中心医院</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u w:val="dotted"/>
              </w:rPr>
            </w:pPr>
            <w:r>
              <w:rPr>
                <w:rFonts w:hint="eastAsia" w:ascii="仿宋_GB2312" w:hAnsi="宋体" w:eastAsia="仿宋_GB2312" w:cs="仿宋_GB2312"/>
                <w:color w:val="auto"/>
                <w:kern w:val="2"/>
                <w:sz w:val="28"/>
                <w:szCs w:val="28"/>
                <w:lang w:val="en-US" w:eastAsia="zh-CN" w:bidi="ar"/>
              </w:rPr>
              <w:t>法定代表人或授权代表：</w:t>
            </w:r>
            <w:r>
              <w:rPr>
                <w:rFonts w:hint="eastAsia" w:ascii="仿宋_GB2312" w:hAnsi="宋体" w:eastAsia="仿宋_GB2312" w:cs="仿宋_GB2312"/>
                <w:color w:val="auto"/>
                <w:kern w:val="2"/>
                <w:sz w:val="28"/>
                <w:szCs w:val="28"/>
                <w:u w:val="dotted"/>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u w:val="dotted"/>
              </w:rPr>
            </w:pPr>
            <w:r>
              <w:rPr>
                <w:rFonts w:hint="eastAsia" w:ascii="仿宋_GB2312" w:hAnsi="宋体" w:eastAsia="仿宋_GB2312" w:cs="仿宋_GB2312"/>
                <w:color w:val="auto"/>
                <w:kern w:val="2"/>
                <w:sz w:val="28"/>
                <w:szCs w:val="28"/>
                <w:u w:val="dotted"/>
                <w:lang w:val="en-US" w:eastAsia="zh-CN" w:bidi="ar"/>
              </w:rPr>
              <w:t xml:space="preserve">                                                    </w:t>
            </w:r>
            <w:r>
              <w:rPr>
                <w:rFonts w:hint="eastAsia" w:ascii="仿宋_GB2312" w:hAnsi="宋体" w:eastAsia="仿宋_GB2312" w:cs="仿宋_GB2312"/>
                <w:color w:val="auto"/>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0"/>
                <w:sz w:val="28"/>
                <w:szCs w:val="28"/>
                <w:lang w:val="en-US" w:eastAsia="zh-CN" w:bidi="ar"/>
              </w:rPr>
              <w:t>地址：深圳市龙岗区龙岗大道6082号龙</w:t>
            </w:r>
            <w:r>
              <w:rPr>
                <w:rFonts w:hint="eastAsia" w:ascii="仿宋_GB2312" w:hAnsi="宋体" w:eastAsia="仿宋_GB2312" w:cs="仿宋_GB2312"/>
                <w:color w:val="auto"/>
                <w:kern w:val="2"/>
                <w:sz w:val="28"/>
                <w:szCs w:val="28"/>
                <w:lang w:val="en-US" w:eastAsia="zh-CN" w:bidi="ar"/>
              </w:rPr>
              <w:t>岗中心医院</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电话：0755-84806933</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开户行：深圳农村商业银行大和支行</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账  号：000070583741</w:t>
            </w:r>
          </w:p>
          <w:p>
            <w:pPr>
              <w:keepNext w:val="0"/>
              <w:keepLines w:val="0"/>
              <w:widowControl w:val="0"/>
              <w:suppressLineNumbers w:val="0"/>
              <w:spacing w:before="0" w:beforeAutospacing="0" w:after="0" w:afterAutospacing="0" w:line="360" w:lineRule="auto"/>
              <w:ind w:left="0" w:right="0"/>
              <w:jc w:val="left"/>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0"/>
                <w:sz w:val="28"/>
                <w:szCs w:val="28"/>
                <w:lang w:val="en-US" w:eastAsia="zh-CN" w:bidi="ar"/>
              </w:rPr>
              <w:t>统一社会信用代码：</w:t>
            </w:r>
            <w:r>
              <w:rPr>
                <w:rFonts w:hint="eastAsia" w:ascii="仿宋_GB2312" w:hAnsi="宋体" w:eastAsia="仿宋_GB2312" w:cs="仿宋_GB2312"/>
                <w:color w:val="auto"/>
                <w:kern w:val="2"/>
                <w:sz w:val="28"/>
                <w:szCs w:val="28"/>
                <w:lang w:val="en-US" w:eastAsia="zh-CN" w:bidi="ar"/>
              </w:rPr>
              <w:t>124403074558354773</w:t>
            </w:r>
          </w:p>
        </w:tc>
        <w:tc>
          <w:tcPr>
            <w:tcW w:w="475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both"/>
              <w:rPr>
                <w:rFonts w:hint="eastAsia" w:ascii="仿宋_GB2312" w:hAnsi="宋体" w:eastAsia="仿宋_GB2312" w:cs="Times New Roman"/>
                <w:b/>
                <w:bCs w:val="0"/>
                <w:color w:val="auto"/>
                <w:kern w:val="2"/>
                <w:sz w:val="28"/>
                <w:szCs w:val="28"/>
              </w:rPr>
            </w:pPr>
            <w:r>
              <w:rPr>
                <w:rFonts w:hint="eastAsia" w:ascii="仿宋_GB2312" w:hAnsi="宋体" w:eastAsia="仿宋_GB2312" w:cs="仿宋_GB2312"/>
                <w:b/>
                <w:bCs w:val="0"/>
                <w:color w:val="auto"/>
                <w:kern w:val="2"/>
                <w:sz w:val="28"/>
                <w:szCs w:val="28"/>
                <w:lang w:val="en-US" w:eastAsia="zh-CN" w:bidi="ar"/>
              </w:rPr>
              <w:t>乙方（盖章并加盖骑缝章）：</w:t>
            </w:r>
            <w:r>
              <w:rPr>
                <w:rFonts w:hint="eastAsia" w:ascii="仿宋_GB2312" w:hAnsi="宋体" w:eastAsia="仿宋_GB2312" w:cs="Times New Roman"/>
                <w:b/>
                <w:bCs w:val="0"/>
                <w:color w:val="auto"/>
                <w:kern w:val="2"/>
                <w:sz w:val="28"/>
                <w:szCs w:val="28"/>
                <w:lang w:val="en-US" w:eastAsia="zh-CN" w:bidi="ar"/>
              </w:rPr>
              <w:t xml:space="preserve"> </w:t>
            </w:r>
            <w:r>
              <w:rPr>
                <w:rFonts w:hint="eastAsia" w:ascii="仿宋_GB2312" w:hAnsi="宋体" w:eastAsia="仿宋_GB2312" w:cs="仿宋_GB2312"/>
                <w:b/>
                <w:bCs w:val="0"/>
                <w:color w:val="auto"/>
                <w:kern w:val="2"/>
                <w:sz w:val="28"/>
                <w:szCs w:val="28"/>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仿宋_GB2312" w:hAnsi="宋体" w:eastAsia="仿宋_GB2312" w:cs="Times New Roman"/>
                <w:b/>
                <w:bCs w:val="0"/>
                <w:color w:val="auto"/>
                <w:kern w:val="2"/>
                <w:sz w:val="28"/>
                <w:szCs w:val="28"/>
              </w:rPr>
            </w:pP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u w:val="dotted"/>
              </w:rPr>
            </w:pPr>
            <w:r>
              <w:rPr>
                <w:rFonts w:hint="eastAsia" w:ascii="仿宋_GB2312" w:hAnsi="宋体" w:eastAsia="仿宋_GB2312" w:cs="仿宋_GB2312"/>
                <w:color w:val="auto"/>
                <w:kern w:val="2"/>
                <w:sz w:val="28"/>
                <w:szCs w:val="28"/>
                <w:lang w:val="en-US" w:eastAsia="zh-CN" w:bidi="ar"/>
              </w:rPr>
              <w:t>法定代表人或授权代表：</w:t>
            </w:r>
            <w:r>
              <w:rPr>
                <w:rFonts w:hint="eastAsia" w:ascii="仿宋_GB2312" w:hAnsi="宋体" w:eastAsia="仿宋_GB2312" w:cs="仿宋_GB2312"/>
                <w:color w:val="auto"/>
                <w:kern w:val="2"/>
                <w:sz w:val="28"/>
                <w:szCs w:val="28"/>
                <w:u w:val="dotted"/>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u w:val="dotted"/>
                <w:lang w:val="en-US" w:eastAsia="zh-CN" w:bidi="ar"/>
              </w:rPr>
              <w:t xml:space="preserve">                                    </w:t>
            </w:r>
            <w:r>
              <w:rPr>
                <w:rFonts w:hint="eastAsia" w:ascii="仿宋_GB2312" w:hAnsi="宋体" w:eastAsia="仿宋_GB2312" w:cs="仿宋_GB2312"/>
                <w:color w:val="auto"/>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 xml:space="preserve">地址：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电话：</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开户行：</w:t>
            </w: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账  号：</w:t>
            </w: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0"/>
                <w:sz w:val="28"/>
                <w:szCs w:val="28"/>
                <w:lang w:val="en-US" w:eastAsia="zh-CN" w:bidi="ar"/>
              </w:rPr>
              <w:t>统一社会信用代码：</w:t>
            </w:r>
          </w:p>
        </w:tc>
      </w:tr>
    </w:tbl>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签订日期：</w:t>
      </w:r>
      <w:r>
        <w:rPr>
          <w:rFonts w:hint="eastAsia" w:ascii="仿宋_GB2312" w:hAnsi="宋体" w:eastAsia="仿宋_GB2312" w:cs="Times New Roman"/>
          <w:color w:val="auto"/>
          <w:kern w:val="2"/>
          <w:sz w:val="28"/>
          <w:szCs w:val="28"/>
          <w:lang w:val="en-US" w:eastAsia="zh-CN" w:bidi="ar"/>
        </w:rPr>
        <w:t xml:space="preserve">       </w:t>
      </w:r>
      <w:r>
        <w:rPr>
          <w:rFonts w:hint="eastAsia" w:ascii="仿宋_GB2312" w:hAnsi="宋体" w:eastAsia="仿宋_GB2312" w:cs="仿宋_GB2312"/>
          <w:color w:val="auto"/>
          <w:kern w:val="2"/>
          <w:sz w:val="28"/>
          <w:szCs w:val="28"/>
          <w:lang w:val="en-US" w:eastAsia="zh-CN" w:bidi="ar"/>
        </w:rPr>
        <w:t>年</w:t>
      </w:r>
      <w:r>
        <w:rPr>
          <w:rFonts w:hint="eastAsia" w:ascii="仿宋_GB2312" w:hAnsi="宋体" w:eastAsia="仿宋_GB2312" w:cs="Times New Roman"/>
          <w:color w:val="auto"/>
          <w:kern w:val="2"/>
          <w:sz w:val="28"/>
          <w:szCs w:val="28"/>
          <w:lang w:val="en-US" w:eastAsia="zh-CN" w:bidi="ar"/>
        </w:rPr>
        <w:t xml:space="preserve">     </w:t>
      </w:r>
      <w:r>
        <w:rPr>
          <w:rFonts w:hint="eastAsia" w:ascii="仿宋_GB2312" w:hAnsi="宋体" w:eastAsia="仿宋_GB2312" w:cs="仿宋_GB2312"/>
          <w:color w:val="auto"/>
          <w:kern w:val="2"/>
          <w:sz w:val="28"/>
          <w:szCs w:val="28"/>
          <w:lang w:val="en-US" w:eastAsia="zh-CN" w:bidi="ar"/>
        </w:rPr>
        <w:t>月</w:t>
      </w:r>
      <w:r>
        <w:rPr>
          <w:rFonts w:hint="eastAsia" w:ascii="仿宋_GB2312" w:hAnsi="宋体" w:eastAsia="仿宋_GB2312" w:cs="Times New Roman"/>
          <w:color w:val="auto"/>
          <w:kern w:val="2"/>
          <w:sz w:val="28"/>
          <w:szCs w:val="28"/>
          <w:lang w:val="en-US" w:eastAsia="zh-CN" w:bidi="ar"/>
        </w:rPr>
        <w:t xml:space="preserve">     </w:t>
      </w:r>
      <w:r>
        <w:rPr>
          <w:rFonts w:hint="eastAsia" w:ascii="仿宋_GB2312" w:hAnsi="宋体" w:eastAsia="仿宋_GB2312" w:cs="仿宋_GB2312"/>
          <w:color w:val="auto"/>
          <w:kern w:val="2"/>
          <w:sz w:val="28"/>
          <w:szCs w:val="28"/>
          <w:lang w:val="en-US" w:eastAsia="zh-CN" w:bidi="ar"/>
        </w:rPr>
        <w:t>日</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签约地址：深圳市龙岗中心医院</w:t>
      </w:r>
    </w:p>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4"/>
          <w:szCs w:val="24"/>
        </w:rPr>
      </w:pPr>
      <w:r>
        <w:rPr>
          <w:rFonts w:hint="eastAsia" w:ascii="仿宋_GB2312" w:hAnsi="宋体" w:eastAsia="仿宋_GB2312" w:cs="Times New Roman"/>
          <w:color w:val="auto"/>
          <w:kern w:val="2"/>
          <w:sz w:val="24"/>
          <w:szCs w:val="24"/>
          <w:lang w:val="en-US" w:eastAsia="zh-CN" w:bidi="ar"/>
        </w:rPr>
        <w:br w:type="page"/>
      </w:r>
    </w:p>
    <w:p>
      <w:pPr>
        <w:keepNext w:val="0"/>
        <w:keepLines w:val="0"/>
        <w:widowControl/>
        <w:suppressLineNumbers w:val="0"/>
        <w:spacing w:before="0" w:beforeAutospacing="0" w:after="0" w:afterAutospacing="0" w:line="520" w:lineRule="exact"/>
        <w:ind w:left="0" w:right="0"/>
        <w:jc w:val="left"/>
        <w:rPr>
          <w:rFonts w:hint="default" w:ascii="方正小标宋简体" w:hAnsi="Calibri" w:eastAsia="方正小标宋简体" w:cs="Times New Roman"/>
          <w:color w:val="auto"/>
          <w:kern w:val="2"/>
          <w:sz w:val="36"/>
          <w:szCs w:val="36"/>
        </w:rPr>
      </w:pPr>
      <w:r>
        <w:rPr>
          <w:rFonts w:hint="eastAsia" w:ascii="仿宋_GB2312" w:hAnsi="宋体" w:eastAsia="仿宋_GB2312" w:cs="仿宋_GB2312"/>
          <w:b/>
          <w:bCs/>
          <w:color w:val="auto"/>
          <w:kern w:val="44"/>
          <w:sz w:val="28"/>
          <w:szCs w:val="28"/>
          <w:lang w:val="en-US" w:eastAsia="zh-CN" w:bidi="ar"/>
        </w:rPr>
        <w:t>附件</w:t>
      </w:r>
      <w:r>
        <w:rPr>
          <w:rFonts w:hint="eastAsia" w:ascii="仿宋_GB2312" w:hAnsi="宋体" w:eastAsia="仿宋_GB2312" w:cs="Times New Roman"/>
          <w:b/>
          <w:bCs/>
          <w:color w:val="auto"/>
          <w:kern w:val="44"/>
          <w:sz w:val="28"/>
          <w:szCs w:val="28"/>
          <w:lang w:val="en-US" w:eastAsia="zh-CN" w:bidi="ar"/>
        </w:rPr>
        <w:t>1</w:t>
      </w:r>
      <w:r>
        <w:rPr>
          <w:rFonts w:hint="eastAsia" w:ascii="仿宋_GB2312" w:hAnsi="宋体" w:eastAsia="仿宋_GB2312" w:cs="仿宋_GB2312"/>
          <w:b/>
          <w:bCs/>
          <w:color w:val="auto"/>
          <w:kern w:val="44"/>
          <w:sz w:val="28"/>
          <w:szCs w:val="28"/>
          <w:lang w:val="en-US" w:eastAsia="zh-CN" w:bidi="ar"/>
        </w:rPr>
        <w:t>：</w:t>
      </w:r>
    </w:p>
    <w:p>
      <w:pPr>
        <w:keepNext w:val="0"/>
        <w:keepLines w:val="0"/>
        <w:widowControl w:val="0"/>
        <w:suppressLineNumbers w:val="0"/>
        <w:spacing w:before="0" w:beforeAutospacing="0" w:after="156" w:afterLines="50" w:afterAutospacing="0"/>
        <w:ind w:left="0" w:right="0"/>
        <w:jc w:val="center"/>
        <w:rPr>
          <w:rFonts w:hint="default" w:ascii="方正小标宋简体" w:hAnsi="Calibri" w:eastAsia="方正小标宋简体" w:cs="Times New Roman"/>
          <w:b/>
          <w:bCs w:val="0"/>
          <w:color w:val="auto"/>
          <w:kern w:val="2"/>
          <w:sz w:val="36"/>
          <w:szCs w:val="36"/>
        </w:rPr>
      </w:pPr>
      <w:r>
        <w:rPr>
          <w:rFonts w:hint="default" w:ascii="方正小标宋简体" w:hAnsi="方正小标宋简体" w:eastAsia="方正小标宋简体" w:cs="方正小标宋简体"/>
          <w:b/>
          <w:bCs w:val="0"/>
          <w:color w:val="auto"/>
          <w:kern w:val="2"/>
          <w:sz w:val="36"/>
          <w:szCs w:val="36"/>
          <w:lang w:val="en-US" w:eastAsia="zh-CN" w:bidi="ar"/>
        </w:rPr>
        <w:t>龙岗中心医院网络和信息安全协议</w:t>
      </w:r>
    </w:p>
    <w:p>
      <w:pPr>
        <w:keepNext w:val="0"/>
        <w:keepLines w:val="0"/>
        <w:widowControl w:val="0"/>
        <w:suppressLineNumbers w:val="0"/>
        <w:spacing w:before="0" w:beforeAutospacing="0" w:after="0" w:afterAutospacing="0" w:line="520" w:lineRule="exact"/>
        <w:ind w:left="0" w:right="0" w:firstLine="562"/>
        <w:jc w:val="both"/>
        <w:rPr>
          <w:rFonts w:hint="eastAsia" w:ascii="仿宋_GB2312" w:hAnsi="宋体" w:eastAsia="仿宋_GB2312" w:cs="Times New Roman"/>
          <w:b/>
          <w:bCs/>
          <w:color w:val="auto"/>
          <w:sz w:val="28"/>
          <w:szCs w:val="28"/>
          <w:u w:val="thick"/>
        </w:rPr>
      </w:pPr>
      <w:r>
        <w:rPr>
          <w:rStyle w:val="54"/>
          <w:rFonts w:hint="eastAsia" w:ascii="仿宋_GB2312" w:hAnsi="Calibri" w:eastAsia="仿宋_GB2312" w:cs="仿宋_GB2312"/>
          <w:b/>
          <w:bCs w:val="0"/>
          <w:color w:val="auto"/>
          <w:kern w:val="2"/>
          <w:sz w:val="28"/>
          <w:szCs w:val="28"/>
          <w:lang w:val="en-US" w:eastAsia="zh-CN" w:bidi="ar"/>
        </w:rPr>
        <w:t>甲方：深圳市龙岗中心医院</w:t>
      </w:r>
    </w:p>
    <w:p>
      <w:pPr>
        <w:keepNext w:val="0"/>
        <w:keepLines w:val="0"/>
        <w:widowControl w:val="0"/>
        <w:suppressLineNumbers w:val="0"/>
        <w:spacing w:before="0" w:beforeAutospacing="0" w:after="0" w:afterAutospacing="0" w:line="520" w:lineRule="exact"/>
        <w:ind w:left="0" w:right="0" w:firstLine="562"/>
        <w:jc w:val="both"/>
        <w:rPr>
          <w:rFonts w:hint="eastAsia" w:ascii="仿宋_GB2312" w:hAnsi="Calibri" w:eastAsia="仿宋_GB2312" w:cs="Times New Roman"/>
          <w:b/>
          <w:bCs w:val="0"/>
          <w:color w:val="auto"/>
          <w:sz w:val="28"/>
          <w:szCs w:val="28"/>
        </w:rPr>
      </w:pPr>
      <w:r>
        <w:rPr>
          <w:rStyle w:val="54"/>
          <w:rFonts w:hint="eastAsia" w:ascii="仿宋_GB2312" w:hAnsi="Calibri" w:eastAsia="仿宋_GB2312" w:cs="仿宋_GB2312"/>
          <w:b/>
          <w:bCs w:val="0"/>
          <w:color w:val="auto"/>
          <w:kern w:val="2"/>
          <w:sz w:val="28"/>
          <w:szCs w:val="28"/>
          <w:lang w:val="en-US" w:eastAsia="zh-CN" w:bidi="ar"/>
        </w:rPr>
        <w:t>乙方：</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Calibri"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甲、乙双方根据《中华人民共和国网络安全法》、《中华人民共和国数据安全法》、《中华人民共和国个人信息保护法》和国家、地方有关规定，达成如下网络和信息系统安全协议：</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1、甲乙双方必须遵守国家颁发的有关网络安全的法律法规、技术规范和规章制度等。</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2、甲乙双方都应有网络安全管理组织体系，有专职或兼职的负责人。甲方提供乙方正常的技术研究、开发条件和业务拓展的空间，努力创造有利于乙方发展的机会；乙方认同甲方的网络安全管理制度和流程，乙方成员在为甲方提供服务或产品期间必须严格执行和遵守甲方的网络安全的各项规定，严格遵守甲方的安全管理制度和操作规程。</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3、甲方认同乙方的相关系统软件版权和知识产权，乙方认同相关系统产生的信息资产为甲方所有，乙方不使用甲方的信息资产在自己的组织或关联组织流通，除非是有甲方人员或授权代表商谈、讨论和协商之需或在本协议签署后经甲方书面授权的任何目的。</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4、甲乙双方不得将提供给对方的材料，包括但不限于文件、设计和清单提供给任何第三方。乙方不得将甲方的业务信息和患者诊疗数据透露给任何第三方，也应尽力避免由于疏忽将上述信息披露给任何第三方。</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5、乙方承担</w:t>
      </w:r>
      <w:r>
        <w:rPr>
          <w:rStyle w:val="54"/>
          <w:rFonts w:hint="eastAsia" w:ascii="仿宋_GB2312" w:hAnsi="宋体" w:eastAsia="仿宋_GB2312" w:cs="Times New Roman"/>
          <w:color w:val="auto"/>
          <w:kern w:val="2"/>
          <w:sz w:val="24"/>
          <w:szCs w:val="24"/>
          <w:u w:val="single"/>
          <w:lang w:val="en-US" w:eastAsia="zh-CN" w:bidi="ar"/>
        </w:rPr>
        <w:t xml:space="preserve">                    </w:t>
      </w:r>
      <w:r>
        <w:rPr>
          <w:rStyle w:val="54"/>
          <w:rFonts w:hint="eastAsia" w:ascii="仿宋_GB2312" w:hAnsi="宋体" w:eastAsia="仿宋_GB2312" w:cs="仿宋_GB2312"/>
          <w:color w:val="auto"/>
          <w:kern w:val="2"/>
          <w:sz w:val="24"/>
          <w:szCs w:val="24"/>
          <w:lang w:val="en-US" w:eastAsia="zh-CN" w:bidi="ar"/>
        </w:rPr>
        <w:t>系统（以下简称“该系统”）的开发/维护工作，软件编码必须规范，应杜绝如下行为：内置后门程序、设置恶意代码和病毒代码、应用软件代码存在安全漏洞、使用弱口令等。</w:t>
      </w:r>
    </w:p>
    <w:p>
      <w:pPr>
        <w:keepNext w:val="0"/>
        <w:keepLines w:val="0"/>
        <w:widowControl w:val="0"/>
        <w:suppressLineNumbers w:val="0"/>
        <w:spacing w:before="0" w:beforeAutospacing="0" w:after="0" w:afterAutospacing="0" w:line="520" w:lineRule="exact"/>
        <w:ind w:left="0" w:right="0" w:firstLine="424" w:firstLineChars="177"/>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6、乙方提供的产品（包括软硬件及独立开发的软件编码）须提供国家权威机构的安全测试证明或具备资质条件的安全机构所做的安全测试报告；在甲方正式上线前，须通过甲方的上线安全测试后才能投入运行。</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7、乙方尽可能配合甲方完成系统在甲方本地化部署，即使用甲方服务器、存储、域名、互联网出口等资源，甲方负责已上线系统的日常安全运维、值守和防护。并根据上级要求或内部安排，甲方会不定期对该系统做安全检测和渗透测试。</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8、乙方实在无法完成甲方本地化部署，乙方应确保存放在非甲方指定空间的该系统安全，并做好该系统的日常安全运维、值守和防护；乙方默认授权甲方及合作伙伴对该系统的互联网IP、端口或域名的安全检测是合法的。</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9、乙方系统新上线或更新时应告知甲方，并确保更新后的系统不存在中高危风险漏洞。大版本更新时甲方会根据该系统的应用场景，另行安排安全测试。</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10、乙方需确保提供给甲方使用的系统满足安全要求，若被甲方上级单位检测出漏洞并被通报，或被甲方及合作伙伴检测出漏洞且收到《龙岗中心医院网络安全隐患整改通知书》超过7个工作日未整改的，高风险漏洞（主机漏洞除外）处罚乙方3000元</w:t>
      </w:r>
      <w:r>
        <w:rPr>
          <w:rStyle w:val="54"/>
          <w:rFonts w:hint="eastAsia" w:ascii="仿宋_GB2312" w:hAnsi="宋体" w:eastAsia="仿宋_GB2312" w:cs="Times New Roman"/>
          <w:color w:val="auto"/>
          <w:kern w:val="2"/>
          <w:sz w:val="24"/>
          <w:szCs w:val="24"/>
          <w:lang w:val="en-US" w:eastAsia="zh-CN" w:bidi="ar"/>
        </w:rPr>
        <w:t>/次</w:t>
      </w:r>
      <w:r>
        <w:rPr>
          <w:rStyle w:val="54"/>
          <w:rFonts w:hint="eastAsia" w:ascii="仿宋_GB2312" w:hAnsi="宋体" w:eastAsia="仿宋_GB2312" w:cs="仿宋_GB2312"/>
          <w:color w:val="auto"/>
          <w:kern w:val="2"/>
          <w:sz w:val="24"/>
          <w:szCs w:val="24"/>
          <w:lang w:val="en-US" w:eastAsia="zh-CN" w:bidi="ar"/>
        </w:rPr>
        <w:t>，中风险漏洞处罚乙方1000元</w:t>
      </w:r>
      <w:r>
        <w:rPr>
          <w:rStyle w:val="54"/>
          <w:rFonts w:hint="eastAsia" w:ascii="仿宋_GB2312" w:hAnsi="宋体" w:eastAsia="仿宋_GB2312" w:cs="Times New Roman"/>
          <w:color w:val="auto"/>
          <w:kern w:val="2"/>
          <w:sz w:val="24"/>
          <w:szCs w:val="24"/>
          <w:lang w:val="en-US" w:eastAsia="zh-CN" w:bidi="ar"/>
        </w:rPr>
        <w:t>/次</w:t>
      </w:r>
      <w:r>
        <w:rPr>
          <w:rStyle w:val="54"/>
          <w:rFonts w:hint="eastAsia" w:ascii="仿宋_GB2312" w:hAnsi="宋体" w:eastAsia="仿宋_GB2312" w:cs="仿宋_GB2312"/>
          <w:color w:val="auto"/>
          <w:kern w:val="2"/>
          <w:sz w:val="24"/>
          <w:szCs w:val="24"/>
          <w:lang w:val="en-US" w:eastAsia="zh-CN" w:bidi="ar"/>
        </w:rPr>
        <w:t>，同时有中高风险漏洞按高风险漏洞处罚，所扣款项于结算合同尾款时扣除，合同尾款不足扣除罚款时，乙方另外补齐差额部分。</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11、乙方收到该系统的安全检测报告、安全通知或安全通报后，应尽快响应并修复主机和系统的风险漏洞。甲方有权根据风险漏洞性质和危害程度，临时下线乙方存在中高风险漏洞的系统，直到乙方系统漏洞修复并重新提交上线申请；若该系统因风险漏洞被上级单位处罚或风险漏洞被第三方利用，给甲方造成其他财产损失的，或因该系统漏洞下线给甲方造成直接或间接损失的，甲方有权向乙方追加损失的金额。</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12、乙方应妥善处理甲方及其客户的个人信息和业务数据，未经许可乙方不准私自处置相关信息等。</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13、甲乙双方必须严格执行，由于违反本协议而发生网络和信息安全事件，由违约方承担一切经济损失。</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仿宋_GB2312"/>
          <w:color w:val="auto"/>
          <w:kern w:val="2"/>
          <w:sz w:val="24"/>
          <w:szCs w:val="24"/>
          <w:lang w:val="en-US" w:eastAsia="zh-CN" w:bidi="ar"/>
        </w:rPr>
        <w:t>14、甲乙双方承诺签署人具备法律资格，本协议作为合同附件时，生效时间与合同生效时间一致；本协议单独签署时，生效时间为签署日期。</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Times New Roman"/>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0"/>
        <w:jc w:val="both"/>
        <w:rPr>
          <w:rFonts w:hint="eastAsia" w:ascii="仿宋_GB2312" w:hAnsi="宋体" w:eastAsia="仿宋_GB2312" w:cs="Times New Roman"/>
          <w:color w:val="auto"/>
          <w:sz w:val="24"/>
          <w:szCs w:val="24"/>
        </w:rPr>
      </w:pPr>
      <w:r>
        <w:rPr>
          <w:rStyle w:val="54"/>
          <w:rFonts w:hint="eastAsia" w:ascii="仿宋_GB2312" w:hAnsi="宋体" w:eastAsia="仿宋_GB2312" w:cs="Times New Roman"/>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hint="eastAsia" w:ascii="仿宋_GB2312" w:hAnsi="宋体" w:eastAsia="仿宋_GB2312" w:cs="Times New Roman"/>
          <w:bCs/>
          <w:color w:val="auto"/>
          <w:sz w:val="24"/>
          <w:szCs w:val="24"/>
        </w:rPr>
      </w:pPr>
      <w:r>
        <w:rPr>
          <w:rStyle w:val="54"/>
          <w:rFonts w:hint="eastAsia" w:ascii="仿宋_GB2312" w:hAnsi="宋体" w:eastAsia="仿宋_GB2312" w:cs="仿宋_GB2312"/>
          <w:bCs/>
          <w:color w:val="auto"/>
          <w:kern w:val="2"/>
          <w:sz w:val="24"/>
          <w:szCs w:val="24"/>
          <w:lang w:val="en-US" w:eastAsia="zh-CN" w:bidi="ar"/>
        </w:rPr>
        <w:t>甲方（盖章）：深圳市龙岗中心医院</w:t>
      </w:r>
      <w:r>
        <w:rPr>
          <w:rStyle w:val="54"/>
          <w:rFonts w:hint="eastAsia" w:ascii="仿宋_GB2312" w:hAnsi="宋体" w:eastAsia="仿宋_GB2312" w:cs="Times New Roman"/>
          <w:bCs/>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left"/>
        <w:rPr>
          <w:rFonts w:hint="eastAsia" w:ascii="仿宋_GB2312" w:hAnsi="宋体" w:eastAsia="仿宋_GB2312" w:cs="Times New Roman"/>
          <w:bCs/>
          <w:color w:val="auto"/>
          <w:sz w:val="24"/>
          <w:szCs w:val="24"/>
          <w:highlight w:val="none"/>
        </w:rPr>
      </w:pPr>
      <w:r>
        <w:rPr>
          <w:rStyle w:val="54"/>
          <w:rFonts w:hint="eastAsia" w:ascii="仿宋_GB2312" w:hAnsi="宋体" w:eastAsia="仿宋_GB2312" w:cs="仿宋_GB2312"/>
          <w:bCs/>
          <w:color w:val="auto"/>
          <w:kern w:val="2"/>
          <w:sz w:val="24"/>
          <w:szCs w:val="24"/>
          <w:highlight w:val="none"/>
          <w:lang w:val="en-US" w:eastAsia="zh-CN" w:bidi="ar"/>
        </w:rPr>
        <w:t>甲方代表（签字）：</w:t>
      </w:r>
    </w:p>
    <w:p>
      <w:pPr>
        <w:keepNext w:val="0"/>
        <w:keepLines w:val="0"/>
        <w:widowControl w:val="0"/>
        <w:suppressLineNumbers w:val="0"/>
        <w:spacing w:before="0" w:beforeAutospacing="0" w:after="0" w:afterAutospacing="0" w:line="520" w:lineRule="exact"/>
        <w:ind w:left="0" w:right="0" w:firstLine="482"/>
        <w:jc w:val="both"/>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2"/>
        <w:jc w:val="both"/>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乙方（盖章）：</w:t>
      </w:r>
    </w:p>
    <w:p>
      <w:pPr>
        <w:keepNext w:val="0"/>
        <w:keepLines w:val="0"/>
        <w:widowControl w:val="0"/>
        <w:suppressLineNumbers w:val="0"/>
        <w:spacing w:before="0" w:beforeAutospacing="0" w:after="0" w:afterAutospacing="0" w:line="520" w:lineRule="exact"/>
        <w:ind w:left="0" w:right="0" w:firstLine="482"/>
        <w:jc w:val="left"/>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乙方代表（签字）：</w:t>
      </w:r>
    </w:p>
    <w:p>
      <w:pPr>
        <w:keepNext w:val="0"/>
        <w:keepLines w:val="0"/>
        <w:widowControl w:val="0"/>
        <w:suppressLineNumbers w:val="0"/>
        <w:spacing w:before="156" w:beforeLines="50" w:beforeAutospacing="0" w:after="0" w:afterAutospacing="0" w:line="520" w:lineRule="exact"/>
        <w:ind w:left="0" w:right="0" w:firstLine="1920" w:firstLineChars="800"/>
        <w:jc w:val="left"/>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t xml:space="preserve"> </w:t>
      </w:r>
    </w:p>
    <w:p>
      <w:pPr>
        <w:keepNext w:val="0"/>
        <w:keepLines w:val="0"/>
        <w:widowControl w:val="0"/>
        <w:suppressLineNumbers w:val="0"/>
        <w:spacing w:before="156" w:beforeLines="50" w:beforeAutospacing="0" w:after="0" w:afterAutospacing="0" w:line="520" w:lineRule="exact"/>
        <w:ind w:left="0" w:right="0" w:firstLine="1920" w:firstLineChars="800"/>
        <w:jc w:val="left"/>
        <w:rPr>
          <w:rFonts w:hint="eastAsia" w:ascii="仿宋_GB2312" w:hAnsi="宋体" w:eastAsia="仿宋_GB2312" w:cs="Times New Roman"/>
          <w:bCs/>
          <w:color w:val="auto"/>
          <w:sz w:val="24"/>
          <w:szCs w:val="24"/>
        </w:rPr>
      </w:pPr>
      <w:r>
        <w:rPr>
          <w:rStyle w:val="54"/>
          <w:rFonts w:hint="eastAsia" w:ascii="仿宋_GB2312" w:hAnsi="宋体" w:eastAsia="仿宋_GB2312" w:cs="仿宋_GB2312"/>
          <w:bCs/>
          <w:color w:val="auto"/>
          <w:kern w:val="2"/>
          <w:sz w:val="24"/>
          <w:szCs w:val="24"/>
          <w:lang w:val="en-US" w:eastAsia="zh-CN" w:bidi="ar"/>
        </w:rPr>
        <w:t>签署日期：</w:t>
      </w: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年</w:t>
      </w: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月</w:t>
      </w:r>
      <w:r>
        <w:rPr>
          <w:rStyle w:val="54"/>
          <w:rFonts w:hint="eastAsia" w:ascii="仿宋_GB2312" w:hAnsi="宋体" w:eastAsia="仿宋_GB2312" w:cs="Times New Roman"/>
          <w:bCs/>
          <w:color w:val="auto"/>
          <w:kern w:val="2"/>
          <w:sz w:val="24"/>
          <w:szCs w:val="24"/>
          <w:lang w:val="en-US" w:eastAsia="zh-CN" w:bidi="ar"/>
        </w:rPr>
        <w:t xml:space="preserve">     </w:t>
      </w:r>
      <w:r>
        <w:rPr>
          <w:rStyle w:val="54"/>
          <w:rFonts w:hint="eastAsia" w:ascii="仿宋_GB2312" w:hAnsi="宋体" w:eastAsia="仿宋_GB2312" w:cs="仿宋_GB2312"/>
          <w:bCs/>
          <w:color w:val="auto"/>
          <w:kern w:val="2"/>
          <w:sz w:val="24"/>
          <w:szCs w:val="24"/>
          <w:lang w:val="en-US" w:eastAsia="zh-CN" w:bidi="ar"/>
        </w:rPr>
        <w:t>日</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bCs/>
          <w:color w:val="auto"/>
          <w:sz w:val="24"/>
          <w:szCs w:val="24"/>
        </w:rPr>
      </w:pPr>
      <w:r>
        <w:rPr>
          <w:rStyle w:val="54"/>
          <w:rFonts w:hint="eastAsia" w:ascii="仿宋_GB2312" w:hAnsi="宋体" w:eastAsia="仿宋_GB2312" w:cs="Times New Roman"/>
          <w:bCs/>
          <w:color w:val="auto"/>
          <w:kern w:val="2"/>
          <w:sz w:val="24"/>
          <w:szCs w:val="24"/>
          <w:lang w:val="en-US" w:eastAsia="zh-CN" w:bidi="ar"/>
        </w:rPr>
        <w:br w:type="page"/>
      </w:r>
    </w:p>
    <w:p>
      <w:pPr>
        <w:keepNext w:val="0"/>
        <w:keepLines w:val="0"/>
        <w:widowControl/>
        <w:suppressLineNumbers w:val="0"/>
        <w:spacing w:before="0" w:beforeAutospacing="0" w:after="0" w:afterAutospacing="0" w:line="520" w:lineRule="exact"/>
        <w:ind w:left="0" w:right="0"/>
        <w:jc w:val="left"/>
        <w:rPr>
          <w:rFonts w:hint="default" w:ascii="方正小标宋简体" w:hAnsi="Calibri" w:eastAsia="方正小标宋简体" w:cs="Times New Roman"/>
          <w:color w:val="auto"/>
          <w:kern w:val="2"/>
          <w:sz w:val="36"/>
          <w:szCs w:val="36"/>
        </w:rPr>
      </w:pPr>
      <w:r>
        <w:rPr>
          <w:rFonts w:hint="eastAsia" w:ascii="仿宋_GB2312" w:hAnsi="宋体" w:eastAsia="仿宋_GB2312" w:cs="仿宋_GB2312"/>
          <w:b/>
          <w:bCs/>
          <w:color w:val="auto"/>
          <w:kern w:val="44"/>
          <w:sz w:val="28"/>
          <w:szCs w:val="28"/>
          <w:lang w:val="en-US" w:eastAsia="zh-CN" w:bidi="ar"/>
        </w:rPr>
        <w:t>附件2：</w:t>
      </w:r>
    </w:p>
    <w:p>
      <w:pPr>
        <w:keepNext w:val="0"/>
        <w:keepLines w:val="0"/>
        <w:widowControl/>
        <w:suppressLineNumbers w:val="0"/>
        <w:spacing w:before="0" w:beforeAutospacing="0" w:after="0" w:afterAutospacing="0" w:line="520" w:lineRule="exact"/>
        <w:ind w:left="0" w:right="0"/>
        <w:jc w:val="center"/>
        <w:rPr>
          <w:rFonts w:hint="default" w:ascii="方正小标宋简体" w:hAnsi="Calibri" w:eastAsia="方正小标宋简体" w:cs="Times New Roman"/>
          <w:color w:val="auto"/>
          <w:kern w:val="2"/>
          <w:sz w:val="36"/>
          <w:szCs w:val="36"/>
        </w:rPr>
      </w:pPr>
      <w:r>
        <w:rPr>
          <w:rFonts w:hint="default" w:ascii="方正小标宋简体" w:hAnsi="方正小标宋简体" w:eastAsia="方正小标宋简体" w:cs="方正小标宋简体"/>
          <w:color w:val="auto"/>
          <w:kern w:val="2"/>
          <w:sz w:val="36"/>
          <w:szCs w:val="36"/>
          <w:lang w:val="en-US" w:eastAsia="zh-CN" w:bidi="ar"/>
        </w:rPr>
        <w:t>龙岗区进一步规范政商交往行为“十个不得”告知书</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 xml:space="preserve"> </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一、不得向公职人员赠送礼品、礼金、消费卡等财物。</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二、不得违规向公职人员提供宴请、旅游、娱乐等安排。</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三、不得通过打麻将等形式向公职人员输送利益。</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四、不得为公职人员报销应由其个人支付的费用。</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五、不得违规向公职人员及其亲友借贷款。</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六、不得违规将车辆、住房等借给公职人员使用。</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七、不得在招投标中与公职人员搞暗箱操作、围标串标。</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八、不得为利益相关人和公职人员牵线搭桥或者代为传递信息、传递财物。</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九、不得让公职人员在企业违规兼职取酬。</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十、不得为公职人员亲友违规承揽业务提供便利。</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pPr>
        <w:keepNext w:val="0"/>
        <w:keepLines w:val="0"/>
        <w:widowControl/>
        <w:suppressLineNumbers w:val="0"/>
        <w:spacing w:before="0" w:beforeAutospacing="0" w:after="0" w:afterAutospacing="0" w:line="460" w:lineRule="exact"/>
        <w:ind w:left="0" w:right="0" w:firstLine="620" w:firstLineChars="2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本人已知晓上述告知内容，并愿意遵照执行（签名）：</w:t>
      </w:r>
    </w:p>
    <w:p>
      <w:pPr>
        <w:keepNext w:val="0"/>
        <w:keepLines w:val="0"/>
        <w:widowControl/>
        <w:suppressLineNumbers w:val="0"/>
        <w:spacing w:before="0" w:beforeAutospacing="0" w:after="0" w:afterAutospacing="0" w:line="460" w:lineRule="exact"/>
        <w:ind w:left="0" w:right="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 xml:space="preserve"> </w:t>
      </w:r>
    </w:p>
    <w:p>
      <w:pPr>
        <w:keepNext w:val="0"/>
        <w:keepLines w:val="0"/>
        <w:widowControl/>
        <w:suppressLineNumbers w:val="0"/>
        <w:spacing w:before="0" w:beforeAutospacing="0" w:after="0" w:afterAutospacing="0" w:line="460" w:lineRule="exact"/>
        <w:ind w:left="0" w:right="0" w:firstLine="5270" w:firstLineChars="1700"/>
        <w:jc w:val="both"/>
        <w:rPr>
          <w:rFonts w:hint="eastAsia" w:ascii="仿宋_GB2312" w:hAnsi="宋体" w:eastAsia="仿宋_GB2312" w:cs="仿宋_GB2312"/>
          <w:color w:val="auto"/>
          <w:kern w:val="0"/>
          <w:sz w:val="31"/>
          <w:szCs w:val="31"/>
        </w:rPr>
      </w:pPr>
      <w:r>
        <w:rPr>
          <w:rFonts w:hint="eastAsia" w:ascii="仿宋_GB2312" w:hAnsi="宋体" w:eastAsia="仿宋_GB2312" w:cs="仿宋_GB2312"/>
          <w:color w:val="auto"/>
          <w:kern w:val="0"/>
          <w:sz w:val="31"/>
          <w:szCs w:val="31"/>
          <w:lang w:val="en-US" w:eastAsia="zh-CN" w:bidi="ar"/>
        </w:rPr>
        <w:t xml:space="preserve"> 年     月     日</w:t>
      </w:r>
    </w:p>
    <w:p>
      <w:pPr>
        <w:keepNext w:val="0"/>
        <w:keepLines w:val="0"/>
        <w:widowControl/>
        <w:suppressLineNumbers w:val="0"/>
        <w:spacing w:before="0" w:beforeAutospacing="0" w:after="0" w:afterAutospacing="0"/>
        <w:ind w:left="0" w:right="0"/>
        <w:jc w:val="both"/>
        <w:rPr>
          <w:rFonts w:hint="eastAsia"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both"/>
        <w:rPr>
          <w:rFonts w:hint="eastAsia"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both"/>
        <w:rPr>
          <w:rFonts w:hint="eastAsia" w:ascii="仿宋_GB2312" w:hAnsi="Calibri" w:eastAsia="仿宋_GB2312" w:cs="Times New Roman"/>
          <w:color w:val="auto"/>
          <w:kern w:val="2"/>
          <w:sz w:val="21"/>
          <w:szCs w:val="21"/>
        </w:rPr>
      </w:pPr>
      <w:r>
        <w:rPr>
          <w:rFonts w:hint="eastAsia" w:ascii="仿宋_GB2312" w:hAnsi="Calibri" w:eastAsia="仿宋_GB2312" w:cs="Times New Roman"/>
          <w:color w:val="auto"/>
          <w:kern w:val="2"/>
          <w:sz w:val="21"/>
          <w:szCs w:val="21"/>
          <w:lang w:val="en-US" w:eastAsia="zh-CN" w:bidi="ar"/>
        </w:rPr>
        <w:t xml:space="preserve"> </w:t>
      </w:r>
    </w:p>
    <w:p>
      <w:pPr>
        <w:keepNext w:val="0"/>
        <w:keepLines w:val="0"/>
        <w:widowControl/>
        <w:suppressLineNumbers w:val="0"/>
        <w:spacing w:before="0" w:beforeAutospacing="0" w:after="0" w:afterAutospacing="0" w:line="520" w:lineRule="exact"/>
        <w:ind w:left="0" w:right="0"/>
        <w:jc w:val="left"/>
        <w:rPr>
          <w:rFonts w:hint="eastAsia" w:ascii="仿宋_GB2312" w:hAnsi="宋体" w:eastAsia="仿宋_GB2312" w:cs="Times New Roman"/>
          <w:b/>
          <w:bCs/>
          <w:color w:val="auto"/>
          <w:kern w:val="44"/>
          <w:sz w:val="28"/>
          <w:szCs w:val="28"/>
        </w:rPr>
      </w:pPr>
      <w:r>
        <w:rPr>
          <w:rFonts w:hint="eastAsia" w:ascii="仿宋_GB2312" w:hAnsi="宋体" w:eastAsia="仿宋_GB2312" w:cs="仿宋_GB2312"/>
          <w:b/>
          <w:bCs/>
          <w:color w:val="auto"/>
          <w:kern w:val="44"/>
          <w:sz w:val="28"/>
          <w:szCs w:val="28"/>
          <w:lang w:val="en-US" w:eastAsia="zh-CN" w:bidi="ar"/>
        </w:rPr>
        <w:t>附件3：技术服务团队</w:t>
      </w:r>
    </w:p>
    <w:p>
      <w:pPr>
        <w:keepNext w:val="0"/>
        <w:keepLines w:val="0"/>
        <w:widowControl/>
        <w:suppressLineNumbers w:val="0"/>
        <w:spacing w:before="0" w:beforeAutospacing="0" w:after="0" w:afterAutospacing="0"/>
        <w:ind w:left="0" w:right="0"/>
        <w:jc w:val="both"/>
        <w:rPr>
          <w:rFonts w:hint="eastAsia" w:ascii="仿宋_GB2312" w:hAnsi="宋体" w:eastAsia="仿宋_GB2312" w:cs="Times New Roman"/>
          <w:color w:val="auto"/>
          <w:kern w:val="2"/>
          <w:sz w:val="21"/>
          <w:szCs w:val="21"/>
        </w:rPr>
      </w:pPr>
      <w:r>
        <w:rPr>
          <w:rFonts w:hint="eastAsia" w:ascii="仿宋_GB2312" w:hAnsi="宋体" w:eastAsia="仿宋_GB2312" w:cs="Times New Roman"/>
          <w:color w:val="auto"/>
          <w:kern w:val="2"/>
          <w:sz w:val="21"/>
          <w:szCs w:val="21"/>
          <w:lang w:val="en-US" w:eastAsia="zh-CN" w:bidi="ar"/>
        </w:rPr>
        <w:t xml:space="preserve">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3"/>
        <w:gridCol w:w="1383"/>
        <w:gridCol w:w="1833"/>
        <w:gridCol w:w="1548"/>
        <w:gridCol w:w="1444"/>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序号</w:t>
            </w: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姓名</w:t>
            </w: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职务</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职称</w:t>
            </w: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工作年限</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宋体" w:eastAsia="仿宋_GB2312" w:cs="Times New Roman"/>
                <w:color w:val="auto"/>
                <w:kern w:val="2"/>
                <w:sz w:val="28"/>
                <w:szCs w:val="28"/>
              </w:rPr>
            </w:pPr>
            <w:r>
              <w:rPr>
                <w:rFonts w:hint="eastAsia" w:ascii="仿宋_GB2312" w:hAnsi="宋体" w:eastAsia="仿宋_GB2312" w:cs="仿宋_GB2312"/>
                <w:color w:val="auto"/>
                <w:kern w:val="2"/>
                <w:sz w:val="28"/>
                <w:szCs w:val="28"/>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8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4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宋体" w:eastAsia="仿宋_GB2312" w:cs="Times New Roman"/>
                <w:color w:val="auto"/>
                <w:kern w:val="2"/>
                <w:sz w:val="28"/>
                <w:szCs w:val="28"/>
              </w:rPr>
            </w:pPr>
          </w:p>
        </w:tc>
      </w:tr>
    </w:tbl>
    <w:p>
      <w:pPr>
        <w:keepNext w:val="0"/>
        <w:keepLines w:val="0"/>
        <w:widowControl w:val="0"/>
        <w:numPr>
          <w:ilvl w:val="0"/>
          <w:numId w:val="24"/>
        </w:numPr>
        <w:suppressLineNumbers w:val="0"/>
        <w:spacing w:before="0" w:beforeAutospacing="0" w:after="0" w:afterAutospacing="0" w:line="360" w:lineRule="auto"/>
        <w:ind w:left="425" w:right="0" w:hanging="425"/>
        <w:jc w:val="both"/>
        <w:rPr>
          <w:rFonts w:hint="eastAsia" w:ascii="仿宋_GB2312" w:hAnsi="宋体" w:eastAsia="仿宋_GB2312" w:cs="Times New Roman"/>
          <w:color w:val="auto"/>
          <w:kern w:val="2"/>
          <w:sz w:val="21"/>
          <w:szCs w:val="21"/>
        </w:rPr>
      </w:pPr>
      <w:r>
        <w:rPr>
          <w:rFonts w:hint="eastAsia" w:ascii="仿宋_GB2312" w:hAnsi="宋体" w:eastAsia="仿宋_GB2312" w:cs="仿宋_GB2312"/>
          <w:color w:val="auto"/>
          <w:kern w:val="2"/>
          <w:sz w:val="21"/>
          <w:szCs w:val="21"/>
          <w:lang w:val="en-US" w:eastAsia="zh-CN" w:bidi="ar"/>
        </w:rPr>
        <w:t>乙方应做到合法用工，与工作人员建立合法的劳动关系，负责工作人员的工资、社会保险及其他保险的购买。乙方与其工作人员发生的一切纠纷均与甲方无关。</w:t>
      </w:r>
    </w:p>
    <w:p>
      <w:pPr>
        <w:keepNext w:val="0"/>
        <w:keepLines w:val="0"/>
        <w:widowControl w:val="0"/>
        <w:numPr>
          <w:ilvl w:val="0"/>
          <w:numId w:val="24"/>
        </w:numPr>
        <w:suppressLineNumbers w:val="0"/>
        <w:spacing w:before="0" w:beforeAutospacing="0" w:after="0" w:afterAutospacing="0" w:line="360" w:lineRule="auto"/>
        <w:ind w:left="425" w:right="0" w:hanging="425"/>
        <w:jc w:val="both"/>
        <w:rPr>
          <w:rFonts w:hint="eastAsia" w:ascii="仿宋_GB2312" w:hAnsi="宋体" w:eastAsia="仿宋_GB2312" w:cs="Times New Roman"/>
          <w:color w:val="auto"/>
          <w:kern w:val="2"/>
          <w:sz w:val="21"/>
          <w:szCs w:val="21"/>
        </w:rPr>
      </w:pPr>
      <w:r>
        <w:rPr>
          <w:rFonts w:hint="eastAsia" w:ascii="仿宋_GB2312" w:hAnsi="宋体" w:eastAsia="仿宋_GB2312" w:cs="仿宋_GB2312"/>
          <w:color w:val="auto"/>
          <w:kern w:val="2"/>
          <w:sz w:val="21"/>
          <w:szCs w:val="21"/>
          <w:lang w:val="en-US" w:eastAsia="zh-CN" w:bidi="ar"/>
        </w:rPr>
        <w:t>乙方应按照国家规定为工作人员提供合理的工作条件与保护设施，乙方工作人员在甲方场地内发生的一切意外、事故等均由乙方承担，与甲方无关。</w:t>
      </w:r>
    </w:p>
    <w:p>
      <w:pPr>
        <w:keepNext w:val="0"/>
        <w:keepLines w:val="0"/>
        <w:widowControl/>
        <w:suppressLineNumbers w:val="0"/>
        <w:spacing w:before="0" w:beforeAutospacing="0" w:after="0" w:afterAutospacing="0"/>
        <w:ind w:left="0" w:right="0"/>
        <w:jc w:val="both"/>
        <w:rPr>
          <w:rFonts w:hint="eastAsia" w:ascii="仿宋_GB2312" w:hAnsi="宋体" w:eastAsia="仿宋_GB2312" w:cs="Times New Roman"/>
          <w:color w:val="auto"/>
          <w:kern w:val="2"/>
          <w:sz w:val="28"/>
          <w:szCs w:val="28"/>
        </w:rPr>
      </w:pPr>
      <w:r>
        <w:rPr>
          <w:rFonts w:hint="eastAsia" w:ascii="仿宋_GB2312" w:hAnsi="宋体" w:eastAsia="仿宋_GB2312" w:cs="Times New Roman"/>
          <w:color w:val="auto"/>
          <w:kern w:val="2"/>
          <w:sz w:val="28"/>
          <w:szCs w:val="28"/>
          <w:lang w:val="en-US" w:eastAsia="zh-CN" w:bidi="ar"/>
        </w:rPr>
        <w:t xml:space="preserve"> </w:t>
      </w:r>
    </w:p>
    <w:p>
      <w:pPr>
        <w:widowControl/>
        <w:spacing w:line="460" w:lineRule="exact"/>
        <w:rPr>
          <w:rStyle w:val="33"/>
        </w:rPr>
      </w:pPr>
      <w:r>
        <w:rPr>
          <w:rFonts w:hint="eastAsia" w:ascii="仿宋_GB2312" w:eastAsia="仿宋_GB2312" w:cs="Times New Roman" w:hAnsiTheme="minorEastAsia"/>
          <w:b/>
          <w:bCs/>
          <w:sz w:val="28"/>
          <w:szCs w:val="28"/>
        </w:rPr>
        <w:t>附件</w:t>
      </w:r>
      <w:r>
        <w:rPr>
          <w:rFonts w:hint="eastAsia" w:ascii="仿宋_GB2312" w:eastAsia="仿宋_GB2312" w:cs="Times New Roman" w:hAnsiTheme="minorEastAsia"/>
          <w:b/>
          <w:bCs/>
          <w:sz w:val="28"/>
          <w:szCs w:val="28"/>
          <w:lang w:val="en-US" w:eastAsia="zh-CN"/>
        </w:rPr>
        <w:t>4</w:t>
      </w:r>
      <w:r>
        <w:rPr>
          <w:rFonts w:hint="eastAsia" w:ascii="仿宋_GB2312" w:eastAsia="仿宋_GB2312" w:cs="Times New Roman" w:hAnsiTheme="minorEastAsia"/>
          <w:b/>
          <w:bCs/>
          <w:sz w:val="28"/>
          <w:szCs w:val="28"/>
        </w:rPr>
        <w:t>：</w:t>
      </w:r>
      <w:r>
        <w:rPr>
          <w:rStyle w:val="33"/>
          <w:rFonts w:hint="eastAsia"/>
        </w:rPr>
        <w:t>项目建设内容</w:t>
      </w:r>
    </w:p>
    <w:tbl>
      <w:tblPr>
        <w:tblStyle w:val="21"/>
        <w:tblpPr w:leftFromText="180" w:rightFromText="180" w:vertAnchor="page" w:horzAnchor="page" w:tblpX="1894" w:tblpY="9204"/>
        <w:tblW w:w="8515" w:type="dxa"/>
        <w:tblInd w:w="0" w:type="dxa"/>
        <w:tblLayout w:type="fixed"/>
        <w:tblCellMar>
          <w:top w:w="0" w:type="dxa"/>
          <w:left w:w="108" w:type="dxa"/>
          <w:bottom w:w="0" w:type="dxa"/>
          <w:right w:w="108" w:type="dxa"/>
        </w:tblCellMar>
      </w:tblPr>
      <w:tblGrid>
        <w:gridCol w:w="1050"/>
        <w:gridCol w:w="1100"/>
        <w:gridCol w:w="4400"/>
        <w:gridCol w:w="987"/>
        <w:gridCol w:w="978"/>
      </w:tblGrid>
      <w:tr>
        <w:tblPrEx>
          <w:tblCellMar>
            <w:top w:w="0" w:type="dxa"/>
            <w:left w:w="108" w:type="dxa"/>
            <w:bottom w:w="0" w:type="dxa"/>
            <w:right w:w="108" w:type="dxa"/>
          </w:tblCellMar>
        </w:tblPrEx>
        <w:trPr>
          <w:trHeight w:val="796" w:hRule="atLeast"/>
        </w:trPr>
        <w:tc>
          <w:tcPr>
            <w:tcW w:w="105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0"/>
                <w:szCs w:val="20"/>
              </w:rPr>
            </w:pPr>
            <w:r>
              <w:rPr>
                <w:rFonts w:hint="eastAsia" w:ascii="宋体" w:hAnsi="宋体" w:eastAsia="宋体" w:cs="宋体"/>
                <w:b/>
                <w:bCs/>
                <w:color w:val="000000"/>
                <w:kern w:val="0"/>
                <w:sz w:val="20"/>
                <w:szCs w:val="20"/>
                <w:lang w:bidi="ar"/>
              </w:rPr>
              <w:t>分项名称</w:t>
            </w:r>
          </w:p>
        </w:tc>
        <w:tc>
          <w:tcPr>
            <w:tcW w:w="440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功能描述</w:t>
            </w:r>
          </w:p>
        </w:tc>
        <w:tc>
          <w:tcPr>
            <w:tcW w:w="987"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978"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r>
      <w:tr>
        <w:tblPrEx>
          <w:tblCellMar>
            <w:top w:w="0" w:type="dxa"/>
            <w:left w:w="108" w:type="dxa"/>
            <w:bottom w:w="0" w:type="dxa"/>
            <w:right w:w="108" w:type="dxa"/>
          </w:tblCellMar>
        </w:tblPrEx>
        <w:trPr>
          <w:trHeight w:val="91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4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b/>
                <w:bCs/>
                <w:color w:val="000000"/>
                <w:kern w:val="0"/>
                <w:sz w:val="20"/>
                <w:szCs w:val="20"/>
                <w:lang w:bidi="ar"/>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r>
      <w:tr>
        <w:tblPrEx>
          <w:tblCellMar>
            <w:top w:w="0" w:type="dxa"/>
            <w:left w:w="108" w:type="dxa"/>
            <w:bottom w:w="0" w:type="dxa"/>
            <w:right w:w="108" w:type="dxa"/>
          </w:tblCellMar>
        </w:tblPrEx>
        <w:trPr>
          <w:trHeight w:val="937"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4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b/>
                <w:bCs/>
                <w:color w:val="000000"/>
                <w:kern w:val="0"/>
                <w:sz w:val="20"/>
                <w:szCs w:val="20"/>
                <w:lang w:bidi="ar"/>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kern w:val="0"/>
                <w:sz w:val="20"/>
                <w:szCs w:val="20"/>
                <w:lang w:bidi="ar"/>
              </w:rPr>
            </w:pPr>
          </w:p>
        </w:tc>
      </w:tr>
    </w:tbl>
    <w:p>
      <w:pPr>
        <w:rPr>
          <w:rFonts w:hint="eastAsia" w:ascii="仿宋" w:hAnsi="仿宋" w:eastAsia="仿宋" w:cs="仿宋"/>
          <w:b/>
          <w:bCs/>
          <w:color w:val="auto"/>
          <w:kern w:val="2"/>
          <w:sz w:val="28"/>
          <w:highlight w:val="none"/>
        </w:rPr>
      </w:pPr>
      <w:r>
        <w:rPr>
          <w:rFonts w:hint="eastAsia" w:ascii="仿宋" w:hAnsi="仿宋" w:eastAsia="仿宋" w:cs="仿宋"/>
          <w:b/>
          <w:bCs/>
          <w:color w:val="auto"/>
          <w:kern w:val="2"/>
          <w:sz w:val="28"/>
          <w:highlight w:val="none"/>
        </w:rPr>
        <w:br w:type="page"/>
      </w:r>
    </w:p>
    <w:p>
      <w:pPr>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八、投标人认为需要加以说明的其他内容的格式</w:t>
      </w:r>
    </w:p>
    <w:p>
      <w:pPr>
        <w:widowControl/>
        <w:jc w:val="left"/>
        <w:rPr>
          <w:rFonts w:hint="eastAsia" w:ascii="仿宋" w:hAnsi="仿宋" w:eastAsia="仿宋" w:cs="仿宋"/>
          <w:b/>
          <w:bCs/>
          <w:color w:val="auto"/>
          <w:sz w:val="24"/>
          <w:szCs w:val="20"/>
          <w:highlight w:val="none"/>
        </w:rPr>
      </w:pPr>
    </w:p>
    <w:p>
      <w:pPr>
        <w:pStyle w:val="8"/>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8"/>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8"/>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8"/>
        <w:rPr>
          <w:rFonts w:hint="eastAsia" w:ascii="仿宋" w:hAnsi="仿宋" w:eastAsia="仿宋" w:cs="仿宋"/>
          <w:b/>
          <w:bCs/>
          <w:color w:val="auto"/>
          <w:kern w:val="2"/>
          <w:sz w:val="24"/>
          <w:szCs w:val="24"/>
          <w:highlight w:val="none"/>
          <w:lang w:val="en-US" w:eastAsia="zh-CN"/>
        </w:rPr>
      </w:pPr>
    </w:p>
    <w:p>
      <w:pPr>
        <w:pStyle w:val="28"/>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8"/>
        <w:rPr>
          <w:rFonts w:hint="eastAsia" w:ascii="仿宋" w:hAnsi="仿宋" w:eastAsia="仿宋" w:cs="仿宋"/>
          <w:b/>
          <w:bCs/>
          <w:color w:val="auto"/>
          <w:kern w:val="2"/>
          <w:sz w:val="24"/>
          <w:szCs w:val="24"/>
          <w:highlight w:val="none"/>
          <w:lang w:val="en-US" w:eastAsia="zh-CN"/>
        </w:rPr>
      </w:pPr>
    </w:p>
    <w:p>
      <w:pPr>
        <w:pStyle w:val="28"/>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8"/>
        <w:rPr>
          <w:rFonts w:hint="eastAsia" w:ascii="仿宋" w:hAnsi="仿宋" w:eastAsia="仿宋" w:cs="仿宋"/>
          <w:b/>
          <w:bCs/>
          <w:color w:val="auto"/>
          <w:kern w:val="2"/>
          <w:sz w:val="24"/>
          <w:szCs w:val="24"/>
          <w:highlight w:val="none"/>
          <w:lang w:val="en-US" w:eastAsia="zh-CN"/>
        </w:rPr>
      </w:pPr>
    </w:p>
    <w:p>
      <w:pPr>
        <w:pStyle w:val="28"/>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8"/>
        <w:rPr>
          <w:rFonts w:hint="eastAsia" w:ascii="仿宋" w:hAnsi="仿宋" w:eastAsia="仿宋" w:cs="仿宋"/>
          <w:b/>
          <w:bCs/>
          <w:color w:val="auto"/>
          <w:kern w:val="2"/>
          <w:sz w:val="24"/>
          <w:szCs w:val="24"/>
          <w:highlight w:val="none"/>
          <w:lang w:val="en-US" w:eastAsia="zh-CN"/>
        </w:rPr>
      </w:pPr>
    </w:p>
    <w:p>
      <w:pPr>
        <w:pStyle w:val="28"/>
        <w:rPr>
          <w:rFonts w:hint="eastAsia" w:ascii="仿宋" w:hAnsi="仿宋" w:eastAsia="仿宋" w:cs="仿宋"/>
          <w:b/>
          <w:bCs/>
          <w:color w:val="auto"/>
          <w:kern w:val="2"/>
          <w:sz w:val="24"/>
          <w:szCs w:val="24"/>
          <w:highlight w:val="none"/>
          <w:lang w:val="en-US" w:eastAsia="zh-CN"/>
        </w:rPr>
      </w:pPr>
    </w:p>
    <w:p>
      <w:pPr>
        <w:rPr>
          <w:rFonts w:hint="eastAsia" w:ascii="仿宋" w:hAnsi="仿宋" w:eastAsia="仿宋" w:cs="仿宋"/>
          <w:b/>
          <w:bCs/>
          <w:color w:val="auto"/>
          <w:kern w:val="2"/>
          <w:sz w:val="24"/>
          <w:szCs w:val="24"/>
          <w:highlight w:val="none"/>
          <w:lang w:val="en-US" w:eastAsia="zh-CN"/>
        </w:rPr>
      </w:pPr>
    </w:p>
    <w:p>
      <w:pPr>
        <w:pStyle w:val="8"/>
        <w:rPr>
          <w:rFonts w:hint="eastAsia" w:ascii="仿宋" w:hAnsi="仿宋" w:eastAsia="仿宋" w:cs="仿宋"/>
          <w:b/>
          <w:bCs/>
          <w:color w:val="auto"/>
          <w:kern w:val="2"/>
          <w:sz w:val="24"/>
          <w:szCs w:val="24"/>
          <w:highlight w:val="none"/>
          <w:lang w:val="en-US" w:eastAsia="zh-CN"/>
        </w:rPr>
      </w:pPr>
    </w:p>
    <w:p>
      <w:pPr>
        <w:pStyle w:val="28"/>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8"/>
        <w:rPr>
          <w:rFonts w:hint="eastAsia" w:ascii="仿宋" w:hAnsi="仿宋" w:eastAsia="仿宋" w:cs="仿宋"/>
          <w:b/>
          <w:bCs/>
          <w:kern w:val="2"/>
          <w:sz w:val="24"/>
          <w:szCs w:val="24"/>
          <w:highlight w:val="none"/>
          <w:lang w:val="en-US" w:eastAsia="zh-CN"/>
        </w:rPr>
      </w:pPr>
    </w:p>
    <w:p>
      <w:pPr>
        <w:pStyle w:val="28"/>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8"/>
        <w:rPr>
          <w:rFonts w:hint="eastAsia" w:ascii="仿宋" w:hAnsi="仿宋" w:eastAsia="仿宋" w:cs="仿宋"/>
          <w:b/>
          <w:bCs/>
          <w:kern w:val="2"/>
          <w:sz w:val="24"/>
          <w:szCs w:val="24"/>
          <w:highlight w:val="none"/>
          <w:lang w:val="en-US" w:eastAsia="zh-CN"/>
        </w:rPr>
      </w:pPr>
    </w:p>
    <w:p>
      <w:pPr>
        <w:pStyle w:val="28"/>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8"/>
        <w:rPr>
          <w:rFonts w:hint="eastAsia" w:ascii="仿宋" w:hAnsi="仿宋" w:eastAsia="仿宋" w:cs="仿宋"/>
          <w:b/>
          <w:bCs/>
          <w:kern w:val="2"/>
          <w:sz w:val="24"/>
          <w:szCs w:val="24"/>
          <w:highlight w:val="none"/>
          <w:lang w:val="en-US" w:eastAsia="zh-CN"/>
        </w:rPr>
      </w:pPr>
    </w:p>
    <w:p>
      <w:pPr>
        <w:pStyle w:val="28"/>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8"/>
        <w:rPr>
          <w:rFonts w:hint="eastAsia" w:ascii="仿宋" w:hAnsi="仿宋" w:eastAsia="仿宋" w:cs="仿宋"/>
          <w:b/>
          <w:bCs/>
          <w:kern w:val="2"/>
          <w:sz w:val="24"/>
          <w:szCs w:val="24"/>
          <w:highlight w:val="none"/>
          <w:lang w:val="en-US" w:eastAsia="zh-CN"/>
        </w:rPr>
      </w:pPr>
    </w:p>
    <w:p>
      <w:pPr>
        <w:pStyle w:val="28"/>
        <w:rPr>
          <w:rFonts w:hint="eastAsia" w:ascii="仿宋" w:hAnsi="仿宋" w:eastAsia="仿宋" w:cs="仿宋"/>
          <w:b/>
          <w:bCs/>
          <w:kern w:val="2"/>
          <w:sz w:val="24"/>
          <w:szCs w:val="24"/>
          <w:highlight w:val="none"/>
          <w:lang w:val="en-US" w:eastAsia="zh-CN"/>
        </w:rPr>
      </w:pPr>
    </w:p>
    <w:p>
      <w:pPr>
        <w:rPr>
          <w:rFonts w:hint="eastAsia" w:ascii="仿宋" w:hAnsi="仿宋" w:eastAsia="仿宋" w:cs="仿宋"/>
          <w:b/>
          <w:bCs/>
          <w:kern w:val="2"/>
          <w:sz w:val="24"/>
          <w:szCs w:val="24"/>
          <w:highlight w:val="none"/>
          <w:lang w:val="en-US" w:eastAsia="zh-CN"/>
        </w:rPr>
      </w:pPr>
    </w:p>
    <w:p>
      <w:pPr>
        <w:pStyle w:val="8"/>
        <w:rPr>
          <w:rFonts w:hint="eastAsia" w:ascii="仿宋" w:hAnsi="仿宋" w:eastAsia="仿宋" w:cs="仿宋"/>
          <w:b/>
          <w:bCs/>
          <w:kern w:val="2"/>
          <w:sz w:val="24"/>
          <w:szCs w:val="24"/>
          <w:highlight w:val="none"/>
          <w:lang w:val="en-US" w:eastAsia="zh-CN"/>
        </w:rPr>
      </w:pPr>
    </w:p>
    <w:p>
      <w:pPr>
        <w:pStyle w:val="28"/>
        <w:rPr>
          <w:rFonts w:hint="eastAsia" w:ascii="仿宋" w:hAnsi="仿宋" w:eastAsia="仿宋" w:cs="仿宋"/>
          <w:b/>
          <w:bCs/>
          <w:kern w:val="2"/>
          <w:sz w:val="24"/>
          <w:szCs w:val="24"/>
          <w:highlight w:val="none"/>
          <w:lang w:val="en-US" w:eastAsia="zh-CN"/>
        </w:rPr>
      </w:pPr>
    </w:p>
    <w:p>
      <w:pPr>
        <w:rPr>
          <w:rFonts w:hint="eastAsia"/>
          <w:highlight w:val="none"/>
          <w:lang w:val="en-US" w:eastAsia="zh-CN"/>
        </w:rPr>
      </w:pPr>
    </w:p>
    <w:p/>
    <w:p/>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39769"/>
    <w:multiLevelType w:val="multilevel"/>
    <w:tmpl w:val="9AC39769"/>
    <w:lvl w:ilvl="0" w:tentative="0">
      <w:start w:val="2"/>
      <w:numFmt w:val="chineseCountingThousand"/>
      <w:lvlText w:val="%1、"/>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1" w:tentative="0">
      <w:start w:val="1"/>
      <w:numFmt w:val="decimal"/>
      <w:lvlText w:val="%2."/>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2" w:tentative="0">
      <w:start w:val="1"/>
      <w:numFmt w:val="lowerRoman"/>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1">
    <w:nsid w:val="AB11625B"/>
    <w:multiLevelType w:val="singleLevel"/>
    <w:tmpl w:val="AB11625B"/>
    <w:lvl w:ilvl="0" w:tentative="0">
      <w:start w:val="10"/>
      <w:numFmt w:val="chineseCounting"/>
      <w:suff w:val="nothing"/>
      <w:lvlText w:val="%1、"/>
      <w:lvlJc w:val="left"/>
      <w:rPr>
        <w:rFonts w:hint="eastAsia"/>
      </w:rPr>
    </w:lvl>
  </w:abstractNum>
  <w:abstractNum w:abstractNumId="2">
    <w:nsid w:val="AECFFF1E"/>
    <w:multiLevelType w:val="multilevel"/>
    <w:tmpl w:val="AECFFF1E"/>
    <w:lvl w:ilvl="0" w:tentative="0">
      <w:start w:val="1"/>
      <w:numFmt w:val="chineseCountingThousand"/>
      <w:lvlText w:val="第%1条"/>
      <w:lvlJc w:val="left"/>
      <w:pPr>
        <w:ind w:left="57" w:hanging="57"/>
      </w:pPr>
      <w:rPr>
        <w:rFonts w:hint="eastAsia" w:ascii="宋体" w:hAnsi="宋体" w:eastAsia="宋体" w:cs="宋体"/>
        <w:sz w:val="28"/>
        <w:szCs w:val="28"/>
      </w:rPr>
    </w:lvl>
    <w:lvl w:ilvl="1" w:tentative="0">
      <w:start w:val="1"/>
      <w:numFmt w:val="lowerLetter"/>
      <w:lvlText w:val="%2)"/>
      <w:lvlJc w:val="left"/>
      <w:pPr>
        <w:ind w:left="114" w:hanging="57"/>
      </w:pPr>
      <w:rPr>
        <w:rFonts w:hint="eastAsia" w:ascii="宋体" w:hAnsi="宋体" w:eastAsia="宋体" w:cs="宋体"/>
      </w:rPr>
    </w:lvl>
    <w:lvl w:ilvl="2" w:tentative="0">
      <w:start w:val="1"/>
      <w:numFmt w:val="lowerRoman"/>
      <w:lvlText w:val="%3."/>
      <w:lvlJc w:val="right"/>
      <w:pPr>
        <w:ind w:left="171" w:hanging="57"/>
      </w:pPr>
      <w:rPr>
        <w:rFonts w:hint="eastAsia" w:ascii="宋体" w:hAnsi="宋体" w:eastAsia="宋体" w:cs="宋体"/>
      </w:rPr>
    </w:lvl>
    <w:lvl w:ilvl="3" w:tentative="0">
      <w:start w:val="1"/>
      <w:numFmt w:val="decimal"/>
      <w:lvlText w:val="%4."/>
      <w:lvlJc w:val="left"/>
      <w:pPr>
        <w:ind w:left="228" w:hanging="57"/>
      </w:pPr>
      <w:rPr>
        <w:rFonts w:hint="eastAsia" w:ascii="宋体" w:hAnsi="宋体" w:eastAsia="宋体" w:cs="宋体"/>
      </w:rPr>
    </w:lvl>
    <w:lvl w:ilvl="4" w:tentative="0">
      <w:start w:val="1"/>
      <w:numFmt w:val="lowerLetter"/>
      <w:lvlText w:val="%5)"/>
      <w:lvlJc w:val="left"/>
      <w:pPr>
        <w:ind w:left="285" w:hanging="57"/>
      </w:pPr>
      <w:rPr>
        <w:rFonts w:hint="eastAsia" w:ascii="宋体" w:hAnsi="宋体" w:eastAsia="宋体" w:cs="宋体"/>
      </w:rPr>
    </w:lvl>
    <w:lvl w:ilvl="5" w:tentative="0">
      <w:start w:val="1"/>
      <w:numFmt w:val="lowerRoman"/>
      <w:lvlText w:val="%6."/>
      <w:lvlJc w:val="right"/>
      <w:pPr>
        <w:ind w:left="342" w:hanging="57"/>
      </w:pPr>
      <w:rPr>
        <w:rFonts w:hint="eastAsia" w:ascii="宋体" w:hAnsi="宋体" w:eastAsia="宋体" w:cs="宋体"/>
      </w:rPr>
    </w:lvl>
    <w:lvl w:ilvl="6" w:tentative="0">
      <w:start w:val="1"/>
      <w:numFmt w:val="decimal"/>
      <w:lvlText w:val="%7."/>
      <w:lvlJc w:val="left"/>
      <w:pPr>
        <w:ind w:left="399" w:hanging="57"/>
      </w:pPr>
      <w:rPr>
        <w:rFonts w:hint="eastAsia" w:ascii="宋体" w:hAnsi="宋体" w:eastAsia="宋体" w:cs="宋体"/>
      </w:rPr>
    </w:lvl>
    <w:lvl w:ilvl="7" w:tentative="0">
      <w:start w:val="1"/>
      <w:numFmt w:val="lowerLetter"/>
      <w:lvlText w:val="%8)"/>
      <w:lvlJc w:val="left"/>
      <w:pPr>
        <w:ind w:left="456" w:hanging="57"/>
      </w:pPr>
      <w:rPr>
        <w:rFonts w:hint="eastAsia" w:ascii="宋体" w:hAnsi="宋体" w:eastAsia="宋体" w:cs="宋体"/>
      </w:rPr>
    </w:lvl>
    <w:lvl w:ilvl="8" w:tentative="0">
      <w:start w:val="1"/>
      <w:numFmt w:val="lowerRoman"/>
      <w:lvlText w:val="%9."/>
      <w:lvlJc w:val="right"/>
      <w:pPr>
        <w:ind w:left="513" w:hanging="57"/>
      </w:pPr>
      <w:rPr>
        <w:rFonts w:hint="eastAsia" w:ascii="宋体" w:hAnsi="宋体" w:eastAsia="宋体" w:cs="宋体"/>
      </w:rPr>
    </w:lvl>
  </w:abstractNum>
  <w:abstractNum w:abstractNumId="3">
    <w:nsid w:val="B3758E4B"/>
    <w:multiLevelType w:val="singleLevel"/>
    <w:tmpl w:val="B3758E4B"/>
    <w:lvl w:ilvl="0" w:tentative="0">
      <w:start w:val="1"/>
      <w:numFmt w:val="decimal"/>
      <w:lvlText w:val="%1."/>
      <w:lvlJc w:val="left"/>
      <w:pPr>
        <w:ind w:left="845" w:hanging="425"/>
      </w:pPr>
      <w:rPr>
        <w:rFonts w:hint="default"/>
      </w:rPr>
    </w:lvl>
  </w:abstractNum>
  <w:abstractNum w:abstractNumId="4">
    <w:nsid w:val="B37B4641"/>
    <w:multiLevelType w:val="singleLevel"/>
    <w:tmpl w:val="B37B4641"/>
    <w:lvl w:ilvl="0" w:tentative="0">
      <w:start w:val="2"/>
      <w:numFmt w:val="decimal"/>
      <w:lvlText w:val="%1."/>
      <w:lvlJc w:val="left"/>
      <w:pPr>
        <w:tabs>
          <w:tab w:val="left" w:pos="312"/>
        </w:tabs>
      </w:pPr>
    </w:lvl>
  </w:abstractNum>
  <w:abstractNum w:abstractNumId="5">
    <w:nsid w:val="C7CC692D"/>
    <w:multiLevelType w:val="multilevel"/>
    <w:tmpl w:val="C7CC692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D30B7FBA"/>
    <w:multiLevelType w:val="singleLevel"/>
    <w:tmpl w:val="D30B7FBA"/>
    <w:lvl w:ilvl="0" w:tentative="0">
      <w:start w:val="1"/>
      <w:numFmt w:val="decimal"/>
      <w:lvlText w:val="%1."/>
      <w:lvlJc w:val="left"/>
      <w:pPr>
        <w:ind w:left="845" w:hanging="425"/>
      </w:pPr>
      <w:rPr>
        <w:rFonts w:hint="default"/>
      </w:rPr>
    </w:lvl>
  </w:abstractNum>
  <w:abstractNum w:abstractNumId="7">
    <w:nsid w:val="D4F5C243"/>
    <w:multiLevelType w:val="singleLevel"/>
    <w:tmpl w:val="D4F5C243"/>
    <w:lvl w:ilvl="0" w:tentative="0">
      <w:start w:val="1"/>
      <w:numFmt w:val="chineseCounting"/>
      <w:suff w:val="nothing"/>
      <w:lvlText w:val="（%1）"/>
      <w:lvlJc w:val="left"/>
      <w:rPr>
        <w:rFonts w:hint="eastAsia"/>
      </w:rPr>
    </w:lvl>
  </w:abstractNum>
  <w:abstractNum w:abstractNumId="8">
    <w:nsid w:val="D75137E6"/>
    <w:multiLevelType w:val="multilevel"/>
    <w:tmpl w:val="D75137E6"/>
    <w:lvl w:ilvl="0" w:tentative="0">
      <w:start w:val="1"/>
      <w:numFmt w:val="decimal"/>
      <w:lvlText w:val="%1."/>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1" w:tentative="0">
      <w:start w:val="1"/>
      <w:numFmt w:val="decimal"/>
      <w:lvlText w:val="%2."/>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2" w:tentative="0">
      <w:start w:val="1"/>
      <w:numFmt w:val="lowerRoman"/>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9">
    <w:nsid w:val="D91F9250"/>
    <w:multiLevelType w:val="multilevel"/>
    <w:tmpl w:val="D91F9250"/>
    <w:lvl w:ilvl="0" w:tentative="0">
      <w:start w:val="1"/>
      <w:numFmt w:val="chineseCountingThousand"/>
      <w:lvlText w:val="%1、"/>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1" w:tentative="0">
      <w:start w:val="1"/>
      <w:numFmt w:val="decimal"/>
      <w:lvlText w:val="%2."/>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2" w:tentative="0">
      <w:start w:val="1"/>
      <w:numFmt w:val="lowerRoman"/>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10">
    <w:nsid w:val="E5840575"/>
    <w:multiLevelType w:val="multilevel"/>
    <w:tmpl w:val="E5840575"/>
    <w:lvl w:ilvl="0" w:tentative="0">
      <w:start w:val="2"/>
      <w:numFmt w:val="chineseCountingThousand"/>
      <w:lvlText w:val="%1、"/>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1" w:tentative="0">
      <w:start w:val="1"/>
      <w:numFmt w:val="decimal"/>
      <w:lvlText w:val="%2."/>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2" w:tentative="0">
      <w:start w:val="1"/>
      <w:numFmt w:val="lowerRoman"/>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11">
    <w:nsid w:val="E823489C"/>
    <w:multiLevelType w:val="singleLevel"/>
    <w:tmpl w:val="E823489C"/>
    <w:lvl w:ilvl="0" w:tentative="0">
      <w:start w:val="1"/>
      <w:numFmt w:val="decimal"/>
      <w:lvlText w:val="%1."/>
      <w:lvlJc w:val="left"/>
      <w:pPr>
        <w:ind w:left="425" w:hanging="425"/>
      </w:pPr>
      <w:rPr>
        <w:rFonts w:hint="default"/>
      </w:rPr>
    </w:lvl>
  </w:abstractNum>
  <w:abstractNum w:abstractNumId="12">
    <w:nsid w:val="FD39C915"/>
    <w:multiLevelType w:val="singleLevel"/>
    <w:tmpl w:val="FD39C915"/>
    <w:lvl w:ilvl="0" w:tentative="0">
      <w:start w:val="1"/>
      <w:numFmt w:val="decimal"/>
      <w:lvlText w:val="%1."/>
      <w:lvlJc w:val="left"/>
      <w:pPr>
        <w:ind w:left="845" w:hanging="425"/>
      </w:pPr>
      <w:rPr>
        <w:rFonts w:hint="default"/>
      </w:rPr>
    </w:lvl>
  </w:abstractNum>
  <w:abstractNum w:abstractNumId="13">
    <w:nsid w:val="001D4ABB"/>
    <w:multiLevelType w:val="singleLevel"/>
    <w:tmpl w:val="001D4ABB"/>
    <w:lvl w:ilvl="0" w:tentative="0">
      <w:start w:val="1"/>
      <w:numFmt w:val="decimal"/>
      <w:lvlText w:val="%1."/>
      <w:lvlJc w:val="left"/>
      <w:pPr>
        <w:ind w:left="845" w:hanging="425"/>
      </w:pPr>
      <w:rPr>
        <w:rFonts w:hint="default"/>
      </w:rPr>
    </w:lvl>
  </w:abstractNum>
  <w:abstractNum w:abstractNumId="14">
    <w:nsid w:val="09E13563"/>
    <w:multiLevelType w:val="multilevel"/>
    <w:tmpl w:val="09E13563"/>
    <w:lvl w:ilvl="0" w:tentative="0">
      <w:start w:val="1"/>
      <w:numFmt w:val="decimal"/>
      <w:lvlText w:val="%1."/>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1" w:tentative="0">
      <w:start w:val="1"/>
      <w:numFmt w:val="decimal"/>
      <w:lvlText w:val="%2."/>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2" w:tentative="0">
      <w:start w:val="1"/>
      <w:numFmt w:val="lowerRoman"/>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15">
    <w:nsid w:val="10A861F8"/>
    <w:multiLevelType w:val="singleLevel"/>
    <w:tmpl w:val="10A861F8"/>
    <w:lvl w:ilvl="0" w:tentative="0">
      <w:start w:val="1"/>
      <w:numFmt w:val="decimal"/>
      <w:lvlText w:val="%1."/>
      <w:lvlJc w:val="left"/>
      <w:pPr>
        <w:ind w:left="845" w:hanging="425"/>
      </w:pPr>
      <w:rPr>
        <w:rFonts w:hint="default"/>
      </w:rPr>
    </w:lvl>
  </w:abstractNum>
  <w:abstractNum w:abstractNumId="16">
    <w:nsid w:val="18290765"/>
    <w:multiLevelType w:val="multilevel"/>
    <w:tmpl w:val="18290765"/>
    <w:lvl w:ilvl="0" w:tentative="0">
      <w:start w:val="1"/>
      <w:numFmt w:val="decimal"/>
      <w:lvlText w:val="%1."/>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1" w:tentative="0">
      <w:start w:val="1"/>
      <w:numFmt w:val="decimal"/>
      <w:lvlText w:val="%2."/>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2" w:tentative="0">
      <w:start w:val="1"/>
      <w:numFmt w:val="lowerRoman"/>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17">
    <w:nsid w:val="296F2EC0"/>
    <w:multiLevelType w:val="singleLevel"/>
    <w:tmpl w:val="296F2EC0"/>
    <w:lvl w:ilvl="0" w:tentative="0">
      <w:start w:val="2"/>
      <w:numFmt w:val="chineseCounting"/>
      <w:suff w:val="nothing"/>
      <w:lvlText w:val="%1、"/>
      <w:lvlJc w:val="left"/>
      <w:rPr>
        <w:rFonts w:hint="eastAsia"/>
      </w:rPr>
    </w:lvl>
  </w:abstractNum>
  <w:abstractNum w:abstractNumId="18">
    <w:nsid w:val="2AA4A5C2"/>
    <w:multiLevelType w:val="multilevel"/>
    <w:tmpl w:val="2AA4A5C2"/>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9">
    <w:nsid w:val="3BA0D028"/>
    <w:multiLevelType w:val="singleLevel"/>
    <w:tmpl w:val="3BA0D028"/>
    <w:lvl w:ilvl="0" w:tentative="0">
      <w:start w:val="1"/>
      <w:numFmt w:val="decimal"/>
      <w:lvlText w:val="%1."/>
      <w:lvlJc w:val="left"/>
      <w:pPr>
        <w:ind w:left="845" w:hanging="425"/>
      </w:pPr>
      <w:rPr>
        <w:rFonts w:hint="default"/>
      </w:rPr>
    </w:lvl>
  </w:abstractNum>
  <w:abstractNum w:abstractNumId="20">
    <w:nsid w:val="61E32593"/>
    <w:multiLevelType w:val="singleLevel"/>
    <w:tmpl w:val="61E32593"/>
    <w:lvl w:ilvl="0" w:tentative="0">
      <w:start w:val="1"/>
      <w:numFmt w:val="decimal"/>
      <w:lvlText w:val="%1."/>
      <w:lvlJc w:val="left"/>
      <w:pPr>
        <w:ind w:left="845" w:hanging="425"/>
      </w:pPr>
      <w:rPr>
        <w:rFonts w:hint="default"/>
      </w:rPr>
    </w:lvl>
  </w:abstractNum>
  <w:abstractNum w:abstractNumId="21">
    <w:nsid w:val="6CEABDE5"/>
    <w:multiLevelType w:val="multilevel"/>
    <w:tmpl w:val="6CEABDE5"/>
    <w:lvl w:ilvl="0" w:tentative="0">
      <w:start w:val="2"/>
      <w:numFmt w:val="chineseCountingThousand"/>
      <w:lvlText w:val="%1、"/>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1" w:tentative="0">
      <w:start w:val="1"/>
      <w:numFmt w:val="decimal"/>
      <w:lvlText w:val="%2."/>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2" w:tentative="0">
      <w:start w:val="1"/>
      <w:numFmt w:val="lowerRoman"/>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22">
    <w:nsid w:val="764FD3E8"/>
    <w:multiLevelType w:val="singleLevel"/>
    <w:tmpl w:val="764FD3E8"/>
    <w:lvl w:ilvl="0" w:tentative="0">
      <w:start w:val="1"/>
      <w:numFmt w:val="decimal"/>
      <w:lvlText w:val="%1."/>
      <w:lvlJc w:val="left"/>
      <w:pPr>
        <w:ind w:left="845" w:hanging="425"/>
      </w:pPr>
      <w:rPr>
        <w:rFonts w:hint="default"/>
      </w:rPr>
    </w:lvl>
  </w:abstractNum>
  <w:abstractNum w:abstractNumId="23">
    <w:nsid w:val="7C6E3A51"/>
    <w:multiLevelType w:val="multilevel"/>
    <w:tmpl w:val="7C6E3A51"/>
    <w:lvl w:ilvl="0" w:tentative="0">
      <w:start w:val="2"/>
      <w:numFmt w:val="chineseCountingThousand"/>
      <w:lvlText w:val="%1、"/>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1" w:tentative="0">
      <w:start w:val="1"/>
      <w:numFmt w:val="decimal"/>
      <w:lvlText w:val="%2."/>
      <w:lvlJc w:val="left"/>
      <w:pPr>
        <w:tabs>
          <w:tab w:val="left" w:pos="510"/>
        </w:tabs>
        <w:ind w:left="510" w:hanging="510"/>
      </w:pPr>
      <w:rPr>
        <w:rFonts w:hint="default" w:ascii="Times New Roman" w:hAnsi="Times New Roman" w:cs="Times New Roman"/>
        <w:b w:val="0"/>
        <w:i w:val="0"/>
        <w:caps w:val="0"/>
        <w:color w:val="000000"/>
        <w:spacing w:val="0"/>
        <w:sz w:val="24"/>
        <w:szCs w:val="24"/>
      </w:rPr>
    </w:lvl>
    <w:lvl w:ilvl="2" w:tentative="0">
      <w:start w:val="1"/>
      <w:numFmt w:val="lowerRoman"/>
      <w:lvlText w:val="%3."/>
      <w:lvlJc w:val="righ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num w:numId="1">
    <w:abstractNumId w:val="7"/>
  </w:num>
  <w:num w:numId="2">
    <w:abstractNumId w:val="11"/>
  </w:num>
  <w:num w:numId="3">
    <w:abstractNumId w:val="17"/>
  </w:num>
  <w:num w:numId="4">
    <w:abstractNumId w:val="1"/>
  </w:num>
  <w:num w:numId="5">
    <w:abstractNumId w:val="5"/>
  </w:num>
  <w:num w:numId="6">
    <w:abstractNumId w:val="15"/>
  </w:num>
  <w:num w:numId="7">
    <w:abstractNumId w:val="3"/>
  </w:num>
  <w:num w:numId="8">
    <w:abstractNumId w:val="6"/>
  </w:num>
  <w:num w:numId="9">
    <w:abstractNumId w:val="22"/>
  </w:num>
  <w:num w:numId="10">
    <w:abstractNumId w:val="13"/>
  </w:num>
  <w:num w:numId="11">
    <w:abstractNumId w:val="20"/>
  </w:num>
  <w:num w:numId="12">
    <w:abstractNumId w:val="19"/>
  </w:num>
  <w:num w:numId="13">
    <w:abstractNumId w:val="12"/>
  </w:num>
  <w:num w:numId="14">
    <w:abstractNumId w:val="4"/>
  </w:num>
  <w:num w:numId="15">
    <w:abstractNumId w:val="2"/>
  </w:num>
  <w:num w:numId="16">
    <w:abstractNumId w:val="14"/>
  </w:num>
  <w:num w:numId="17">
    <w:abstractNumId w:val="16"/>
  </w:num>
  <w:num w:numId="18">
    <w:abstractNumId w:val="9"/>
  </w:num>
  <w:num w:numId="19">
    <w:abstractNumId w:val="8"/>
  </w:num>
  <w:num w:numId="20">
    <w:abstractNumId w:val="21"/>
  </w:num>
  <w:num w:numId="21">
    <w:abstractNumId w:val="0"/>
  </w:num>
  <w:num w:numId="22">
    <w:abstractNumId w:val="23"/>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OTYxMGNjZWQ2NWRkNDIxZWM1ZDAxODQ5MTg2MjA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257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311EF4"/>
    <w:rsid w:val="015D7E66"/>
    <w:rsid w:val="01CA5CC8"/>
    <w:rsid w:val="02070CCA"/>
    <w:rsid w:val="02510197"/>
    <w:rsid w:val="029D3A65"/>
    <w:rsid w:val="029E28CC"/>
    <w:rsid w:val="02FD73D9"/>
    <w:rsid w:val="03AD764F"/>
    <w:rsid w:val="03F34A98"/>
    <w:rsid w:val="040D7160"/>
    <w:rsid w:val="04180F6C"/>
    <w:rsid w:val="04517188"/>
    <w:rsid w:val="04581CB1"/>
    <w:rsid w:val="049A7A55"/>
    <w:rsid w:val="04A163D8"/>
    <w:rsid w:val="04F24EFB"/>
    <w:rsid w:val="04F31768"/>
    <w:rsid w:val="0523406D"/>
    <w:rsid w:val="05317378"/>
    <w:rsid w:val="06020126"/>
    <w:rsid w:val="06050740"/>
    <w:rsid w:val="066227F4"/>
    <w:rsid w:val="06653E23"/>
    <w:rsid w:val="07100225"/>
    <w:rsid w:val="07A07BF6"/>
    <w:rsid w:val="07F949EC"/>
    <w:rsid w:val="07FC1113"/>
    <w:rsid w:val="0822685D"/>
    <w:rsid w:val="08AF3684"/>
    <w:rsid w:val="08C65FB7"/>
    <w:rsid w:val="08D7672D"/>
    <w:rsid w:val="09722ECD"/>
    <w:rsid w:val="09862E1C"/>
    <w:rsid w:val="09A137B2"/>
    <w:rsid w:val="09EA6E37"/>
    <w:rsid w:val="0A0106F5"/>
    <w:rsid w:val="0A0807A0"/>
    <w:rsid w:val="0A310FDA"/>
    <w:rsid w:val="0A426DC6"/>
    <w:rsid w:val="0A6F1B02"/>
    <w:rsid w:val="0AC70AC2"/>
    <w:rsid w:val="0B1701D0"/>
    <w:rsid w:val="0B5F1B77"/>
    <w:rsid w:val="0B9C2483"/>
    <w:rsid w:val="0BC11EE9"/>
    <w:rsid w:val="0BFC73BE"/>
    <w:rsid w:val="0C032502"/>
    <w:rsid w:val="0C141EDE"/>
    <w:rsid w:val="0C193AD3"/>
    <w:rsid w:val="0C34090D"/>
    <w:rsid w:val="0C467474"/>
    <w:rsid w:val="0C662A91"/>
    <w:rsid w:val="0CAC2BC9"/>
    <w:rsid w:val="0CEA5470"/>
    <w:rsid w:val="0D501777"/>
    <w:rsid w:val="0D7F02AE"/>
    <w:rsid w:val="0DB708FE"/>
    <w:rsid w:val="0DE95727"/>
    <w:rsid w:val="0DFF46DE"/>
    <w:rsid w:val="0E0D4AF2"/>
    <w:rsid w:val="0E400B9F"/>
    <w:rsid w:val="0EB86FCD"/>
    <w:rsid w:val="0EBE3E7B"/>
    <w:rsid w:val="0EF83E74"/>
    <w:rsid w:val="0F19203C"/>
    <w:rsid w:val="0F264E85"/>
    <w:rsid w:val="0F2F360E"/>
    <w:rsid w:val="0F9D4A1B"/>
    <w:rsid w:val="0FC24482"/>
    <w:rsid w:val="10887348"/>
    <w:rsid w:val="10C852A7"/>
    <w:rsid w:val="11482EF1"/>
    <w:rsid w:val="11F701D1"/>
    <w:rsid w:val="11FA7F03"/>
    <w:rsid w:val="12176D07"/>
    <w:rsid w:val="12822D02"/>
    <w:rsid w:val="12E76E7A"/>
    <w:rsid w:val="13462C5D"/>
    <w:rsid w:val="14103A0E"/>
    <w:rsid w:val="145E012F"/>
    <w:rsid w:val="147E0AD7"/>
    <w:rsid w:val="14A01236"/>
    <w:rsid w:val="15007F26"/>
    <w:rsid w:val="150317C5"/>
    <w:rsid w:val="156102B8"/>
    <w:rsid w:val="15903C4E"/>
    <w:rsid w:val="15C745A0"/>
    <w:rsid w:val="16687697"/>
    <w:rsid w:val="17684DD0"/>
    <w:rsid w:val="17775829"/>
    <w:rsid w:val="17C91873"/>
    <w:rsid w:val="17EF7DDE"/>
    <w:rsid w:val="17F65CCC"/>
    <w:rsid w:val="17FE49B9"/>
    <w:rsid w:val="18143A6B"/>
    <w:rsid w:val="185C1918"/>
    <w:rsid w:val="186D1B4E"/>
    <w:rsid w:val="18AC5CCF"/>
    <w:rsid w:val="18C71761"/>
    <w:rsid w:val="18CC0DEB"/>
    <w:rsid w:val="18F3507E"/>
    <w:rsid w:val="18F51424"/>
    <w:rsid w:val="19091C4A"/>
    <w:rsid w:val="191507CB"/>
    <w:rsid w:val="19314B52"/>
    <w:rsid w:val="196A18F4"/>
    <w:rsid w:val="19AF7825"/>
    <w:rsid w:val="19C568A1"/>
    <w:rsid w:val="19D44C1D"/>
    <w:rsid w:val="1A1D50D7"/>
    <w:rsid w:val="1A3F504D"/>
    <w:rsid w:val="1B0E2C71"/>
    <w:rsid w:val="1B647730"/>
    <w:rsid w:val="1B827729"/>
    <w:rsid w:val="1BB07BC9"/>
    <w:rsid w:val="1BC23B09"/>
    <w:rsid w:val="1BD67990"/>
    <w:rsid w:val="1BEB6C53"/>
    <w:rsid w:val="1C0320AA"/>
    <w:rsid w:val="1C6E6FD2"/>
    <w:rsid w:val="1C7D15FF"/>
    <w:rsid w:val="1C8C6544"/>
    <w:rsid w:val="1CAB4C1C"/>
    <w:rsid w:val="1CD04AB7"/>
    <w:rsid w:val="1D274CCD"/>
    <w:rsid w:val="1D550FDE"/>
    <w:rsid w:val="1D5C581B"/>
    <w:rsid w:val="1D6E4E35"/>
    <w:rsid w:val="1E393459"/>
    <w:rsid w:val="1E7B23CC"/>
    <w:rsid w:val="1F3233D2"/>
    <w:rsid w:val="1F6115C2"/>
    <w:rsid w:val="1F6E3CDF"/>
    <w:rsid w:val="201B5C14"/>
    <w:rsid w:val="20612D7F"/>
    <w:rsid w:val="20765736"/>
    <w:rsid w:val="20D44015"/>
    <w:rsid w:val="20DD55C0"/>
    <w:rsid w:val="210A2DBD"/>
    <w:rsid w:val="21721D94"/>
    <w:rsid w:val="21E474E6"/>
    <w:rsid w:val="2231143C"/>
    <w:rsid w:val="2245341D"/>
    <w:rsid w:val="22574EFE"/>
    <w:rsid w:val="22882FEA"/>
    <w:rsid w:val="22EB3FC4"/>
    <w:rsid w:val="23476D20"/>
    <w:rsid w:val="23614286"/>
    <w:rsid w:val="236379CA"/>
    <w:rsid w:val="237B69CA"/>
    <w:rsid w:val="23CD3AA8"/>
    <w:rsid w:val="23DE7685"/>
    <w:rsid w:val="24030E99"/>
    <w:rsid w:val="242125EF"/>
    <w:rsid w:val="24377ED0"/>
    <w:rsid w:val="244553D1"/>
    <w:rsid w:val="24912949"/>
    <w:rsid w:val="24E0742D"/>
    <w:rsid w:val="251175E6"/>
    <w:rsid w:val="254C061E"/>
    <w:rsid w:val="2556149D"/>
    <w:rsid w:val="258B0A44"/>
    <w:rsid w:val="25BB0CC3"/>
    <w:rsid w:val="25EA2F9C"/>
    <w:rsid w:val="26226C5D"/>
    <w:rsid w:val="2663431E"/>
    <w:rsid w:val="26FA72C2"/>
    <w:rsid w:val="270E64D3"/>
    <w:rsid w:val="27677991"/>
    <w:rsid w:val="279462AC"/>
    <w:rsid w:val="27C24117"/>
    <w:rsid w:val="27F914BD"/>
    <w:rsid w:val="28553C8E"/>
    <w:rsid w:val="28790EF5"/>
    <w:rsid w:val="28C92CBB"/>
    <w:rsid w:val="28DC7F0B"/>
    <w:rsid w:val="28E868B0"/>
    <w:rsid w:val="290C4C94"/>
    <w:rsid w:val="294C6E3F"/>
    <w:rsid w:val="29CE1F49"/>
    <w:rsid w:val="29FE21D6"/>
    <w:rsid w:val="2A027E45"/>
    <w:rsid w:val="2A9E23A4"/>
    <w:rsid w:val="2ABB0720"/>
    <w:rsid w:val="2B0653EC"/>
    <w:rsid w:val="2B856638"/>
    <w:rsid w:val="2B9E2342"/>
    <w:rsid w:val="2BE07D12"/>
    <w:rsid w:val="2C0A4D8F"/>
    <w:rsid w:val="2C385076"/>
    <w:rsid w:val="2C5801F0"/>
    <w:rsid w:val="2C9A4365"/>
    <w:rsid w:val="2C9A7A52"/>
    <w:rsid w:val="2D5B3AF4"/>
    <w:rsid w:val="2DE112C4"/>
    <w:rsid w:val="2E183793"/>
    <w:rsid w:val="2EA517D6"/>
    <w:rsid w:val="2EAD348A"/>
    <w:rsid w:val="2EBE0EDE"/>
    <w:rsid w:val="2F1C5505"/>
    <w:rsid w:val="2F803CE6"/>
    <w:rsid w:val="304412AC"/>
    <w:rsid w:val="304A60A2"/>
    <w:rsid w:val="30AE03DF"/>
    <w:rsid w:val="30D52DBA"/>
    <w:rsid w:val="30E402A4"/>
    <w:rsid w:val="30E43E01"/>
    <w:rsid w:val="30E67B79"/>
    <w:rsid w:val="316769E0"/>
    <w:rsid w:val="31BD7D7C"/>
    <w:rsid w:val="32672904"/>
    <w:rsid w:val="32A0619D"/>
    <w:rsid w:val="3309293E"/>
    <w:rsid w:val="33922D7B"/>
    <w:rsid w:val="33C148CD"/>
    <w:rsid w:val="342509B8"/>
    <w:rsid w:val="3542559A"/>
    <w:rsid w:val="356B157C"/>
    <w:rsid w:val="35A707EA"/>
    <w:rsid w:val="35B2271F"/>
    <w:rsid w:val="368C11C2"/>
    <w:rsid w:val="36F32FEF"/>
    <w:rsid w:val="37C82C94"/>
    <w:rsid w:val="37EB6F48"/>
    <w:rsid w:val="38C718C7"/>
    <w:rsid w:val="39A56EBD"/>
    <w:rsid w:val="3A744536"/>
    <w:rsid w:val="3AB1338A"/>
    <w:rsid w:val="3B141786"/>
    <w:rsid w:val="3B2F036E"/>
    <w:rsid w:val="3B385475"/>
    <w:rsid w:val="3B787B31"/>
    <w:rsid w:val="3BFA6B84"/>
    <w:rsid w:val="3C1108C0"/>
    <w:rsid w:val="3C3C2D43"/>
    <w:rsid w:val="3CC147F6"/>
    <w:rsid w:val="3CE703C8"/>
    <w:rsid w:val="3D367D36"/>
    <w:rsid w:val="3D9803AD"/>
    <w:rsid w:val="3DD75110"/>
    <w:rsid w:val="3DDB63EB"/>
    <w:rsid w:val="3EAA55A5"/>
    <w:rsid w:val="3EC519A3"/>
    <w:rsid w:val="3F623810"/>
    <w:rsid w:val="3FA255B3"/>
    <w:rsid w:val="400F4B9B"/>
    <w:rsid w:val="4010076E"/>
    <w:rsid w:val="406749C8"/>
    <w:rsid w:val="407C22A8"/>
    <w:rsid w:val="41847666"/>
    <w:rsid w:val="41AB4D3E"/>
    <w:rsid w:val="41C061C4"/>
    <w:rsid w:val="41E74672"/>
    <w:rsid w:val="42066D19"/>
    <w:rsid w:val="431D791B"/>
    <w:rsid w:val="435A3A27"/>
    <w:rsid w:val="43A01E09"/>
    <w:rsid w:val="43E21F24"/>
    <w:rsid w:val="43F809F6"/>
    <w:rsid w:val="44784B34"/>
    <w:rsid w:val="44D77AAC"/>
    <w:rsid w:val="44DE52DF"/>
    <w:rsid w:val="44EE727B"/>
    <w:rsid w:val="44FC223A"/>
    <w:rsid w:val="453A628D"/>
    <w:rsid w:val="456450B8"/>
    <w:rsid w:val="45BE3CD9"/>
    <w:rsid w:val="45CB1F02"/>
    <w:rsid w:val="467A5994"/>
    <w:rsid w:val="46E62229"/>
    <w:rsid w:val="46FE3A16"/>
    <w:rsid w:val="4762530A"/>
    <w:rsid w:val="47717F92"/>
    <w:rsid w:val="4797200E"/>
    <w:rsid w:val="493354CD"/>
    <w:rsid w:val="497F0713"/>
    <w:rsid w:val="49E21C9A"/>
    <w:rsid w:val="4A1238E7"/>
    <w:rsid w:val="4A155AE7"/>
    <w:rsid w:val="4A162E25"/>
    <w:rsid w:val="4B307F16"/>
    <w:rsid w:val="4B3B50B5"/>
    <w:rsid w:val="4B475260"/>
    <w:rsid w:val="4B5856BF"/>
    <w:rsid w:val="4B8B7843"/>
    <w:rsid w:val="4C7B6174"/>
    <w:rsid w:val="4D8207D1"/>
    <w:rsid w:val="4DB049AC"/>
    <w:rsid w:val="4DD70B1D"/>
    <w:rsid w:val="4E2850FC"/>
    <w:rsid w:val="4E5E2FEC"/>
    <w:rsid w:val="4E910D5D"/>
    <w:rsid w:val="4EE259CC"/>
    <w:rsid w:val="4EE651AB"/>
    <w:rsid w:val="4FBD3D43"/>
    <w:rsid w:val="4FFFEDC3"/>
    <w:rsid w:val="503874F1"/>
    <w:rsid w:val="50A53155"/>
    <w:rsid w:val="511531C6"/>
    <w:rsid w:val="512F0C70"/>
    <w:rsid w:val="516E1798"/>
    <w:rsid w:val="51956D25"/>
    <w:rsid w:val="51A159FE"/>
    <w:rsid w:val="52287B99"/>
    <w:rsid w:val="52333AA7"/>
    <w:rsid w:val="52410C5B"/>
    <w:rsid w:val="5269450D"/>
    <w:rsid w:val="526E3F03"/>
    <w:rsid w:val="52701540"/>
    <w:rsid w:val="529671F9"/>
    <w:rsid w:val="52992845"/>
    <w:rsid w:val="52F01F04"/>
    <w:rsid w:val="533864BD"/>
    <w:rsid w:val="53A76E67"/>
    <w:rsid w:val="547D1CF3"/>
    <w:rsid w:val="54975D21"/>
    <w:rsid w:val="54BF4E56"/>
    <w:rsid w:val="5503044A"/>
    <w:rsid w:val="56080135"/>
    <w:rsid w:val="562C577E"/>
    <w:rsid w:val="567809C3"/>
    <w:rsid w:val="56CD51B3"/>
    <w:rsid w:val="56EA7C57"/>
    <w:rsid w:val="5708128F"/>
    <w:rsid w:val="57340D8E"/>
    <w:rsid w:val="573A3ECB"/>
    <w:rsid w:val="575B02ED"/>
    <w:rsid w:val="57614FE6"/>
    <w:rsid w:val="57EE5AE8"/>
    <w:rsid w:val="5834070E"/>
    <w:rsid w:val="5866703A"/>
    <w:rsid w:val="58AE4B70"/>
    <w:rsid w:val="58D8399B"/>
    <w:rsid w:val="595465EE"/>
    <w:rsid w:val="598002BB"/>
    <w:rsid w:val="5A0C1B4F"/>
    <w:rsid w:val="5A837DC1"/>
    <w:rsid w:val="5ABF12B7"/>
    <w:rsid w:val="5B3F505C"/>
    <w:rsid w:val="5B40223A"/>
    <w:rsid w:val="5B4E6197"/>
    <w:rsid w:val="5B500161"/>
    <w:rsid w:val="5BE57E36"/>
    <w:rsid w:val="5C882305"/>
    <w:rsid w:val="5D4B0128"/>
    <w:rsid w:val="5D6B1282"/>
    <w:rsid w:val="5D705536"/>
    <w:rsid w:val="5D7212B5"/>
    <w:rsid w:val="5E0A2849"/>
    <w:rsid w:val="5E3E6CDB"/>
    <w:rsid w:val="5E6A32E8"/>
    <w:rsid w:val="5E8048B9"/>
    <w:rsid w:val="5E940365"/>
    <w:rsid w:val="5E95226E"/>
    <w:rsid w:val="5EA66A16"/>
    <w:rsid w:val="5ED54C05"/>
    <w:rsid w:val="5F381638"/>
    <w:rsid w:val="5F8F2016"/>
    <w:rsid w:val="5FA016B7"/>
    <w:rsid w:val="60031CB2"/>
    <w:rsid w:val="608368E3"/>
    <w:rsid w:val="60C413D5"/>
    <w:rsid w:val="60CC1753"/>
    <w:rsid w:val="60D96503"/>
    <w:rsid w:val="6111668E"/>
    <w:rsid w:val="615B6F6B"/>
    <w:rsid w:val="623E27EF"/>
    <w:rsid w:val="62433AFB"/>
    <w:rsid w:val="62D578C9"/>
    <w:rsid w:val="63422A85"/>
    <w:rsid w:val="63736D0F"/>
    <w:rsid w:val="63EC046F"/>
    <w:rsid w:val="64041E8E"/>
    <w:rsid w:val="6470717E"/>
    <w:rsid w:val="649D4417"/>
    <w:rsid w:val="65393A14"/>
    <w:rsid w:val="655D6C47"/>
    <w:rsid w:val="658E3D60"/>
    <w:rsid w:val="658F2B3B"/>
    <w:rsid w:val="65BD63F3"/>
    <w:rsid w:val="662D5327"/>
    <w:rsid w:val="66361BAE"/>
    <w:rsid w:val="663F505A"/>
    <w:rsid w:val="66521231"/>
    <w:rsid w:val="666F1DE3"/>
    <w:rsid w:val="66AA05FC"/>
    <w:rsid w:val="66FE6C82"/>
    <w:rsid w:val="6764746E"/>
    <w:rsid w:val="682664D1"/>
    <w:rsid w:val="68297D70"/>
    <w:rsid w:val="685665D7"/>
    <w:rsid w:val="69006D22"/>
    <w:rsid w:val="69056046"/>
    <w:rsid w:val="69111763"/>
    <w:rsid w:val="69823BDB"/>
    <w:rsid w:val="69B31FE7"/>
    <w:rsid w:val="69E51C4B"/>
    <w:rsid w:val="6A225D48"/>
    <w:rsid w:val="6A2829D5"/>
    <w:rsid w:val="6A2C3B47"/>
    <w:rsid w:val="6AC36259"/>
    <w:rsid w:val="6ADF0BB9"/>
    <w:rsid w:val="6AF97ECD"/>
    <w:rsid w:val="6B3C7509"/>
    <w:rsid w:val="6B67752D"/>
    <w:rsid w:val="6B6F1F3D"/>
    <w:rsid w:val="6B7645C5"/>
    <w:rsid w:val="6B8A321B"/>
    <w:rsid w:val="6C430180"/>
    <w:rsid w:val="6C4D2861"/>
    <w:rsid w:val="6C8963D5"/>
    <w:rsid w:val="6CA87DFD"/>
    <w:rsid w:val="6CCA5E07"/>
    <w:rsid w:val="6D943EDD"/>
    <w:rsid w:val="6E1E6C74"/>
    <w:rsid w:val="6E5978B6"/>
    <w:rsid w:val="6EC1605C"/>
    <w:rsid w:val="6F06541D"/>
    <w:rsid w:val="6F3C1FE1"/>
    <w:rsid w:val="6F767D3E"/>
    <w:rsid w:val="6FE72F8B"/>
    <w:rsid w:val="70001CFE"/>
    <w:rsid w:val="70370988"/>
    <w:rsid w:val="7065517B"/>
    <w:rsid w:val="70BF3967"/>
    <w:rsid w:val="70DE7195"/>
    <w:rsid w:val="71184E25"/>
    <w:rsid w:val="715776FB"/>
    <w:rsid w:val="71F210A6"/>
    <w:rsid w:val="722208FA"/>
    <w:rsid w:val="727357C3"/>
    <w:rsid w:val="72CC0A62"/>
    <w:rsid w:val="73332843"/>
    <w:rsid w:val="7350022B"/>
    <w:rsid w:val="73AF381F"/>
    <w:rsid w:val="73C60B68"/>
    <w:rsid w:val="73C66DBA"/>
    <w:rsid w:val="74DA4670"/>
    <w:rsid w:val="75970A0E"/>
    <w:rsid w:val="75F052ED"/>
    <w:rsid w:val="762D4ECF"/>
    <w:rsid w:val="770976EA"/>
    <w:rsid w:val="77236647"/>
    <w:rsid w:val="773E5A6C"/>
    <w:rsid w:val="7808174F"/>
    <w:rsid w:val="780D13B5"/>
    <w:rsid w:val="78197E01"/>
    <w:rsid w:val="782D2FFE"/>
    <w:rsid w:val="789C3DC3"/>
    <w:rsid w:val="79B42F8A"/>
    <w:rsid w:val="79BC128C"/>
    <w:rsid w:val="79E32474"/>
    <w:rsid w:val="7A2806AC"/>
    <w:rsid w:val="7A566D58"/>
    <w:rsid w:val="7B09415C"/>
    <w:rsid w:val="7B851309"/>
    <w:rsid w:val="7B8B5094"/>
    <w:rsid w:val="7B9C0D55"/>
    <w:rsid w:val="7BCF6656"/>
    <w:rsid w:val="7BE14791"/>
    <w:rsid w:val="7D0970E6"/>
    <w:rsid w:val="7D126505"/>
    <w:rsid w:val="7D176902"/>
    <w:rsid w:val="7D273B57"/>
    <w:rsid w:val="7D4E7230"/>
    <w:rsid w:val="7DCE2E07"/>
    <w:rsid w:val="7DD10836"/>
    <w:rsid w:val="7F052E8D"/>
    <w:rsid w:val="7F0F1615"/>
    <w:rsid w:val="7FB34697"/>
    <w:rsid w:val="7FC44AF6"/>
    <w:rsid w:val="9EFE59FA"/>
    <w:rsid w:val="AB9F0A73"/>
    <w:rsid w:val="F7EBABA1"/>
    <w:rsid w:val="F9E735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3"/>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3">
    <w:name w:val="heading 3"/>
    <w:basedOn w:val="4"/>
    <w:next w:val="1"/>
    <w:link w:val="35"/>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6"/>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link w:val="34"/>
    <w:qFormat/>
    <w:uiPriority w:val="0"/>
    <w:pPr>
      <w:ind w:firstLine="420"/>
    </w:pPr>
    <w:rPr>
      <w:rFonts w:hAnsi="Verdana" w:cs="Times New Roman"/>
      <w:bCs/>
      <w:szCs w:val="24"/>
    </w:rPr>
  </w:style>
  <w:style w:type="paragraph" w:styleId="6">
    <w:name w:val="Document Map"/>
    <w:basedOn w:val="1"/>
    <w:link w:val="40"/>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99"/>
    <w:rPr>
      <w:rFonts w:asciiTheme="minorHAnsi" w:hAnsiTheme="minorHAnsi" w:cstheme="minorBidi"/>
      <w:szCs w:val="22"/>
    </w:rPr>
  </w:style>
  <w:style w:type="paragraph" w:styleId="9">
    <w:name w:val="Body Text 2"/>
    <w:basedOn w:val="1"/>
    <w:qFormat/>
    <w:uiPriority w:val="0"/>
    <w:pPr>
      <w:spacing w:line="360" w:lineRule="auto"/>
    </w:pPr>
    <w:rPr>
      <w:sz w:val="24"/>
    </w:rPr>
  </w:style>
  <w:style w:type="paragraph" w:styleId="10">
    <w:name w:val="Body Text Indent"/>
    <w:basedOn w:val="1"/>
    <w:qFormat/>
    <w:uiPriority w:val="0"/>
    <w:pPr>
      <w:spacing w:line="360" w:lineRule="auto"/>
      <w:ind w:firstLine="420" w:firstLineChars="200"/>
    </w:pPr>
  </w:style>
  <w:style w:type="paragraph" w:styleId="11">
    <w:name w:val="Plain Text"/>
    <w:basedOn w:val="1"/>
    <w:link w:val="44"/>
    <w:semiHidden/>
    <w:unhideWhenUsed/>
    <w:qFormat/>
    <w:uiPriority w:val="99"/>
    <w:rPr>
      <w:rFonts w:ascii="宋体" w:hAnsi="Courier New" w:cs="Times New Roman"/>
      <w:szCs w:val="20"/>
    </w:rPr>
  </w:style>
  <w:style w:type="paragraph" w:styleId="12">
    <w:name w:val="Balloon Text"/>
    <w:basedOn w:val="1"/>
    <w:link w:val="38"/>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toc 2"/>
    <w:basedOn w:val="1"/>
    <w:next w:val="1"/>
    <w:semiHidden/>
    <w:qFormat/>
    <w:locked/>
    <w:uiPriority w:val="0"/>
    <w:pPr>
      <w:tabs>
        <w:tab w:val="right" w:leader="dot" w:pos="8296"/>
      </w:tabs>
      <w:ind w:left="210"/>
      <w:jc w:val="left"/>
    </w:pPr>
    <w:rPr>
      <w:smallCaps/>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Normal (Web)"/>
    <w:basedOn w:val="1"/>
    <w:link w:val="43"/>
    <w:qFormat/>
    <w:uiPriority w:val="99"/>
    <w:pPr>
      <w:widowControl/>
      <w:spacing w:line="300" w:lineRule="atLeast"/>
      <w:jc w:val="left"/>
    </w:pPr>
    <w:rPr>
      <w:rFonts w:ascii="宋体" w:hAnsi="宋体" w:cs="宋体"/>
      <w:kern w:val="0"/>
      <w:sz w:val="24"/>
      <w:szCs w:val="24"/>
    </w:rPr>
  </w:style>
  <w:style w:type="paragraph" w:styleId="19">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20">
    <w:name w:val="Body Text First Indent 2"/>
    <w:basedOn w:val="10"/>
    <w:semiHidden/>
    <w:unhideWhenUsed/>
    <w:qFormat/>
    <w:uiPriority w:val="99"/>
    <w:pPr>
      <w:spacing w:afterLines="25"/>
    </w:pPr>
  </w:style>
  <w:style w:type="table" w:styleId="22">
    <w:name w:val="Table Grid"/>
    <w:basedOn w:val="21"/>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locked/>
    <w:uiPriority w:val="0"/>
    <w:rPr>
      <w:b/>
    </w:rPr>
  </w:style>
  <w:style w:type="character" w:styleId="25">
    <w:name w:val="Hyperlink"/>
    <w:qFormat/>
    <w:uiPriority w:val="0"/>
    <w:rPr>
      <w:rFonts w:eastAsia="宋体"/>
      <w:color w:val="0000FF"/>
      <w:kern w:val="2"/>
      <w:sz w:val="24"/>
      <w:szCs w:val="24"/>
      <w:u w:val="single"/>
      <w:lang w:val="en-US" w:eastAsia="zh-CN" w:bidi="ar-SA"/>
    </w:rPr>
  </w:style>
  <w:style w:type="character" w:styleId="26">
    <w:name w:val="annotation reference"/>
    <w:basedOn w:val="23"/>
    <w:qFormat/>
    <w:uiPriority w:val="99"/>
    <w:rPr>
      <w:sz w:val="21"/>
      <w:szCs w:val="21"/>
    </w:rPr>
  </w:style>
  <w:style w:type="paragraph" w:customStyle="1" w:styleId="27">
    <w:name w:val="表格文字"/>
    <w:basedOn w:val="1"/>
    <w:qFormat/>
    <w:uiPriority w:val="99"/>
    <w:pPr>
      <w:spacing w:before="25" w:after="25"/>
    </w:pPr>
    <w:rPr>
      <w:spacing w:val="10"/>
      <w:sz w:val="24"/>
    </w:rPr>
  </w:style>
  <w:style w:type="paragraph" w:styleId="28">
    <w:name w:val="Quote"/>
    <w:basedOn w:val="1"/>
    <w:next w:val="1"/>
    <w:qFormat/>
    <w:uiPriority w:val="99"/>
    <w:rPr>
      <w:rFonts w:ascii="Calibri" w:hAnsi="Calibri" w:cs="Calibri"/>
      <w:i/>
      <w:iCs/>
      <w:color w:val="000000"/>
      <w:sz w:val="22"/>
      <w:szCs w:val="22"/>
    </w:rPr>
  </w:style>
  <w:style w:type="paragraph" w:customStyle="1" w:styleId="29">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0">
    <w:name w:val="默认段落字体 Para Char Char Char Char"/>
    <w:basedOn w:val="1"/>
    <w:qFormat/>
    <w:uiPriority w:val="99"/>
    <w:rPr>
      <w:rFonts w:ascii="Times New Roman" w:hAnsi="Times New Roman" w:cs="Times New Roman"/>
    </w:rPr>
  </w:style>
  <w:style w:type="character" w:customStyle="1" w:styleId="31">
    <w:name w:val="页眉 Char"/>
    <w:basedOn w:val="23"/>
    <w:link w:val="14"/>
    <w:qFormat/>
    <w:uiPriority w:val="99"/>
    <w:rPr>
      <w:rFonts w:cs="Calibri"/>
      <w:sz w:val="18"/>
      <w:szCs w:val="18"/>
    </w:rPr>
  </w:style>
  <w:style w:type="character" w:customStyle="1" w:styleId="32">
    <w:name w:val="页脚 Char"/>
    <w:basedOn w:val="23"/>
    <w:link w:val="13"/>
    <w:qFormat/>
    <w:uiPriority w:val="99"/>
    <w:rPr>
      <w:rFonts w:cs="Calibri"/>
      <w:sz w:val="18"/>
      <w:szCs w:val="18"/>
    </w:rPr>
  </w:style>
  <w:style w:type="character" w:customStyle="1" w:styleId="33">
    <w:name w:val="标题 2 Char"/>
    <w:basedOn w:val="23"/>
    <w:link w:val="2"/>
    <w:qFormat/>
    <w:uiPriority w:val="0"/>
    <w:rPr>
      <w:rFonts w:ascii="宋体" w:hAnsi="宋体"/>
      <w:b/>
      <w:sz w:val="24"/>
    </w:rPr>
  </w:style>
  <w:style w:type="character" w:customStyle="1" w:styleId="34">
    <w:name w:val="正文缩进 Char"/>
    <w:basedOn w:val="23"/>
    <w:link w:val="5"/>
    <w:qFormat/>
    <w:uiPriority w:val="0"/>
    <w:rPr>
      <w:rFonts w:hAnsi="Verdana"/>
      <w:bCs/>
      <w:kern w:val="2"/>
      <w:sz w:val="21"/>
      <w:szCs w:val="24"/>
    </w:rPr>
  </w:style>
  <w:style w:type="character" w:customStyle="1" w:styleId="35">
    <w:name w:val="标题 3 Char"/>
    <w:basedOn w:val="23"/>
    <w:link w:val="3"/>
    <w:semiHidden/>
    <w:qFormat/>
    <w:uiPriority w:val="0"/>
    <w:rPr>
      <w:rFonts w:cs="Calibri"/>
      <w:b/>
      <w:bCs/>
      <w:kern w:val="2"/>
      <w:sz w:val="32"/>
      <w:szCs w:val="32"/>
    </w:rPr>
  </w:style>
  <w:style w:type="character" w:customStyle="1" w:styleId="36">
    <w:name w:val="标题 4 Char"/>
    <w:basedOn w:val="23"/>
    <w:link w:val="4"/>
    <w:semiHidden/>
    <w:qFormat/>
    <w:uiPriority w:val="0"/>
    <w:rPr>
      <w:rFonts w:ascii="Cambria" w:hAnsi="Cambria" w:eastAsia="宋体" w:cs="Times New Roman"/>
      <w:b/>
      <w:bCs/>
      <w:kern w:val="2"/>
      <w:sz w:val="28"/>
      <w:szCs w:val="28"/>
    </w:rPr>
  </w:style>
  <w:style w:type="paragraph" w:customStyle="1" w:styleId="37">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8">
    <w:name w:val="批注框文本 Char"/>
    <w:basedOn w:val="23"/>
    <w:link w:val="12"/>
    <w:semiHidden/>
    <w:qFormat/>
    <w:uiPriority w:val="99"/>
    <w:rPr>
      <w:rFonts w:cs="Calibri"/>
      <w:kern w:val="2"/>
      <w:sz w:val="18"/>
      <w:szCs w:val="18"/>
    </w:rPr>
  </w:style>
  <w:style w:type="paragraph" w:styleId="39">
    <w:name w:val="List Paragraph"/>
    <w:basedOn w:val="1"/>
    <w:qFormat/>
    <w:uiPriority w:val="34"/>
    <w:pPr>
      <w:ind w:firstLine="420" w:firstLineChars="200"/>
    </w:pPr>
  </w:style>
  <w:style w:type="character" w:customStyle="1" w:styleId="40">
    <w:name w:val="文档结构图 Char"/>
    <w:basedOn w:val="23"/>
    <w:link w:val="6"/>
    <w:semiHidden/>
    <w:qFormat/>
    <w:uiPriority w:val="99"/>
    <w:rPr>
      <w:rFonts w:ascii="宋体" w:cs="Calibri"/>
      <w:kern w:val="2"/>
      <w:sz w:val="18"/>
      <w:szCs w:val="18"/>
    </w:rPr>
  </w:style>
  <w:style w:type="paragraph" w:customStyle="1" w:styleId="41">
    <w:name w:val="_Style 1"/>
    <w:basedOn w:val="1"/>
    <w:qFormat/>
    <w:uiPriority w:val="0"/>
  </w:style>
  <w:style w:type="paragraph" w:customStyle="1" w:styleId="42">
    <w:name w:val="_Style 2"/>
    <w:basedOn w:val="1"/>
    <w:qFormat/>
    <w:uiPriority w:val="0"/>
  </w:style>
  <w:style w:type="character" w:customStyle="1" w:styleId="43">
    <w:name w:val="普通(网站) Char"/>
    <w:link w:val="18"/>
    <w:qFormat/>
    <w:uiPriority w:val="99"/>
    <w:rPr>
      <w:rFonts w:ascii="宋体" w:hAnsi="宋体" w:cs="宋体"/>
      <w:sz w:val="24"/>
      <w:szCs w:val="24"/>
    </w:rPr>
  </w:style>
  <w:style w:type="character" w:customStyle="1" w:styleId="44">
    <w:name w:val="纯文本 Char"/>
    <w:basedOn w:val="23"/>
    <w:link w:val="11"/>
    <w:semiHidden/>
    <w:qFormat/>
    <w:uiPriority w:val="99"/>
    <w:rPr>
      <w:rFonts w:ascii="宋体" w:hAnsi="Courier New"/>
      <w:kern w:val="2"/>
      <w:sz w:val="21"/>
    </w:rPr>
  </w:style>
  <w:style w:type="paragraph" w:customStyle="1" w:styleId="45">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6">
    <w:name w:val="列出段落1"/>
    <w:basedOn w:val="1"/>
    <w:qFormat/>
    <w:uiPriority w:val="0"/>
    <w:pPr>
      <w:ind w:firstLine="420" w:firstLineChars="200"/>
    </w:pPr>
    <w:rPr>
      <w:szCs w:val="24"/>
    </w:rPr>
  </w:style>
  <w:style w:type="character" w:customStyle="1" w:styleId="47">
    <w:name w:val="NormalCharacter"/>
    <w:qFormat/>
    <w:uiPriority w:val="0"/>
    <w:rPr>
      <w:kern w:val="2"/>
      <w:sz w:val="21"/>
      <w:szCs w:val="24"/>
      <w:lang w:val="en-US" w:eastAsia="zh-CN" w:bidi="ar-SA"/>
    </w:rPr>
  </w:style>
  <w:style w:type="paragraph" w:customStyle="1" w:styleId="48">
    <w:name w:val="Table Paragraph"/>
    <w:basedOn w:val="1"/>
    <w:qFormat/>
    <w:uiPriority w:val="1"/>
    <w:rPr>
      <w:rFonts w:ascii="宋体" w:hAnsi="宋体" w:cs="宋体"/>
      <w:lang w:val="zh-CN" w:bidi="zh-CN"/>
    </w:rPr>
  </w:style>
  <w:style w:type="paragraph" w:customStyle="1" w:styleId="4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0">
    <w:name w:val="Table Normal"/>
    <w:semiHidden/>
    <w:unhideWhenUsed/>
    <w:qFormat/>
    <w:uiPriority w:val="0"/>
    <w:tblPr>
      <w:tblCellMar>
        <w:top w:w="0" w:type="dxa"/>
        <w:left w:w="0" w:type="dxa"/>
        <w:bottom w:w="0" w:type="dxa"/>
        <w:right w:w="0" w:type="dxa"/>
      </w:tblCellMar>
    </w:tblPr>
  </w:style>
  <w:style w:type="table" w:customStyle="1" w:styleId="51">
    <w:name w:val="网格型1"/>
    <w:basedOn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3">
    <w:name w:val="正文正"/>
    <w:basedOn w:val="1"/>
    <w:qFormat/>
    <w:uiPriority w:val="0"/>
    <w:pPr>
      <w:spacing w:line="560" w:lineRule="exact"/>
      <w:ind w:firstLine="561"/>
    </w:pPr>
    <w:rPr>
      <w:rFonts w:ascii="Calibri" w:hAnsi="Calibri"/>
      <w:sz w:val="28"/>
      <w:szCs w:val="28"/>
    </w:rPr>
  </w:style>
  <w:style w:type="character" w:customStyle="1" w:styleId="54">
    <w:name w:val="15"/>
    <w:basedOn w:val="2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56</Pages>
  <Words>5485</Words>
  <Characters>5532</Characters>
  <Lines>1</Lines>
  <Paragraphs>1</Paragraphs>
  <TotalTime>43</TotalTime>
  <ScaleCrop>false</ScaleCrop>
  <LinksUpToDate>false</LinksUpToDate>
  <CharactersWithSpaces>6406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Gao</cp:lastModifiedBy>
  <cp:lastPrinted>2023-05-19T00:05:00Z</cp:lastPrinted>
  <dcterms:modified xsi:type="dcterms:W3CDTF">2025-08-04T09:03:09Z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95ED8308650C4A8BA31088322311BD0D_13</vt:lpwstr>
  </property>
  <property fmtid="{D5CDD505-2E9C-101B-9397-08002B2CF9AE}" pid="4" name="KSOTemplateDocerSaveRecord">
    <vt:lpwstr>eyJoZGlkIjoiNWE3MDJmOWE2YjBmYzM4NjVkYmM5YjNjNDFhNjBlZDQiLCJ1c2VySWQiOiI4NTkxMzM3MTkifQ==</vt:lpwstr>
  </property>
</Properties>
</file>