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widowControl/>
        <w:spacing w:before="454" w:beforeAutospacing="0" w:after="454" w:afterAutospacing="0"/>
        <w:ind w:right="454"/>
        <w:jc w:val="both"/>
        <w:outlineLvl w:val="0"/>
        <w:rPr>
          <w:rFonts w:hint="default"/>
          <w:b/>
          <w:bCs/>
          <w:sz w:val="40"/>
          <w:szCs w:val="40"/>
          <w:lang w:val="en-US" w:eastAsia="zh-CN"/>
        </w:rPr>
      </w:pPr>
      <w:bookmarkStart w:id="0" w:name="_Hlk71456902"/>
      <w:bookmarkStart w:id="24" w:name="_GoBack"/>
      <w:bookmarkEnd w:id="24"/>
      <w:r>
        <w:rPr>
          <w:rFonts w:hint="eastAsia"/>
          <w:b/>
          <w:bCs/>
          <w:sz w:val="40"/>
          <w:szCs w:val="40"/>
          <w:lang w:val="en-US" w:eastAsia="zh-CN"/>
        </w:rPr>
        <w:t xml:space="preserve"> </w:t>
      </w:r>
    </w:p>
    <w:p>
      <w:pPr>
        <w:pStyle w:val="21"/>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员工理发服务</w:t>
      </w:r>
      <w:r>
        <w:rPr>
          <w:rFonts w:hint="eastAsia"/>
          <w:b/>
          <w:bCs/>
          <w:sz w:val="40"/>
          <w:szCs w:val="40"/>
          <w:highlight w:val="none"/>
          <w:u w:val="none"/>
          <w:lang w:val="en-US" w:eastAsia="zh-CN"/>
        </w:rPr>
        <w:t>项目</w:t>
      </w:r>
    </w:p>
    <w:p>
      <w:pPr>
        <w:pStyle w:val="21"/>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ENT20250705</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none"/>
                <w:u w:val="single"/>
                <w:lang w:val="en-US" w:eastAsia="zh-CN"/>
              </w:rPr>
            </w:pPr>
            <w:r>
              <w:rPr>
                <w:rFonts w:hint="eastAsia" w:eastAsia="宋体"/>
                <w:sz w:val="30"/>
                <w:szCs w:val="30"/>
                <w:highlight w:val="none"/>
                <w:u w:val="single"/>
                <w:lang w:val="en-US" w:eastAsia="zh-CN"/>
              </w:rPr>
              <w:t>员工理发服务</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7"/>
        <w:ind w:firstLine="422"/>
        <w:rPr>
          <w:rFonts w:ascii="宋体" w:hAnsi="宋体" w:eastAsia="宋体" w:cs="宋体"/>
          <w:b/>
          <w:sz w:val="21"/>
          <w:szCs w:val="21"/>
        </w:rPr>
      </w:pPr>
    </w:p>
    <w:p>
      <w:pPr>
        <w:pStyle w:val="2"/>
        <w:rPr>
          <w:rFonts w:ascii="宋体" w:hAnsi="宋体" w:eastAsia="宋体" w:cs="宋体"/>
          <w:b/>
          <w:sz w:val="21"/>
          <w:szCs w:val="21"/>
        </w:rPr>
      </w:pPr>
    </w:p>
    <w:p>
      <w:pPr>
        <w:pStyle w:val="22"/>
        <w:rPr>
          <w:rFonts w:ascii="宋体" w:hAnsi="宋体" w:eastAsia="宋体" w:cs="宋体"/>
          <w:sz w:val="21"/>
          <w:szCs w:val="21"/>
        </w:rPr>
      </w:pPr>
    </w:p>
    <w:p>
      <w:pPr>
        <w:rPr>
          <w:rFonts w:ascii="宋体" w:hAnsi="宋体" w:eastAsia="宋体" w:cs="宋体"/>
          <w:b/>
          <w:sz w:val="21"/>
          <w:szCs w:val="21"/>
        </w:rPr>
      </w:pPr>
    </w:p>
    <w:p>
      <w:pPr>
        <w:pStyle w:val="7"/>
        <w:ind w:firstLine="422"/>
        <w:rPr>
          <w:rFonts w:ascii="宋体" w:hAnsi="宋体" w:eastAsia="宋体" w:cs="宋体"/>
          <w:b/>
          <w:sz w:val="21"/>
          <w:szCs w:val="21"/>
        </w:rPr>
      </w:pPr>
    </w:p>
    <w:p>
      <w:pPr>
        <w:pStyle w:val="2"/>
        <w:rPr>
          <w:rFonts w:ascii="宋体" w:hAnsi="宋体" w:eastAsia="宋体" w:cs="宋体"/>
          <w:b/>
          <w:sz w:val="21"/>
          <w:szCs w:val="21"/>
        </w:rPr>
      </w:pPr>
    </w:p>
    <w:p/>
    <w:p>
      <w:pPr>
        <w:pStyle w:val="22"/>
        <w:rPr>
          <w:rFonts w:ascii="宋体" w:hAnsi="宋体" w:eastAsia="宋体" w:cs="宋体"/>
          <w:sz w:val="21"/>
          <w:szCs w:val="21"/>
        </w:rPr>
      </w:pPr>
    </w:p>
    <w:p>
      <w:pPr>
        <w:rPr>
          <w:rFonts w:ascii="宋体" w:hAnsi="宋体" w:eastAsia="宋体" w:cs="宋体"/>
          <w:b/>
          <w:sz w:val="21"/>
          <w:szCs w:val="21"/>
        </w:rPr>
        <w:sectPr>
          <w:headerReference r:id="rId3" w:type="first"/>
          <w:footerReference r:id="rId4" w:type="firs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ascii="宋体" w:hAnsi="宋体" w:eastAsia="宋体" w:cs="宋体"/>
          <w:b/>
          <w:sz w:val="21"/>
          <w:szCs w:val="21"/>
        </w:rPr>
      </w:pPr>
    </w:p>
    <w:p>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1"/>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50"/>
        <w:gridCol w:w="1430"/>
        <w:gridCol w:w="1008"/>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cs="宋体" w:asciiTheme="minorEastAsia" w:hAnsiTheme="minorEastAsia"/>
                <w:b/>
                <w:sz w:val="24"/>
                <w:szCs w:val="24"/>
              </w:rPr>
            </w:pPr>
            <w:r>
              <w:rPr>
                <w:rFonts w:hint="eastAsia" w:cs="宋体" w:asciiTheme="minorEastAsia" w:hAnsiTheme="minorEastAsia"/>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cs="宋体" w:asciiTheme="minorEastAsia" w:hAnsiTheme="minorEastAsia"/>
                <w:b/>
                <w:sz w:val="24"/>
                <w:szCs w:val="24"/>
              </w:rPr>
            </w:pPr>
            <w:r>
              <w:rPr>
                <w:rFonts w:hint="eastAsia" w:cs="宋体" w:asciiTheme="minorEastAsia" w:hAnsiTheme="minorEastAsia"/>
                <w:b/>
                <w:sz w:val="24"/>
                <w:szCs w:val="24"/>
              </w:rPr>
              <w:t>评分项</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cs="宋体" w:asciiTheme="minorEastAsia" w:hAnsiTheme="minorEastAsia"/>
                <w:b/>
                <w:sz w:val="24"/>
                <w:szCs w:val="24"/>
              </w:rPr>
            </w:pPr>
            <w:r>
              <w:rPr>
                <w:rFonts w:hint="eastAsia" w:cs="宋体" w:asciiTheme="minorEastAsia" w:hAnsiTheme="minorEastAsia"/>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cs="宋体" w:asciiTheme="minorEastAsia" w:hAnsiTheme="minorEastAsia"/>
                <w:b/>
                <w:color w:val="0000FF"/>
                <w:sz w:val="24"/>
                <w:szCs w:val="24"/>
              </w:rPr>
            </w:pPr>
            <w:r>
              <w:rPr>
                <w:rFonts w:hint="eastAsia" w:cs="宋体" w:asciiTheme="minorEastAsia" w:hAnsiTheme="minorEastAsia"/>
                <w:b/>
                <w:color w:val="0000FF"/>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rPr>
              <w:t>价格</w:t>
            </w:r>
            <w:r>
              <w:rPr>
                <w:rFonts w:hint="eastAsia" w:cs="宋体" w:asciiTheme="minorEastAsia" w:hAnsiTheme="minorEastAsia"/>
                <w:b/>
                <w:color w:val="0000FF"/>
                <w:sz w:val="24"/>
                <w:szCs w:val="24"/>
                <w:lang w:val="en-US" w:eastAsia="zh-CN"/>
              </w:rPr>
              <w:t>分</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default"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cs="宋体" w:asciiTheme="minorEastAsia" w:hAnsiTheme="minorEastAsia"/>
                <w:b/>
                <w:color w:val="0000FF"/>
                <w:sz w:val="24"/>
                <w:szCs w:val="24"/>
              </w:rPr>
            </w:pPr>
            <w:r>
              <w:rPr>
                <w:rFonts w:hint="eastAsia" w:cs="宋体" w:asciiTheme="minorEastAsia" w:hAnsiTheme="minorEastAsia"/>
                <w:b/>
                <w:color w:val="0000FF"/>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eastAsia"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rPr>
              <w:t>技术</w:t>
            </w:r>
            <w:r>
              <w:rPr>
                <w:rFonts w:hint="eastAsia" w:cs="宋体" w:asciiTheme="minorEastAsia" w:hAnsiTheme="minorEastAsia"/>
                <w:b/>
                <w:color w:val="0000FF"/>
                <w:sz w:val="24"/>
                <w:szCs w:val="24"/>
                <w:lang w:val="en-US" w:eastAsia="zh-CN"/>
              </w:rPr>
              <w:t>部分</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default"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80" w:lineRule="exact"/>
              <w:jc w:val="left"/>
              <w:textAlignment w:val="auto"/>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整体服务</w:t>
            </w:r>
            <w:r>
              <w:rPr>
                <w:rFonts w:hint="eastAsia" w:ascii="新宋体" w:hAnsi="新宋体" w:eastAsia="新宋体" w:cs="Times New Roman"/>
                <w:sz w:val="24"/>
                <w:szCs w:val="24"/>
                <w:highlight w:val="none"/>
              </w:rPr>
              <w:t>方案</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hint="default" w:ascii="仿宋" w:hAnsi="仿宋" w:eastAsia="仿宋" w:cs="仿宋"/>
                <w:sz w:val="24"/>
                <w:szCs w:val="24"/>
                <w:lang w:val="en-US"/>
              </w:rPr>
            </w:pPr>
            <w:r>
              <w:rPr>
                <w:rFonts w:hint="eastAsia" w:ascii="新宋体" w:hAnsi="新宋体" w:eastAsia="新宋体" w:cs="Times New Roman"/>
                <w:sz w:val="24"/>
                <w:szCs w:val="24"/>
                <w:highlight w:val="none"/>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b/>
                <w:bCs/>
                <w:kern w:val="2"/>
                <w:sz w:val="24"/>
                <w:szCs w:val="24"/>
                <w:highlight w:val="none"/>
                <w:lang w:val="en-US" w:eastAsia="zh-CN" w:bidi="ar-SA"/>
              </w:rPr>
              <w:t>（一）评分内容：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cs="Times New Roman" w:asciiTheme="minorEastAsia" w:hAnsiTheme="minorEastAsia" w:eastAsiaTheme="minorEastAsia"/>
                <w:kern w:val="0"/>
                <w:sz w:val="24"/>
                <w:szCs w:val="24"/>
                <w:highlight w:val="none"/>
              </w:rPr>
            </w:pPr>
            <w:r>
              <w:rPr>
                <w:rFonts w:hint="eastAsia" w:cs="Times New Roman" w:asciiTheme="minorEastAsia" w:hAnsiTheme="minorEastAsia" w:eastAsiaTheme="minorEastAsia"/>
                <w:kern w:val="0"/>
                <w:sz w:val="24"/>
                <w:szCs w:val="24"/>
                <w:highlight w:val="none"/>
              </w:rPr>
              <w:t>考察投标人提供的</w:t>
            </w:r>
            <w:r>
              <w:rPr>
                <w:rFonts w:hint="eastAsia" w:cs="Times New Roman" w:asciiTheme="minorEastAsia" w:hAnsiTheme="minorEastAsia" w:eastAsiaTheme="minorEastAsia"/>
                <w:kern w:val="0"/>
                <w:sz w:val="24"/>
                <w:szCs w:val="24"/>
                <w:highlight w:val="none"/>
                <w:lang w:val="en-US" w:eastAsia="zh-CN"/>
              </w:rPr>
              <w:t>服务</w:t>
            </w:r>
            <w:r>
              <w:rPr>
                <w:rFonts w:hint="eastAsia" w:cs="Times New Roman" w:asciiTheme="minorEastAsia" w:hAnsiTheme="minorEastAsia" w:eastAsiaTheme="minorEastAsia"/>
                <w:kern w:val="0"/>
                <w:sz w:val="24"/>
                <w:szCs w:val="24"/>
                <w:highlight w:val="none"/>
              </w:rPr>
              <w:t>方案，包含以下内容：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jc w:val="both"/>
              <w:textAlignment w:val="auto"/>
              <w:rPr>
                <w:rFonts w:hint="eastAsia" w:ascii="新宋体" w:hAnsi="新宋体" w:eastAsia="新宋体" w:cs="Times New Roman"/>
                <w:sz w:val="24"/>
                <w:szCs w:val="24"/>
                <w:highlight w:val="none"/>
                <w:lang w:eastAsia="zh-CN"/>
              </w:rPr>
            </w:pPr>
            <w:r>
              <w:rPr>
                <w:rFonts w:hint="eastAsia" w:ascii="新宋体" w:hAnsi="新宋体" w:eastAsia="新宋体" w:cs="Times New Roman"/>
                <w:sz w:val="24"/>
                <w:szCs w:val="24"/>
                <w:lang w:val="en-US" w:eastAsia="zh-CN" w:bidi="ar-SA"/>
              </w:rPr>
              <w:t>1.</w:t>
            </w:r>
            <w:r>
              <w:rPr>
                <w:rFonts w:hint="eastAsia" w:ascii="新宋体" w:hAnsi="新宋体" w:eastAsia="新宋体" w:cs="Times New Roman"/>
                <w:sz w:val="24"/>
                <w:szCs w:val="24"/>
                <w:highlight w:val="none"/>
                <w:lang w:val="en-US" w:eastAsia="zh-CN"/>
              </w:rPr>
              <w:t>具体服务内容</w:t>
            </w:r>
            <w:r>
              <w:rPr>
                <w:rFonts w:hint="eastAsia" w:ascii="新宋体" w:hAnsi="新宋体" w:eastAsia="新宋体" w:cs="Times New Roman"/>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jc w:val="both"/>
              <w:textAlignment w:val="auto"/>
              <w:rPr>
                <w:rFonts w:cs="Times New Roman" w:asciiTheme="minorEastAsia" w:hAnsiTheme="minorEastAsia" w:eastAsiaTheme="minorEastAsia"/>
                <w:kern w:val="0"/>
                <w:sz w:val="24"/>
                <w:szCs w:val="24"/>
                <w:highlight w:val="none"/>
              </w:rPr>
            </w:pPr>
            <w:r>
              <w:rPr>
                <w:rFonts w:cs="Times New Roman" w:asciiTheme="minorEastAsia" w:hAnsiTheme="minorEastAsia" w:eastAsiaTheme="minorEastAsia"/>
                <w:kern w:val="0"/>
                <w:sz w:val="24"/>
                <w:szCs w:val="24"/>
                <w:lang w:val="en-US" w:eastAsia="zh-CN" w:bidi="ar-SA"/>
              </w:rPr>
              <w:t>2</w:t>
            </w:r>
            <w:r>
              <w:rPr>
                <w:rFonts w:hint="eastAsia" w:cs="Times New Roman" w:asciiTheme="minorEastAsia" w:hAnsiTheme="minorEastAsia"/>
                <w:kern w:val="0"/>
                <w:sz w:val="24"/>
                <w:szCs w:val="24"/>
                <w:lang w:val="en-US" w:eastAsia="zh-CN" w:bidi="ar-SA"/>
              </w:rPr>
              <w:t>.</w:t>
            </w:r>
            <w:r>
              <w:rPr>
                <w:rFonts w:hint="eastAsia" w:ascii="新宋体" w:hAnsi="新宋体" w:eastAsia="新宋体" w:cs="Times New Roman"/>
                <w:sz w:val="24"/>
                <w:szCs w:val="24"/>
                <w:highlight w:val="none"/>
              </w:rPr>
              <w:t>场地使用管理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jc w:val="both"/>
              <w:textAlignment w:val="auto"/>
              <w:rPr>
                <w:rFonts w:cs="Times New Roman" w:asciiTheme="minorEastAsia" w:hAnsiTheme="minorEastAsia" w:eastAsiaTheme="minorEastAsia"/>
                <w:kern w:val="0"/>
                <w:sz w:val="24"/>
                <w:szCs w:val="24"/>
                <w:highlight w:val="none"/>
              </w:rPr>
            </w:pPr>
            <w:r>
              <w:rPr>
                <w:rFonts w:cs="Times New Roman" w:asciiTheme="minorEastAsia" w:hAnsiTheme="minorEastAsia" w:eastAsiaTheme="minorEastAsia"/>
                <w:kern w:val="0"/>
                <w:sz w:val="24"/>
                <w:szCs w:val="24"/>
                <w:lang w:val="en-US" w:eastAsia="zh-CN" w:bidi="ar-SA"/>
              </w:rPr>
              <w:t>3</w:t>
            </w:r>
            <w:r>
              <w:rPr>
                <w:rFonts w:hint="eastAsia" w:cs="Times New Roman" w:asciiTheme="minorEastAsia" w:hAnsiTheme="minorEastAsia"/>
                <w:kern w:val="0"/>
                <w:sz w:val="24"/>
                <w:szCs w:val="24"/>
                <w:lang w:val="en-US" w:eastAsia="zh-CN" w:bidi="ar-SA"/>
              </w:rPr>
              <w:t>.</w:t>
            </w:r>
            <w:r>
              <w:rPr>
                <w:rFonts w:hint="eastAsia" w:cs="Times New Roman" w:asciiTheme="minorEastAsia" w:hAnsiTheme="minorEastAsia" w:eastAsiaTheme="minorEastAsia"/>
                <w:kern w:val="0"/>
                <w:sz w:val="24"/>
                <w:szCs w:val="24"/>
                <w:highlight w:val="none"/>
                <w:lang w:val="en-US" w:eastAsia="zh-CN"/>
              </w:rPr>
              <w:t>服务管理制度</w:t>
            </w:r>
            <w:r>
              <w:rPr>
                <w:rFonts w:hint="eastAsia" w:cs="Times New Roman" w:asciiTheme="minorEastAsia" w:hAnsiTheme="minorEastAsia" w:eastAsiaTheme="minorEastAsia"/>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both"/>
              <w:textAlignment w:val="auto"/>
              <w:rPr>
                <w:rFonts w:cs="Times New Roman" w:asciiTheme="minorEastAsia" w:hAnsiTheme="minorEastAsia" w:eastAsiaTheme="minorEastAsia"/>
                <w:kern w:val="0"/>
                <w:sz w:val="24"/>
                <w:szCs w:val="24"/>
                <w:highlight w:val="none"/>
              </w:rPr>
            </w:pPr>
            <w:r>
              <w:rPr>
                <w:rFonts w:hint="eastAsia" w:cs="Times New Roman" w:asciiTheme="minorEastAsia" w:hAnsiTheme="minorEastAsia" w:eastAsiaTheme="minorEastAsia"/>
                <w:b/>
                <w:bCs/>
                <w:kern w:val="0"/>
                <w:sz w:val="24"/>
                <w:szCs w:val="24"/>
                <w:highlight w:val="none"/>
              </w:rPr>
              <w:t>（二）评分标准：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方案包含以上三项内容得</w:t>
            </w:r>
            <w:r>
              <w:rPr>
                <w:rFonts w:hint="eastAsia" w:cs="Times New Roman" w:asciiTheme="minorEastAsia" w:hAnsiTheme="minorEastAsia"/>
                <w:kern w:val="2"/>
                <w:sz w:val="24"/>
                <w:szCs w:val="24"/>
                <w:highlight w:val="none"/>
                <w:lang w:val="en-US" w:eastAsia="zh-CN" w:bidi="ar-SA"/>
              </w:rPr>
              <w:t>6</w:t>
            </w:r>
            <w:r>
              <w:rPr>
                <w:rFonts w:hint="eastAsia" w:cs="Times New Roman" w:asciiTheme="minorEastAsia" w:hAnsiTheme="minorEastAsia" w:eastAsiaTheme="minorEastAsia"/>
                <w:kern w:val="2"/>
                <w:sz w:val="24"/>
                <w:szCs w:val="24"/>
                <w:highlight w:val="none"/>
                <w:lang w:val="en-US" w:eastAsia="zh-CN" w:bidi="ar-SA"/>
              </w:rPr>
              <w:t>分；包含以上二项内容得</w:t>
            </w:r>
            <w:r>
              <w:rPr>
                <w:rFonts w:hint="eastAsia" w:cs="Times New Roman" w:asciiTheme="minorEastAsia" w:hAnsiTheme="minorEastAsia"/>
                <w:kern w:val="2"/>
                <w:sz w:val="24"/>
                <w:szCs w:val="24"/>
                <w:highlight w:val="none"/>
                <w:lang w:val="en-US" w:eastAsia="zh-CN" w:bidi="ar-SA"/>
              </w:rPr>
              <w:t>4</w:t>
            </w:r>
            <w:r>
              <w:rPr>
                <w:rFonts w:hint="eastAsia" w:cs="Times New Roman" w:asciiTheme="minorEastAsia" w:hAnsiTheme="minorEastAsia" w:eastAsiaTheme="minorEastAsia"/>
                <w:kern w:val="2"/>
                <w:sz w:val="24"/>
                <w:szCs w:val="24"/>
                <w:highlight w:val="none"/>
                <w:lang w:val="en-US" w:eastAsia="zh-CN" w:bidi="ar-SA"/>
              </w:rPr>
              <w:t>分；包含以上一项内容得</w:t>
            </w:r>
            <w:r>
              <w:rPr>
                <w:rFonts w:hint="eastAsia" w:cs="Times New Roman" w:asciiTheme="minorEastAsia" w:hAnsi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t>分；其他情况不得分。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在此基础上，根据方案响应情况进一步评审：</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1.方案内容具体，可行性高，加</w:t>
            </w:r>
            <w:r>
              <w:rPr>
                <w:rFonts w:hint="eastAsia" w:cs="Times New Roman" w:asciiTheme="minorEastAsia" w:hAnsiTheme="minorEastAsia"/>
                <w:kern w:val="2"/>
                <w:sz w:val="24"/>
                <w:szCs w:val="24"/>
                <w:highlight w:val="none"/>
                <w:lang w:val="en-US" w:eastAsia="zh-CN" w:bidi="ar-SA"/>
              </w:rPr>
              <w:t>9</w:t>
            </w:r>
            <w:r>
              <w:rPr>
                <w:rFonts w:hint="eastAsia" w:cs="Times New Roman" w:asciiTheme="minorEastAsia" w:hAnsiTheme="minorEastAsia" w:eastAsiaTheme="minorEastAsia"/>
                <w:kern w:val="2"/>
                <w:sz w:val="24"/>
                <w:szCs w:val="24"/>
                <w:highlight w:val="none"/>
                <w:lang w:val="en-US" w:eastAsia="zh-CN" w:bidi="ar-SA"/>
              </w:rPr>
              <w:t>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2.方案内容比较全面，可行性较高，加</w:t>
            </w:r>
            <w:r>
              <w:rPr>
                <w:rFonts w:hint="eastAsia" w:cs="Times New Roman" w:asciiTheme="minorEastAsia" w:hAnsiTheme="minorEastAsia"/>
                <w:kern w:val="2"/>
                <w:sz w:val="24"/>
                <w:szCs w:val="24"/>
                <w:highlight w:val="none"/>
                <w:lang w:val="en-US" w:eastAsia="zh-CN" w:bidi="ar-SA"/>
              </w:rPr>
              <w:t>6</w:t>
            </w:r>
            <w:r>
              <w:rPr>
                <w:rFonts w:hint="eastAsia" w:cs="Times New Roman" w:asciiTheme="minorEastAsia" w:hAnsiTheme="minorEastAsia" w:eastAsiaTheme="minorEastAsia"/>
                <w:kern w:val="2"/>
                <w:sz w:val="24"/>
                <w:szCs w:val="24"/>
                <w:highlight w:val="none"/>
                <w:lang w:val="en-US" w:eastAsia="zh-CN" w:bidi="ar-SA"/>
              </w:rPr>
              <w:t>分；</w:t>
            </w:r>
          </w:p>
          <w:p>
            <w:pPr>
              <w:pStyle w:val="2"/>
              <w:ind w:firstLine="480" w:firstLineChars="200"/>
              <w:rPr>
                <w:rFonts w:hint="eastAsia" w:cs="Times New Roman" w:asciiTheme="minorEastAsia" w:hAnsiTheme="minorEastAsia"/>
                <w:kern w:val="2"/>
                <w:sz w:val="24"/>
                <w:szCs w:val="24"/>
                <w:highlight w:val="none"/>
                <w:lang w:val="en-US" w:eastAsia="zh-CN" w:bidi="ar-SA"/>
              </w:rPr>
            </w:pPr>
            <w:r>
              <w:rPr>
                <w:rFonts w:hint="eastAsia" w:cs="Times New Roman" w:asciiTheme="minorEastAsia" w:hAnsiTheme="minorEastAsia"/>
                <w:kern w:val="2"/>
                <w:sz w:val="24"/>
                <w:szCs w:val="24"/>
                <w:highlight w:val="none"/>
                <w:lang w:val="en-US" w:eastAsia="zh-CN" w:bidi="ar-SA"/>
              </w:rPr>
              <w:t>3.方案内容完整性一般，可行性一般，加3分；</w:t>
            </w:r>
          </w:p>
          <w:p>
            <w:pPr>
              <w:pStyle w:val="2"/>
              <w:ind w:firstLine="480" w:firstLineChars="200"/>
              <w:rPr>
                <w:rFonts w:hint="eastAsia" w:cs="Times New Roman" w:asciiTheme="minorEastAsia" w:hAnsiTheme="minorEastAsia"/>
                <w:kern w:val="2"/>
                <w:sz w:val="24"/>
                <w:szCs w:val="24"/>
                <w:highlight w:val="none"/>
                <w:lang w:val="en-US" w:eastAsia="zh-CN" w:bidi="ar-SA"/>
              </w:rPr>
            </w:pPr>
            <w:r>
              <w:rPr>
                <w:rFonts w:hint="eastAsia" w:cs="Times New Roman" w:asciiTheme="minorEastAsia" w:hAnsiTheme="minorEastAsia"/>
                <w:kern w:val="2"/>
                <w:sz w:val="24"/>
                <w:szCs w:val="24"/>
                <w:highlight w:val="none"/>
                <w:lang w:val="en-US" w:eastAsia="zh-CN" w:bidi="ar-SA"/>
              </w:rPr>
              <w:t>4.方案内容完整性差，可行性差，加0分。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仿宋" w:hAnsi="仿宋" w:eastAsia="仿宋" w:cs="仿宋"/>
                <w:sz w:val="24"/>
                <w:szCs w:val="24"/>
                <w:lang w:eastAsia="zh-CN"/>
              </w:rPr>
            </w:pPr>
            <w:r>
              <w:rPr>
                <w:rFonts w:hint="eastAsia" w:ascii="新宋体" w:hAnsi="新宋体" w:eastAsia="新宋体" w:cs="Times New Roman"/>
                <w:kern w:val="2"/>
                <w:sz w:val="24"/>
                <w:szCs w:val="24"/>
                <w:highlight w:val="none"/>
                <w:lang w:val="en-US" w:eastAsia="zh-CN" w:bidi="ar-SA"/>
              </w:rPr>
              <w:t>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rPr>
              <w:t>人员</w:t>
            </w:r>
            <w:r>
              <w:rPr>
                <w:rFonts w:hint="eastAsia" w:ascii="新宋体" w:hAnsi="新宋体" w:eastAsia="新宋体" w:cs="Times New Roman"/>
                <w:sz w:val="24"/>
                <w:szCs w:val="24"/>
                <w:highlight w:val="none"/>
                <w:lang w:val="en-US" w:eastAsia="zh-CN"/>
              </w:rPr>
              <w:t>稳定性承诺</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新宋体" w:hAnsi="新宋体" w:eastAsia="新宋体" w:cs="Times New Roman"/>
                <w:sz w:val="24"/>
                <w:szCs w:val="24"/>
                <w:highlight w:val="none"/>
              </w:rPr>
            </w:pPr>
            <w:r>
              <w:rPr>
                <w:rFonts w:hint="eastAsia" w:ascii="新宋体" w:hAnsi="新宋体" w:eastAsia="新宋体" w:cs="Times New Roman"/>
                <w:b/>
                <w:bCs/>
                <w:kern w:val="2"/>
                <w:sz w:val="24"/>
                <w:szCs w:val="24"/>
                <w:lang w:val="en-US" w:eastAsia="zh-CN" w:bidi="ar-SA"/>
              </w:rPr>
              <w:t>（一）</w:t>
            </w:r>
            <w:r>
              <w:rPr>
                <w:rFonts w:hint="eastAsia" w:ascii="新宋体" w:hAnsi="新宋体" w:eastAsia="新宋体" w:cs="Times New Roman"/>
                <w:b/>
                <w:bCs/>
                <w:sz w:val="24"/>
                <w:szCs w:val="24"/>
                <w:highlight w:val="none"/>
              </w:rPr>
              <w:t>评分内容：</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ascii="新宋体" w:hAnsi="新宋体" w:eastAsia="新宋体" w:cs="Times New Roman"/>
                <w:sz w:val="24"/>
                <w:szCs w:val="24"/>
                <w:highlight w:val="none"/>
              </w:rPr>
            </w:pPr>
            <w:r>
              <w:rPr>
                <w:rFonts w:hint="eastAsia" w:ascii="新宋体" w:hAnsi="新宋体" w:eastAsia="新宋体" w:cs="Times New Roman"/>
                <w:sz w:val="24"/>
                <w:szCs w:val="24"/>
                <w:highlight w:val="none"/>
              </w:rPr>
              <w:t>投标人提供人员稳定性承诺，承诺驻点人员的稳定性：如人员临时请假或人员变更需提前向采购人提出人员变更申请，经采购人同意之后方可实施。</w:t>
            </w:r>
          </w:p>
          <w:p>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ascii="新宋体" w:hAnsi="新宋体" w:eastAsia="新宋体" w:cs="Times New Roman"/>
                <w:sz w:val="24"/>
                <w:szCs w:val="24"/>
                <w:highlight w:val="none"/>
              </w:rPr>
            </w:pPr>
            <w:r>
              <w:rPr>
                <w:rFonts w:hint="eastAsia" w:ascii="新宋体" w:hAnsi="新宋体" w:eastAsia="新宋体" w:cs="Times New Roman"/>
                <w:b/>
                <w:bCs/>
                <w:sz w:val="24"/>
                <w:szCs w:val="24"/>
                <w:highlight w:val="none"/>
              </w:rPr>
              <w:t>（二）评分标准：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仿宋"/>
                <w:sz w:val="24"/>
                <w:szCs w:val="24"/>
              </w:rPr>
            </w:pPr>
            <w:r>
              <w:rPr>
                <w:rFonts w:hint="eastAsia" w:ascii="新宋体" w:hAnsi="新宋体" w:eastAsia="新宋体" w:cs="Times New Roman"/>
                <w:sz w:val="24"/>
                <w:szCs w:val="24"/>
                <w:highlight w:val="none"/>
              </w:rPr>
              <w:t>提供《人员稳定性承诺函》（格式</w:t>
            </w:r>
            <w:r>
              <w:rPr>
                <w:rFonts w:hint="eastAsia" w:ascii="新宋体" w:hAnsi="新宋体" w:eastAsia="新宋体" w:cs="Times New Roman"/>
                <w:sz w:val="24"/>
                <w:szCs w:val="24"/>
                <w:highlight w:val="none"/>
                <w:lang w:val="en-US" w:eastAsia="zh-CN"/>
              </w:rPr>
              <w:t>自拟</w:t>
            </w:r>
            <w:r>
              <w:rPr>
                <w:rFonts w:hint="eastAsia" w:ascii="新宋体" w:hAnsi="新宋体" w:eastAsia="新宋体" w:cs="Times New Roman"/>
                <w:sz w:val="24"/>
                <w:szCs w:val="24"/>
                <w:highlight w:val="none"/>
              </w:rPr>
              <w:t>）作为得分依据，</w:t>
            </w:r>
            <w:r>
              <w:rPr>
                <w:rFonts w:hint="eastAsia" w:ascii="新宋体" w:hAnsi="新宋体" w:eastAsia="新宋体" w:cs="Times New Roman"/>
                <w:sz w:val="24"/>
                <w:szCs w:val="24"/>
                <w:highlight w:val="none"/>
                <w:lang w:val="en-US" w:eastAsia="zh-CN"/>
              </w:rPr>
              <w:t>满分5分，</w:t>
            </w:r>
            <w:r>
              <w:rPr>
                <w:rFonts w:hint="eastAsia" w:ascii="新宋体" w:hAnsi="新宋体" w:eastAsia="新宋体" w:cs="Times New Roman"/>
                <w:sz w:val="24"/>
                <w:szCs w:val="24"/>
                <w:highlight w:val="none"/>
              </w:rPr>
              <w:t>未提供承诺或承诺内容不满足要求</w:t>
            </w:r>
            <w:r>
              <w:rPr>
                <w:rFonts w:hint="eastAsia" w:ascii="新宋体" w:hAnsi="新宋体" w:eastAsia="新宋体" w:cs="Times New Roman"/>
                <w:sz w:val="24"/>
                <w:szCs w:val="24"/>
                <w:highlight w:val="none"/>
                <w:lang w:eastAsia="zh-CN"/>
              </w:rPr>
              <w:t>，</w:t>
            </w:r>
            <w:r>
              <w:rPr>
                <w:rFonts w:hint="eastAsia" w:ascii="新宋体" w:hAnsi="新宋体" w:eastAsia="新宋体" w:cs="Times New Roman"/>
                <w:sz w:val="24"/>
                <w:szCs w:val="24"/>
                <w:highlight w:val="none"/>
                <w:lang w:val="en-US" w:eastAsia="zh-CN"/>
              </w:rPr>
              <w:t>本项</w:t>
            </w:r>
            <w:r>
              <w:rPr>
                <w:rFonts w:hint="eastAsia" w:ascii="新宋体" w:hAnsi="新宋体" w:eastAsia="新宋体" w:cs="Times New Roman"/>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3</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响应时效性</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pacing w:line="240" w:lineRule="auto"/>
              <w:ind w:firstLine="482" w:firstLineChars="200"/>
              <w:textAlignment w:val="auto"/>
              <w:rPr>
                <w:sz w:val="24"/>
                <w:szCs w:val="24"/>
              </w:rPr>
            </w:pPr>
            <w:r>
              <w:rPr>
                <w:rFonts w:hint="eastAsia" w:ascii="新宋体" w:hAnsi="新宋体" w:eastAsia="新宋体" w:cs="Times New Roman"/>
                <w:b/>
                <w:bCs/>
                <w:kern w:val="2"/>
                <w:sz w:val="24"/>
                <w:szCs w:val="24"/>
                <w:lang w:val="en-US" w:eastAsia="zh-CN" w:bidi="ar-SA"/>
              </w:rPr>
              <w:t>（一）</w:t>
            </w:r>
            <w:r>
              <w:rPr>
                <w:rFonts w:hint="eastAsia" w:ascii="新宋体" w:hAnsi="新宋体" w:eastAsia="新宋体" w:cs="Times New Roman"/>
                <w:b/>
                <w:bCs/>
                <w:sz w:val="24"/>
                <w:szCs w:val="24"/>
                <w:highlight w:val="none"/>
              </w:rPr>
              <w:t>评分内容：</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ascii="新宋体" w:hAnsi="新宋体" w:eastAsia="新宋体" w:cs="Times New Roman"/>
                <w:sz w:val="24"/>
                <w:szCs w:val="24"/>
                <w:highlight w:val="none"/>
              </w:rPr>
            </w:pPr>
            <w:r>
              <w:rPr>
                <w:rFonts w:hint="eastAsia" w:ascii="新宋体" w:hAnsi="新宋体" w:eastAsia="新宋体" w:cs="Times New Roman"/>
                <w:sz w:val="24"/>
                <w:szCs w:val="24"/>
                <w:highlight w:val="none"/>
              </w:rPr>
              <w:t>投标人提供</w:t>
            </w:r>
            <w:r>
              <w:rPr>
                <w:rFonts w:hint="eastAsia" w:ascii="新宋体" w:hAnsi="新宋体" w:eastAsia="新宋体" w:cs="Times New Roman"/>
                <w:sz w:val="24"/>
                <w:szCs w:val="24"/>
                <w:highlight w:val="none"/>
                <w:lang w:val="en-US" w:eastAsia="zh-CN"/>
              </w:rPr>
              <w:t>拟安排人员响应时效承诺，承诺可根据采购人要求2小时内相应并上门提供服务</w:t>
            </w:r>
            <w:r>
              <w:rPr>
                <w:rFonts w:hint="eastAsia" w:ascii="新宋体" w:hAnsi="新宋体" w:eastAsia="新宋体" w:cs="Times New Roman"/>
                <w:sz w:val="24"/>
                <w:szCs w:val="24"/>
                <w:highlight w:val="none"/>
              </w:rPr>
              <w:t>。</w:t>
            </w:r>
          </w:p>
          <w:p>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新宋体" w:hAnsi="新宋体" w:eastAsia="新宋体" w:cs="Times New Roman"/>
                <w:sz w:val="24"/>
                <w:szCs w:val="24"/>
                <w:highlight w:val="none"/>
              </w:rPr>
            </w:pPr>
            <w:r>
              <w:rPr>
                <w:rFonts w:hint="eastAsia" w:ascii="新宋体" w:hAnsi="新宋体" w:eastAsia="新宋体" w:cs="Times New Roman"/>
                <w:b/>
                <w:bCs/>
                <w:sz w:val="24"/>
                <w:szCs w:val="24"/>
                <w:highlight w:val="none"/>
              </w:rPr>
              <w:t>（二）评分标准：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仿宋"/>
                <w:sz w:val="24"/>
                <w:szCs w:val="24"/>
              </w:rPr>
            </w:pPr>
            <w:r>
              <w:rPr>
                <w:rFonts w:hint="eastAsia" w:ascii="新宋体" w:hAnsi="新宋体" w:eastAsia="新宋体" w:cs="Times New Roman"/>
                <w:sz w:val="24"/>
                <w:szCs w:val="24"/>
                <w:highlight w:val="none"/>
              </w:rPr>
              <w:t>提供《</w:t>
            </w:r>
            <w:r>
              <w:rPr>
                <w:rFonts w:hint="eastAsia" w:ascii="新宋体" w:hAnsi="新宋体" w:eastAsia="新宋体" w:cs="Times New Roman"/>
                <w:sz w:val="24"/>
                <w:szCs w:val="24"/>
                <w:highlight w:val="none"/>
                <w:lang w:val="en-US" w:eastAsia="zh-CN"/>
              </w:rPr>
              <w:t>响应时效</w:t>
            </w:r>
            <w:r>
              <w:rPr>
                <w:rFonts w:hint="eastAsia" w:ascii="新宋体" w:hAnsi="新宋体" w:eastAsia="新宋体" w:cs="Times New Roman"/>
                <w:sz w:val="24"/>
                <w:szCs w:val="24"/>
                <w:highlight w:val="none"/>
              </w:rPr>
              <w:t>承诺函》（格式</w:t>
            </w:r>
            <w:r>
              <w:rPr>
                <w:rFonts w:hint="eastAsia" w:ascii="新宋体" w:hAnsi="新宋体" w:eastAsia="新宋体" w:cs="Times New Roman"/>
                <w:sz w:val="24"/>
                <w:szCs w:val="24"/>
                <w:highlight w:val="none"/>
                <w:lang w:val="en-US" w:eastAsia="zh-CN"/>
              </w:rPr>
              <w:t>自拟</w:t>
            </w:r>
            <w:r>
              <w:rPr>
                <w:rFonts w:hint="eastAsia" w:ascii="新宋体" w:hAnsi="新宋体" w:eastAsia="新宋体" w:cs="Times New Roman"/>
                <w:sz w:val="24"/>
                <w:szCs w:val="24"/>
                <w:highlight w:val="none"/>
              </w:rPr>
              <w:t>）作为得分依据，</w:t>
            </w:r>
            <w:r>
              <w:rPr>
                <w:rFonts w:hint="eastAsia" w:ascii="新宋体" w:hAnsi="新宋体" w:eastAsia="新宋体" w:cs="Times New Roman"/>
                <w:sz w:val="24"/>
                <w:szCs w:val="24"/>
                <w:highlight w:val="none"/>
                <w:lang w:val="en-US" w:eastAsia="zh-CN"/>
              </w:rPr>
              <w:t>满分5分，</w:t>
            </w:r>
            <w:r>
              <w:rPr>
                <w:rFonts w:hint="eastAsia" w:ascii="新宋体" w:hAnsi="新宋体" w:eastAsia="新宋体" w:cs="Times New Roman"/>
                <w:sz w:val="24"/>
                <w:szCs w:val="24"/>
                <w:highlight w:val="none"/>
              </w:rPr>
              <w:t>未提供承诺或承诺内容不满足要求</w:t>
            </w:r>
            <w:r>
              <w:rPr>
                <w:rFonts w:hint="eastAsia" w:ascii="新宋体" w:hAnsi="新宋体" w:eastAsia="新宋体" w:cs="Times New Roman"/>
                <w:sz w:val="24"/>
                <w:szCs w:val="24"/>
                <w:highlight w:val="none"/>
                <w:lang w:eastAsia="zh-CN"/>
              </w:rPr>
              <w:t>，</w:t>
            </w:r>
            <w:r>
              <w:rPr>
                <w:rFonts w:hint="eastAsia" w:ascii="新宋体" w:hAnsi="新宋体" w:eastAsia="新宋体" w:cs="Times New Roman"/>
                <w:sz w:val="24"/>
                <w:szCs w:val="24"/>
                <w:highlight w:val="none"/>
                <w:lang w:val="en-US" w:eastAsia="zh-CN"/>
              </w:rPr>
              <w:t>本项</w:t>
            </w:r>
            <w:r>
              <w:rPr>
                <w:rFonts w:hint="eastAsia" w:ascii="新宋体" w:hAnsi="新宋体" w:eastAsia="新宋体" w:cs="Times New Roman"/>
                <w:sz w:val="24"/>
                <w:szCs w:val="24"/>
                <w:highlight w:val="none"/>
              </w:rPr>
              <w:t>不得分</w:t>
            </w:r>
            <w:r>
              <w:rPr>
                <w:rFonts w:hint="eastAsia" w:ascii="新宋体" w:hAnsi="新宋体" w:eastAsia="新宋体"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4</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应急预案</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eastAsia="zh-CN"/>
              </w:rPr>
              <w:t>1</w:t>
            </w:r>
            <w:r>
              <w:rPr>
                <w:rFonts w:hint="eastAsia" w:ascii="新宋体" w:hAnsi="新宋体" w:eastAsia="新宋体" w:cs="Times New Roman"/>
                <w:sz w:val="24"/>
                <w:szCs w:val="24"/>
                <w:highlight w:val="none"/>
                <w:lang w:val="en-US" w:eastAsia="zh-CN"/>
              </w:rPr>
              <w:t>0</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（一）评分内容：</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制定各种可能出现的情况所采取的应急措施方案，所拟定的应急预案贴合项目实际情况，内容包含但不限于：</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1.对突发事件（人员安全等）有预判性；</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2.能够预见可能发生的紧急情况并有办法及时处理；</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3.应急事件处理流程；</w:t>
            </w:r>
          </w:p>
          <w:p>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4.对应急事件有效控制和快速处置。</w:t>
            </w:r>
          </w:p>
          <w:p>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（二）评分标准：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1.方案完整详尽；</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2.与项目采购需求吻合、思路清晰、层次结构细化；</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3.有具体详细的阐述且符合项目要求；</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4.紧急预案科学合理；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5.紧急预案可操作性强。</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仿宋"/>
                <w:sz w:val="24"/>
                <w:szCs w:val="24"/>
              </w:rPr>
            </w:pPr>
            <w:r>
              <w:rPr>
                <w:rFonts w:hint="eastAsia" w:ascii="新宋体" w:hAnsi="新宋体" w:eastAsia="新宋体" w:cs="Times New Roman"/>
                <w:kern w:val="2"/>
                <w:sz w:val="24"/>
                <w:szCs w:val="24"/>
                <w:highlight w:val="none"/>
                <w:lang w:val="en-US" w:eastAsia="zh-CN" w:bidi="ar-SA"/>
              </w:rPr>
              <w:t>满足以上五项要求得10分，满足以上四项要求得8分，满足以上三项要求得6分，满足以上两项要求得4分，满足以上一项要求得2分，其它情况不得分。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5</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cs="Times New Roman" w:asciiTheme="minorEastAsia" w:hAnsiTheme="minorEastAsia" w:eastAsiaTheme="minorEastAsia"/>
                <w:color w:val="auto"/>
                <w:kern w:val="2"/>
                <w:sz w:val="24"/>
                <w:szCs w:val="24"/>
                <w:highlight w:val="none"/>
                <w:lang w:val="en-US" w:eastAsia="zh-CN" w:bidi="ar-SA"/>
              </w:rPr>
              <w:t>安全管理方案</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10</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新宋体" w:hAnsi="新宋体" w:eastAsia="新宋体" w:cs="Times New Roman"/>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（一）评分内容：</w:t>
            </w:r>
          </w:p>
          <w:p>
            <w:pPr>
              <w:keepNext w:val="0"/>
              <w:keepLines w:val="0"/>
              <w:pageBreakBefore w:val="0"/>
              <w:widowControl w:val="0"/>
              <w:numPr>
                <w:ilvl w:val="0"/>
                <w:numId w:val="0"/>
              </w:numPr>
              <w:kinsoku/>
              <w:wordWrap/>
              <w:overflowPunct/>
              <w:topLinePunct w:val="0"/>
              <w:bidi w:val="0"/>
              <w:spacing w:line="240" w:lineRule="auto"/>
              <w:ind w:firstLine="480" w:firstLineChars="200"/>
              <w:jc w:val="both"/>
              <w:textAlignment w:val="auto"/>
              <w:rPr>
                <w:rFonts w:ascii="宋体" w:hAnsi="宋体" w:cs="宋体"/>
                <w:sz w:val="24"/>
                <w:szCs w:val="24"/>
                <w:highlight w:val="none"/>
              </w:rPr>
            </w:pPr>
            <w:r>
              <w:rPr>
                <w:rFonts w:ascii="宋体" w:hAnsi="宋体" w:cs="宋体"/>
                <w:sz w:val="24"/>
                <w:szCs w:val="24"/>
                <w:highlight w:val="none"/>
              </w:rPr>
              <w:t>投标人提供针对本项目制定的安全服务方案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包括但不限于用电安全、消防安全、卫生防疫安全等；严格遵守安全操作规范，如工具消毒流程、用电设备使用规范等。</w:t>
            </w:r>
          </w:p>
          <w:p>
            <w:pPr>
              <w:keepNext w:val="0"/>
              <w:keepLines w:val="0"/>
              <w:pageBreakBefore w:val="0"/>
              <w:widowControl w:val="0"/>
              <w:numPr>
                <w:ilvl w:val="0"/>
                <w:numId w:val="0"/>
              </w:numPr>
              <w:kinsoku/>
              <w:wordWrap/>
              <w:overflowPunct/>
              <w:topLinePunct w:val="0"/>
              <w:bidi w:val="0"/>
              <w:spacing w:line="240" w:lineRule="auto"/>
              <w:ind w:firstLine="482" w:firstLineChars="200"/>
              <w:jc w:val="both"/>
              <w:textAlignment w:val="auto"/>
              <w:rPr>
                <w:rFonts w:ascii="宋体" w:hAnsi="宋体" w:cs="宋体"/>
                <w:sz w:val="24"/>
                <w:szCs w:val="24"/>
                <w:highlight w:val="none"/>
              </w:rPr>
            </w:pPr>
            <w:r>
              <w:rPr>
                <w:rFonts w:hint="eastAsia" w:ascii="新宋体" w:hAnsi="新宋体" w:eastAsia="新宋体" w:cs="Times New Roman"/>
                <w:b/>
                <w:bCs/>
                <w:kern w:val="2"/>
                <w:sz w:val="24"/>
                <w:szCs w:val="24"/>
                <w:highlight w:val="none"/>
                <w:lang w:val="en-US" w:eastAsia="zh-CN" w:bidi="ar-SA"/>
              </w:rPr>
              <w:t>（二）评分标准：</w:t>
            </w:r>
          </w:p>
          <w:p>
            <w:pPr>
              <w:keepNext w:val="0"/>
              <w:keepLines w:val="0"/>
              <w:pageBreakBefore w:val="0"/>
              <w:widowControl w:val="0"/>
              <w:numPr>
                <w:ilvl w:val="0"/>
                <w:numId w:val="0"/>
              </w:numPr>
              <w:kinsoku/>
              <w:wordWrap/>
              <w:overflowPunct/>
              <w:topLinePunct w:val="0"/>
              <w:bidi w:val="0"/>
              <w:spacing w:line="240" w:lineRule="auto"/>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ascii="宋体" w:hAnsi="宋体" w:cs="宋体"/>
                <w:sz w:val="24"/>
                <w:szCs w:val="24"/>
                <w:highlight w:val="none"/>
              </w:rPr>
              <w:t>安全措施方案实操性强，内容完善合理，得</w:t>
            </w:r>
            <w:r>
              <w:rPr>
                <w:rFonts w:ascii="宋体" w:hAnsi="宋体" w:cs="宋体"/>
                <w:color w:val="000000"/>
                <w:sz w:val="24"/>
                <w:szCs w:val="24"/>
                <w:highlight w:val="none"/>
              </w:rPr>
              <w:t>1</w:t>
            </w:r>
            <w:r>
              <w:rPr>
                <w:rFonts w:hint="eastAsia" w:ascii="宋体" w:hAnsi="宋体" w:cs="宋体"/>
                <w:color w:val="000000"/>
                <w:sz w:val="24"/>
                <w:szCs w:val="24"/>
                <w:highlight w:val="none"/>
              </w:rPr>
              <w:t>0</w:t>
            </w:r>
            <w:r>
              <w:rPr>
                <w:rFonts w:ascii="宋体" w:hAnsi="宋体" w:cs="宋体"/>
                <w:sz w:val="24"/>
                <w:szCs w:val="24"/>
                <w:highlight w:val="none"/>
              </w:rPr>
              <w:t>分；</w:t>
            </w:r>
          </w:p>
          <w:p>
            <w:pPr>
              <w:keepNext w:val="0"/>
              <w:keepLines w:val="0"/>
              <w:pageBreakBefore w:val="0"/>
              <w:widowControl w:val="0"/>
              <w:numPr>
                <w:ilvl w:val="0"/>
                <w:numId w:val="0"/>
              </w:numPr>
              <w:kinsoku/>
              <w:wordWrap/>
              <w:overflowPunct/>
              <w:topLinePunct w:val="0"/>
              <w:bidi w:val="0"/>
              <w:spacing w:line="240" w:lineRule="auto"/>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2.</w:t>
            </w:r>
            <w:r>
              <w:rPr>
                <w:rFonts w:ascii="宋体" w:hAnsi="宋体" w:cs="宋体"/>
                <w:sz w:val="24"/>
                <w:szCs w:val="24"/>
                <w:highlight w:val="none"/>
              </w:rPr>
              <w:t>安全措施方案实操性良好，内容较完善合理，得</w:t>
            </w:r>
            <w:r>
              <w:rPr>
                <w:rFonts w:hint="eastAsia" w:ascii="宋体" w:hAnsi="宋体" w:cs="宋体"/>
                <w:sz w:val="24"/>
                <w:szCs w:val="24"/>
                <w:highlight w:val="none"/>
              </w:rPr>
              <w:t>6</w:t>
            </w:r>
            <w:r>
              <w:rPr>
                <w:rFonts w:ascii="宋体" w:hAnsi="宋体" w:cs="宋体"/>
                <w:sz w:val="24"/>
                <w:szCs w:val="24"/>
                <w:highlight w:val="none"/>
              </w:rPr>
              <w:t>分；</w:t>
            </w:r>
          </w:p>
          <w:p>
            <w:pPr>
              <w:keepNext w:val="0"/>
              <w:keepLines w:val="0"/>
              <w:pageBreakBefore w:val="0"/>
              <w:widowControl w:val="0"/>
              <w:numPr>
                <w:ilvl w:val="0"/>
                <w:numId w:val="0"/>
              </w:numPr>
              <w:kinsoku/>
              <w:wordWrap/>
              <w:overflowPunct/>
              <w:topLinePunct w:val="0"/>
              <w:bidi w:val="0"/>
              <w:spacing w:line="240" w:lineRule="auto"/>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3.</w:t>
            </w:r>
            <w:r>
              <w:rPr>
                <w:rFonts w:ascii="宋体" w:hAnsi="宋体" w:cs="宋体"/>
                <w:sz w:val="24"/>
                <w:szCs w:val="24"/>
                <w:highlight w:val="none"/>
              </w:rPr>
              <w:t>安全措施方案实操性一般，内容完善度、合理性一般，得</w:t>
            </w:r>
            <w:r>
              <w:rPr>
                <w:rFonts w:hint="eastAsia" w:ascii="宋体" w:hAnsi="宋体" w:cs="宋体"/>
                <w:sz w:val="24"/>
                <w:szCs w:val="24"/>
                <w:highlight w:val="none"/>
                <w:lang w:eastAsia="zh-CN"/>
              </w:rPr>
              <w:t>4</w:t>
            </w:r>
            <w:r>
              <w:rPr>
                <w:rFonts w:ascii="宋体" w:hAnsi="宋体" w:cs="宋体"/>
                <w:sz w:val="24"/>
                <w:szCs w:val="24"/>
                <w:highlight w:val="none"/>
              </w:rPr>
              <w:t>分；</w:t>
            </w:r>
          </w:p>
          <w:p>
            <w:pPr>
              <w:keepNext w:val="0"/>
              <w:keepLines w:val="0"/>
              <w:pageBreakBefore w:val="0"/>
              <w:widowControl w:val="0"/>
              <w:numPr>
                <w:ilvl w:val="0"/>
                <w:numId w:val="0"/>
              </w:numPr>
              <w:kinsoku/>
              <w:wordWrap/>
              <w:overflowPunct/>
              <w:topLinePunct w:val="0"/>
              <w:bidi w:val="0"/>
              <w:spacing w:line="240" w:lineRule="auto"/>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4.</w:t>
            </w:r>
            <w:r>
              <w:rPr>
                <w:rFonts w:ascii="宋体" w:hAnsi="宋体" w:cs="宋体"/>
                <w:sz w:val="24"/>
                <w:szCs w:val="24"/>
                <w:highlight w:val="none"/>
              </w:rPr>
              <w:t>安全措施方案实操性差，内容不完善不合理，得0分。</w:t>
            </w:r>
          </w:p>
          <w:p>
            <w:pPr>
              <w:keepNext w:val="0"/>
              <w:keepLines w:val="0"/>
              <w:pageBreakBefore w:val="0"/>
              <w:widowControl w:val="0"/>
              <w:numPr>
                <w:ilvl w:val="0"/>
                <w:numId w:val="0"/>
              </w:numPr>
              <w:kinsoku/>
              <w:wordWrap/>
              <w:overflowPunct/>
              <w:topLinePunct w:val="0"/>
              <w:bidi w:val="0"/>
              <w:snapToGrid/>
              <w:spacing w:line="240" w:lineRule="auto"/>
              <w:ind w:left="0" w:leftChars="0" w:firstLine="480" w:firstLineChars="200"/>
              <w:jc w:val="both"/>
              <w:textAlignment w:val="auto"/>
              <w:rPr>
                <w:rFonts w:ascii="仿宋" w:hAnsi="仿宋" w:eastAsia="仿宋" w:cs="仿宋"/>
                <w:b/>
                <w:i/>
                <w:sz w:val="24"/>
                <w:szCs w:val="24"/>
                <w:u w:val="single"/>
              </w:rPr>
            </w:pPr>
            <w:r>
              <w:rPr>
                <w:rFonts w:ascii="宋体" w:hAnsi="宋体" w:cs="宋体"/>
                <w:sz w:val="24"/>
                <w:szCs w:val="24"/>
                <w:highlight w:val="none"/>
              </w:rPr>
              <w:t>未提供方案或提供方案不符合本项目要求的不得分。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b/>
                <w:color w:val="0000FF"/>
                <w:sz w:val="24"/>
                <w:szCs w:val="24"/>
              </w:rPr>
            </w:pPr>
            <w:r>
              <w:rPr>
                <w:rFonts w:hint="eastAsia" w:ascii="仿宋" w:hAnsi="仿宋" w:eastAsia="仿宋" w:cs="仿宋"/>
                <w:b/>
                <w:color w:val="0000FF"/>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default"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lang w:val="en-US" w:eastAsia="zh-CN"/>
              </w:rPr>
              <w:t>商务部分</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hint="default" w:cs="宋体" w:asciiTheme="minorEastAsia" w:hAnsiTheme="minorEastAsia" w:eastAsiaTheme="minorEastAsia"/>
                <w:b/>
                <w:color w:val="0000FF"/>
                <w:sz w:val="24"/>
                <w:szCs w:val="24"/>
                <w:lang w:val="en-US" w:eastAsia="zh-CN"/>
              </w:rPr>
            </w:pPr>
            <w:r>
              <w:rPr>
                <w:rFonts w:hint="eastAsia" w:cs="宋体" w:asciiTheme="minorEastAsia" w:hAnsiTheme="minorEastAsia"/>
                <w:b/>
                <w:color w:val="0000FF"/>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项目经验评价</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ind w:firstLine="482"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（一）评分内容：</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2021年</w:t>
            </w:r>
            <w:r>
              <w:rPr>
                <w:rFonts w:hint="eastAsia" w:cs="Times New Roman" w:asciiTheme="minorEastAsia" w:hAnsiTheme="minorEastAsia" w:eastAsiaTheme="minorEastAsia"/>
                <w:sz w:val="24"/>
                <w:szCs w:val="24"/>
                <w:highlight w:val="none"/>
                <w:lang w:val="en-US" w:eastAsia="zh-CN"/>
              </w:rPr>
              <w:t>1</w:t>
            </w:r>
            <w:r>
              <w:rPr>
                <w:rFonts w:hint="eastAsia" w:cs="Times New Roman" w:asciiTheme="minorEastAsia" w:hAnsiTheme="minorEastAsia" w:eastAsiaTheme="minorEastAsia"/>
                <w:sz w:val="24"/>
                <w:szCs w:val="24"/>
                <w:highlight w:val="none"/>
              </w:rPr>
              <w:t>月1日至本项目投标截止日（以合同签订日期</w:t>
            </w:r>
            <w:r>
              <w:rPr>
                <w:rFonts w:hint="eastAsia" w:asciiTheme="minorEastAsia" w:hAnsiTheme="minorEastAsia" w:eastAsiaTheme="minorEastAsia"/>
                <w:sz w:val="24"/>
                <w:szCs w:val="24"/>
                <w:highlight w:val="none"/>
              </w:rPr>
              <w:t>或合同中载明的履约起始日期</w:t>
            </w:r>
            <w:r>
              <w:rPr>
                <w:rFonts w:hint="eastAsia" w:cs="Times New Roman" w:asciiTheme="minorEastAsia" w:hAnsiTheme="minorEastAsia" w:eastAsiaTheme="minorEastAsia"/>
                <w:sz w:val="24"/>
                <w:szCs w:val="24"/>
                <w:highlight w:val="none"/>
              </w:rPr>
              <w:t>为准），投标人具有</w:t>
            </w:r>
            <w:r>
              <w:rPr>
                <w:rFonts w:hint="eastAsia" w:cs="Times New Roman" w:asciiTheme="minorEastAsia" w:hAnsiTheme="minorEastAsia" w:eastAsiaTheme="minorEastAsia"/>
                <w:bCs w:val="0"/>
                <w:sz w:val="24"/>
                <w:szCs w:val="24"/>
                <w:highlight w:val="none"/>
              </w:rPr>
              <w:t>同类项目业绩</w:t>
            </w:r>
            <w:r>
              <w:rPr>
                <w:rFonts w:hint="eastAsia" w:cs="Times New Roman" w:asciiTheme="minorEastAsia" w:hAnsiTheme="minorEastAsia" w:eastAsiaTheme="minorEastAsia"/>
                <w:sz w:val="24"/>
                <w:szCs w:val="24"/>
                <w:highlight w:val="none"/>
              </w:rPr>
              <w:t>，每提供1个项目得</w:t>
            </w:r>
            <w:r>
              <w:rPr>
                <w:rFonts w:hint="eastAsia" w:cs="Times New Roman" w:asciiTheme="minorEastAsia" w:hAnsiTheme="minorEastAsia"/>
                <w:sz w:val="24"/>
                <w:szCs w:val="24"/>
                <w:highlight w:val="none"/>
                <w:lang w:val="en-US" w:eastAsia="zh-CN"/>
              </w:rPr>
              <w:t>2</w:t>
            </w:r>
            <w:r>
              <w:rPr>
                <w:rFonts w:hint="eastAsia" w:cs="Times New Roman" w:asciiTheme="minorEastAsia" w:hAnsiTheme="minorEastAsia" w:eastAsiaTheme="minorEastAsia"/>
                <w:sz w:val="24"/>
                <w:szCs w:val="24"/>
                <w:highlight w:val="none"/>
              </w:rPr>
              <w:t>分,最高得</w:t>
            </w:r>
            <w:r>
              <w:rPr>
                <w:rFonts w:hint="eastAsia" w:cs="Times New Roman" w:asciiTheme="minorEastAsia" w:hAnsiTheme="minorEastAsia"/>
                <w:sz w:val="24"/>
                <w:szCs w:val="24"/>
                <w:highlight w:val="none"/>
                <w:lang w:val="en-US" w:eastAsia="zh-CN"/>
              </w:rPr>
              <w:t>5</w:t>
            </w:r>
            <w:r>
              <w:rPr>
                <w:rFonts w:hint="eastAsia" w:cs="Times New Roman" w:asciiTheme="minorEastAsia" w:hAnsiTheme="minorEastAsia" w:eastAsiaTheme="minorEastAsia"/>
                <w:sz w:val="24"/>
                <w:szCs w:val="24"/>
                <w:highlight w:val="none"/>
              </w:rPr>
              <w:t>分。同一项目续签合同的不可重复得分。</w:t>
            </w:r>
          </w:p>
          <w:p>
            <w:pPr>
              <w:keepNext w:val="0"/>
              <w:keepLines w:val="0"/>
              <w:pageBreakBefore w:val="0"/>
              <w:widowControl w:val="0"/>
              <w:kinsoku/>
              <w:wordWrap/>
              <w:overflowPunct/>
              <w:topLinePunct w:val="0"/>
              <w:autoSpaceDE/>
              <w:autoSpaceDN/>
              <w:bidi w:val="0"/>
              <w:adjustRightInd/>
              <w:spacing w:line="240" w:lineRule="auto"/>
              <w:ind w:firstLine="482" w:firstLineChars="200"/>
              <w:jc w:val="both"/>
              <w:textAlignment w:val="auto"/>
              <w:rPr>
                <w:rFonts w:hint="eastAsia" w:asciiTheme="minorEastAsia" w:hAnsiTheme="minorEastAsia" w:eastAsiaTheme="minorEastAsia"/>
                <w:kern w:val="2"/>
                <w:sz w:val="24"/>
                <w:szCs w:val="24"/>
                <w:highlight w:val="none"/>
              </w:rPr>
            </w:pPr>
            <w:r>
              <w:rPr>
                <w:rFonts w:hint="eastAsia" w:asciiTheme="minorEastAsia" w:hAnsiTheme="minorEastAsia" w:eastAsiaTheme="minorEastAsia"/>
                <w:b/>
                <w:bCs/>
                <w:kern w:val="2"/>
                <w:sz w:val="24"/>
                <w:szCs w:val="24"/>
                <w:highlight w:val="none"/>
              </w:rPr>
              <w:t>（二）评分依据：</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Theme="minorEastAsia" w:hAnsiTheme="minorEastAsia" w:eastAsiaTheme="minorEastAsia"/>
                <w:kern w:val="2"/>
                <w:sz w:val="24"/>
                <w:szCs w:val="24"/>
                <w:highlight w:val="none"/>
              </w:rPr>
            </w:pPr>
            <w:r>
              <w:rPr>
                <w:rFonts w:hint="eastAsia" w:asciiTheme="minorEastAsia" w:hAnsiTheme="minorEastAsia" w:eastAsiaTheme="minorEastAsia"/>
                <w:kern w:val="2"/>
                <w:sz w:val="24"/>
                <w:szCs w:val="24"/>
                <w:highlight w:val="none"/>
                <w:lang w:val="en-US" w:eastAsia="zh-CN"/>
              </w:rPr>
              <w:t>投标人提供的每项业绩须按以下要求同时提供完整准确的证明文件，如未按以下要求提供完整证明文件的业绩不计分：</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1. 提供合同关键页（关键信息包括但不仅限于合同的项目名称、服务内容、合同服务期限、甲乙双方签字盖章页）</w:t>
            </w:r>
            <w:r>
              <w:rPr>
                <w:rFonts w:hint="eastAsia" w:asciiTheme="minorEastAsia" w:hAnsiTheme="minorEastAsia" w:eastAsiaTheme="minorEastAsia"/>
                <w:bCs w:val="0"/>
                <w:sz w:val="24"/>
                <w:szCs w:val="24"/>
                <w:highlight w:val="none"/>
              </w:rPr>
              <w:t>且提供的材料各项信息不得有任何遮挡</w:t>
            </w:r>
            <w:r>
              <w:rPr>
                <w:rFonts w:hint="eastAsia" w:asciiTheme="minorEastAsia" w:hAnsiTheme="minorEastAsia" w:eastAsiaTheme="minorEastAsia"/>
                <w:sz w:val="24"/>
                <w:szCs w:val="24"/>
                <w:highlight w:val="none"/>
              </w:rPr>
              <w:t>；</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2. </w:t>
            </w:r>
            <w:r>
              <w:rPr>
                <w:rFonts w:hint="eastAsia" w:asciiTheme="minorEastAsia" w:hAnsiTheme="minorEastAsia" w:eastAsiaTheme="minorEastAsia"/>
                <w:sz w:val="24"/>
                <w:szCs w:val="24"/>
                <w:highlight w:val="none"/>
                <w:lang w:val="en-US" w:eastAsia="zh-CN"/>
              </w:rPr>
              <w:t>中标通知书或项目合同发票</w:t>
            </w:r>
            <w:r>
              <w:rPr>
                <w:rFonts w:hint="eastAsia" w:asciiTheme="minorEastAsia" w:hAnsiTheme="minorEastAsia" w:eastAsiaTheme="minorEastAsia"/>
                <w:sz w:val="24"/>
                <w:szCs w:val="24"/>
                <w:highlight w:val="none"/>
              </w:rPr>
              <w:t>；</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仿宋"/>
                <w:sz w:val="24"/>
                <w:szCs w:val="24"/>
              </w:rPr>
            </w:pPr>
            <w:r>
              <w:rPr>
                <w:rFonts w:hint="eastAsia" w:asciiTheme="minorEastAsia" w:hAnsiTheme="minorEastAsia" w:eastAsiaTheme="minorEastAsia"/>
                <w:sz w:val="24"/>
                <w:szCs w:val="24"/>
                <w:highlight w:val="none"/>
              </w:rPr>
              <w:t>提供以上证明文件复印件或扫描件,均要求加盖投标人公章,原件备查。未按要求提供有效证明材料或提供不清晰导致评委无法识别的不计得分。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left"/>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rPr>
              <w:t>拟安排的驻点成员情况</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40" w:lineRule="auto"/>
              <w:jc w:val="center"/>
              <w:textAlignment w:val="auto"/>
              <w:rPr>
                <w:rFonts w:ascii="仿宋" w:hAnsi="仿宋" w:eastAsia="仿宋" w:cs="仿宋"/>
                <w:sz w:val="24"/>
                <w:szCs w:val="24"/>
              </w:rPr>
            </w:pPr>
            <w:r>
              <w:rPr>
                <w:rFonts w:hint="eastAsia" w:ascii="新宋体" w:hAnsi="新宋体" w:eastAsia="新宋体" w:cs="Times New Roman"/>
                <w:sz w:val="24"/>
                <w:szCs w:val="24"/>
                <w:highlight w:val="none"/>
              </w:rPr>
              <w:t>10</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b/>
                <w:bCs/>
                <w:kern w:val="2"/>
                <w:sz w:val="24"/>
                <w:szCs w:val="24"/>
                <w:highlight w:val="none"/>
                <w:lang w:val="en-US" w:eastAsia="zh-CN" w:bidi="ar-SA"/>
              </w:rPr>
              <w:t>（一）评分内容：</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ascii="新宋体" w:hAnsi="新宋体" w:eastAsia="新宋体" w:cs="Times New Roman"/>
                <w:kern w:val="2"/>
                <w:sz w:val="24"/>
                <w:szCs w:val="24"/>
                <w:highlight w:val="none"/>
                <w:lang w:val="en-US" w:eastAsia="zh-CN" w:bidi="ar-SA"/>
              </w:rPr>
              <w:t>拟安排的驻点成员情况</w:t>
            </w:r>
            <w:r>
              <w:rPr>
                <w:rFonts w:hint="eastAsia" w:cs="Times New Roman" w:asciiTheme="minorEastAsia" w:hAnsiTheme="minorEastAsia" w:eastAsiaTheme="minorEastAsia"/>
                <w:kern w:val="2"/>
                <w:sz w:val="24"/>
                <w:szCs w:val="24"/>
                <w:highlight w:val="none"/>
                <w:lang w:val="en-US" w:eastAsia="zh-CN" w:bidi="ar-SA"/>
              </w:rPr>
              <w:t>需为投标人</w:t>
            </w:r>
            <w:r>
              <w:rPr>
                <w:rFonts w:hint="eastAsia" w:cs="Times New Roman"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正式聘任</w:t>
            </w:r>
            <w:r>
              <w:rPr>
                <w:rFonts w:hint="eastAsia" w:cs="Times New Roman" w:asciiTheme="minorEastAsia" w:hAnsiTheme="minorEastAsia" w:eastAsiaTheme="minorEastAsia"/>
                <w:kern w:val="2"/>
                <w:sz w:val="24"/>
                <w:szCs w:val="24"/>
                <w:highlight w:val="none"/>
                <w:lang w:val="en-US" w:eastAsia="zh-CN" w:bidi="ar-SA"/>
              </w:rPr>
              <w:t>员工，提供证明材料，否则本项不得分。在此基础上，按以下标准评分：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1.拟安排的人员应持有健康证，满足条件得5分。</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default"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2.</w:t>
            </w:r>
            <w:r>
              <w:rPr>
                <w:rFonts w:hint="eastAsia" w:asciiTheme="minorEastAsia" w:hAnsiTheme="minorEastAsia" w:eastAsiaTheme="minorEastAsia"/>
                <w:sz w:val="24"/>
                <w:szCs w:val="24"/>
                <w:highlight w:val="none"/>
                <w:lang w:val="en-US" w:eastAsia="zh-CN"/>
              </w:rPr>
              <w:t>拟安排的人员应持有美发师国家职业技能标准（职业编码：4-10-03-02）</w:t>
            </w:r>
            <w:r>
              <w:rPr>
                <w:rFonts w:hint="eastAsia" w:cs="Times New Roman" w:asciiTheme="minorEastAsia" w:hAnsiTheme="minorEastAsia" w:eastAsiaTheme="minorEastAsia"/>
                <w:sz w:val="24"/>
                <w:szCs w:val="24"/>
                <w:highlight w:val="none"/>
              </w:rPr>
              <w:t>四级/中级工</w:t>
            </w:r>
            <w:r>
              <w:rPr>
                <w:rFonts w:hint="eastAsia" w:cs="Times New Roman" w:asciiTheme="minorEastAsia" w:hAnsiTheme="minorEastAsia" w:eastAsiaTheme="minorEastAsia"/>
                <w:sz w:val="24"/>
                <w:szCs w:val="24"/>
                <w:highlight w:val="none"/>
                <w:lang w:val="en-US" w:eastAsia="zh-CN"/>
              </w:rPr>
              <w:t>及以上</w:t>
            </w:r>
            <w:r>
              <w:rPr>
                <w:rFonts w:hint="eastAsia" w:cs="Times New Roman" w:asciiTheme="minorEastAsia" w:hAnsiTheme="minorEastAsia" w:eastAsiaTheme="minorEastAsia"/>
                <w:sz w:val="24"/>
                <w:szCs w:val="24"/>
                <w:highlight w:val="none"/>
              </w:rPr>
              <w:t>职业资格证书 (技能等级证书)</w:t>
            </w:r>
            <w:r>
              <w:rPr>
                <w:rFonts w:hint="eastAsia" w:asciiTheme="minorEastAsia" w:hAnsiTheme="minorEastAsia" w:eastAsiaTheme="minorEastAsia"/>
                <w:sz w:val="24"/>
                <w:szCs w:val="24"/>
                <w:highlight w:val="none"/>
                <w:lang w:val="en-US" w:eastAsia="zh-CN"/>
              </w:rPr>
              <w:t>，满足条件得5分。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both"/>
              <w:textAlignment w:val="auto"/>
              <w:rPr>
                <w:rFonts w:cs="Times New Roman" w:asciiTheme="minorEastAsia" w:hAnsiTheme="minorEastAsia" w:eastAsiaTheme="minorEastAsia"/>
                <w:kern w:val="0"/>
                <w:sz w:val="24"/>
                <w:szCs w:val="24"/>
                <w:highlight w:val="none"/>
              </w:rPr>
            </w:pPr>
            <w:r>
              <w:rPr>
                <w:rFonts w:hint="eastAsia" w:cs="Times New Roman" w:asciiTheme="minorEastAsia" w:hAnsiTheme="minorEastAsia" w:eastAsiaTheme="minorEastAsia"/>
                <w:b/>
                <w:bCs/>
                <w:kern w:val="0"/>
                <w:sz w:val="24"/>
                <w:szCs w:val="24"/>
                <w:highlight w:val="none"/>
              </w:rPr>
              <w:t>（二）评分依据：</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1. 提供项目团队成员通过投标单位缴纳的载有</w:t>
            </w:r>
            <w:r>
              <w:rPr>
                <w:rFonts w:hint="eastAsia" w:cs="宋体" w:asciiTheme="minorEastAsia" w:hAnsiTheme="minorEastAsia" w:eastAsiaTheme="minorEastAsia"/>
                <w:kern w:val="2"/>
                <w:sz w:val="24"/>
                <w:szCs w:val="24"/>
                <w:highlight w:val="none"/>
                <w:lang w:val="en-US" w:eastAsia="zh-CN" w:bidi="ar-SA"/>
              </w:rPr>
              <w:t>社保部门或税务部门</w:t>
            </w:r>
            <w:r>
              <w:rPr>
                <w:rFonts w:hint="eastAsia" w:cs="Times New Roman" w:asciiTheme="minorEastAsia" w:hAnsiTheme="minorEastAsia" w:eastAsiaTheme="minorEastAsia"/>
                <w:kern w:val="2"/>
                <w:sz w:val="24"/>
                <w:szCs w:val="24"/>
                <w:highlight w:val="none"/>
                <w:lang w:val="en-US" w:eastAsia="zh-CN" w:bidi="ar-SA"/>
              </w:rPr>
              <w:t>公章的近三个月内任意一个月的个人社保证明；如供应商为新成立单位且成立时间不足一个月的，</w:t>
            </w:r>
            <w:r>
              <w:rPr>
                <w:rFonts w:hint="eastAsia" w:cs="宋体" w:asciiTheme="minorEastAsia" w:hAnsiTheme="minorEastAsia" w:eastAsiaTheme="minorEastAsia"/>
                <w:kern w:val="2"/>
                <w:sz w:val="24"/>
                <w:szCs w:val="24"/>
                <w:highlight w:val="none"/>
                <w:lang w:val="en-US" w:eastAsia="zh-CN" w:bidi="ar-SA"/>
              </w:rPr>
              <w:t>可提供加盖公章的情况说明或者证明材料，无需提供相关人员社保，亦视为符合；</w:t>
            </w:r>
            <w:r>
              <w:rPr>
                <w:rFonts w:hint="eastAsia" w:cs="Times New Roman" w:asciiTheme="minorEastAsia" w:hAnsiTheme="minorEastAsia" w:eastAsiaTheme="minorEastAsia"/>
                <w:kern w:val="2"/>
                <w:sz w:val="24"/>
                <w:szCs w:val="24"/>
                <w:highlight w:val="none"/>
                <w:lang w:val="en-US" w:eastAsia="zh-CN" w:bidi="ar-SA"/>
              </w:rPr>
              <w:t>如为退休返聘人员则提供劳动合同或返聘协议，</w:t>
            </w:r>
            <w:r>
              <w:rPr>
                <w:rFonts w:hint="eastAsia" w:cs="宋体" w:asciiTheme="minorEastAsia" w:hAnsiTheme="minorEastAsia" w:eastAsiaTheme="minorEastAsia"/>
                <w:kern w:val="2"/>
                <w:sz w:val="24"/>
                <w:szCs w:val="24"/>
                <w:highlight w:val="none"/>
                <w:lang w:val="en-US" w:eastAsia="zh-CN" w:bidi="ar-SA"/>
              </w:rPr>
              <w:t>无需提供相关人员社保，亦视为符合</w:t>
            </w:r>
            <w:r>
              <w:rPr>
                <w:rFonts w:hint="eastAsia" w:cs="Times New Roman" w:asciiTheme="minorEastAsia" w:hAnsiTheme="minorEastAsia" w:eastAsiaTheme="minorEastAsia"/>
                <w:kern w:val="2"/>
                <w:sz w:val="24"/>
                <w:szCs w:val="24"/>
                <w:highlight w:val="none"/>
                <w:lang w:val="en-US" w:eastAsia="zh-CN" w:bidi="ar-SA"/>
              </w:rPr>
              <w:t>；</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2. 提供上述人员相关证书扫描件；</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 涉及考察职业技能等级证书的，要求提供证书颁发单位在职业技能等级评价机构公示查询系统（网址：http://pjjg.osta.org.cn/）的备案记录查询截图，颁发单位无备案记录的视为无效证书；</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仿宋"/>
                <w:sz w:val="24"/>
                <w:szCs w:val="24"/>
              </w:rPr>
            </w:pPr>
            <w:r>
              <w:rPr>
                <w:rFonts w:hint="eastAsia" w:cs="Times New Roman" w:asciiTheme="minorEastAsia" w:hAnsiTheme="minorEastAsia" w:eastAsiaTheme="minorEastAsia"/>
                <w:kern w:val="2"/>
                <w:sz w:val="24"/>
                <w:szCs w:val="24"/>
                <w:highlight w:val="none"/>
                <w:lang w:val="en-US" w:eastAsia="zh-CN" w:bidi="ar-SA"/>
              </w:rPr>
              <w:t>4. 提供以上证明文件复印件或扫描件，均要求加盖投标人公章，原件备查。未按要求提供有效证明材料或提供不清晰导致评委无法识别的不计得分。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cs="仿宋" w:asciiTheme="minorEastAsia" w:hAnsiTheme="minorEastAsia"/>
                <w:b/>
                <w:color w:val="0000FF"/>
                <w:sz w:val="24"/>
                <w:szCs w:val="24"/>
              </w:rPr>
            </w:pPr>
            <w:r>
              <w:rPr>
                <w:rFonts w:hint="eastAsia" w:cs="仿宋" w:asciiTheme="minorEastAsia" w:hAnsiTheme="minorEastAsia"/>
                <w:b/>
                <w:color w:val="0000FF"/>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cs="仿宋" w:asciiTheme="minorEastAsia" w:hAnsiTheme="minorEastAsia"/>
                <w:b/>
                <w:color w:val="0000FF"/>
                <w:sz w:val="24"/>
                <w:szCs w:val="24"/>
              </w:rPr>
            </w:pPr>
            <w:r>
              <w:rPr>
                <w:rFonts w:hint="eastAsia" w:cs="仿宋" w:asciiTheme="minorEastAsia" w:hAnsiTheme="minorEastAsia"/>
                <w:b/>
                <w:color w:val="0000FF"/>
                <w:sz w:val="24"/>
                <w:szCs w:val="24"/>
              </w:rPr>
              <w:t>诚信情况</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cs="仿宋" w:asciiTheme="minorEastAsia" w:hAnsiTheme="minorEastAsia"/>
                <w:b/>
                <w:color w:val="0000FF"/>
                <w:sz w:val="24"/>
                <w:szCs w:val="24"/>
              </w:rPr>
            </w:pPr>
            <w:r>
              <w:rPr>
                <w:rFonts w:hint="eastAsia" w:cs="仿宋" w:asciiTheme="minorEastAsia" w:hAnsiTheme="minorEastAsia"/>
                <w:b/>
                <w:color w:val="0000FF"/>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t>1</w:t>
            </w:r>
          </w:p>
        </w:tc>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280" w:lineRule="exact"/>
              <w:jc w:val="center"/>
              <w:textAlignment w:val="auto"/>
              <w:rPr>
                <w:rFonts w:ascii="仿宋" w:hAnsi="仿宋" w:eastAsia="仿宋" w:cs="仿宋"/>
                <w:sz w:val="24"/>
                <w:szCs w:val="24"/>
              </w:rPr>
            </w:pPr>
            <w:r>
              <w:rPr>
                <w:rFonts w:hint="eastAsia" w:ascii="仿宋" w:hAnsi="仿宋" w:eastAsia="仿宋" w:cs="仿宋"/>
                <w:sz w:val="24"/>
                <w:szCs w:val="24"/>
              </w:rPr>
              <w:t>5</w:t>
            </w:r>
          </w:p>
        </w:tc>
        <w:tc>
          <w:tcPr>
            <w:tcW w:w="55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仿宋"/>
                <w:sz w:val="24"/>
                <w:szCs w:val="24"/>
              </w:rPr>
            </w:pPr>
            <w:r>
              <w:rPr>
                <w:rFonts w:hint="eastAsia" w:cs="Times New Roman" w:asciiTheme="minorEastAsia" w:hAnsiTheme="minorEastAsia" w:eastAsiaTheme="minorEastAsia"/>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hint="eastAsia"/>
          <w:color w:val="auto"/>
          <w:lang w:val="en-US" w:eastAsia="zh-CN"/>
        </w:rPr>
      </w:pPr>
      <w:bookmarkStart w:id="1" w:name="bt合同格式"/>
      <w:bookmarkEnd w:id="1"/>
      <w:bookmarkStart w:id="2" w:name="bt投标人须知"/>
      <w:bookmarkEnd w:id="2"/>
      <w:bookmarkStart w:id="3" w:name="bt开标一览表"/>
      <w:bookmarkEnd w:id="3"/>
      <w:bookmarkStart w:id="4" w:name="bt说明"/>
      <w:bookmarkEnd w:id="4"/>
      <w:bookmarkStart w:id="5" w:name="bt商务标投标文件格式"/>
      <w:bookmarkEnd w:id="5"/>
      <w:bookmarkStart w:id="6" w:name="bt技术标投标文件格式"/>
      <w:bookmarkEnd w:id="6"/>
      <w:bookmarkStart w:id="7" w:name="bt其他资料由投标人自定"/>
      <w:bookmarkEnd w:id="7"/>
      <w:bookmarkStart w:id="8" w:name="bt合同条款"/>
      <w:bookmarkEnd w:id="8"/>
      <w:bookmarkStart w:id="9" w:name="bt其他资料2"/>
      <w:bookmarkEnd w:id="9"/>
      <w:bookmarkStart w:id="10" w:name="bt投标人情况介绍"/>
      <w:bookmarkEnd w:id="10"/>
      <w:bookmarkStart w:id="11" w:name="合同格式"/>
      <w:bookmarkEnd w:id="11"/>
      <w:bookmarkStart w:id="12" w:name="bt合同条款及格式"/>
      <w:bookmarkEnd w:id="12"/>
      <w:bookmarkStart w:id="13" w:name="bt本工程承诺书"/>
      <w:bookmarkEnd w:id="13"/>
      <w:bookmarkStart w:id="14" w:name="bt投标报价汇总表"/>
      <w:bookmarkEnd w:id="14"/>
      <w:bookmarkStart w:id="15" w:name="bt项目管理班子配备情况"/>
      <w:bookmarkEnd w:id="15"/>
      <w:bookmarkStart w:id="16" w:name="bt投标文件签署授权委托书"/>
      <w:bookmarkEnd w:id="16"/>
      <w:bookmarkStart w:id="17" w:name="bt投标函"/>
      <w:bookmarkEnd w:id="17"/>
      <w:bookmarkStart w:id="18" w:name="_Toc76544499"/>
      <w:bookmarkStart w:id="19" w:name="_Toc432592813"/>
      <w:bookmarkStart w:id="20" w:name="_Toc265483798"/>
      <w:r>
        <w:rPr>
          <w:rFonts w:hint="eastAsia"/>
          <w:color w:val="auto"/>
          <w:lang w:val="en-US" w:eastAsia="zh-CN"/>
        </w:rPr>
        <w:br w:type="page"/>
      </w:r>
    </w:p>
    <w:p>
      <w:pPr>
        <w:pStyle w:val="19"/>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5"/>
        <w:tblW w:w="5413"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1004"/>
        <w:gridCol w:w="23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49"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811"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812"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06"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59"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59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预算单价(元/人次)</w:t>
            </w:r>
          </w:p>
        </w:tc>
        <w:tc>
          <w:tcPr>
            <w:tcW w:w="502"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1164"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49"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811"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705</w:t>
            </w:r>
          </w:p>
        </w:tc>
        <w:tc>
          <w:tcPr>
            <w:tcW w:w="812"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cs="宋体"/>
                <w:szCs w:val="21"/>
                <w:lang w:val="en-US" w:eastAsia="zh-CN"/>
              </w:rPr>
              <w:t>员工理发服务</w:t>
            </w:r>
          </w:p>
        </w:tc>
        <w:tc>
          <w:tcPr>
            <w:tcW w:w="406"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59"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593"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30</w:t>
            </w:r>
          </w:p>
        </w:tc>
        <w:tc>
          <w:tcPr>
            <w:tcW w:w="502"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 w:cs="宋体"/>
                <w:b w:val="0"/>
                <w:bCs w:val="0"/>
                <w:color w:val="auto"/>
                <w:kern w:val="0"/>
                <w:sz w:val="24"/>
                <w:szCs w:val="24"/>
                <w:highlight w:val="none"/>
                <w:lang w:val="en-US" w:eastAsia="zh-CN"/>
              </w:rPr>
            </w:pPr>
            <w:r>
              <w:rPr>
                <w:rFonts w:hint="eastAsia" w:ascii="仿宋" w:hAnsi="仿宋" w:eastAsia="仿宋"/>
                <w:sz w:val="24"/>
                <w:szCs w:val="24"/>
                <w:lang w:val="en-US" w:eastAsia="zh-CN"/>
              </w:rPr>
              <w:t>120000</w:t>
            </w:r>
          </w:p>
        </w:tc>
        <w:tc>
          <w:tcPr>
            <w:tcW w:w="1164"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年度服务项目，每年服务约4000人次，每月按实际服务人次据实结算，每人次服务单价上限30元（单价报价需≤30元），年度结算上限120000元。</w:t>
            </w:r>
          </w:p>
        </w:tc>
      </w:tr>
    </w:tbl>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2、本项目不接受任何形式的联合体投标，不接受同一母公司下属两家（含两家）以上的分、子公司参与投标。投标人不得将本项目进行分包、转包。</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三、供应商报名资格审查资料清单（复印件加盖公章、原件备查）：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3供应商基本情况表及供应商基本情况表附件（格式详见附件）；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、法定代表人证明书（格式详见附件）；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、投标及履约承诺函（格式详见附件）</w:t>
      </w:r>
      <w:r>
        <w:rPr>
          <w:rFonts w:hint="eastAsia" w:asciiTheme="minorEastAsia" w:hAnsiTheme="minorEastAsia" w:cstheme="minorEastAsia"/>
          <w:bCs/>
          <w:sz w:val="24"/>
          <w:szCs w:val="24"/>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8</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8</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w:t>
      </w:r>
      <w:r>
        <w:rPr>
          <w:rFonts w:hint="eastAsia" w:asciiTheme="minorEastAsia" w:hAnsiTheme="minorEastAsia" w:eastAsiaTheme="minorEastAsia" w:cstheme="minorEastAsia"/>
          <w:bCs/>
          <w:color w:val="FF0000"/>
          <w:sz w:val="24"/>
          <w:szCs w:val="24"/>
          <w:lang w:val="en-US" w:eastAsia="zh-CN"/>
        </w:rPr>
        <w:t>另行通知</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eastAsiaTheme="minorEastAsia" w:cstheme="minorEastAsia"/>
          <w:color w:val="auto"/>
          <w:sz w:val="24"/>
          <w:szCs w:val="24"/>
          <w:highlight w:val="none"/>
          <w:lang w:val="en-US" w:eastAsia="zh-CN"/>
        </w:rPr>
        <w:t>自筹</w:t>
      </w:r>
      <w:r>
        <w:rPr>
          <w:rFonts w:hint="eastAsia" w:asciiTheme="minorEastAsia" w:hAnsiTheme="minorEastAsia" w:cstheme="minorEastAsia"/>
          <w:color w:val="auto"/>
          <w:sz w:val="24"/>
          <w:szCs w:val="24"/>
          <w:highlight w:val="none"/>
          <w:lang w:val="en-US" w:eastAsia="zh-CN"/>
        </w:rPr>
        <w:t>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Theme="minorEastAsia" w:hAnsiTheme="minorEastAsia" w:eastAsiaTheme="minorEastAsia" w:cstheme="minorEastAsia"/>
          <w:b/>
          <w:bCs/>
          <w:color w:val="FF0000"/>
          <w:sz w:val="24"/>
          <w:szCs w:val="24"/>
        </w:rPr>
      </w:pPr>
      <w:r>
        <w:rPr>
          <w:rFonts w:hint="eastAsia" w:ascii="Cambria" w:hAnsi="Cambria" w:cs="Times New Roman" w:eastAsiaTheme="minorEastAsia"/>
          <w:b/>
          <w:bCs/>
          <w:kern w:val="28"/>
          <w:sz w:val="28"/>
          <w:szCs w:val="32"/>
          <w:highlight w:val="none"/>
          <w:lang w:val="en-US" w:eastAsia="zh-CN" w:bidi="ar-SA"/>
        </w:rPr>
        <w:t>第三章   用户需求书</w:t>
      </w:r>
    </w:p>
    <w:p>
      <w:pPr>
        <w:pStyle w:val="70"/>
        <w:spacing w:before="156"/>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一、基本情况</w:t>
      </w:r>
    </w:p>
    <w:p>
      <w:pPr>
        <w:pStyle w:val="70"/>
        <w:spacing w:before="156"/>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（一）采购需求</w:t>
      </w:r>
    </w:p>
    <w:tbl>
      <w:tblPr>
        <w:tblStyle w:val="25"/>
        <w:tblW w:w="5413"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1004"/>
        <w:gridCol w:w="23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49"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811"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812"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06"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59"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59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预算单价(元/人次)</w:t>
            </w:r>
          </w:p>
        </w:tc>
        <w:tc>
          <w:tcPr>
            <w:tcW w:w="502"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1164"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03" w:hRule="atLeast"/>
          <w:tblCellSpacing w:w="0" w:type="dxa"/>
          <w:jc w:val="center"/>
        </w:trPr>
        <w:tc>
          <w:tcPr>
            <w:tcW w:w="349"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811" w:type="pct"/>
            <w:tcBorders>
              <w:tl2br w:val="nil"/>
              <w:tr2bl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705</w:t>
            </w:r>
          </w:p>
        </w:tc>
        <w:tc>
          <w:tcPr>
            <w:tcW w:w="812"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cs="宋体"/>
                <w:szCs w:val="21"/>
                <w:lang w:val="en-US" w:eastAsia="zh-CN"/>
              </w:rPr>
              <w:t>员工理发服务</w:t>
            </w:r>
          </w:p>
        </w:tc>
        <w:tc>
          <w:tcPr>
            <w:tcW w:w="406"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59"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593"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30</w:t>
            </w:r>
          </w:p>
        </w:tc>
        <w:tc>
          <w:tcPr>
            <w:tcW w:w="502"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 w:cs="宋体"/>
                <w:b w:val="0"/>
                <w:bCs w:val="0"/>
                <w:color w:val="auto"/>
                <w:kern w:val="0"/>
                <w:sz w:val="24"/>
                <w:szCs w:val="24"/>
                <w:highlight w:val="none"/>
                <w:lang w:val="en-US" w:eastAsia="zh-CN"/>
              </w:rPr>
            </w:pPr>
            <w:r>
              <w:rPr>
                <w:rFonts w:hint="eastAsia" w:ascii="仿宋" w:hAnsi="仿宋" w:eastAsia="仿宋"/>
                <w:sz w:val="24"/>
                <w:szCs w:val="24"/>
                <w:lang w:val="en-US" w:eastAsia="zh-CN"/>
              </w:rPr>
              <w:t>120000</w:t>
            </w:r>
          </w:p>
        </w:tc>
        <w:tc>
          <w:tcPr>
            <w:tcW w:w="1164" w:type="pc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年度服务项目，每年服务约4000人次，每月按实际服务人次据实结算，每人次服务单价上限30元（单价报价需≤30元），年度结算上限120000元。</w:t>
            </w:r>
          </w:p>
        </w:tc>
      </w:tr>
    </w:tbl>
    <w:p>
      <w:pPr>
        <w:pStyle w:val="70"/>
        <w:spacing w:before="156" w:line="360" w:lineRule="auto"/>
        <w:ind w:firstLine="482" w:firstLineChars="20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（二）项目</w:t>
      </w:r>
      <w:r>
        <w:rPr>
          <w:rFonts w:hint="eastAsia" w:asciiTheme="minorEastAsia" w:hAnsiTheme="minorEastAsia" w:eastAsiaTheme="minorEastAsia"/>
          <w:b/>
          <w:sz w:val="24"/>
          <w:szCs w:val="24"/>
          <w:lang w:val="en-US" w:eastAsia="zh-CN"/>
        </w:rPr>
        <w:t>概况</w:t>
      </w:r>
    </w:p>
    <w:p>
      <w:pPr>
        <w:pStyle w:val="71"/>
        <w:wordWrap/>
        <w:spacing w:afterLines="0" w:line="360" w:lineRule="auto"/>
        <w:ind w:firstLine="420"/>
        <w:rPr>
          <w:rFonts w:hint="eastAsia" w:cs="Times New Roman"/>
          <w:spacing w:val="0"/>
          <w:sz w:val="24"/>
          <w:szCs w:val="24"/>
          <w:lang w:val="en-US" w:eastAsia="zh-CN"/>
        </w:rPr>
      </w:pPr>
      <w:r>
        <w:rPr>
          <w:rFonts w:hint="eastAsia" w:cs="Times New Roman"/>
          <w:spacing w:val="0"/>
          <w:sz w:val="24"/>
          <w:szCs w:val="24"/>
          <w:lang w:val="en-US" w:eastAsia="zh-CN"/>
        </w:rPr>
        <w:t>1.项目内容：员工理发服务（提供上门服务；提供</w:t>
      </w:r>
      <w:r>
        <w:rPr>
          <w:rFonts w:hint="eastAsia" w:cs="Times New Roman"/>
          <w:b/>
          <w:bCs/>
          <w:spacing w:val="0"/>
          <w:sz w:val="24"/>
          <w:szCs w:val="24"/>
          <w:lang w:val="en-US" w:eastAsia="zh-CN"/>
        </w:rPr>
        <w:t>剪发、吹发</w:t>
      </w:r>
      <w:r>
        <w:rPr>
          <w:rFonts w:hint="eastAsia" w:cs="Times New Roman"/>
          <w:spacing w:val="0"/>
          <w:sz w:val="24"/>
          <w:szCs w:val="24"/>
          <w:lang w:val="en-US" w:eastAsia="zh-CN"/>
        </w:rPr>
        <w:t>等基本服务）。</w:t>
      </w:r>
    </w:p>
    <w:p>
      <w:pPr>
        <w:pStyle w:val="71"/>
        <w:wordWrap/>
        <w:spacing w:afterLines="0" w:line="360" w:lineRule="auto"/>
        <w:ind w:firstLine="420"/>
        <w:rPr>
          <w:rFonts w:cs="Times New Roman"/>
          <w:spacing w:val="0"/>
          <w:sz w:val="21"/>
          <w:szCs w:val="21"/>
        </w:rPr>
      </w:pPr>
      <w:r>
        <w:rPr>
          <w:rFonts w:hint="eastAsia" w:cs="Times New Roman"/>
          <w:spacing w:val="0"/>
          <w:sz w:val="24"/>
          <w:szCs w:val="24"/>
          <w:lang w:val="en-US" w:eastAsia="zh-CN"/>
        </w:rPr>
        <w:t>2.</w:t>
      </w:r>
      <w:r>
        <w:rPr>
          <w:rFonts w:hint="default" w:cs="Times New Roman"/>
          <w:spacing w:val="0"/>
          <w:sz w:val="24"/>
          <w:szCs w:val="24"/>
          <w:lang w:val="en-US" w:eastAsia="zh-CN"/>
        </w:rPr>
        <w:t>报价要求：</w:t>
      </w:r>
      <w:r>
        <w:rPr>
          <w:rFonts w:hint="eastAsia" w:cs="Times New Roman"/>
          <w:b/>
          <w:bCs/>
          <w:spacing w:val="0"/>
          <w:sz w:val="24"/>
          <w:szCs w:val="24"/>
          <w:lang w:val="en-US" w:eastAsia="zh-CN"/>
        </w:rPr>
        <w:t>按服务单价报价。</w:t>
      </w:r>
      <w:r>
        <w:rPr>
          <w:rFonts w:hint="eastAsia" w:cs="Times New Roman"/>
          <w:spacing w:val="0"/>
          <w:sz w:val="24"/>
          <w:szCs w:val="24"/>
          <w:lang w:val="en-US" w:eastAsia="zh-CN"/>
        </w:rPr>
        <w:t>报价</w:t>
      </w:r>
      <w:r>
        <w:rPr>
          <w:rFonts w:hint="default" w:cs="Times New Roman"/>
          <w:spacing w:val="0"/>
          <w:sz w:val="24"/>
          <w:szCs w:val="24"/>
          <w:lang w:val="en-US" w:eastAsia="zh-CN"/>
        </w:rPr>
        <w:t>应包括</w:t>
      </w:r>
      <w:r>
        <w:rPr>
          <w:rFonts w:hint="eastAsia" w:cs="Times New Roman"/>
          <w:spacing w:val="0"/>
          <w:sz w:val="24"/>
          <w:szCs w:val="24"/>
          <w:lang w:val="en-US" w:eastAsia="zh-CN"/>
        </w:rPr>
        <w:t>1</w:t>
      </w:r>
      <w:r>
        <w:rPr>
          <w:rFonts w:hint="default" w:cs="Times New Roman"/>
          <w:spacing w:val="0"/>
          <w:sz w:val="24"/>
          <w:szCs w:val="24"/>
          <w:lang w:val="en-US" w:eastAsia="zh-CN"/>
        </w:rPr>
        <w:t>名理发师服务成本、法定税费和企业利润</w:t>
      </w:r>
      <w:r>
        <w:rPr>
          <w:rFonts w:hint="eastAsia" w:cs="Times New Roman"/>
          <w:spacing w:val="0"/>
          <w:sz w:val="24"/>
          <w:szCs w:val="24"/>
          <w:lang w:val="en-US" w:eastAsia="zh-CN"/>
        </w:rPr>
        <w:t>等一切费用，</w:t>
      </w:r>
      <w:r>
        <w:rPr>
          <w:rFonts w:hint="default" w:cs="Times New Roman"/>
          <w:spacing w:val="0"/>
          <w:sz w:val="24"/>
          <w:szCs w:val="24"/>
          <w:lang w:val="en-US" w:eastAsia="zh-CN"/>
        </w:rPr>
        <w:t>由企业根据招标文件所提供的资料自行测算投标报价</w:t>
      </w:r>
      <w:r>
        <w:rPr>
          <w:rFonts w:hint="eastAsia" w:cs="Times New Roman"/>
          <w:spacing w:val="0"/>
          <w:sz w:val="24"/>
          <w:szCs w:val="24"/>
          <w:lang w:val="en-US" w:eastAsia="zh-CN"/>
        </w:rPr>
        <w:t>，</w:t>
      </w:r>
      <w:r>
        <w:rPr>
          <w:rFonts w:hint="default" w:cs="Times New Roman"/>
          <w:spacing w:val="0"/>
          <w:sz w:val="24"/>
          <w:szCs w:val="24"/>
          <w:lang w:val="en-US" w:eastAsia="zh-CN"/>
        </w:rPr>
        <w:t>一经中标，投标报价作为中标单位与采购人</w:t>
      </w:r>
      <w:r>
        <w:rPr>
          <w:rFonts w:hint="eastAsia" w:cs="Times New Roman"/>
          <w:spacing w:val="0"/>
          <w:sz w:val="24"/>
          <w:szCs w:val="24"/>
          <w:lang w:val="en-US" w:eastAsia="zh-CN"/>
        </w:rPr>
        <w:t>签订</w:t>
      </w:r>
      <w:r>
        <w:rPr>
          <w:rFonts w:hint="default" w:cs="Times New Roman"/>
          <w:spacing w:val="0"/>
          <w:sz w:val="24"/>
          <w:szCs w:val="24"/>
          <w:lang w:val="en-US" w:eastAsia="zh-CN"/>
        </w:rPr>
        <w:t>的合同金额，合同期限内不做调整。</w:t>
      </w:r>
    </w:p>
    <w:p>
      <w:pPr>
        <w:pStyle w:val="52"/>
        <w:keepNext w:val="0"/>
        <w:keepLines w:val="0"/>
        <w:pageBreakBefore w:val="0"/>
        <w:widowControl/>
        <w:kinsoku/>
        <w:wordWrap/>
        <w:overflowPunct/>
        <w:topLinePunct w:val="0"/>
        <w:autoSpaceDE/>
        <w:autoSpaceDN/>
        <w:bidi w:val="0"/>
        <w:spacing w:line="360" w:lineRule="auto"/>
        <w:ind w:firstLine="482" w:firstLineChars="200"/>
        <w:jc w:val="both"/>
        <w:textAlignment w:val="auto"/>
        <w:rPr>
          <w:b/>
        </w:rPr>
      </w:pPr>
      <w:r>
        <w:rPr>
          <w:rFonts w:hint="eastAsia"/>
          <w:b/>
        </w:rPr>
        <w:t>二、项目服务要求</w:t>
      </w:r>
    </w:p>
    <w:p>
      <w:pPr>
        <w:keepNext w:val="0"/>
        <w:keepLines w:val="0"/>
        <w:pageBreakBefore w:val="0"/>
        <w:widowControl/>
        <w:tabs>
          <w:tab w:val="left" w:pos="420"/>
          <w:tab w:val="left" w:pos="540"/>
        </w:tabs>
        <w:kinsoku/>
        <w:wordWrap/>
        <w:overflowPunct/>
        <w:topLinePunct w:val="0"/>
        <w:autoSpaceDE/>
        <w:autoSpaceDN/>
        <w:bidi w:val="0"/>
        <w:adjustRightInd w:val="0"/>
        <w:snapToGrid w:val="0"/>
        <w:spacing w:line="360" w:lineRule="auto"/>
        <w:ind w:firstLine="482" w:firstLineChars="200"/>
        <w:jc w:val="both"/>
        <w:textAlignment w:val="auto"/>
        <w:rPr>
          <w:rFonts w:ascii="新宋体" w:hAnsi="新宋体" w:eastAsia="新宋体" w:cs="宋体"/>
          <w:b/>
          <w:szCs w:val="21"/>
        </w:rPr>
      </w:pPr>
      <w:r>
        <w:rPr>
          <w:rFonts w:hint="eastAsia" w:ascii="新宋体" w:hAnsi="新宋体" w:eastAsia="新宋体" w:cs="宋体"/>
          <w:b/>
          <w:szCs w:val="21"/>
        </w:rPr>
        <w:t>（一）服务要求</w:t>
      </w:r>
    </w:p>
    <w:p>
      <w:pPr>
        <w:keepNext w:val="0"/>
        <w:keepLines w:val="0"/>
        <w:pageBreakBefore w:val="0"/>
        <w:widowControl/>
        <w:kinsoku/>
        <w:wordWrap/>
        <w:overflowPunct/>
        <w:topLinePunct w:val="0"/>
        <w:autoSpaceDE/>
        <w:autoSpaceDN/>
        <w:bidi w:val="0"/>
        <w:spacing w:line="360" w:lineRule="auto"/>
        <w:ind w:firstLine="616" w:firstLineChars="257"/>
        <w:jc w:val="both"/>
        <w:textAlignment w:val="auto"/>
        <w:rPr>
          <w:rFonts w:hint="eastAsia" w:ascii="宋体" w:hAnsi="宋体" w:eastAsia="宋体" w:cs="宋体"/>
          <w:color w:val="auto"/>
          <w:szCs w:val="21"/>
        </w:rPr>
      </w:pPr>
      <w:r>
        <w:rPr>
          <w:rFonts w:hint="eastAsia" w:ascii="宋体" w:hAnsi="宋体" w:eastAsia="宋体" w:cs="宋体"/>
          <w:szCs w:val="21"/>
        </w:rPr>
        <w:t>1.</w:t>
      </w:r>
      <w:r>
        <w:rPr>
          <w:rFonts w:hint="eastAsia" w:ascii="宋体" w:hAnsi="宋体" w:cs="宋体"/>
          <w:szCs w:val="21"/>
          <w:lang w:val="en-US" w:eastAsia="zh-CN"/>
        </w:rPr>
        <w:t>采购人</w:t>
      </w:r>
      <w:r>
        <w:rPr>
          <w:rFonts w:hint="eastAsia" w:ascii="宋体" w:hAnsi="宋体" w:eastAsia="宋体" w:cs="宋体"/>
          <w:szCs w:val="21"/>
        </w:rPr>
        <w:t>提供场地供中标人使用，中标人需自备理发用具，中标人对</w:t>
      </w:r>
      <w:r>
        <w:rPr>
          <w:rFonts w:hint="eastAsia" w:ascii="宋体" w:hAnsi="宋体" w:eastAsia="宋体" w:cs="宋体"/>
          <w:color w:val="auto"/>
          <w:szCs w:val="21"/>
        </w:rPr>
        <w:t>深圳市龙岗区耳鼻咽喉医院理发室场地内设备</w:t>
      </w:r>
      <w:r>
        <w:rPr>
          <w:rFonts w:hint="eastAsia" w:ascii="宋体" w:hAnsi="宋体" w:cs="宋体"/>
          <w:color w:val="auto"/>
          <w:szCs w:val="21"/>
          <w:lang w:eastAsia="zh-CN"/>
        </w:rPr>
        <w:t>、</w:t>
      </w:r>
      <w:r>
        <w:rPr>
          <w:rFonts w:hint="eastAsia" w:ascii="宋体" w:hAnsi="宋体" w:eastAsia="宋体" w:cs="宋体"/>
          <w:color w:val="auto"/>
          <w:szCs w:val="21"/>
        </w:rPr>
        <w:t>设施具有保护</w:t>
      </w:r>
      <w:r>
        <w:rPr>
          <w:rFonts w:hint="eastAsia" w:ascii="宋体" w:hAnsi="宋体" w:cs="宋体"/>
          <w:color w:val="auto"/>
          <w:szCs w:val="21"/>
          <w:lang w:eastAsia="zh-CN"/>
        </w:rPr>
        <w:t>、</w:t>
      </w:r>
      <w:r>
        <w:rPr>
          <w:rFonts w:hint="eastAsia" w:ascii="宋体" w:hAnsi="宋体" w:eastAsia="宋体" w:cs="宋体"/>
          <w:color w:val="auto"/>
          <w:szCs w:val="21"/>
        </w:rPr>
        <w:t>保养义务。</w:t>
      </w:r>
    </w:p>
    <w:p>
      <w:pPr>
        <w:keepNext w:val="0"/>
        <w:keepLines w:val="0"/>
        <w:pageBreakBefore w:val="0"/>
        <w:widowControl/>
        <w:kinsoku/>
        <w:wordWrap/>
        <w:overflowPunct/>
        <w:topLinePunct w:val="0"/>
        <w:autoSpaceDE/>
        <w:autoSpaceDN/>
        <w:bidi w:val="0"/>
        <w:spacing w:line="360" w:lineRule="auto"/>
        <w:ind w:firstLine="616" w:firstLineChars="257"/>
        <w:jc w:val="both"/>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.中标人确保理发师不少</w:t>
      </w:r>
      <w:r>
        <w:rPr>
          <w:rFonts w:hint="eastAsia" w:ascii="宋体" w:hAnsi="宋体" w:cs="宋体"/>
          <w:szCs w:val="21"/>
          <w:lang w:eastAsia="zh-CN"/>
        </w:rPr>
        <w:t>于</w:t>
      </w:r>
      <w:r>
        <w:rPr>
          <w:rFonts w:hint="eastAsia" w:ascii="宋体" w:hAnsi="宋体" w:cs="宋体"/>
          <w:szCs w:val="21"/>
          <w:lang w:val="en-US" w:eastAsia="zh-CN"/>
        </w:rPr>
        <w:t>1</w:t>
      </w:r>
      <w:r>
        <w:rPr>
          <w:rFonts w:hint="eastAsia" w:ascii="宋体" w:hAnsi="宋体" w:eastAsia="宋体" w:cs="宋体"/>
          <w:szCs w:val="21"/>
        </w:rPr>
        <w:t>人，</w:t>
      </w:r>
      <w:r>
        <w:rPr>
          <w:rFonts w:hint="eastAsia" w:cs="Times New Roman"/>
          <w:spacing w:val="0"/>
          <w:sz w:val="21"/>
          <w:szCs w:val="21"/>
          <w:lang w:val="en-US" w:eastAsia="zh-CN"/>
        </w:rPr>
        <w:t>上门服务时间：</w:t>
      </w:r>
      <w:r>
        <w:rPr>
          <w:rFonts w:hint="eastAsia" w:ascii="宋体" w:hAnsi="宋体" w:cs="宋体"/>
          <w:szCs w:val="21"/>
          <w:lang w:eastAsia="zh-CN"/>
        </w:rPr>
        <w:t>每星期二、星期四下午</w:t>
      </w:r>
      <w:r>
        <w:rPr>
          <w:rFonts w:hint="eastAsia" w:ascii="宋体" w:hAnsi="宋体" w:cs="宋体"/>
          <w:szCs w:val="21"/>
          <w:lang w:val="en-US" w:eastAsia="zh-CN"/>
        </w:rPr>
        <w:t>14</w:t>
      </w:r>
      <w:r>
        <w:rPr>
          <w:rFonts w:hint="eastAsia" w:ascii="宋体" w:hAnsi="宋体" w:cs="宋体"/>
          <w:szCs w:val="21"/>
        </w:rPr>
        <w:t>：00至</w:t>
      </w:r>
      <w:r>
        <w:rPr>
          <w:rFonts w:hint="default" w:ascii="宋体" w:hAnsi="宋体" w:cs="宋体"/>
          <w:szCs w:val="21"/>
        </w:rPr>
        <w:t>1</w:t>
      </w:r>
      <w:r>
        <w:rPr>
          <w:rFonts w:hint="eastAsia" w:ascii="宋体" w:hAnsi="宋体" w:cs="宋体"/>
          <w:szCs w:val="21"/>
          <w:lang w:val="en-US" w:eastAsia="zh-CN"/>
        </w:rPr>
        <w:t>7</w:t>
      </w:r>
      <w:r>
        <w:rPr>
          <w:rFonts w:hint="eastAsia" w:ascii="宋体" w:hAnsi="宋体" w:cs="宋体"/>
          <w:szCs w:val="21"/>
        </w:rPr>
        <w:t>：00，</w:t>
      </w:r>
      <w:r>
        <w:rPr>
          <w:rFonts w:hint="eastAsia" w:ascii="宋体" w:hAnsi="宋体" w:eastAsia="宋体" w:cs="宋体"/>
          <w:szCs w:val="21"/>
        </w:rPr>
        <w:t>除法定节假日</w:t>
      </w:r>
      <w:r>
        <w:rPr>
          <w:rFonts w:hint="eastAsia" w:ascii="宋体" w:hAnsi="宋体" w:cs="宋体"/>
          <w:szCs w:val="21"/>
          <w:lang w:eastAsia="zh-CN"/>
        </w:rPr>
        <w:t>以外，</w:t>
      </w:r>
      <w:r>
        <w:rPr>
          <w:rFonts w:hint="eastAsia" w:ascii="宋体" w:hAnsi="宋体" w:eastAsia="宋体" w:cs="宋体"/>
          <w:szCs w:val="21"/>
        </w:rPr>
        <w:t>如</w:t>
      </w:r>
      <w:r>
        <w:rPr>
          <w:rFonts w:hint="eastAsia" w:ascii="宋体" w:hAnsi="宋体" w:cs="宋体"/>
          <w:szCs w:val="21"/>
          <w:lang w:eastAsia="zh-CN"/>
        </w:rPr>
        <w:t>发现</w:t>
      </w:r>
      <w:r>
        <w:rPr>
          <w:rFonts w:hint="eastAsia" w:ascii="宋体" w:hAnsi="宋体" w:eastAsia="宋体" w:cs="宋体"/>
          <w:szCs w:val="21"/>
        </w:rPr>
        <w:t>理发师少于</w:t>
      </w:r>
      <w:r>
        <w:rPr>
          <w:rFonts w:hint="eastAsia" w:ascii="宋体" w:hAnsi="宋体" w:cs="宋体"/>
          <w:szCs w:val="21"/>
          <w:lang w:val="en-US" w:eastAsia="zh-CN"/>
        </w:rPr>
        <w:t>1</w:t>
      </w:r>
      <w:r>
        <w:rPr>
          <w:rFonts w:hint="eastAsia" w:ascii="宋体" w:hAnsi="宋体" w:cs="宋体"/>
          <w:szCs w:val="21"/>
          <w:lang w:eastAsia="zh-CN"/>
        </w:rPr>
        <w:t>名，按照双方约定违约条款处理</w:t>
      </w:r>
      <w:r>
        <w:rPr>
          <w:rFonts w:hint="eastAsia" w:ascii="宋体" w:hAnsi="宋体" w:eastAsia="宋体" w:cs="宋体"/>
          <w:szCs w:val="21"/>
        </w:rPr>
        <w:t>。</w:t>
      </w:r>
    </w:p>
    <w:p>
      <w:pPr>
        <w:keepNext w:val="0"/>
        <w:keepLines w:val="0"/>
        <w:pageBreakBefore w:val="0"/>
        <w:widowControl/>
        <w:kinsoku/>
        <w:wordWrap/>
        <w:overflowPunct/>
        <w:topLinePunct w:val="0"/>
        <w:autoSpaceDE/>
        <w:autoSpaceDN/>
        <w:bidi w:val="0"/>
        <w:spacing w:line="360" w:lineRule="auto"/>
        <w:ind w:firstLine="616" w:firstLineChars="257"/>
        <w:jc w:val="both"/>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.中标人必须服从招标人的相关管理规定</w:t>
      </w:r>
      <w:r>
        <w:rPr>
          <w:rFonts w:hint="eastAsia" w:ascii="宋体" w:hAnsi="宋体" w:cs="宋体"/>
          <w:szCs w:val="21"/>
          <w:lang w:eastAsia="zh-CN"/>
        </w:rPr>
        <w:t>，</w:t>
      </w:r>
      <w:r>
        <w:rPr>
          <w:rFonts w:hint="eastAsia" w:ascii="宋体" w:hAnsi="宋体" w:eastAsia="宋体" w:cs="宋体"/>
          <w:szCs w:val="21"/>
        </w:rPr>
        <w:t>如因投标人不服从管理，造成严重后果，投标人应承担全部责任。</w:t>
      </w:r>
    </w:p>
    <w:p>
      <w:pPr>
        <w:keepNext w:val="0"/>
        <w:keepLines w:val="0"/>
        <w:pageBreakBefore w:val="0"/>
        <w:widowControl/>
        <w:kinsoku/>
        <w:wordWrap/>
        <w:overflowPunct/>
        <w:topLinePunct w:val="0"/>
        <w:autoSpaceDE/>
        <w:autoSpaceDN/>
        <w:bidi w:val="0"/>
        <w:spacing w:line="360" w:lineRule="auto"/>
        <w:ind w:firstLine="619" w:firstLineChars="257"/>
        <w:jc w:val="both"/>
        <w:textAlignment w:val="auto"/>
        <w:rPr>
          <w:rFonts w:hint="eastAsia" w:ascii="宋体" w:hAnsi="宋体" w:eastAsia="宋体" w:cs="宋体"/>
          <w:b/>
          <w:szCs w:val="21"/>
        </w:rPr>
      </w:pPr>
      <w:r>
        <w:rPr>
          <w:rFonts w:hint="eastAsia" w:ascii="宋体" w:hAnsi="宋体" w:eastAsia="宋体" w:cs="宋体"/>
          <w:b/>
          <w:szCs w:val="21"/>
        </w:rPr>
        <w:t>（二）合同签订</w:t>
      </w:r>
    </w:p>
    <w:p>
      <w:pPr>
        <w:spacing w:line="360" w:lineRule="auto"/>
        <w:ind w:firstLine="482" w:firstLineChars="200"/>
        <w:rPr>
          <w:rFonts w:hint="eastAsia" w:ascii="宋体" w:hAnsi="宋体" w:eastAsia="宋体" w:cs="宋体"/>
          <w:b/>
          <w:bCs/>
          <w:szCs w:val="21"/>
        </w:rPr>
      </w:pPr>
      <w:r>
        <w:rPr>
          <w:rFonts w:hint="eastAsia" w:ascii="宋体" w:hAnsi="宋体" w:cs="宋体"/>
          <w:b/>
          <w:bCs/>
          <w:szCs w:val="21"/>
          <w:lang w:val="en-US" w:eastAsia="zh-CN"/>
        </w:rPr>
        <w:t>1.</w:t>
      </w:r>
      <w:r>
        <w:rPr>
          <w:rFonts w:hint="eastAsia" w:ascii="宋体" w:hAnsi="宋体" w:eastAsia="宋体" w:cs="宋体"/>
          <w:b/>
          <w:bCs/>
          <w:szCs w:val="21"/>
        </w:rPr>
        <w:t>成交人须与</w:t>
      </w:r>
      <w:r>
        <w:rPr>
          <w:rFonts w:hint="eastAsia" w:ascii="宋体" w:hAnsi="宋体" w:eastAsia="宋体" w:cs="宋体"/>
          <w:b/>
          <w:bCs/>
          <w:color w:val="auto"/>
          <w:szCs w:val="21"/>
        </w:rPr>
        <w:t>深圳市龙岗区耳鼻咽喉医院</w:t>
      </w:r>
      <w:r>
        <w:rPr>
          <w:rFonts w:hint="eastAsia" w:ascii="宋体" w:hAnsi="宋体" w:eastAsia="宋体" w:cs="宋体"/>
          <w:b/>
          <w:bCs/>
          <w:szCs w:val="21"/>
        </w:rPr>
        <w:t>签订合同，服务对象每</w:t>
      </w:r>
      <w:r>
        <w:rPr>
          <w:rFonts w:hint="eastAsia" w:ascii="宋体" w:hAnsi="宋体" w:eastAsia="宋体" w:cs="宋体"/>
          <w:b/>
          <w:bCs/>
          <w:szCs w:val="21"/>
          <w:lang w:val="en-US" w:eastAsia="zh-CN"/>
        </w:rPr>
        <w:t>年</w:t>
      </w:r>
      <w:r>
        <w:rPr>
          <w:rFonts w:hint="eastAsia" w:ascii="宋体" w:hAnsi="宋体" w:eastAsia="宋体" w:cs="宋体"/>
          <w:b/>
          <w:bCs/>
          <w:szCs w:val="21"/>
        </w:rPr>
        <w:t>约</w:t>
      </w:r>
      <w:r>
        <w:rPr>
          <w:rFonts w:hint="eastAsia" w:ascii="宋体" w:hAnsi="宋体" w:cs="宋体"/>
          <w:b/>
          <w:bCs/>
          <w:szCs w:val="21"/>
          <w:u w:val="single"/>
          <w:lang w:val="en-US" w:eastAsia="zh-CN"/>
        </w:rPr>
        <w:t xml:space="preserve"> 4000 </w:t>
      </w:r>
      <w:r>
        <w:rPr>
          <w:rFonts w:hint="eastAsia" w:ascii="宋体" w:hAnsi="宋体" w:eastAsia="宋体" w:cs="宋体"/>
          <w:b/>
          <w:bCs/>
          <w:szCs w:val="21"/>
        </w:rPr>
        <w:t>人次，</w:t>
      </w:r>
      <w:r>
        <w:rPr>
          <w:rFonts w:hint="eastAsia" w:ascii="宋体" w:hAnsi="宋体" w:eastAsia="宋体" w:cs="宋体"/>
          <w:b/>
          <w:bCs/>
          <w:szCs w:val="21"/>
          <w:lang w:val="en-US" w:eastAsia="zh-CN"/>
        </w:rPr>
        <w:t>每</w:t>
      </w:r>
      <w:r>
        <w:rPr>
          <w:rFonts w:hint="eastAsia" w:ascii="宋体" w:hAnsi="宋体" w:eastAsia="宋体" w:cs="宋体"/>
          <w:b/>
          <w:bCs/>
          <w:szCs w:val="21"/>
          <w:highlight w:val="none"/>
          <w:lang w:val="en-US" w:eastAsia="zh-CN"/>
        </w:rPr>
        <w:t>月按服务人次据实结算，</w:t>
      </w:r>
      <w:r>
        <w:rPr>
          <w:rFonts w:hint="eastAsia" w:ascii="宋体" w:hAnsi="宋体" w:eastAsia="宋体" w:cs="宋体"/>
          <w:b/>
          <w:bCs/>
          <w:szCs w:val="21"/>
        </w:rPr>
        <w:t>并接受在合同期间进行监督检查，如有违约，按合同</w:t>
      </w:r>
      <w:r>
        <w:rPr>
          <w:rFonts w:hint="eastAsia" w:ascii="宋体" w:hAnsi="宋体" w:cs="宋体"/>
          <w:b/>
          <w:bCs/>
          <w:szCs w:val="21"/>
          <w:lang w:eastAsia="zh-CN"/>
        </w:rPr>
        <w:t>条款</w:t>
      </w:r>
      <w:r>
        <w:rPr>
          <w:rFonts w:hint="eastAsia" w:ascii="宋体" w:hAnsi="宋体" w:eastAsia="宋体" w:cs="宋体"/>
          <w:b/>
          <w:bCs/>
          <w:szCs w:val="21"/>
        </w:rPr>
        <w:t>处理。</w:t>
      </w:r>
    </w:p>
    <w:p>
      <w:pPr>
        <w:pStyle w:val="2"/>
        <w:rPr>
          <w:rFonts w:hint="eastAsia" w:ascii="宋体" w:hAnsi="宋体" w:eastAsia="宋体" w:cs="宋体"/>
          <w:b/>
          <w:bCs/>
          <w:szCs w:val="21"/>
        </w:rPr>
      </w:pPr>
    </w:p>
    <w:p>
      <w:pPr>
        <w:rPr>
          <w:rFonts w:hint="eastAsia" w:ascii="宋体" w:hAnsi="宋体" w:eastAsia="宋体" w:cs="宋体"/>
          <w:b/>
          <w:bCs/>
          <w:szCs w:val="21"/>
        </w:rPr>
      </w:pPr>
    </w:p>
    <w:p>
      <w:pPr>
        <w:pStyle w:val="2"/>
        <w:rPr>
          <w:rFonts w:hint="eastAsia"/>
        </w:rPr>
      </w:pPr>
    </w:p>
    <w:p>
      <w:pPr>
        <w:spacing w:line="360" w:lineRule="auto"/>
        <w:ind w:firstLine="482" w:firstLineChars="200"/>
        <w:rPr>
          <w:rFonts w:hint="eastAsia" w:ascii="宋体" w:hAnsi="宋体" w:eastAsia="宋体" w:cs="宋体"/>
          <w:i w:val="0"/>
          <w:caps w:val="0"/>
          <w:color w:val="000000"/>
          <w:spacing w:val="0"/>
          <w:sz w:val="21"/>
          <w:szCs w:val="21"/>
          <w:u w:val="none"/>
        </w:rPr>
      </w:pPr>
      <w:r>
        <w:rPr>
          <w:rFonts w:hint="eastAsia" w:ascii="宋体" w:hAnsi="宋体" w:eastAsia="宋体" w:cs="宋体"/>
          <w:b/>
          <w:szCs w:val="21"/>
        </w:rPr>
        <w:t>（</w:t>
      </w:r>
      <w:r>
        <w:rPr>
          <w:rFonts w:hint="eastAsia" w:ascii="宋体" w:hAnsi="宋体" w:cs="宋体"/>
          <w:b/>
          <w:szCs w:val="21"/>
          <w:lang w:eastAsia="zh-CN"/>
        </w:rPr>
        <w:t>三</w:t>
      </w:r>
      <w:r>
        <w:rPr>
          <w:rFonts w:hint="eastAsia" w:ascii="宋体" w:hAnsi="宋体" w:eastAsia="宋体" w:cs="宋体"/>
          <w:b/>
          <w:szCs w:val="21"/>
        </w:rPr>
        <w:t>）报价</w:t>
      </w:r>
      <w:r>
        <w:rPr>
          <w:rFonts w:hint="eastAsia" w:ascii="宋体" w:hAnsi="宋体" w:eastAsia="宋体" w:cs="宋体"/>
          <w:b/>
          <w:szCs w:val="21"/>
          <w:highlight w:val="yellow"/>
        </w:rPr>
        <w:t>参考</w:t>
      </w:r>
    </w:p>
    <w:tbl>
      <w:tblPr>
        <w:tblStyle w:val="25"/>
        <w:tblW w:w="4997"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832"/>
        <w:gridCol w:w="2494"/>
        <w:gridCol w:w="3626"/>
        <w:gridCol w:w="22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45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cs="宋体"/>
                <w:sz w:val="21"/>
                <w:szCs w:val="21"/>
                <w:lang w:eastAsia="zh-CN"/>
              </w:rPr>
            </w:pPr>
            <w:r>
              <w:rPr>
                <w:rFonts w:hint="eastAsia" w:ascii="宋体" w:hAnsi="宋体" w:cs="宋体"/>
                <w:sz w:val="21"/>
                <w:szCs w:val="21"/>
                <w:lang w:eastAsia="zh-CN"/>
              </w:rPr>
              <w:t>序号</w:t>
            </w:r>
          </w:p>
        </w:tc>
        <w:tc>
          <w:tcPr>
            <w:tcW w:w="1354"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cs="宋体"/>
                <w:sz w:val="21"/>
                <w:szCs w:val="21"/>
                <w:lang w:eastAsia="zh-CN"/>
              </w:rPr>
            </w:pPr>
            <w:r>
              <w:rPr>
                <w:rFonts w:hint="eastAsia" w:ascii="宋体" w:hAnsi="宋体" w:cs="宋体"/>
                <w:sz w:val="21"/>
                <w:szCs w:val="21"/>
                <w:lang w:eastAsia="zh-CN"/>
              </w:rPr>
              <w:t>项目</w:t>
            </w:r>
          </w:p>
        </w:tc>
        <w:tc>
          <w:tcPr>
            <w:tcW w:w="1969"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cs="宋体"/>
                <w:sz w:val="21"/>
                <w:szCs w:val="21"/>
                <w:lang w:eastAsia="zh-CN"/>
              </w:rPr>
            </w:pPr>
            <w:r>
              <w:rPr>
                <w:rFonts w:hint="eastAsia" w:ascii="宋体" w:hAnsi="宋体" w:cs="宋体"/>
                <w:sz w:val="21"/>
                <w:szCs w:val="21"/>
                <w:lang w:val="en-US" w:eastAsia="zh-CN"/>
              </w:rPr>
              <w:t>服务单</w:t>
            </w:r>
            <w:r>
              <w:rPr>
                <w:rFonts w:hint="eastAsia" w:ascii="宋体" w:hAnsi="宋体" w:cs="宋体"/>
                <w:sz w:val="21"/>
                <w:szCs w:val="21"/>
                <w:lang w:eastAsia="zh-CN"/>
              </w:rPr>
              <w:t>价（元</w:t>
            </w:r>
            <w:r>
              <w:rPr>
                <w:rFonts w:hint="eastAsia" w:ascii="宋体" w:hAnsi="宋体" w:cs="宋体"/>
                <w:sz w:val="21"/>
                <w:szCs w:val="21"/>
                <w:lang w:val="en-US" w:eastAsia="zh-CN"/>
              </w:rPr>
              <w:t>/人次</w:t>
            </w:r>
            <w:r>
              <w:rPr>
                <w:rFonts w:hint="eastAsia" w:ascii="宋体" w:hAnsi="宋体" w:cs="宋体"/>
                <w:sz w:val="21"/>
                <w:szCs w:val="21"/>
                <w:lang w:eastAsia="zh-CN"/>
              </w:rPr>
              <w:t>）</w:t>
            </w:r>
          </w:p>
        </w:tc>
        <w:tc>
          <w:tcPr>
            <w:tcW w:w="1223"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cs="宋体"/>
                <w:sz w:val="21"/>
                <w:szCs w:val="21"/>
                <w:lang w:eastAsia="zh-CN"/>
              </w:rPr>
            </w:pPr>
            <w:r>
              <w:rPr>
                <w:rFonts w:hint="eastAsia" w:ascii="宋体" w:hAnsi="宋体" w:cs="宋体"/>
                <w:sz w:val="21"/>
                <w:szCs w:val="21"/>
                <w:lang w:eastAsia="zh-CN"/>
              </w:rPr>
              <w:t>备注</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45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aps w:val="0"/>
                <w:spacing w:val="0"/>
                <w:sz w:val="21"/>
                <w:szCs w:val="21"/>
                <w:u w:val="none"/>
              </w:rPr>
              <w:t>1</w:t>
            </w:r>
          </w:p>
        </w:tc>
        <w:tc>
          <w:tcPr>
            <w:tcW w:w="1354"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caps w:val="0"/>
                <w:spacing w:val="0"/>
                <w:sz w:val="21"/>
                <w:szCs w:val="21"/>
                <w:u w:val="none"/>
                <w:lang w:val="en-US" w:eastAsia="zh-CN"/>
              </w:rPr>
              <w:t>员工</w:t>
            </w:r>
            <w:r>
              <w:rPr>
                <w:rFonts w:hint="eastAsia" w:ascii="宋体" w:hAnsi="宋体" w:eastAsia="宋体" w:cs="宋体"/>
                <w:caps w:val="0"/>
                <w:spacing w:val="0"/>
                <w:sz w:val="21"/>
                <w:szCs w:val="21"/>
                <w:u w:val="none"/>
              </w:rPr>
              <w:t>理发</w:t>
            </w:r>
            <w:r>
              <w:rPr>
                <w:rFonts w:hint="eastAsia" w:ascii="宋体" w:hAnsi="宋体" w:cs="宋体"/>
                <w:caps w:val="0"/>
                <w:spacing w:val="0"/>
                <w:sz w:val="21"/>
                <w:szCs w:val="21"/>
                <w:u w:val="none"/>
                <w:lang w:eastAsia="zh-CN"/>
              </w:rPr>
              <w:t>服务</w:t>
            </w:r>
          </w:p>
        </w:tc>
        <w:tc>
          <w:tcPr>
            <w:tcW w:w="1969"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sz w:val="21"/>
                <w:szCs w:val="21"/>
              </w:rPr>
            </w:pPr>
          </w:p>
        </w:tc>
        <w:tc>
          <w:tcPr>
            <w:tcW w:w="1223"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报价包含成本、利润、税费等一切费用。</w:t>
            </w:r>
          </w:p>
        </w:tc>
      </w:tr>
    </w:tbl>
    <w:p>
      <w:pPr>
        <w:autoSpaceDE w:val="0"/>
        <w:autoSpaceDN w:val="0"/>
        <w:adjustRightInd w:val="0"/>
        <w:spacing w:line="360" w:lineRule="auto"/>
        <w:ind w:firstLine="482" w:firstLineChars="200"/>
        <w:jc w:val="left"/>
        <w:rPr>
          <w:rFonts w:hint="default" w:ascii="宋体" w:hAnsi="宋体" w:eastAsia="宋体" w:cs="宋体"/>
          <w:b/>
          <w:szCs w:val="21"/>
          <w:lang w:val="en-US" w:eastAsia="zh-CN"/>
        </w:rPr>
      </w:pPr>
      <w:r>
        <w:rPr>
          <w:rFonts w:hint="eastAsia" w:ascii="宋体" w:hAnsi="宋体" w:cs="宋体"/>
          <w:b/>
          <w:color w:val="FF0000"/>
          <w:kern w:val="0"/>
          <w:szCs w:val="21"/>
          <w:lang w:eastAsia="zh-CN" w:bidi="ar"/>
        </w:rPr>
        <w:t>注：</w:t>
      </w:r>
      <w:r>
        <w:rPr>
          <w:rFonts w:hint="eastAsia" w:ascii="宋体" w:hAnsi="宋体" w:eastAsia="宋体" w:cs="宋体"/>
          <w:b/>
          <w:color w:val="FF0000"/>
          <w:kern w:val="0"/>
          <w:szCs w:val="21"/>
          <w:lang w:bidi="ar"/>
        </w:rPr>
        <w:t>报价包含税费</w:t>
      </w:r>
      <w:r>
        <w:rPr>
          <w:rFonts w:hint="eastAsia" w:ascii="宋体" w:hAnsi="宋体" w:eastAsia="宋体" w:cs="宋体"/>
          <w:b/>
          <w:color w:val="FF0000"/>
          <w:kern w:val="0"/>
          <w:szCs w:val="21"/>
          <w:lang w:eastAsia="zh-CN" w:bidi="ar"/>
        </w:rPr>
        <w:t>，</w:t>
      </w:r>
      <w:r>
        <w:rPr>
          <w:rFonts w:hint="eastAsia" w:ascii="宋体" w:hAnsi="宋体" w:eastAsia="宋体" w:cs="宋体"/>
          <w:b/>
          <w:color w:val="FF0000"/>
          <w:kern w:val="0"/>
          <w:szCs w:val="21"/>
          <w:lang w:val="en-US" w:eastAsia="zh-CN" w:bidi="ar"/>
        </w:rPr>
        <w:t>超预算报价视为无效投标。</w:t>
      </w:r>
    </w:p>
    <w:p>
      <w:pPr>
        <w:tabs>
          <w:tab w:val="left" w:pos="420"/>
          <w:tab w:val="left" w:pos="540"/>
        </w:tabs>
        <w:adjustRightInd w:val="0"/>
        <w:snapToGrid w:val="0"/>
        <w:spacing w:line="360" w:lineRule="auto"/>
        <w:ind w:firstLine="482" w:firstLineChars="200"/>
        <w:rPr>
          <w:rFonts w:hint="eastAsia" w:ascii="宋体" w:hAnsi="宋体" w:eastAsia="宋体" w:cs="宋体"/>
          <w:b/>
          <w:szCs w:val="21"/>
          <w:lang w:val="en-US" w:eastAsia="zh-CN"/>
        </w:rPr>
      </w:pPr>
      <w:r>
        <w:rPr>
          <w:rFonts w:hint="eastAsia" w:ascii="宋体" w:hAnsi="宋体" w:eastAsia="宋体" w:cs="宋体"/>
          <w:b/>
          <w:szCs w:val="21"/>
        </w:rPr>
        <w:t>（四）考核</w:t>
      </w:r>
      <w:r>
        <w:rPr>
          <w:rFonts w:hint="eastAsia" w:ascii="宋体" w:hAnsi="宋体" w:eastAsia="宋体" w:cs="宋体"/>
          <w:b/>
          <w:szCs w:val="21"/>
          <w:lang w:val="en-US" w:eastAsia="zh-CN"/>
        </w:rPr>
        <w:t>要求</w:t>
      </w:r>
    </w:p>
    <w:p>
      <w:pPr>
        <w:spacing w:line="360" w:lineRule="auto"/>
        <w:jc w:val="center"/>
        <w:rPr>
          <w:rFonts w:hint="eastAsia" w:ascii="宋体" w:hAnsi="宋体" w:eastAsia="宋体" w:cs="宋体"/>
          <w:i w:val="0"/>
          <w:caps w:val="0"/>
          <w:color w:val="000000"/>
          <w:spacing w:val="0"/>
          <w:sz w:val="21"/>
          <w:szCs w:val="21"/>
          <w:u w:val="none"/>
        </w:rPr>
      </w:pPr>
      <w:r>
        <w:rPr>
          <w:rFonts w:hint="eastAsia" w:ascii="宋体" w:hAnsi="宋体" w:eastAsia="宋体" w:cs="宋体"/>
          <w:b/>
          <w:bCs/>
          <w:szCs w:val="21"/>
        </w:rPr>
        <w:t>理发</w:t>
      </w:r>
      <w:r>
        <w:rPr>
          <w:rFonts w:hint="eastAsia" w:ascii="宋体" w:hAnsi="宋体" w:eastAsia="宋体" w:cs="宋体"/>
          <w:b/>
          <w:bCs/>
          <w:szCs w:val="21"/>
          <w:lang w:val="en-US" w:eastAsia="zh-CN"/>
        </w:rPr>
        <w:t>服务</w:t>
      </w:r>
      <w:r>
        <w:rPr>
          <w:rFonts w:hint="eastAsia" w:ascii="宋体" w:hAnsi="宋体" w:eastAsia="宋体" w:cs="宋体"/>
          <w:b/>
          <w:bCs/>
          <w:szCs w:val="21"/>
        </w:rPr>
        <w:t>日常管理考核细则</w:t>
      </w:r>
    </w:p>
    <w:tbl>
      <w:tblPr>
        <w:tblStyle w:val="25"/>
        <w:tblW w:w="4998"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155"/>
        <w:gridCol w:w="1109"/>
        <w:gridCol w:w="5817"/>
        <w:gridCol w:w="112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caps w:val="0"/>
                <w:spacing w:val="0"/>
                <w:sz w:val="21"/>
                <w:szCs w:val="21"/>
                <w:u w:val="none"/>
              </w:rPr>
              <w:t>项目</w:t>
            </w: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caps w:val="0"/>
                <w:spacing w:val="0"/>
                <w:sz w:val="21"/>
                <w:szCs w:val="21"/>
                <w:u w:val="none"/>
              </w:rPr>
              <w:t>序号</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firstLine="0"/>
              <w:jc w:val="center"/>
              <w:rPr>
                <w:rFonts w:hint="eastAsia" w:ascii="宋体" w:hAnsi="宋体" w:eastAsia="宋体" w:cs="宋体"/>
                <w:sz w:val="21"/>
                <w:szCs w:val="21"/>
              </w:rPr>
            </w:pPr>
            <w:r>
              <w:rPr>
                <w:rFonts w:hint="eastAsia" w:ascii="宋体" w:hAnsi="宋体" w:eastAsia="宋体" w:cs="宋体"/>
                <w:b/>
                <w:caps w:val="0"/>
                <w:spacing w:val="0"/>
                <w:sz w:val="21"/>
                <w:szCs w:val="21"/>
                <w:u w:val="none"/>
              </w:rPr>
              <w:t>考核细则</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caps w:val="0"/>
                <w:spacing w:val="0"/>
                <w:sz w:val="21"/>
                <w:szCs w:val="21"/>
                <w:u w:val="none"/>
              </w:rPr>
              <w:t>扣分值</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价格</w:t>
            </w: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服务价格与合同价格不符的；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合作</w:t>
            </w: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2</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未及时按要求提供相关票证的；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3</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提供虚假发票等相关票证的；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4</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固定设备损坏严重、保管不到位的；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水电浪费现象严重、月浪费超过正常范围的；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6</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服务人员不服从管理，随意在监管范围内走动的；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服务</w:t>
            </w: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7</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无固定人员负责理发室的；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8</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服务人员数量、技术标准没有达到单位要求的；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9</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工作人员态度不好、不周到的；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未按单位规定时间提供服务的；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11</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服务场所卫生不合格，存在脏、乱、差现象的；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12</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投诉过多，满意度低于80%的；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其它</w:t>
            </w: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13</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工作人员不遵守单位各项管理规定，或泄露单位内部情况的；</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627"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p>
        </w:tc>
        <w:tc>
          <w:tcPr>
            <w:tcW w:w="602"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14</w:t>
            </w:r>
          </w:p>
        </w:tc>
        <w:tc>
          <w:tcPr>
            <w:tcW w:w="3158"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单位认为应当对理发室进行考核的其他内容。</w:t>
            </w:r>
          </w:p>
        </w:tc>
        <w:tc>
          <w:tcPr>
            <w:tcW w:w="611" w:type="pc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21"/>
              <w:widowControl/>
              <w:spacing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caps w:val="0"/>
                <w:spacing w:val="0"/>
                <w:sz w:val="21"/>
                <w:szCs w:val="21"/>
                <w:u w:val="none"/>
              </w:rPr>
              <w:t>5</w:t>
            </w:r>
          </w:p>
        </w:tc>
      </w:tr>
    </w:tbl>
    <w:p>
      <w:pPr>
        <w:autoSpaceDE w:val="0"/>
        <w:autoSpaceDN w:val="0"/>
        <w:adjustRightInd w:val="0"/>
        <w:spacing w:line="360" w:lineRule="auto"/>
        <w:ind w:firstLine="482" w:firstLineChars="200"/>
        <w:jc w:val="left"/>
        <w:rPr>
          <w:rFonts w:hint="eastAsia" w:ascii="宋体" w:hAnsi="宋体" w:eastAsia="宋体" w:cs="宋体"/>
          <w:b/>
          <w:bCs/>
          <w:kern w:val="0"/>
          <w:szCs w:val="21"/>
        </w:rPr>
      </w:pPr>
      <w:r>
        <w:rPr>
          <w:rFonts w:hint="eastAsia" w:ascii="宋体" w:hAnsi="宋体" w:eastAsia="宋体" w:cs="宋体"/>
          <w:b/>
          <w:bCs/>
          <w:kern w:val="0"/>
          <w:szCs w:val="21"/>
        </w:rPr>
        <w:t>处理办法：</w:t>
      </w:r>
    </w:p>
    <w:p>
      <w:pPr>
        <w:autoSpaceDE w:val="0"/>
        <w:autoSpaceDN w:val="0"/>
        <w:adjustRightInd w:val="0"/>
        <w:spacing w:line="360" w:lineRule="auto"/>
        <w:ind w:firstLine="480" w:firstLineChars="200"/>
        <w:jc w:val="left"/>
        <w:rPr>
          <w:rFonts w:hint="eastAsia" w:ascii="宋体" w:hAnsi="宋体" w:eastAsia="宋体" w:cs="宋体"/>
          <w:kern w:val="0"/>
          <w:szCs w:val="21"/>
        </w:rPr>
      </w:pPr>
      <w:r>
        <w:rPr>
          <w:rFonts w:hint="eastAsia" w:ascii="宋体" w:hAnsi="宋体" w:eastAsia="宋体" w:cs="宋体"/>
          <w:kern w:val="0"/>
          <w:szCs w:val="21"/>
        </w:rPr>
        <w:t>1.服务期内，扣分累计达到20分的合作方，经招标小组讨论，报领导审批后，可向其作出警告的考核处理意见。</w:t>
      </w:r>
    </w:p>
    <w:p>
      <w:pPr>
        <w:autoSpaceDE w:val="0"/>
        <w:autoSpaceDN w:val="0"/>
        <w:adjustRightInd w:val="0"/>
        <w:spacing w:line="360" w:lineRule="auto"/>
        <w:ind w:firstLine="480" w:firstLineChars="200"/>
        <w:jc w:val="left"/>
        <w:rPr>
          <w:rFonts w:hint="eastAsia" w:ascii="宋体" w:hAnsi="宋体" w:eastAsia="宋体" w:cs="宋体"/>
          <w:szCs w:val="21"/>
        </w:rPr>
      </w:pPr>
      <w:r>
        <w:rPr>
          <w:rFonts w:hint="eastAsia" w:ascii="宋体" w:hAnsi="宋体" w:eastAsia="宋体" w:cs="宋体"/>
          <w:kern w:val="0"/>
          <w:szCs w:val="21"/>
        </w:rPr>
        <w:t>2.服务期内，扣分累计达到30分的合作方，经招标小组讨论，报领导审批后，可向其作出解除合同的考核处理意见。</w:t>
      </w:r>
    </w:p>
    <w:p>
      <w:pPr>
        <w:tabs>
          <w:tab w:val="left" w:pos="420"/>
          <w:tab w:val="left" w:pos="540"/>
        </w:tabs>
        <w:adjustRightInd w:val="0"/>
        <w:snapToGrid w:val="0"/>
        <w:spacing w:line="360" w:lineRule="auto"/>
        <w:ind w:firstLine="482" w:firstLineChars="200"/>
        <w:rPr>
          <w:rFonts w:hint="eastAsia" w:ascii="宋体" w:hAnsi="宋体" w:eastAsia="宋体" w:cs="宋体"/>
          <w:b/>
          <w:szCs w:val="21"/>
        </w:rPr>
      </w:pPr>
      <w:r>
        <w:rPr>
          <w:rFonts w:hint="eastAsia" w:ascii="宋体" w:hAnsi="宋体" w:eastAsia="宋体" w:cs="宋体"/>
          <w:b/>
          <w:szCs w:val="21"/>
        </w:rPr>
        <w:t>（五）保密</w:t>
      </w:r>
    </w:p>
    <w:p>
      <w:pPr>
        <w:tabs>
          <w:tab w:val="left" w:pos="426"/>
        </w:tabs>
        <w:snapToGrid w:val="0"/>
        <w:spacing w:line="360" w:lineRule="auto"/>
        <w:ind w:left="4" w:firstLine="480" w:firstLineChars="200"/>
        <w:rPr>
          <w:rFonts w:hint="eastAsia" w:ascii="宋体" w:hAnsi="宋体" w:eastAsia="宋体" w:cs="宋体"/>
          <w:b/>
          <w:sz w:val="21"/>
          <w:szCs w:val="21"/>
        </w:rPr>
      </w:pPr>
      <w:r>
        <w:rPr>
          <w:rFonts w:hint="eastAsia" w:ascii="宋体" w:hAnsi="宋体" w:eastAsia="宋体" w:cs="宋体"/>
          <w:szCs w:val="21"/>
        </w:rPr>
        <w:t>中标人必须理解和承认</w:t>
      </w:r>
      <w:r>
        <w:rPr>
          <w:rFonts w:hint="eastAsia" w:ascii="宋体" w:hAnsi="宋体" w:cs="宋体"/>
          <w:szCs w:val="21"/>
          <w:highlight w:val="yellow"/>
          <w:lang w:val="en-US" w:eastAsia="zh-CN"/>
        </w:rPr>
        <w:t>深圳市龙岗区耳鼻咽喉医院</w:t>
      </w:r>
      <w:r>
        <w:rPr>
          <w:rFonts w:hint="eastAsia" w:ascii="宋体" w:hAnsi="宋体" w:eastAsia="宋体" w:cs="宋体"/>
          <w:szCs w:val="21"/>
        </w:rPr>
        <w:t>提供的相关资料的保密性，签订保密协议以及对资料进行切实可行的保密措施。</w:t>
      </w:r>
    </w:p>
    <w:p>
      <w:pPr>
        <w:keepNext w:val="0"/>
        <w:keepLines w:val="0"/>
        <w:widowControl/>
        <w:suppressLineNumbers w:val="0"/>
        <w:ind w:firstLine="480" w:firstLineChars="200"/>
        <w:jc w:val="left"/>
        <w:rPr>
          <w:rFonts w:hint="eastAsia" w:ascii="宋体" w:hAnsi="宋体" w:eastAsia="宋体" w:cs="宋体"/>
          <w:b/>
          <w:bCs/>
          <w:sz w:val="24"/>
          <w:szCs w:val="21"/>
          <w:lang w:val="en-US" w:eastAsia="zh-CN" w:bidi="ar-SA"/>
        </w:rPr>
      </w:pPr>
      <w:r>
        <w:rPr>
          <w:rFonts w:ascii="瀹嬩綋" w:hAnsi="瀹嬩綋" w:eastAsia="瀹嬩綋" w:cs="瀹嬩綋"/>
          <w:b/>
          <w:bCs/>
          <w:color w:val="000000"/>
          <w:kern w:val="0"/>
          <w:sz w:val="24"/>
          <w:szCs w:val="24"/>
          <w:lang w:val="en-US" w:eastAsia="zh-CN" w:bidi="ar"/>
        </w:rPr>
        <w:t>★</w:t>
      </w:r>
      <w:r>
        <w:rPr>
          <w:rFonts w:hint="eastAsia" w:ascii="宋体" w:hAnsi="宋体" w:eastAsia="宋体" w:cs="宋体"/>
          <w:b/>
          <w:bCs/>
          <w:sz w:val="24"/>
          <w:szCs w:val="21"/>
          <w:lang w:val="en-US" w:eastAsia="zh-CN" w:bidi="ar-SA"/>
        </w:rPr>
        <w:t>三、商务要求（</w:t>
      </w:r>
      <w:r>
        <w:rPr>
          <w:rFonts w:ascii="瀹嬩綋" w:hAnsi="瀹嬩綋" w:eastAsia="瀹嬩綋" w:cs="瀹嬩綋"/>
          <w:b/>
          <w:bCs/>
          <w:color w:val="000000"/>
          <w:kern w:val="0"/>
          <w:sz w:val="24"/>
          <w:szCs w:val="24"/>
          <w:lang w:val="en-US" w:eastAsia="zh-CN" w:bidi="ar"/>
        </w:rPr>
        <w:t>所有商务要求均为★号条款，不可偏离</w:t>
      </w:r>
      <w:r>
        <w:rPr>
          <w:rFonts w:hint="eastAsia" w:ascii="瀹嬩綋" w:hAnsi="瀹嬩綋" w:eastAsia="瀹嬩綋" w:cs="瀹嬩綋"/>
          <w:b/>
          <w:bCs/>
          <w:color w:val="000000"/>
          <w:kern w:val="0"/>
          <w:sz w:val="24"/>
          <w:szCs w:val="24"/>
          <w:lang w:val="en-US" w:eastAsia="zh-CN" w:bidi="ar"/>
        </w:rPr>
        <w:t>）</w:t>
      </w:r>
    </w:p>
    <w:p>
      <w:pPr>
        <w:pStyle w:val="70"/>
        <w:spacing w:beforeLines="0"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（一）服务期限</w:t>
      </w:r>
    </w:p>
    <w:p>
      <w:pPr>
        <w:tabs>
          <w:tab w:val="left" w:pos="420"/>
          <w:tab w:val="left" w:pos="540"/>
        </w:tabs>
        <w:adjustRightInd w:val="0"/>
        <w:snapToGrid w:val="0"/>
        <w:spacing w:line="360" w:lineRule="auto"/>
        <w:ind w:firstLine="48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szCs w:val="21"/>
          <w:lang w:val="en-US" w:eastAsia="zh-CN"/>
        </w:rPr>
        <w:t>自合同签订之日起一年。本项目为长期服务项目，合同期限视履约情况可续约，履约期限最长不超过3年，具体期限由采购人根据成交人履约情况考核确定。合同每年签订一次，成交人履约情况经考核符合合同续期标准的，第二年和第三年可逐年签订续期合同。</w:t>
      </w:r>
    </w:p>
    <w:p>
      <w:pPr>
        <w:pStyle w:val="70"/>
        <w:spacing w:beforeLines="0" w:line="360" w:lineRule="auto"/>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（二）服务地点</w:t>
      </w:r>
    </w:p>
    <w:p>
      <w:pPr>
        <w:pStyle w:val="70"/>
        <w:spacing w:beforeLines="0" w:line="360" w:lineRule="auto"/>
        <w:ind w:firstLine="484" w:firstLineChars="202"/>
        <w:rPr>
          <w:rFonts w:hint="default" w:asciiTheme="minorEastAsia" w:hAnsiTheme="minorEastAsia" w:eastAsiaTheme="minorEastAsia"/>
          <w:b/>
          <w:highlight w:val="none"/>
          <w:lang w:val="en-US" w:eastAsia="zh-CN"/>
        </w:rPr>
      </w:pPr>
      <w:r>
        <w:rPr>
          <w:rFonts w:hint="eastAsia" w:asciiTheme="minorEastAsia" w:hAnsiTheme="minorEastAsia" w:eastAsiaTheme="minorEastAsia"/>
          <w:b w:val="0"/>
          <w:bCs/>
          <w:highlight w:val="none"/>
          <w:lang w:val="en-US" w:eastAsia="zh-CN"/>
        </w:rPr>
        <w:t>深圳市龙岗区耳鼻咽喉医院</w:t>
      </w:r>
    </w:p>
    <w:p>
      <w:pPr>
        <w:pStyle w:val="70"/>
        <w:spacing w:beforeLines="0" w:line="360" w:lineRule="auto"/>
        <w:ind w:firstLine="482" w:firstLineChars="200"/>
        <w:rPr>
          <w:rFonts w:hint="eastAsia" w:asciiTheme="minorEastAsia" w:hAnsiTheme="minorEastAsia" w:eastAsiaTheme="minorEastAsia"/>
          <w:b/>
          <w:highlight w:val="none"/>
        </w:rPr>
      </w:pPr>
      <w:r>
        <w:rPr>
          <w:rFonts w:hint="eastAsia" w:asciiTheme="minorEastAsia" w:hAnsiTheme="minorEastAsia" w:eastAsiaTheme="minorEastAsia"/>
          <w:b/>
          <w:highlight w:val="none"/>
        </w:rPr>
        <w:t>（</w:t>
      </w:r>
      <w:r>
        <w:rPr>
          <w:rFonts w:hint="eastAsia" w:asciiTheme="minorEastAsia" w:hAnsiTheme="minorEastAsia" w:eastAsiaTheme="minorEastAsia"/>
          <w:b/>
          <w:highlight w:val="none"/>
          <w:lang w:val="en-US" w:eastAsia="zh-CN"/>
        </w:rPr>
        <w:t>三</w:t>
      </w:r>
      <w:r>
        <w:rPr>
          <w:rFonts w:hint="eastAsia" w:asciiTheme="minorEastAsia" w:hAnsiTheme="minorEastAsia" w:eastAsiaTheme="minorEastAsia"/>
          <w:b/>
          <w:highlight w:val="none"/>
        </w:rPr>
        <w:t>）付款方式</w:t>
      </w:r>
    </w:p>
    <w:p>
      <w:pPr>
        <w:pStyle w:val="70"/>
        <w:spacing w:beforeLines="0" w:line="360" w:lineRule="auto"/>
        <w:ind w:firstLine="480" w:firstLineChars="200"/>
        <w:rPr>
          <w:rFonts w:hint="eastAsia" w:ascii="宋体" w:hAnsi="宋体" w:eastAsia="宋体" w:cs="楷体"/>
          <w:bCs/>
          <w:kern w:val="2"/>
          <w:sz w:val="21"/>
          <w:szCs w:val="24"/>
          <w:highlight w:val="none"/>
          <w:lang w:val="en-US" w:eastAsia="zh-CN" w:bidi="ar-SA"/>
        </w:rPr>
      </w:pPr>
      <w:r>
        <w:rPr>
          <w:rFonts w:hint="eastAsia" w:ascii="宋体" w:hAnsi="宋体" w:cs="楷体" w:eastAsiaTheme="minorEastAsia"/>
          <w:bCs/>
          <w:sz w:val="24"/>
          <w:szCs w:val="24"/>
          <w:highlight w:val="none"/>
          <w:lang w:val="en-US" w:eastAsia="zh-CN" w:bidi="ar-SA"/>
        </w:rPr>
        <w:t>中标人每月初前五个工作日开具上月发票后，采购人收到发票后10个工作日内对公转账。</w:t>
      </w:r>
    </w:p>
    <w:p>
      <w:pPr>
        <w:pStyle w:val="70"/>
        <w:spacing w:beforeLines="0" w:line="360" w:lineRule="auto"/>
        <w:ind w:firstLine="482" w:firstLineChars="200"/>
        <w:rPr>
          <w:rFonts w:asciiTheme="minorEastAsia" w:hAnsiTheme="minorEastAsia" w:eastAsiaTheme="minorEastAsia"/>
          <w:b/>
        </w:rPr>
      </w:pPr>
      <w:r>
        <w:rPr>
          <w:rFonts w:hint="eastAsia" w:cs="Times New Roman" w:asciiTheme="minorEastAsia" w:hAnsiTheme="minorEastAsia" w:eastAsiaTheme="minorEastAsia"/>
          <w:b/>
        </w:rPr>
        <w:t>（</w:t>
      </w:r>
      <w:r>
        <w:rPr>
          <w:rFonts w:hint="eastAsia" w:cs="Times New Roman" w:asciiTheme="minorEastAsia" w:hAnsiTheme="minorEastAsia" w:eastAsiaTheme="minorEastAsia"/>
          <w:b/>
          <w:lang w:val="en-US" w:eastAsia="zh-CN"/>
        </w:rPr>
        <w:t>四</w:t>
      </w:r>
      <w:r>
        <w:rPr>
          <w:rFonts w:hint="eastAsia" w:cs="Times New Roman" w:asciiTheme="minorEastAsia" w:hAnsiTheme="minorEastAsia" w:eastAsiaTheme="minorEastAsia"/>
          <w:b/>
        </w:rPr>
        <w:t>）违约责任</w:t>
      </w:r>
    </w:p>
    <w:p>
      <w:pPr>
        <w:spacing w:line="360" w:lineRule="auto"/>
        <w:ind w:firstLine="480" w:firstLineChars="200"/>
        <w:rPr>
          <w:rFonts w:ascii="宋体" w:hAnsi="宋体" w:cs="楷体"/>
          <w:bCs/>
        </w:rPr>
      </w:pPr>
      <w:r>
        <w:rPr>
          <w:rFonts w:hint="eastAsia" w:ascii="宋体" w:hAnsi="宋体" w:cs="楷体"/>
          <w:bCs/>
          <w:lang w:val="en-US" w:eastAsia="zh-CN"/>
        </w:rPr>
        <w:t>1.</w:t>
      </w:r>
      <w:r>
        <w:rPr>
          <w:rFonts w:hint="eastAsia" w:ascii="宋体" w:hAnsi="宋体" w:cs="楷体"/>
          <w:bCs/>
        </w:rPr>
        <w:t>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pPr>
        <w:spacing w:line="360" w:lineRule="auto"/>
        <w:ind w:firstLine="480" w:firstLineChars="200"/>
        <w:rPr>
          <w:rFonts w:ascii="宋体" w:hAnsi="宋体" w:cs="楷体"/>
          <w:bCs/>
        </w:rPr>
      </w:pPr>
      <w:r>
        <w:rPr>
          <w:rFonts w:hint="eastAsia" w:ascii="宋体" w:hAnsi="宋体" w:cs="楷体"/>
          <w:bCs/>
          <w:lang w:val="en-US" w:eastAsia="zh-CN"/>
        </w:rPr>
        <w:t>2.</w:t>
      </w:r>
      <w:r>
        <w:rPr>
          <w:rFonts w:hint="eastAsia" w:ascii="宋体" w:hAnsi="宋体" w:cs="楷体"/>
          <w:bCs/>
        </w:rPr>
        <w:t>由于中标人原因造成项目成果质量低劣，不能满足合同约定项目验收要求时，应继续完善项目工作，其费用由中标人承担。</w:t>
      </w:r>
    </w:p>
    <w:p>
      <w:pPr>
        <w:spacing w:line="360" w:lineRule="auto"/>
        <w:ind w:firstLine="480" w:firstLineChars="200"/>
        <w:rPr>
          <w:rFonts w:ascii="宋体" w:hAnsi="宋体" w:cs="楷体"/>
          <w:bCs/>
        </w:rPr>
      </w:pPr>
      <w:r>
        <w:rPr>
          <w:rFonts w:hint="eastAsia" w:ascii="宋体" w:hAnsi="宋体" w:cs="楷体"/>
          <w:bCs/>
          <w:lang w:val="en-US" w:eastAsia="zh-CN"/>
        </w:rPr>
        <w:t>3.</w:t>
      </w:r>
      <w:r>
        <w:rPr>
          <w:rFonts w:hint="eastAsia" w:ascii="宋体" w:hAnsi="宋体" w:cs="楷体"/>
          <w:bCs/>
        </w:rPr>
        <w:t>如中标人提供的服务不符合合同约定的质量要求，必须在采购人提出要求7日历天内无条件整改，其费用由中标人承担。</w:t>
      </w:r>
    </w:p>
    <w:p>
      <w:pPr>
        <w:spacing w:line="360" w:lineRule="auto"/>
        <w:ind w:firstLine="480" w:firstLineChars="200"/>
        <w:rPr>
          <w:rFonts w:ascii="宋体" w:hAnsi="宋体" w:cs="楷体"/>
          <w:bCs/>
        </w:rPr>
      </w:pPr>
      <w:r>
        <w:rPr>
          <w:rFonts w:hint="eastAsia" w:ascii="宋体" w:hAnsi="宋体" w:cs="楷体"/>
          <w:bCs/>
          <w:lang w:val="en-US" w:eastAsia="zh-CN"/>
        </w:rPr>
        <w:t>4.</w:t>
      </w:r>
      <w:r>
        <w:rPr>
          <w:rFonts w:hint="eastAsia" w:ascii="宋体" w:hAnsi="宋体" w:cs="楷体"/>
          <w:bCs/>
        </w:rPr>
        <w:t>如中标人工作人员违反合同项下关于保密义务</w:t>
      </w:r>
      <w:r>
        <w:rPr>
          <w:rFonts w:hint="eastAsia" w:ascii="宋体" w:hAnsi="宋体" w:cs="楷体"/>
          <w:bCs/>
          <w:lang w:eastAsia="zh-CN"/>
        </w:rPr>
        <w:t>等</w:t>
      </w:r>
      <w:r>
        <w:rPr>
          <w:rFonts w:hint="eastAsia" w:ascii="宋体" w:hAnsi="宋体" w:cs="楷体"/>
          <w:bCs/>
        </w:rPr>
        <w:t>规定，给采购人造成损失的，中标人应当承担全部赔偿责任，涉及违法犯罪的人员，采购人可移送有关机关处理。</w:t>
      </w:r>
    </w:p>
    <w:p>
      <w:pPr>
        <w:spacing w:line="360" w:lineRule="auto"/>
        <w:ind w:firstLine="480" w:firstLineChars="200"/>
        <w:rPr>
          <w:rFonts w:ascii="宋体" w:hAnsi="宋体" w:cs="楷体"/>
          <w:bCs/>
        </w:rPr>
      </w:pPr>
      <w:r>
        <w:rPr>
          <w:rFonts w:hint="eastAsia" w:ascii="宋体" w:hAnsi="宋体" w:cs="楷体"/>
          <w:bCs/>
          <w:lang w:val="en-US" w:eastAsia="zh-CN"/>
        </w:rPr>
        <w:t>5.</w:t>
      </w:r>
      <w:r>
        <w:rPr>
          <w:rFonts w:hint="eastAsia" w:ascii="宋体" w:hAnsi="宋体" w:cs="楷体"/>
          <w:bCs/>
        </w:rPr>
        <w:t>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pPr>
        <w:spacing w:line="360" w:lineRule="auto"/>
        <w:ind w:firstLine="482" w:firstLineChars="200"/>
        <w:rPr>
          <w:rFonts w:hint="eastAsia" w:ascii="新宋体" w:hAnsi="新宋体" w:eastAsia="新宋体" w:cs="宋体"/>
          <w:b/>
          <w:bCs/>
          <w:szCs w:val="21"/>
          <w:lang w:val="en-US" w:eastAsia="zh-CN"/>
        </w:rPr>
      </w:pPr>
      <w:r>
        <w:rPr>
          <w:rFonts w:hint="eastAsia" w:ascii="新宋体" w:hAnsi="新宋体" w:eastAsia="新宋体" w:cs="宋体"/>
          <w:b/>
          <w:bCs/>
          <w:szCs w:val="21"/>
          <w:lang w:eastAsia="zh-CN"/>
        </w:rPr>
        <w:t>（</w:t>
      </w:r>
      <w:r>
        <w:rPr>
          <w:rFonts w:hint="eastAsia" w:ascii="新宋体" w:hAnsi="新宋体" w:eastAsia="新宋体" w:cs="宋体"/>
          <w:b/>
          <w:bCs/>
          <w:szCs w:val="21"/>
          <w:lang w:val="en-US" w:eastAsia="zh-CN"/>
        </w:rPr>
        <w:t>五</w:t>
      </w:r>
      <w:r>
        <w:rPr>
          <w:rFonts w:hint="eastAsia" w:ascii="新宋体" w:hAnsi="新宋体" w:eastAsia="新宋体" w:cs="宋体"/>
          <w:b/>
          <w:bCs/>
          <w:szCs w:val="21"/>
          <w:lang w:eastAsia="zh-CN"/>
        </w:rPr>
        <w:t>）</w:t>
      </w:r>
      <w:r>
        <w:rPr>
          <w:rFonts w:hint="eastAsia" w:ascii="新宋体" w:hAnsi="新宋体" w:eastAsia="新宋体" w:cs="宋体"/>
          <w:b/>
          <w:bCs/>
          <w:szCs w:val="21"/>
          <w:lang w:val="en-US" w:eastAsia="zh-CN"/>
        </w:rPr>
        <w:t>投标报价要求</w:t>
      </w:r>
    </w:p>
    <w:p>
      <w:pPr>
        <w:pStyle w:val="71"/>
        <w:wordWrap/>
        <w:spacing w:afterLines="0" w:line="360" w:lineRule="auto"/>
        <w:ind w:firstLine="420"/>
        <w:rPr>
          <w:rFonts w:cs="Times New Roman"/>
          <w:spacing w:val="0"/>
          <w:sz w:val="21"/>
          <w:szCs w:val="21"/>
        </w:rPr>
      </w:pPr>
      <w:r>
        <w:rPr>
          <w:rFonts w:hint="eastAsia" w:ascii="宋体" w:hAnsi="宋体" w:cs="楷体"/>
          <w:bCs/>
        </w:rPr>
        <w:t>1.</w:t>
      </w:r>
      <w:r>
        <w:rPr>
          <w:rFonts w:hint="default" w:cs="Times New Roman"/>
          <w:spacing w:val="0"/>
          <w:sz w:val="24"/>
          <w:szCs w:val="24"/>
          <w:lang w:val="en-US" w:eastAsia="zh-CN"/>
        </w:rPr>
        <w:t>本项目服务费采用包干制，</w:t>
      </w:r>
      <w:r>
        <w:rPr>
          <w:rFonts w:hint="eastAsia" w:cs="Times New Roman"/>
          <w:spacing w:val="0"/>
          <w:sz w:val="24"/>
          <w:szCs w:val="24"/>
          <w:lang w:val="en-US" w:eastAsia="zh-CN"/>
        </w:rPr>
        <w:t>报价</w:t>
      </w:r>
      <w:r>
        <w:rPr>
          <w:rFonts w:hint="default" w:cs="Times New Roman"/>
          <w:spacing w:val="0"/>
          <w:sz w:val="24"/>
          <w:szCs w:val="24"/>
          <w:lang w:val="en-US" w:eastAsia="zh-CN"/>
        </w:rPr>
        <w:t>应包括</w:t>
      </w:r>
      <w:r>
        <w:rPr>
          <w:rFonts w:hint="eastAsia" w:cs="Times New Roman"/>
          <w:spacing w:val="0"/>
          <w:sz w:val="24"/>
          <w:szCs w:val="24"/>
          <w:lang w:val="en-US" w:eastAsia="zh-CN"/>
        </w:rPr>
        <w:t>1</w:t>
      </w:r>
      <w:r>
        <w:rPr>
          <w:rFonts w:hint="default" w:cs="Times New Roman"/>
          <w:spacing w:val="0"/>
          <w:sz w:val="24"/>
          <w:szCs w:val="24"/>
          <w:lang w:val="en-US" w:eastAsia="zh-CN"/>
        </w:rPr>
        <w:t>名理发师工资</w:t>
      </w:r>
      <w:r>
        <w:rPr>
          <w:rFonts w:hint="eastAsia" w:cs="Times New Roman"/>
          <w:spacing w:val="0"/>
          <w:sz w:val="24"/>
          <w:szCs w:val="24"/>
          <w:lang w:val="en-US" w:eastAsia="zh-CN"/>
        </w:rPr>
        <w:t>、</w:t>
      </w:r>
      <w:r>
        <w:rPr>
          <w:rFonts w:hint="default" w:cs="Times New Roman"/>
          <w:spacing w:val="0"/>
          <w:sz w:val="24"/>
          <w:szCs w:val="24"/>
          <w:lang w:val="en-US" w:eastAsia="zh-CN"/>
        </w:rPr>
        <w:t>服务成本、法定税费和企业的利润</w:t>
      </w:r>
      <w:r>
        <w:rPr>
          <w:rFonts w:hint="eastAsia" w:cs="Times New Roman"/>
          <w:spacing w:val="0"/>
          <w:sz w:val="24"/>
          <w:szCs w:val="24"/>
          <w:lang w:val="en-US" w:eastAsia="zh-CN"/>
        </w:rPr>
        <w:t>等一切费用，</w:t>
      </w:r>
      <w:r>
        <w:rPr>
          <w:rFonts w:hint="default" w:cs="Times New Roman"/>
          <w:spacing w:val="0"/>
          <w:sz w:val="24"/>
          <w:szCs w:val="24"/>
          <w:lang w:val="en-US" w:eastAsia="zh-CN"/>
        </w:rPr>
        <w:t>由企业根据招标文件所提供的资料自行测算投标报价</w:t>
      </w:r>
      <w:r>
        <w:rPr>
          <w:rFonts w:hint="eastAsia" w:cs="Times New Roman"/>
          <w:spacing w:val="0"/>
          <w:sz w:val="24"/>
          <w:szCs w:val="24"/>
          <w:lang w:val="en-US" w:eastAsia="zh-CN"/>
        </w:rPr>
        <w:t>，</w:t>
      </w:r>
      <w:r>
        <w:rPr>
          <w:rFonts w:hint="default" w:cs="Times New Roman"/>
          <w:spacing w:val="0"/>
          <w:sz w:val="24"/>
          <w:szCs w:val="24"/>
          <w:lang w:val="en-US" w:eastAsia="zh-CN"/>
        </w:rPr>
        <w:t>一经中标，投标报价总价作为中标单位与采购人</w:t>
      </w:r>
      <w:r>
        <w:rPr>
          <w:rFonts w:hint="eastAsia" w:cs="Times New Roman"/>
          <w:spacing w:val="0"/>
          <w:sz w:val="24"/>
          <w:szCs w:val="24"/>
          <w:lang w:val="en-US" w:eastAsia="zh-CN"/>
        </w:rPr>
        <w:t>签订</w:t>
      </w:r>
      <w:r>
        <w:rPr>
          <w:rFonts w:hint="default" w:cs="Times New Roman"/>
          <w:spacing w:val="0"/>
          <w:sz w:val="24"/>
          <w:szCs w:val="24"/>
          <w:lang w:val="en-US" w:eastAsia="zh-CN"/>
        </w:rPr>
        <w:t>的合同金额，合同期限内不做调整。</w:t>
      </w:r>
    </w:p>
    <w:p>
      <w:pPr>
        <w:spacing w:line="360" w:lineRule="auto"/>
        <w:ind w:firstLine="480" w:firstLineChars="200"/>
        <w:rPr>
          <w:rFonts w:hint="eastAsia" w:ascii="宋体" w:hAnsi="宋体" w:cs="楷体"/>
          <w:bCs/>
        </w:rPr>
      </w:pPr>
      <w:r>
        <w:rPr>
          <w:rFonts w:hint="eastAsia" w:ascii="宋体" w:hAnsi="宋体" w:cs="楷体"/>
          <w:bCs/>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楷体"/>
          <w:bCs/>
        </w:rPr>
      </w:pPr>
      <w:r>
        <w:rPr>
          <w:rFonts w:hint="eastAsia" w:ascii="宋体" w:hAnsi="宋体" w:cs="楷体"/>
          <w:bCs/>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ind w:firstLine="480" w:firstLineChars="200"/>
        <w:rPr>
          <w:rFonts w:hint="eastAsia" w:ascii="宋体" w:hAnsi="宋体" w:cs="楷体"/>
          <w:bCs/>
        </w:rPr>
      </w:pPr>
      <w:r>
        <w:rPr>
          <w:rFonts w:hint="eastAsia" w:ascii="宋体" w:hAnsi="宋体" w:cs="楷体"/>
          <w:bCs/>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ind w:firstLine="480" w:firstLineChars="200"/>
        <w:rPr>
          <w:rFonts w:hint="eastAsia" w:ascii="宋体" w:hAnsi="宋体" w:cs="楷体"/>
          <w:bCs/>
        </w:rPr>
      </w:pPr>
      <w:r>
        <w:rPr>
          <w:rFonts w:hint="eastAsia" w:ascii="宋体" w:hAnsi="宋体" w:cs="楷体"/>
          <w:bCs/>
        </w:rPr>
        <w:t>5.投标人应充分了解项目的位置、情况、道路及任何其它足以影响投标报价的情况，任何因忽视或误解项目情况而导致的索赔或服务期限延长申请将不获批准。</w:t>
      </w:r>
    </w:p>
    <w:p>
      <w:pPr>
        <w:spacing w:line="360" w:lineRule="auto"/>
        <w:ind w:firstLine="480" w:firstLineChars="200"/>
        <w:rPr>
          <w:rFonts w:hint="default" w:ascii="宋体" w:hAnsi="宋体" w:eastAsia="宋体" w:cs="宋体"/>
          <w:szCs w:val="21"/>
          <w:highlight w:val="green"/>
          <w:lang w:val="en-US" w:eastAsia="zh-CN"/>
        </w:rPr>
      </w:pPr>
      <w:r>
        <w:rPr>
          <w:rFonts w:hint="eastAsia" w:ascii="宋体" w:hAnsi="宋体" w:cs="楷体"/>
          <w:bCs/>
        </w:rPr>
        <w:t>6.投标人不得期望通过索赔等方式获取补偿，否则，除可能遭到拒绝外，还可能将被作为不良行为记录在案，并可能影响其以后参加政府采购的项目投标。各投标人在投标报价时，应充分考虑投标报价的风险。</w:t>
      </w:r>
    </w:p>
    <w:p>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4"/>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七、项目报价（格式自拟）</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八、实质性条款偏离表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九、其他响应评分的内容及佐证材料</w:t>
      </w:r>
    </w:p>
    <w:p>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both"/>
        <w:rPr>
          <w:rFonts w:hint="eastAsia"/>
          <w:sz w:val="44"/>
          <w:szCs w:val="44"/>
          <w:highlight w:val="none"/>
          <w:u w:val="singl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4"/>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4"/>
        <w:tabs>
          <w:tab w:val="left" w:pos="426"/>
        </w:tabs>
        <w:ind w:firstLine="630" w:firstLineChars="300"/>
        <w:rPr>
          <w:highlight w:val="none"/>
        </w:rPr>
      </w:pPr>
    </w:p>
    <w:p>
      <w:pPr>
        <w:pStyle w:val="14"/>
        <w:tabs>
          <w:tab w:val="left" w:pos="426"/>
        </w:tabs>
        <w:ind w:firstLine="630" w:firstLineChars="300"/>
        <w:rPr>
          <w:highlight w:val="none"/>
        </w:rPr>
      </w:pPr>
    </w:p>
    <w:p>
      <w:pPr>
        <w:pStyle w:val="14"/>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sectPr>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footerReference r:id="rId6"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宋体" w:hAnsi="宋体" w:eastAsia="宋体" w:cs="宋体"/>
          <w:b w:val="0"/>
          <w:bCs/>
          <w:color w:val="333333"/>
          <w:kern w:val="0"/>
          <w:sz w:val="24"/>
          <w:szCs w:val="24"/>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pPr>
        <w:pStyle w:val="2"/>
        <w:spacing w:line="420" w:lineRule="exact"/>
        <w:rPr>
          <w:rFonts w:hint="eastAsia" w:ascii="宋体" w:hAnsi="宋体" w:eastAsia="宋体" w:cs="宋体"/>
          <w:b w:val="0"/>
          <w:bCs/>
          <w:color w:val="333333"/>
          <w:kern w:val="0"/>
          <w:sz w:val="24"/>
          <w:szCs w:val="24"/>
          <w:shd w:val="clear" w:color="auto" w:fill="FFFFFF"/>
          <w:lang w:val="en-US" w:eastAsia="zh-CN" w:bidi="ar-SA"/>
        </w:rPr>
      </w:pPr>
    </w:p>
    <w:p>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我公司承诺：</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p>
    <w:p>
      <w:pPr>
        <w:pStyle w:val="2"/>
        <w:spacing w:line="420" w:lineRule="exact"/>
        <w:rPr>
          <w:rFonts w:hint="eastAsia" w:ascii="宋体" w:hAnsi="宋体" w:eastAsia="宋体" w:cs="宋体"/>
          <w:b w:val="0"/>
          <w:bCs/>
          <w:color w:val="333333"/>
          <w:kern w:val="0"/>
          <w:sz w:val="24"/>
          <w:szCs w:val="24"/>
          <w:shd w:val="clear" w:color="auto" w:fill="FFFFFF"/>
          <w:lang w:val="en-US" w:eastAsia="zh-CN" w:bidi="ar-SA"/>
        </w:rPr>
      </w:pPr>
    </w:p>
    <w:p>
      <w:pPr>
        <w:tabs>
          <w:tab w:val="left" w:pos="426"/>
        </w:tabs>
        <w:snapToGrid w:val="0"/>
        <w:spacing w:line="420" w:lineRule="exact"/>
        <w:rPr>
          <w:rFonts w:hint="eastAsia" w:ascii="宋体" w:hAnsi="宋体" w:eastAsia="宋体" w:cs="宋体"/>
          <w:b w:val="0"/>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日期：      年    月    日</w:t>
      </w: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0"/>
        </w:numPr>
        <w:spacing w:line="420" w:lineRule="exact"/>
        <w:ind w:left="0"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bidi="ar-SA"/>
        </w:rPr>
        <w:t>五、</w:t>
      </w: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29" w:leftChars="1790" w:hanging="33" w:hangingChars="16"/>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0"/>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bidi="ar-SA"/>
        </w:rPr>
        <w:t>六、</w:t>
      </w: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4"/>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sz w:val="30"/>
          <w:szCs w:val="30"/>
        </w:rPr>
        <w:t>供应商基本情况表</w:t>
      </w:r>
      <w:bookmarkEnd w:id="21"/>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pPr>
              <w:pStyle w:val="6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pPr>
              <w:pStyle w:val="6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pPr>
              <w:pStyle w:val="6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pPr>
              <w:pStyle w:val="6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pPr>
              <w:spacing w:line="290" w:lineRule="auto"/>
              <w:rPr>
                <w:rFonts w:hint="eastAsia" w:ascii="宋体" w:hAnsi="宋体" w:eastAsia="宋体" w:cs="宋体"/>
                <w:sz w:val="21"/>
                <w:szCs w:val="21"/>
              </w:rPr>
            </w:pPr>
          </w:p>
          <w:p>
            <w:pPr>
              <w:spacing w:line="290" w:lineRule="auto"/>
              <w:rPr>
                <w:rFonts w:hint="eastAsia" w:ascii="宋体" w:hAnsi="宋体" w:eastAsia="宋体" w:cs="宋体"/>
                <w:sz w:val="21"/>
                <w:szCs w:val="21"/>
              </w:rPr>
            </w:pPr>
          </w:p>
          <w:p>
            <w:pPr>
              <w:pStyle w:val="6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pPr>
              <w:spacing w:line="274" w:lineRule="auto"/>
              <w:rPr>
                <w:rFonts w:hint="eastAsia" w:ascii="宋体" w:hAnsi="宋体" w:eastAsia="宋体" w:cs="宋体"/>
                <w:sz w:val="21"/>
                <w:szCs w:val="21"/>
              </w:rPr>
            </w:pPr>
          </w:p>
          <w:p>
            <w:pPr>
              <w:spacing w:line="274" w:lineRule="auto"/>
              <w:rPr>
                <w:rFonts w:hint="eastAsia" w:ascii="宋体" w:hAnsi="宋体" w:eastAsia="宋体" w:cs="宋体"/>
                <w:sz w:val="21"/>
                <w:szCs w:val="21"/>
              </w:rPr>
            </w:pPr>
          </w:p>
          <w:p>
            <w:pPr>
              <w:pStyle w:val="6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68"/>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6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68"/>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2"/>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3"/>
        <w:rPr>
          <w:rFonts w:hint="eastAsia" w:ascii="宋体" w:hAnsi="宋体" w:eastAsia="宋体" w:cs="宋体"/>
          <w:sz w:val="21"/>
          <w:szCs w:val="21"/>
          <w:highlight w:val="none"/>
        </w:rPr>
      </w:pPr>
    </w:p>
    <w:p>
      <w:pPr>
        <w:rPr>
          <w:rFonts w:hint="eastAsia"/>
        </w:rPr>
      </w:pPr>
    </w:p>
    <w:p>
      <w:pPr>
        <w:pStyle w:val="4"/>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highlight w:val="yellow"/>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4"/>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5"/>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highlight w:val="yellow"/>
          <w:lang w:val="en-US" w:eastAsia="zh-CN"/>
        </w:rPr>
      </w:pPr>
      <w:r>
        <w:rPr>
          <w:rFonts w:hint="eastAsia" w:asciiTheme="minorEastAsia" w:hAnsiTheme="minorEastAsia" w:eastAsiaTheme="minorEastAsia" w:cstheme="minorEastAsia"/>
          <w:b/>
          <w:bCs/>
          <w:color w:val="FF0000"/>
          <w:sz w:val="21"/>
          <w:szCs w:val="21"/>
          <w:highlight w:val="yellow"/>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highlight w:val="yellow"/>
        </w:rPr>
        <w:t>注：投标人须额外开具《法定代表人授权书》原件，投标人代表递交投标文件并出席开标环节时应携带身份证、《法定代表人授权书》及《法定代表人证明书》原件供采购代理机构工作人员核对身份信息。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表（格式自拟）</w:t>
      </w:r>
    </w:p>
    <w:p>
      <w:pPr>
        <w:ind w:firstLine="482" w:firstLineChars="200"/>
        <w:rPr>
          <w:rFonts w:hint="eastAsia"/>
          <w:lang w:val="en-US" w:eastAsia="zh-CN"/>
        </w:rPr>
      </w:pPr>
      <w:r>
        <w:rPr>
          <w:rFonts w:hint="eastAsia"/>
          <w:b/>
          <w:bCs/>
          <w:color w:val="FF0000"/>
          <w:lang w:val="en-US" w:eastAsia="zh-CN"/>
        </w:rPr>
        <w:t>按服务单价报价</w:t>
      </w:r>
      <w:r>
        <w:rPr>
          <w:rFonts w:hint="eastAsia"/>
          <w:lang w:val="en-US" w:eastAsia="zh-CN"/>
        </w:rPr>
        <w:br w:type="page"/>
      </w:r>
    </w:p>
    <w:p>
      <w:pPr>
        <w:rPr>
          <w:rFonts w:hint="eastAsia" w:asciiTheme="minorEastAsia" w:hAnsiTheme="minorEastAsia" w:cstheme="minorEastAsia"/>
          <w:b/>
          <w:bCs/>
          <w:sz w:val="24"/>
          <w:szCs w:val="24"/>
          <w:lang w:val="en-US" w:eastAsia="zh-CN"/>
        </w:rPr>
        <w:sectPr>
          <w:headerReference r:id="rId7" w:type="default"/>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八、实质性条款偏离表</w:t>
      </w:r>
    </w:p>
    <w:tbl>
      <w:tblPr>
        <w:tblStyle w:val="25"/>
        <w:tblW w:w="5173" w:type="pct"/>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668"/>
        <w:gridCol w:w="5446"/>
        <w:gridCol w:w="2685"/>
        <w:gridCol w:w="159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1" w:type="pct"/>
            <w:vAlign w:val="center"/>
          </w:tcPr>
          <w:p>
            <w:pPr>
              <w:adjustRightInd w:val="0"/>
              <w:snapToGrid w:val="0"/>
              <w:spacing w:line="240" w:lineRule="auto"/>
              <w:jc w:val="center"/>
              <w:rPr>
                <w:rFonts w:ascii="宋体" w:hAnsi="宋体"/>
                <w:b/>
                <w:bCs/>
                <w:kern w:val="0"/>
                <w:szCs w:val="21"/>
              </w:rPr>
            </w:pPr>
            <w:bookmarkStart w:id="23" w:name="_Hlk72092651"/>
            <w:r>
              <w:rPr>
                <w:rFonts w:hint="eastAsia" w:ascii="宋体" w:hAnsi="宋体" w:eastAsia="宋体"/>
                <w:b/>
                <w:bCs/>
                <w:kern w:val="0"/>
                <w:szCs w:val="21"/>
              </w:rPr>
              <w:t>序号</w:t>
            </w:r>
          </w:p>
        </w:tc>
        <w:tc>
          <w:tcPr>
            <w:tcW w:w="621" w:type="pct"/>
            <w:vAlign w:val="center"/>
          </w:tcPr>
          <w:p>
            <w:pPr>
              <w:adjustRightInd w:val="0"/>
              <w:snapToGrid w:val="0"/>
              <w:spacing w:line="240" w:lineRule="auto"/>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要求</w:t>
            </w:r>
          </w:p>
        </w:tc>
        <w:tc>
          <w:tcPr>
            <w:tcW w:w="2028" w:type="pct"/>
            <w:vAlign w:val="center"/>
          </w:tcPr>
          <w:p>
            <w:pPr>
              <w:adjustRightInd w:val="0"/>
              <w:snapToGrid w:val="0"/>
              <w:spacing w:line="240" w:lineRule="auto"/>
              <w:jc w:val="center"/>
              <w:rPr>
                <w:rFonts w:ascii="宋体" w:hAnsi="宋体"/>
                <w:b/>
                <w:bCs/>
                <w:kern w:val="0"/>
                <w:szCs w:val="21"/>
              </w:rPr>
            </w:pPr>
            <w:r>
              <w:rPr>
                <w:rFonts w:hint="eastAsia" w:ascii="宋体" w:hAnsi="宋体" w:eastAsia="宋体"/>
                <w:b/>
                <w:bCs/>
                <w:kern w:val="0"/>
                <w:szCs w:val="21"/>
              </w:rPr>
              <w:t>实质性条款具体内容</w:t>
            </w:r>
          </w:p>
        </w:tc>
        <w:tc>
          <w:tcPr>
            <w:tcW w:w="1000" w:type="pct"/>
            <w:vAlign w:val="center"/>
          </w:tcPr>
          <w:p>
            <w:pPr>
              <w:adjustRightInd w:val="0"/>
              <w:snapToGrid w:val="0"/>
              <w:spacing w:line="240" w:lineRule="auto"/>
              <w:jc w:val="center"/>
              <w:rPr>
                <w:rFonts w:hint="eastAsia" w:ascii="宋体" w:hAnsi="宋体" w:eastAsia="宋体"/>
                <w:b/>
                <w:bCs/>
                <w:kern w:val="0"/>
                <w:szCs w:val="21"/>
                <w:lang w:eastAsia="zh-CN"/>
              </w:rPr>
            </w:pPr>
            <w:r>
              <w:rPr>
                <w:rFonts w:hint="eastAsia" w:eastAsia="宋体"/>
                <w:b/>
                <w:bCs/>
              </w:rPr>
              <w:t>投标</w:t>
            </w:r>
            <w:r>
              <w:rPr>
                <w:rFonts w:hint="eastAsia"/>
                <w:b/>
                <w:bCs/>
                <w:lang w:eastAsia="zh-CN"/>
              </w:rPr>
              <w:t>响应</w:t>
            </w:r>
          </w:p>
        </w:tc>
        <w:tc>
          <w:tcPr>
            <w:tcW w:w="592" w:type="pct"/>
            <w:vAlign w:val="center"/>
          </w:tcPr>
          <w:p>
            <w:pPr>
              <w:adjustRightInd w:val="0"/>
              <w:snapToGrid w:val="0"/>
              <w:spacing w:line="240" w:lineRule="auto"/>
              <w:jc w:val="center"/>
              <w:rPr>
                <w:rFonts w:ascii="宋体" w:hAnsi="宋体"/>
                <w:b/>
                <w:bCs/>
                <w:kern w:val="0"/>
                <w:szCs w:val="21"/>
              </w:rPr>
            </w:pPr>
            <w:r>
              <w:rPr>
                <w:rFonts w:hint="eastAsia" w:eastAsia="宋体"/>
                <w:b/>
                <w:bCs/>
              </w:rPr>
              <w:t>偏离情况</w:t>
            </w:r>
          </w:p>
        </w:tc>
        <w:tc>
          <w:tcPr>
            <w:tcW w:w="456" w:type="pct"/>
            <w:vAlign w:val="center"/>
          </w:tcPr>
          <w:p>
            <w:pPr>
              <w:adjustRightInd w:val="0"/>
              <w:snapToGrid w:val="0"/>
              <w:spacing w:line="240" w:lineRule="auto"/>
              <w:jc w:val="center"/>
              <w:rPr>
                <w:rFonts w:ascii="宋体" w:hAnsi="宋体"/>
                <w:b/>
                <w:bCs/>
                <w:kern w:val="0"/>
                <w:szCs w:val="21"/>
              </w:rPr>
            </w:pPr>
            <w:r>
              <w:rPr>
                <w:rFonts w:hint="eastAsia" w:eastAsia="宋体"/>
                <w:b/>
                <w:bCs/>
              </w:rPr>
              <w:t>说明</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adjustRightInd w:val="0"/>
              <w:snapToGrid w:val="0"/>
              <w:spacing w:line="360" w:lineRule="auto"/>
              <w:jc w:val="center"/>
              <w:rPr>
                <w:rFonts w:ascii="宋体" w:hAnsi="宋体"/>
                <w:kern w:val="0"/>
                <w:sz w:val="24"/>
                <w:szCs w:val="24"/>
              </w:rPr>
            </w:pPr>
            <w:r>
              <w:rPr>
                <w:rFonts w:hint="eastAsia" w:ascii="宋体" w:hAnsi="宋体" w:eastAsia="宋体"/>
                <w:kern w:val="0"/>
                <w:sz w:val="24"/>
                <w:szCs w:val="24"/>
              </w:rPr>
              <w:t>1</w:t>
            </w:r>
          </w:p>
        </w:tc>
        <w:tc>
          <w:tcPr>
            <w:tcW w:w="62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kern w:val="0"/>
                <w:sz w:val="24"/>
                <w:szCs w:val="24"/>
              </w:rPr>
            </w:pPr>
            <w:r>
              <w:rPr>
                <w:rFonts w:hint="eastAsia" w:ascii="宋体" w:hAnsi="宋体" w:eastAsia="宋体" w:cs="宋体"/>
                <w:b/>
                <w:sz w:val="24"/>
                <w:szCs w:val="24"/>
                <w:highlight w:val="none"/>
              </w:rPr>
              <w:t>服务期限</w:t>
            </w:r>
          </w:p>
        </w:tc>
        <w:tc>
          <w:tcPr>
            <w:tcW w:w="2028" w:type="pct"/>
            <w:vAlign w:val="center"/>
          </w:tcPr>
          <w:p>
            <w:pPr>
              <w:pStyle w:val="70"/>
              <w:spacing w:beforeLines="0" w:line="240" w:lineRule="auto"/>
              <w:ind w:left="0" w:leftChars="0" w:firstLine="0" w:firstLineChars="0"/>
              <w:jc w:val="both"/>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lang w:val="en-US" w:eastAsia="zh-CN" w:bidi="ar-SA"/>
              </w:rPr>
              <w:t>自合同签订之日起一年。本项目为长期服务项目，合同期限视履约情况可续约，履约期限最长不超过3年，具体期限由采购人根据成交人履约情况考核确定。合同每年签订一次，成交人履约情况经考核符合合同续期标准的，第二年和第三年可逐年签订续期合同。</w:t>
            </w:r>
          </w:p>
        </w:tc>
        <w:tc>
          <w:tcPr>
            <w:tcW w:w="1000" w:type="pct"/>
            <w:vAlign w:val="center"/>
          </w:tcPr>
          <w:p>
            <w:pPr>
              <w:adjustRightInd w:val="0"/>
              <w:snapToGrid w:val="0"/>
              <w:spacing w:line="360" w:lineRule="auto"/>
              <w:jc w:val="left"/>
              <w:rPr>
                <w:rFonts w:ascii="宋体" w:hAnsi="宋体"/>
                <w:kern w:val="0"/>
                <w:szCs w:val="21"/>
              </w:rPr>
            </w:pPr>
          </w:p>
        </w:tc>
        <w:tc>
          <w:tcPr>
            <w:tcW w:w="592" w:type="pct"/>
            <w:vAlign w:val="center"/>
          </w:tcPr>
          <w:p>
            <w:pPr>
              <w:adjustRightInd w:val="0"/>
              <w:snapToGrid w:val="0"/>
              <w:spacing w:line="360" w:lineRule="auto"/>
              <w:jc w:val="left"/>
              <w:rPr>
                <w:rFonts w:ascii="宋体" w:hAnsi="宋体"/>
                <w:kern w:val="0"/>
                <w:szCs w:val="21"/>
              </w:rPr>
            </w:pPr>
          </w:p>
        </w:tc>
        <w:tc>
          <w:tcPr>
            <w:tcW w:w="456" w:type="pct"/>
            <w:vAlign w:val="center"/>
          </w:tcPr>
          <w:p>
            <w:pPr>
              <w:adjustRightInd w:val="0"/>
              <w:snapToGrid w:val="0"/>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adjustRightInd w:val="0"/>
              <w:snapToGrid w:val="0"/>
              <w:spacing w:line="360" w:lineRule="auto"/>
              <w:jc w:val="center"/>
              <w:rPr>
                <w:rFonts w:ascii="宋体" w:hAnsi="宋体"/>
                <w:kern w:val="0"/>
                <w:sz w:val="24"/>
                <w:szCs w:val="24"/>
              </w:rPr>
            </w:pPr>
            <w:r>
              <w:rPr>
                <w:rFonts w:hint="eastAsia" w:ascii="宋体" w:hAnsi="宋体" w:eastAsia="宋体"/>
                <w:kern w:val="0"/>
                <w:sz w:val="24"/>
                <w:szCs w:val="24"/>
              </w:rPr>
              <w:t>2</w:t>
            </w:r>
          </w:p>
        </w:tc>
        <w:tc>
          <w:tcPr>
            <w:tcW w:w="62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kern w:val="0"/>
                <w:sz w:val="24"/>
                <w:szCs w:val="24"/>
              </w:rPr>
            </w:pPr>
            <w:r>
              <w:rPr>
                <w:rFonts w:hint="eastAsia" w:ascii="宋体" w:hAnsi="宋体" w:eastAsia="宋体"/>
                <w:b/>
                <w:bCs/>
                <w:kern w:val="0"/>
                <w:sz w:val="24"/>
                <w:szCs w:val="24"/>
              </w:rPr>
              <w:t>服务地点</w:t>
            </w:r>
          </w:p>
        </w:tc>
        <w:tc>
          <w:tcPr>
            <w:tcW w:w="2028" w:type="pct"/>
            <w:vAlign w:val="center"/>
          </w:tcPr>
          <w:p>
            <w:pPr>
              <w:pStyle w:val="70"/>
              <w:spacing w:beforeLines="0" w:line="240" w:lineRule="auto"/>
              <w:ind w:left="0" w:leftChars="0" w:firstLine="0" w:firstLineChars="0"/>
              <w:jc w:val="both"/>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lang w:val="en-US" w:eastAsia="zh-CN"/>
              </w:rPr>
              <w:t>深圳市龙岗区耳鼻咽喉医院理发室</w:t>
            </w:r>
            <w:r>
              <w:rPr>
                <w:rFonts w:hint="eastAsia" w:ascii="宋体" w:hAnsi="宋体" w:eastAsia="宋体" w:cs="宋体"/>
                <w:b w:val="0"/>
                <w:bCs w:val="0"/>
                <w:color w:val="000000"/>
                <w:kern w:val="0"/>
                <w:sz w:val="24"/>
                <w:szCs w:val="24"/>
                <w:highlight w:val="none"/>
              </w:rPr>
              <w:t xml:space="preserve"> </w:t>
            </w:r>
          </w:p>
        </w:tc>
        <w:tc>
          <w:tcPr>
            <w:tcW w:w="1000" w:type="pct"/>
            <w:vAlign w:val="center"/>
          </w:tcPr>
          <w:p>
            <w:pPr>
              <w:adjustRightInd w:val="0"/>
              <w:snapToGrid w:val="0"/>
              <w:spacing w:line="360" w:lineRule="auto"/>
              <w:jc w:val="left"/>
              <w:rPr>
                <w:rFonts w:ascii="宋体" w:hAnsi="宋体"/>
                <w:kern w:val="0"/>
                <w:szCs w:val="21"/>
              </w:rPr>
            </w:pPr>
          </w:p>
        </w:tc>
        <w:tc>
          <w:tcPr>
            <w:tcW w:w="592" w:type="pct"/>
            <w:vAlign w:val="center"/>
          </w:tcPr>
          <w:p>
            <w:pPr>
              <w:adjustRightInd w:val="0"/>
              <w:snapToGrid w:val="0"/>
              <w:spacing w:line="360" w:lineRule="auto"/>
              <w:jc w:val="left"/>
              <w:rPr>
                <w:rFonts w:ascii="宋体" w:hAnsi="宋体"/>
                <w:kern w:val="0"/>
                <w:szCs w:val="21"/>
              </w:rPr>
            </w:pPr>
          </w:p>
        </w:tc>
        <w:tc>
          <w:tcPr>
            <w:tcW w:w="456" w:type="pct"/>
            <w:vAlign w:val="center"/>
          </w:tcPr>
          <w:p>
            <w:pPr>
              <w:adjustRightInd w:val="0"/>
              <w:snapToGrid w:val="0"/>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3</w:t>
            </w:r>
          </w:p>
        </w:tc>
        <w:tc>
          <w:tcPr>
            <w:tcW w:w="62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kern w:val="0"/>
                <w:sz w:val="24"/>
                <w:szCs w:val="24"/>
                <w:lang w:val="en-US" w:eastAsia="zh-CN"/>
              </w:rPr>
            </w:pPr>
            <w:r>
              <w:rPr>
                <w:rFonts w:hint="eastAsia" w:asciiTheme="minorEastAsia" w:hAnsiTheme="minorEastAsia" w:eastAsiaTheme="minorEastAsia"/>
                <w:b/>
                <w:sz w:val="24"/>
                <w:szCs w:val="24"/>
                <w:highlight w:val="none"/>
              </w:rPr>
              <w:t>付款方式</w:t>
            </w:r>
          </w:p>
        </w:tc>
        <w:tc>
          <w:tcPr>
            <w:tcW w:w="2028" w:type="pct"/>
            <w:vAlign w:val="center"/>
          </w:tcPr>
          <w:p>
            <w:pPr>
              <w:adjustRightInd w:val="0"/>
              <w:snapToGrid w:val="0"/>
              <w:spacing w:line="240" w:lineRule="auto"/>
              <w:jc w:val="both"/>
              <w:rPr>
                <w:rFonts w:hint="eastAsia" w:ascii="宋体" w:hAnsi="宋体" w:eastAsia="宋体" w:cs="宋体"/>
                <w:b w:val="0"/>
                <w:bCs w:val="0"/>
                <w:color w:val="000000"/>
                <w:kern w:val="0"/>
                <w:sz w:val="24"/>
                <w:szCs w:val="24"/>
                <w:highlight w:val="none"/>
              </w:rPr>
            </w:pPr>
            <w:r>
              <w:rPr>
                <w:rFonts w:hint="eastAsia" w:ascii="宋体" w:hAnsi="宋体" w:cs="楷体" w:eastAsiaTheme="minorEastAsia"/>
                <w:bCs/>
                <w:sz w:val="24"/>
                <w:szCs w:val="24"/>
                <w:highlight w:val="none"/>
                <w:lang w:val="en-US" w:eastAsia="zh-CN" w:bidi="ar-SA"/>
              </w:rPr>
              <w:t>中标人每月初前五个工作日开具上月发票后，采购人收到发票后10个工作日内对公转账。</w:t>
            </w:r>
          </w:p>
        </w:tc>
        <w:tc>
          <w:tcPr>
            <w:tcW w:w="1000" w:type="pct"/>
            <w:vAlign w:val="center"/>
          </w:tcPr>
          <w:p>
            <w:pPr>
              <w:adjustRightInd w:val="0"/>
              <w:snapToGrid w:val="0"/>
              <w:spacing w:line="360" w:lineRule="auto"/>
              <w:jc w:val="left"/>
              <w:rPr>
                <w:rFonts w:ascii="宋体" w:hAnsi="宋体"/>
                <w:kern w:val="0"/>
                <w:szCs w:val="21"/>
              </w:rPr>
            </w:pPr>
          </w:p>
        </w:tc>
        <w:tc>
          <w:tcPr>
            <w:tcW w:w="592" w:type="pct"/>
            <w:vAlign w:val="center"/>
          </w:tcPr>
          <w:p>
            <w:pPr>
              <w:adjustRightInd w:val="0"/>
              <w:snapToGrid w:val="0"/>
              <w:spacing w:line="360" w:lineRule="auto"/>
              <w:jc w:val="left"/>
              <w:rPr>
                <w:rFonts w:ascii="宋体" w:hAnsi="宋体"/>
                <w:kern w:val="0"/>
                <w:szCs w:val="21"/>
              </w:rPr>
            </w:pPr>
          </w:p>
        </w:tc>
        <w:tc>
          <w:tcPr>
            <w:tcW w:w="456" w:type="pct"/>
            <w:vAlign w:val="center"/>
          </w:tcPr>
          <w:p>
            <w:pPr>
              <w:adjustRightInd w:val="0"/>
              <w:snapToGrid w:val="0"/>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4</w:t>
            </w:r>
          </w:p>
        </w:tc>
        <w:tc>
          <w:tcPr>
            <w:tcW w:w="621" w:type="pct"/>
            <w:vAlign w:val="center"/>
          </w:tcPr>
          <w:p>
            <w:pPr>
              <w:adjustRightInd w:val="0"/>
              <w:snapToGrid w:val="0"/>
              <w:spacing w:line="360" w:lineRule="auto"/>
              <w:jc w:val="center"/>
              <w:rPr>
                <w:rFonts w:hint="eastAsia" w:ascii="宋体" w:hAnsi="宋体" w:eastAsia="宋体"/>
                <w:kern w:val="0"/>
                <w:sz w:val="24"/>
                <w:szCs w:val="24"/>
                <w:lang w:val="en-US" w:eastAsia="zh-CN"/>
              </w:rPr>
            </w:pPr>
            <w:r>
              <w:rPr>
                <w:rFonts w:hint="eastAsia" w:cs="Times New Roman" w:asciiTheme="minorEastAsia" w:hAnsiTheme="minorEastAsia" w:eastAsiaTheme="minorEastAsia"/>
                <w:b/>
                <w:sz w:val="24"/>
                <w:szCs w:val="24"/>
              </w:rPr>
              <w:t>违约责任</w:t>
            </w:r>
          </w:p>
        </w:tc>
        <w:tc>
          <w:tcPr>
            <w:tcW w:w="2028" w:type="pct"/>
            <w:vAlign w:val="center"/>
          </w:tcPr>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由于中标人原因造成项目成果质量低劣，不能满足合同约定项目验收要求时，应继续完善项目工作，其费用由中标人承担。</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如中标人提供的服务不符合合同约定的质量要求，必须在采购人提出要求7日历天内无条件整改，其费用由中标人承担。</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如中标人工作人员违反合同项下关于保密义务</w:t>
            </w:r>
            <w:r>
              <w:rPr>
                <w:rFonts w:hint="eastAsia" w:ascii="宋体" w:hAnsi="宋体" w:eastAsia="宋体" w:cs="宋体"/>
                <w:b w:val="0"/>
                <w:bCs w:val="0"/>
                <w:sz w:val="24"/>
                <w:szCs w:val="24"/>
                <w:lang w:eastAsia="zh-CN"/>
              </w:rPr>
              <w:t>等</w:t>
            </w:r>
            <w:r>
              <w:rPr>
                <w:rFonts w:hint="eastAsia" w:ascii="宋体" w:hAnsi="宋体" w:eastAsia="宋体" w:cs="宋体"/>
                <w:b w:val="0"/>
                <w:bCs w:val="0"/>
                <w:sz w:val="24"/>
                <w:szCs w:val="24"/>
              </w:rPr>
              <w:t>规定，给采购人造成损失的，中标人应当承担全部赔偿责任，涉及违法犯罪的人员，采购人可移送有关机关处理。</w:t>
            </w:r>
          </w:p>
          <w:p>
            <w:pPr>
              <w:spacing w:line="240" w:lineRule="auto"/>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tc>
        <w:tc>
          <w:tcPr>
            <w:tcW w:w="1000" w:type="pct"/>
            <w:vAlign w:val="center"/>
          </w:tcPr>
          <w:p>
            <w:pPr>
              <w:adjustRightInd w:val="0"/>
              <w:snapToGrid w:val="0"/>
              <w:spacing w:line="360" w:lineRule="auto"/>
              <w:jc w:val="left"/>
              <w:rPr>
                <w:rFonts w:ascii="宋体" w:hAnsi="宋体"/>
                <w:kern w:val="0"/>
                <w:szCs w:val="21"/>
              </w:rPr>
            </w:pPr>
          </w:p>
        </w:tc>
        <w:tc>
          <w:tcPr>
            <w:tcW w:w="592" w:type="pct"/>
            <w:vAlign w:val="center"/>
          </w:tcPr>
          <w:p>
            <w:pPr>
              <w:adjustRightInd w:val="0"/>
              <w:snapToGrid w:val="0"/>
              <w:spacing w:line="360" w:lineRule="auto"/>
              <w:jc w:val="left"/>
              <w:rPr>
                <w:rFonts w:ascii="宋体" w:hAnsi="宋体"/>
                <w:kern w:val="0"/>
                <w:szCs w:val="21"/>
              </w:rPr>
            </w:pPr>
          </w:p>
        </w:tc>
        <w:tc>
          <w:tcPr>
            <w:tcW w:w="456" w:type="pct"/>
            <w:vAlign w:val="center"/>
          </w:tcPr>
          <w:p>
            <w:pPr>
              <w:adjustRightInd w:val="0"/>
              <w:snapToGrid w:val="0"/>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5</w:t>
            </w:r>
          </w:p>
        </w:tc>
        <w:tc>
          <w:tcPr>
            <w:tcW w:w="621" w:type="pct"/>
            <w:vAlign w:val="center"/>
          </w:tcPr>
          <w:p>
            <w:pPr>
              <w:spacing w:line="360" w:lineRule="auto"/>
              <w:jc w:val="center"/>
              <w:rPr>
                <w:rFonts w:hint="eastAsia" w:ascii="新宋体" w:hAnsi="新宋体" w:eastAsia="新宋体" w:cs="宋体"/>
                <w:b/>
                <w:bCs/>
                <w:sz w:val="24"/>
                <w:szCs w:val="24"/>
                <w:lang w:val="en-US" w:eastAsia="zh-CN"/>
              </w:rPr>
            </w:pPr>
            <w:r>
              <w:rPr>
                <w:rFonts w:hint="eastAsia" w:ascii="新宋体" w:hAnsi="新宋体" w:eastAsia="新宋体" w:cs="宋体"/>
                <w:b/>
                <w:bCs/>
                <w:sz w:val="24"/>
                <w:szCs w:val="24"/>
                <w:lang w:val="en-US" w:eastAsia="zh-CN"/>
              </w:rPr>
              <w:t>报价要求</w:t>
            </w:r>
          </w:p>
          <w:p>
            <w:pPr>
              <w:adjustRightInd w:val="0"/>
              <w:snapToGrid w:val="0"/>
              <w:spacing w:line="360" w:lineRule="auto"/>
              <w:jc w:val="center"/>
              <w:rPr>
                <w:rFonts w:hint="eastAsia" w:ascii="宋体" w:hAnsi="宋体" w:eastAsia="宋体"/>
                <w:kern w:val="0"/>
                <w:sz w:val="24"/>
                <w:szCs w:val="24"/>
                <w:lang w:val="en-US" w:eastAsia="zh-CN"/>
              </w:rPr>
            </w:pPr>
          </w:p>
        </w:tc>
        <w:tc>
          <w:tcPr>
            <w:tcW w:w="2028" w:type="pct"/>
            <w:vAlign w:val="center"/>
          </w:tcPr>
          <w:p>
            <w:pPr>
              <w:pStyle w:val="71"/>
              <w:wordWrap/>
              <w:spacing w:afterLines="0" w:line="240" w:lineRule="auto"/>
              <w:ind w:left="0" w:leftChars="0" w:firstLine="0" w:firstLineChars="0"/>
              <w:jc w:val="both"/>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1.本项目服务费采用包干制，报价应包括1名理发师工资、服务成本、法定税费和企业的利润等一切费用，由企业根据招标文件所提供的资料自行测算投标报价，一经中标，投标报价总价作为中标单位与采购人</w:t>
            </w:r>
            <w:r>
              <w:rPr>
                <w:rFonts w:hint="eastAsia" w:cs="宋体"/>
                <w:b w:val="0"/>
                <w:bCs w:val="0"/>
                <w:spacing w:val="0"/>
                <w:sz w:val="24"/>
                <w:szCs w:val="24"/>
                <w:lang w:val="en-US" w:eastAsia="zh-CN"/>
              </w:rPr>
              <w:t>签订</w:t>
            </w:r>
            <w:r>
              <w:rPr>
                <w:rFonts w:hint="eastAsia" w:ascii="宋体" w:hAnsi="宋体" w:eastAsia="宋体" w:cs="宋体"/>
                <w:b w:val="0"/>
                <w:bCs w:val="0"/>
                <w:spacing w:val="0"/>
                <w:sz w:val="24"/>
                <w:szCs w:val="24"/>
                <w:lang w:val="en-US" w:eastAsia="zh-CN"/>
              </w:rPr>
              <w:t>的合同金额，合同期限内不做调整。</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3.投标人的投标报价，应是本项目招标范围和招标文件及合同条款上所列的各项内容中所述的全部，不得以任何理由予以重复，并以投标人在投标文件中提出的综合单价或总价为依据。</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5.投标人应充分了解项目的位置、情况、道路及任何其它足以影响投标报价的情况，任何因忽视或误解项目情况而导致的索赔或服务期限延长申请将不获批准。</w:t>
            </w:r>
          </w:p>
          <w:p>
            <w:pPr>
              <w:spacing w:line="240" w:lineRule="auto"/>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6.投标人不得期望通过索赔等方式获取补偿，否则，除可能遭到拒绝外，还可能将被作为不良行为记录在案，并可能影响其以后参加政府采购的项目投标。各投标人在投标报价时，应充分考虑投标报价的风险。</w:t>
            </w:r>
          </w:p>
        </w:tc>
        <w:tc>
          <w:tcPr>
            <w:tcW w:w="1000" w:type="pct"/>
            <w:vAlign w:val="center"/>
          </w:tcPr>
          <w:p>
            <w:pPr>
              <w:adjustRightInd w:val="0"/>
              <w:snapToGrid w:val="0"/>
              <w:spacing w:line="360" w:lineRule="auto"/>
              <w:jc w:val="left"/>
              <w:rPr>
                <w:rFonts w:ascii="宋体" w:hAnsi="宋体"/>
                <w:kern w:val="0"/>
                <w:szCs w:val="21"/>
              </w:rPr>
            </w:pPr>
          </w:p>
        </w:tc>
        <w:tc>
          <w:tcPr>
            <w:tcW w:w="592" w:type="pct"/>
            <w:vAlign w:val="center"/>
          </w:tcPr>
          <w:p>
            <w:pPr>
              <w:adjustRightInd w:val="0"/>
              <w:snapToGrid w:val="0"/>
              <w:spacing w:line="360" w:lineRule="auto"/>
              <w:jc w:val="left"/>
              <w:rPr>
                <w:rFonts w:ascii="宋体" w:hAnsi="宋体"/>
                <w:kern w:val="0"/>
                <w:szCs w:val="21"/>
              </w:rPr>
            </w:pPr>
          </w:p>
        </w:tc>
        <w:tc>
          <w:tcPr>
            <w:tcW w:w="456" w:type="pct"/>
            <w:vAlign w:val="center"/>
          </w:tcPr>
          <w:p>
            <w:pPr>
              <w:adjustRightInd w:val="0"/>
              <w:snapToGrid w:val="0"/>
              <w:spacing w:line="360" w:lineRule="auto"/>
              <w:jc w:val="left"/>
              <w:rPr>
                <w:rFonts w:ascii="宋体" w:hAnsi="宋体"/>
                <w:kern w:val="0"/>
                <w:szCs w:val="21"/>
              </w:rPr>
            </w:pPr>
          </w:p>
        </w:tc>
      </w:tr>
    </w:tbl>
    <w:p>
      <w:pPr>
        <w:ind w:firstLine="482" w:firstLineChars="200"/>
        <w:rPr>
          <w:b/>
          <w:color w:val="auto"/>
          <w:sz w:val="24"/>
          <w:szCs w:val="22"/>
        </w:rPr>
      </w:pPr>
      <w:r>
        <w:rPr>
          <w:rFonts w:hint="eastAsia" w:eastAsia="宋体"/>
          <w:b/>
          <w:color w:val="auto"/>
          <w:sz w:val="24"/>
          <w:szCs w:val="22"/>
        </w:rPr>
        <w:t>注：1.上表所列各项均为</w:t>
      </w:r>
      <w:r>
        <w:rPr>
          <w:rFonts w:hint="eastAsia" w:eastAsia="宋体"/>
          <w:b/>
          <w:color w:val="FF0000"/>
          <w:sz w:val="24"/>
          <w:szCs w:val="22"/>
        </w:rPr>
        <w:t>不可负偏离</w:t>
      </w:r>
      <w:r>
        <w:rPr>
          <w:rFonts w:hint="eastAsia" w:eastAsia="宋体"/>
          <w:b/>
          <w:color w:val="auto"/>
          <w:sz w:val="24"/>
          <w:szCs w:val="22"/>
        </w:rPr>
        <w:t>条款。</w:t>
      </w:r>
    </w:p>
    <w:p>
      <w:pPr>
        <w:ind w:firstLine="482" w:firstLineChars="200"/>
        <w:rPr>
          <w:b/>
          <w:color w:val="auto"/>
          <w:sz w:val="24"/>
          <w:szCs w:val="22"/>
        </w:rPr>
      </w:pPr>
      <w:r>
        <w:rPr>
          <w:rFonts w:hint="eastAsia" w:eastAsia="宋体"/>
          <w:b/>
          <w:color w:val="auto"/>
          <w:sz w:val="24"/>
          <w:szCs w:val="22"/>
        </w:rPr>
        <w:t>2.“投标</w:t>
      </w:r>
      <w:r>
        <w:rPr>
          <w:rFonts w:hint="eastAsia"/>
          <w:b/>
          <w:color w:val="auto"/>
          <w:sz w:val="24"/>
          <w:szCs w:val="22"/>
          <w:lang w:eastAsia="zh-CN"/>
        </w:rPr>
        <w:t>响应</w:t>
      </w:r>
      <w:r>
        <w:rPr>
          <w:rFonts w:hint="eastAsia" w:eastAsia="宋体"/>
          <w:b/>
          <w:color w:val="auto"/>
          <w:sz w:val="24"/>
          <w:szCs w:val="22"/>
        </w:rPr>
        <w:t>”一栏应当详细填写投标人自身</w:t>
      </w:r>
      <w:r>
        <w:rPr>
          <w:rFonts w:hint="eastAsia"/>
          <w:b/>
          <w:color w:val="auto"/>
          <w:sz w:val="24"/>
          <w:szCs w:val="22"/>
          <w:lang w:eastAsia="zh-CN"/>
        </w:rPr>
        <w:t>响应</w:t>
      </w:r>
      <w:r>
        <w:rPr>
          <w:rFonts w:hint="eastAsia" w:eastAsia="宋体"/>
          <w:b/>
          <w:color w:val="auto"/>
          <w:sz w:val="24"/>
          <w:szCs w:val="22"/>
        </w:rPr>
        <w:t>情况，而不能不合理照搬照抄招实质性条款具体内容。</w:t>
      </w:r>
    </w:p>
    <w:p>
      <w:pPr>
        <w:ind w:firstLine="482" w:firstLineChars="200"/>
        <w:rPr>
          <w:b/>
          <w:color w:val="auto"/>
          <w:sz w:val="24"/>
          <w:szCs w:val="22"/>
        </w:rPr>
      </w:pPr>
      <w:r>
        <w:rPr>
          <w:rFonts w:hint="eastAsia" w:eastAsia="宋体"/>
          <w:b/>
          <w:color w:val="auto"/>
          <w:sz w:val="24"/>
          <w:szCs w:val="22"/>
        </w:rPr>
        <w:t>3</w:t>
      </w:r>
      <w:r>
        <w:rPr>
          <w:rFonts w:eastAsia="宋体"/>
          <w:b/>
          <w:color w:val="auto"/>
          <w:sz w:val="24"/>
          <w:szCs w:val="22"/>
        </w:rPr>
        <w:t>.</w:t>
      </w:r>
      <w:r>
        <w:rPr>
          <w:rFonts w:hint="eastAsia" w:eastAsia="宋体"/>
          <w:b/>
          <w:color w:val="auto"/>
          <w:sz w:val="24"/>
          <w:szCs w:val="22"/>
        </w:rPr>
        <w:t>“偏离情况”一栏应填写“正偏离”、“负偏离”或“无偏离”，</w:t>
      </w:r>
      <w:r>
        <w:rPr>
          <w:rFonts w:hint="eastAsia" w:eastAsia="宋体"/>
          <w:b/>
          <w:color w:val="auto"/>
          <w:sz w:val="24"/>
        </w:rPr>
        <w:t>“正偏离”表示“投标</w:t>
      </w:r>
      <w:r>
        <w:rPr>
          <w:rFonts w:hint="eastAsia"/>
          <w:b/>
          <w:color w:val="auto"/>
          <w:sz w:val="24"/>
          <w:lang w:eastAsia="zh-CN"/>
        </w:rPr>
        <w:t>响应</w:t>
      </w:r>
      <w:r>
        <w:rPr>
          <w:rFonts w:hint="eastAsia" w:eastAsia="宋体"/>
          <w:b/>
          <w:color w:val="auto"/>
          <w:sz w:val="24"/>
        </w:rPr>
        <w:t>优于实质性条款具体内容要求”，“负偏离”表示“投标</w:t>
      </w:r>
      <w:r>
        <w:rPr>
          <w:rFonts w:hint="eastAsia"/>
          <w:b/>
          <w:color w:val="auto"/>
          <w:sz w:val="24"/>
          <w:lang w:eastAsia="zh-CN"/>
        </w:rPr>
        <w:t>响应</w:t>
      </w:r>
      <w:r>
        <w:rPr>
          <w:rFonts w:hint="eastAsia" w:eastAsia="宋体"/>
          <w:b/>
          <w:color w:val="auto"/>
          <w:sz w:val="24"/>
        </w:rPr>
        <w:t>不满足实质性条款具体内容要求”，“无偏离”表示“投标</w:t>
      </w:r>
      <w:r>
        <w:rPr>
          <w:rFonts w:hint="eastAsia"/>
          <w:b/>
          <w:color w:val="auto"/>
          <w:sz w:val="24"/>
          <w:lang w:eastAsia="zh-CN"/>
        </w:rPr>
        <w:t>响应</w:t>
      </w:r>
      <w:r>
        <w:rPr>
          <w:rFonts w:hint="eastAsia" w:eastAsia="宋体"/>
          <w:b/>
          <w:color w:val="auto"/>
          <w:sz w:val="24"/>
        </w:rPr>
        <w:t>与实质性条款具体内容要求一致”。</w:t>
      </w:r>
    </w:p>
    <w:p>
      <w:pPr>
        <w:ind w:firstLine="482" w:firstLineChars="200"/>
        <w:rPr>
          <w:b/>
          <w:color w:val="auto"/>
          <w:sz w:val="24"/>
        </w:rPr>
      </w:pPr>
      <w:r>
        <w:rPr>
          <w:rFonts w:eastAsia="宋体"/>
          <w:b/>
          <w:color w:val="auto"/>
          <w:sz w:val="24"/>
        </w:rPr>
        <w:t>4.</w:t>
      </w:r>
      <w:r>
        <w:rPr>
          <w:rFonts w:hint="eastAsia" w:eastAsia="宋体"/>
          <w:b/>
          <w:color w:val="auto"/>
          <w:sz w:val="24"/>
        </w:rPr>
        <w:t>评审委员会有权对投标</w:t>
      </w:r>
      <w:r>
        <w:rPr>
          <w:rFonts w:hint="eastAsia"/>
          <w:b/>
          <w:color w:val="auto"/>
          <w:sz w:val="24"/>
          <w:lang w:eastAsia="zh-CN"/>
        </w:rPr>
        <w:t>响应</w:t>
      </w:r>
      <w:r>
        <w:rPr>
          <w:rFonts w:hint="eastAsia" w:eastAsia="宋体"/>
          <w:b/>
          <w:color w:val="auto"/>
          <w:sz w:val="24"/>
        </w:rPr>
        <w:t>情况作出判断（作出评审结论）。</w:t>
      </w:r>
    </w:p>
    <w:p>
      <w:pPr>
        <w:ind w:firstLine="482" w:firstLineChars="200"/>
        <w:rPr>
          <w:b/>
          <w:color w:val="auto"/>
          <w:sz w:val="24"/>
          <w:szCs w:val="22"/>
        </w:rPr>
      </w:pPr>
      <w:r>
        <w:rPr>
          <w:rFonts w:eastAsia="宋体"/>
          <w:b/>
          <w:color w:val="auto"/>
          <w:sz w:val="24"/>
          <w:szCs w:val="22"/>
        </w:rPr>
        <w:t>5</w:t>
      </w:r>
      <w:r>
        <w:rPr>
          <w:rFonts w:hint="eastAsia" w:eastAsia="宋体"/>
          <w:b/>
          <w:color w:val="auto"/>
          <w:sz w:val="24"/>
          <w:szCs w:val="22"/>
        </w:rPr>
        <w:t>.实质性</w:t>
      </w:r>
      <w:r>
        <w:rPr>
          <w:rFonts w:hint="eastAsia"/>
          <w:b/>
          <w:color w:val="auto"/>
          <w:sz w:val="24"/>
          <w:szCs w:val="22"/>
          <w:lang w:eastAsia="zh-CN"/>
        </w:rPr>
        <w:t>响应</w:t>
      </w:r>
      <w:r>
        <w:rPr>
          <w:rFonts w:hint="eastAsia" w:eastAsia="宋体"/>
          <w:b/>
          <w:color w:val="auto"/>
          <w:sz w:val="24"/>
          <w:szCs w:val="22"/>
        </w:rPr>
        <w:t>条款“投标</w:t>
      </w:r>
      <w:r>
        <w:rPr>
          <w:rFonts w:hint="eastAsia"/>
          <w:b/>
          <w:color w:val="auto"/>
          <w:sz w:val="24"/>
          <w:szCs w:val="22"/>
          <w:lang w:eastAsia="zh-CN"/>
        </w:rPr>
        <w:t>响应</w:t>
      </w:r>
      <w:r>
        <w:rPr>
          <w:rFonts w:hint="eastAsia" w:eastAsia="宋体"/>
          <w:b/>
          <w:color w:val="auto"/>
          <w:sz w:val="24"/>
          <w:szCs w:val="22"/>
        </w:rPr>
        <w:t>情况”与投标</w:t>
      </w:r>
      <w:r>
        <w:rPr>
          <w:rFonts w:hint="eastAsia"/>
          <w:b/>
          <w:color w:val="auto"/>
          <w:sz w:val="24"/>
          <w:szCs w:val="22"/>
          <w:lang w:eastAsia="zh-CN"/>
        </w:rPr>
        <w:t>文件</w:t>
      </w:r>
      <w:r>
        <w:rPr>
          <w:rFonts w:hint="eastAsia" w:eastAsia="宋体"/>
          <w:b/>
          <w:color w:val="auto"/>
          <w:sz w:val="24"/>
          <w:szCs w:val="22"/>
        </w:rPr>
        <w:t>其他内容冲突的，以实质性</w:t>
      </w:r>
      <w:r>
        <w:rPr>
          <w:rFonts w:hint="eastAsia"/>
          <w:b/>
          <w:color w:val="auto"/>
          <w:sz w:val="24"/>
          <w:szCs w:val="22"/>
          <w:lang w:eastAsia="zh-CN"/>
        </w:rPr>
        <w:t>响应</w:t>
      </w:r>
      <w:r>
        <w:rPr>
          <w:rFonts w:hint="eastAsia" w:eastAsia="宋体"/>
          <w:b/>
          <w:color w:val="auto"/>
          <w:sz w:val="24"/>
          <w:szCs w:val="22"/>
        </w:rPr>
        <w:t>条款“投标</w:t>
      </w:r>
      <w:r>
        <w:rPr>
          <w:rFonts w:hint="eastAsia"/>
          <w:b/>
          <w:color w:val="auto"/>
          <w:sz w:val="24"/>
          <w:szCs w:val="22"/>
          <w:lang w:eastAsia="zh-CN"/>
        </w:rPr>
        <w:t>响应</w:t>
      </w:r>
      <w:r>
        <w:rPr>
          <w:rFonts w:hint="eastAsia" w:eastAsia="宋体"/>
          <w:b/>
          <w:color w:val="auto"/>
          <w:sz w:val="24"/>
          <w:szCs w:val="22"/>
        </w:rPr>
        <w:t>情况”为准。</w:t>
      </w:r>
    </w:p>
    <w:p>
      <w:pPr>
        <w:ind w:firstLine="482" w:firstLineChars="200"/>
        <w:rPr>
          <w:b/>
          <w:color w:val="auto"/>
          <w:sz w:val="24"/>
          <w:szCs w:val="22"/>
        </w:rPr>
      </w:pPr>
      <w:r>
        <w:rPr>
          <w:rFonts w:hint="eastAsia" w:eastAsia="宋体"/>
          <w:b/>
          <w:color w:val="auto"/>
          <w:sz w:val="24"/>
          <w:szCs w:val="22"/>
        </w:rPr>
        <w:t>6.要求提供证明资料，在“说明”一栏中列明证明资料的位置,以便评审；未要求提供证明材料的，投标人可以不提供。</w:t>
      </w:r>
    </w:p>
    <w:p>
      <w:pP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br w:type="page"/>
      </w:r>
    </w:p>
    <w:p>
      <w:pPr>
        <w:jc w:val="both"/>
        <w:rPr>
          <w:rFonts w:hint="eastAsia" w:asciiTheme="minorEastAsia" w:hAnsiTheme="minorEastAsia" w:cstheme="minorEastAsia"/>
          <w:b/>
          <w:bCs/>
          <w:color w:val="auto"/>
          <w:sz w:val="24"/>
          <w:szCs w:val="24"/>
          <w:lang w:val="en-US" w:eastAsia="zh-CN"/>
        </w:rPr>
        <w:sectPr>
          <w:pgSz w:w="16838" w:h="11906" w:orient="landscape"/>
          <w:pgMar w:top="1587" w:right="2098" w:bottom="1474" w:left="1984" w:header="720" w:footer="1134" w:gutter="0"/>
          <w:pgBorders>
            <w:top w:val="none" w:sz="0" w:space="0"/>
            <w:left w:val="none" w:sz="0" w:space="0"/>
            <w:bottom w:val="none" w:sz="0" w:space="0"/>
            <w:right w:val="none" w:sz="0" w:space="0"/>
          </w:pgBorders>
          <w:pgNumType w:fmt="numberInDash"/>
          <w:cols w:space="720" w:num="1"/>
        </w:sectPr>
      </w:pPr>
    </w:p>
    <w:p>
      <w:pPr>
        <w:jc w:val="both"/>
        <w:rPr>
          <w:rFonts w:hint="default" w:ascii="宋体" w:hAnsi="宋体" w:eastAsia="宋体" w:cs="宋体"/>
          <w:b/>
          <w:bCs/>
          <w:sz w:val="32"/>
          <w:szCs w:val="32"/>
          <w:u w:val="none"/>
          <w:lang w:val="en-US" w:eastAsia="zh-CN"/>
        </w:rPr>
      </w:pPr>
      <w:r>
        <w:rPr>
          <w:rFonts w:hint="eastAsia" w:asciiTheme="minorEastAsia" w:hAnsiTheme="minorEastAsia" w:cstheme="minorEastAsia"/>
          <w:b/>
          <w:bCs/>
          <w:color w:val="auto"/>
          <w:sz w:val="24"/>
          <w:szCs w:val="24"/>
          <w:lang w:val="en-US" w:eastAsia="zh-CN"/>
        </w:rPr>
        <w:t>九、</w:t>
      </w:r>
      <w:r>
        <w:rPr>
          <w:rFonts w:hint="eastAsia" w:asciiTheme="minorEastAsia" w:hAnsiTheme="minorEastAsia" w:cstheme="minorEastAsia"/>
          <w:b/>
          <w:bCs/>
          <w:color w:val="auto"/>
          <w:kern w:val="2"/>
          <w:sz w:val="24"/>
          <w:szCs w:val="24"/>
          <w:lang w:val="en-US" w:eastAsia="zh-CN"/>
        </w:rPr>
        <w:t>其他响应评分的内容及佐证材料</w:t>
      </w:r>
    </w:p>
    <w:p>
      <w:pPr>
        <w:spacing w:line="560" w:lineRule="exact"/>
        <w:ind w:firstLine="482" w:firstLineChars="200"/>
        <w:jc w:val="both"/>
        <w:rPr>
          <w:rFonts w:hint="default" w:asciiTheme="minorEastAsia" w:hAnsiTheme="minorEastAsia" w:eastAsiaTheme="minorEastAsia" w:cstheme="minorEastAsia"/>
          <w:b/>
          <w:bCs w:val="0"/>
          <w:sz w:val="24"/>
          <w:szCs w:val="24"/>
        </w:rPr>
      </w:pPr>
    </w:p>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7hc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1B20"/>
    <w:multiLevelType w:val="singleLevel"/>
    <w:tmpl w:val="B7811B20"/>
    <w:lvl w:ilvl="0" w:tentative="0">
      <w:start w:val="2"/>
      <w:numFmt w:val="decimal"/>
      <w:suff w:val="nothing"/>
      <w:lvlText w:val="（%1）"/>
      <w:lvlJc w:val="left"/>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1EC"/>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10E"/>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74BD3"/>
    <w:rsid w:val="029F7205"/>
    <w:rsid w:val="02B212F1"/>
    <w:rsid w:val="02B475FB"/>
    <w:rsid w:val="02BD5D0D"/>
    <w:rsid w:val="02BE1E79"/>
    <w:rsid w:val="02CD30AA"/>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3679D"/>
    <w:rsid w:val="03A638A0"/>
    <w:rsid w:val="03D32EE8"/>
    <w:rsid w:val="03E5328D"/>
    <w:rsid w:val="04351B1E"/>
    <w:rsid w:val="045D0C58"/>
    <w:rsid w:val="04651CD8"/>
    <w:rsid w:val="04943480"/>
    <w:rsid w:val="04B638C9"/>
    <w:rsid w:val="04EF6F26"/>
    <w:rsid w:val="05120F59"/>
    <w:rsid w:val="05195B6C"/>
    <w:rsid w:val="053B21E5"/>
    <w:rsid w:val="056B42F1"/>
    <w:rsid w:val="057C1322"/>
    <w:rsid w:val="058A7125"/>
    <w:rsid w:val="05952F37"/>
    <w:rsid w:val="05A247CB"/>
    <w:rsid w:val="05CB3411"/>
    <w:rsid w:val="05D25A0A"/>
    <w:rsid w:val="05DE6F97"/>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37A6F"/>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5437A2"/>
    <w:rsid w:val="097163D3"/>
    <w:rsid w:val="09837CAA"/>
    <w:rsid w:val="098562E3"/>
    <w:rsid w:val="09860C2E"/>
    <w:rsid w:val="099334E6"/>
    <w:rsid w:val="09A6526C"/>
    <w:rsid w:val="09B053A2"/>
    <w:rsid w:val="09BC05EC"/>
    <w:rsid w:val="09DD66BB"/>
    <w:rsid w:val="09DE4B40"/>
    <w:rsid w:val="09E50C48"/>
    <w:rsid w:val="09F4422A"/>
    <w:rsid w:val="09FB4292"/>
    <w:rsid w:val="0A2D0142"/>
    <w:rsid w:val="0A2E381F"/>
    <w:rsid w:val="0A4D1589"/>
    <w:rsid w:val="0A644A1B"/>
    <w:rsid w:val="0A73514E"/>
    <w:rsid w:val="0A8B4C59"/>
    <w:rsid w:val="0A8C50AC"/>
    <w:rsid w:val="0AAD6492"/>
    <w:rsid w:val="0AB74823"/>
    <w:rsid w:val="0B14713B"/>
    <w:rsid w:val="0B446AEB"/>
    <w:rsid w:val="0B494045"/>
    <w:rsid w:val="0B6423BD"/>
    <w:rsid w:val="0B6E6550"/>
    <w:rsid w:val="0BA63302"/>
    <w:rsid w:val="0BAA3F58"/>
    <w:rsid w:val="0BB124BD"/>
    <w:rsid w:val="0BE33E43"/>
    <w:rsid w:val="0C564901"/>
    <w:rsid w:val="0C610FDC"/>
    <w:rsid w:val="0C9A2041"/>
    <w:rsid w:val="0C9C53A2"/>
    <w:rsid w:val="0CA46FA0"/>
    <w:rsid w:val="0CAA4C53"/>
    <w:rsid w:val="0CB50A66"/>
    <w:rsid w:val="0CBE6DEB"/>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DFE38F7"/>
    <w:rsid w:val="0E107158"/>
    <w:rsid w:val="0E2224DB"/>
    <w:rsid w:val="0E236E8B"/>
    <w:rsid w:val="0E347FDD"/>
    <w:rsid w:val="0E611DBF"/>
    <w:rsid w:val="0E6265C1"/>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DF70F5"/>
    <w:rsid w:val="10ED1235"/>
    <w:rsid w:val="10EE2FE0"/>
    <w:rsid w:val="11236E03"/>
    <w:rsid w:val="11254CC9"/>
    <w:rsid w:val="1133639C"/>
    <w:rsid w:val="11394082"/>
    <w:rsid w:val="11452DE3"/>
    <w:rsid w:val="115668B9"/>
    <w:rsid w:val="115C2A08"/>
    <w:rsid w:val="1168209E"/>
    <w:rsid w:val="11731ED8"/>
    <w:rsid w:val="117A00E2"/>
    <w:rsid w:val="1184614B"/>
    <w:rsid w:val="11BB284B"/>
    <w:rsid w:val="11E06E41"/>
    <w:rsid w:val="12126CB4"/>
    <w:rsid w:val="121F6D3E"/>
    <w:rsid w:val="122B630F"/>
    <w:rsid w:val="123F4D19"/>
    <w:rsid w:val="1259088B"/>
    <w:rsid w:val="128959F9"/>
    <w:rsid w:val="128A347A"/>
    <w:rsid w:val="129B0BA6"/>
    <w:rsid w:val="12A82A2A"/>
    <w:rsid w:val="12B75243"/>
    <w:rsid w:val="12FC46B3"/>
    <w:rsid w:val="13045342"/>
    <w:rsid w:val="131C12E8"/>
    <w:rsid w:val="132809FA"/>
    <w:rsid w:val="136E36ED"/>
    <w:rsid w:val="13AB3BAB"/>
    <w:rsid w:val="13B860EB"/>
    <w:rsid w:val="13BC015C"/>
    <w:rsid w:val="13C733C8"/>
    <w:rsid w:val="13D57C19"/>
    <w:rsid w:val="13ED53DF"/>
    <w:rsid w:val="140053B6"/>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50578E"/>
    <w:rsid w:val="167304E2"/>
    <w:rsid w:val="167E55A7"/>
    <w:rsid w:val="16822CFB"/>
    <w:rsid w:val="16BD2F72"/>
    <w:rsid w:val="16C36211"/>
    <w:rsid w:val="16C759ED"/>
    <w:rsid w:val="16C93880"/>
    <w:rsid w:val="16F46A2C"/>
    <w:rsid w:val="170A3CDB"/>
    <w:rsid w:val="171D3F0E"/>
    <w:rsid w:val="17204729"/>
    <w:rsid w:val="1725511E"/>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600D02"/>
    <w:rsid w:val="18791A18"/>
    <w:rsid w:val="18823AC5"/>
    <w:rsid w:val="18904044"/>
    <w:rsid w:val="18C7749D"/>
    <w:rsid w:val="18CD4E3E"/>
    <w:rsid w:val="18E01A75"/>
    <w:rsid w:val="190C7E23"/>
    <w:rsid w:val="1922234A"/>
    <w:rsid w:val="193A4695"/>
    <w:rsid w:val="193A762E"/>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70D03"/>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16575"/>
    <w:rsid w:val="1C172A17"/>
    <w:rsid w:val="1C2F6749"/>
    <w:rsid w:val="1C3D55BC"/>
    <w:rsid w:val="1C440353"/>
    <w:rsid w:val="1C441279"/>
    <w:rsid w:val="1C475ABB"/>
    <w:rsid w:val="1C4D79EE"/>
    <w:rsid w:val="1C592E11"/>
    <w:rsid w:val="1C5E6101"/>
    <w:rsid w:val="1C643B19"/>
    <w:rsid w:val="1C7958C4"/>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87F65"/>
    <w:rsid w:val="1F3E16E6"/>
    <w:rsid w:val="1F5B7EF1"/>
    <w:rsid w:val="1F6F102E"/>
    <w:rsid w:val="1F764083"/>
    <w:rsid w:val="1F7E6617"/>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2A0BF1"/>
    <w:rsid w:val="2152522B"/>
    <w:rsid w:val="215315CA"/>
    <w:rsid w:val="217138E4"/>
    <w:rsid w:val="217C217E"/>
    <w:rsid w:val="218872DA"/>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56BF1"/>
    <w:rsid w:val="22F872D1"/>
    <w:rsid w:val="230279FC"/>
    <w:rsid w:val="23312AC9"/>
    <w:rsid w:val="23324671"/>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E26804"/>
    <w:rsid w:val="25F807A6"/>
    <w:rsid w:val="25FE74CB"/>
    <w:rsid w:val="2602389A"/>
    <w:rsid w:val="261455E0"/>
    <w:rsid w:val="26151588"/>
    <w:rsid w:val="2620319C"/>
    <w:rsid w:val="262F7F34"/>
    <w:rsid w:val="2642284C"/>
    <w:rsid w:val="264473DF"/>
    <w:rsid w:val="264B2DA6"/>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610315"/>
    <w:rsid w:val="29817026"/>
    <w:rsid w:val="29963748"/>
    <w:rsid w:val="299C4C13"/>
    <w:rsid w:val="299C5BE6"/>
    <w:rsid w:val="29A504DF"/>
    <w:rsid w:val="29AC42AB"/>
    <w:rsid w:val="29B74086"/>
    <w:rsid w:val="29C748CC"/>
    <w:rsid w:val="29D302AA"/>
    <w:rsid w:val="29D57ECD"/>
    <w:rsid w:val="29E14AC1"/>
    <w:rsid w:val="2A305EC5"/>
    <w:rsid w:val="2A34234D"/>
    <w:rsid w:val="2A423861"/>
    <w:rsid w:val="2A4A6B02"/>
    <w:rsid w:val="2A63541A"/>
    <w:rsid w:val="2A756F04"/>
    <w:rsid w:val="2A923062"/>
    <w:rsid w:val="2A97058D"/>
    <w:rsid w:val="2A976370"/>
    <w:rsid w:val="2AA9206F"/>
    <w:rsid w:val="2AAF5B40"/>
    <w:rsid w:val="2AF23A05"/>
    <w:rsid w:val="2AF973C0"/>
    <w:rsid w:val="2B09362A"/>
    <w:rsid w:val="2B0A10AB"/>
    <w:rsid w:val="2B105769"/>
    <w:rsid w:val="2B2121F8"/>
    <w:rsid w:val="2B2431AE"/>
    <w:rsid w:val="2B3E27FF"/>
    <w:rsid w:val="2B444AC5"/>
    <w:rsid w:val="2B561E25"/>
    <w:rsid w:val="2B604039"/>
    <w:rsid w:val="2B634FBD"/>
    <w:rsid w:val="2B785E5C"/>
    <w:rsid w:val="2B797161"/>
    <w:rsid w:val="2B807273"/>
    <w:rsid w:val="2BBA7F7A"/>
    <w:rsid w:val="2BE53B88"/>
    <w:rsid w:val="2BFA63EA"/>
    <w:rsid w:val="2C144DE1"/>
    <w:rsid w:val="2C1B1280"/>
    <w:rsid w:val="2C2C2488"/>
    <w:rsid w:val="2C411885"/>
    <w:rsid w:val="2C463031"/>
    <w:rsid w:val="2C673F8F"/>
    <w:rsid w:val="2C734DFA"/>
    <w:rsid w:val="2CA06BC3"/>
    <w:rsid w:val="2CAB07D7"/>
    <w:rsid w:val="2CBE79B0"/>
    <w:rsid w:val="2CCE400E"/>
    <w:rsid w:val="2CCF2B66"/>
    <w:rsid w:val="2CE0417A"/>
    <w:rsid w:val="2D2A5DE1"/>
    <w:rsid w:val="2D36550B"/>
    <w:rsid w:val="2D3A0351"/>
    <w:rsid w:val="2D406CBA"/>
    <w:rsid w:val="2D4A15DA"/>
    <w:rsid w:val="2D534468"/>
    <w:rsid w:val="2D5D05FB"/>
    <w:rsid w:val="2D687C78"/>
    <w:rsid w:val="2D99286E"/>
    <w:rsid w:val="2DA40A5D"/>
    <w:rsid w:val="2DA509EF"/>
    <w:rsid w:val="2DAC5DFC"/>
    <w:rsid w:val="2DC72229"/>
    <w:rsid w:val="2DEF7B6A"/>
    <w:rsid w:val="2DFF7E04"/>
    <w:rsid w:val="2E001109"/>
    <w:rsid w:val="2E0D711A"/>
    <w:rsid w:val="2E167A29"/>
    <w:rsid w:val="2E3305CD"/>
    <w:rsid w:val="2E4F036D"/>
    <w:rsid w:val="2E545310"/>
    <w:rsid w:val="2E5A7219"/>
    <w:rsid w:val="2E614626"/>
    <w:rsid w:val="2E97127C"/>
    <w:rsid w:val="2EBE4A4B"/>
    <w:rsid w:val="2EC05705"/>
    <w:rsid w:val="2EC568C9"/>
    <w:rsid w:val="2ED7710B"/>
    <w:rsid w:val="2F145393"/>
    <w:rsid w:val="2F3F4E25"/>
    <w:rsid w:val="2F4538F3"/>
    <w:rsid w:val="2F5177B1"/>
    <w:rsid w:val="2F58713C"/>
    <w:rsid w:val="2F594BBE"/>
    <w:rsid w:val="2F601055"/>
    <w:rsid w:val="2F814263"/>
    <w:rsid w:val="2F874408"/>
    <w:rsid w:val="2FBB2F70"/>
    <w:rsid w:val="2FC05645"/>
    <w:rsid w:val="2FEC0401"/>
    <w:rsid w:val="2FFF2FA2"/>
    <w:rsid w:val="300262D0"/>
    <w:rsid w:val="300C557A"/>
    <w:rsid w:val="30146BDF"/>
    <w:rsid w:val="30197DF1"/>
    <w:rsid w:val="306A5958"/>
    <w:rsid w:val="306B547D"/>
    <w:rsid w:val="306C2C12"/>
    <w:rsid w:val="306F6904"/>
    <w:rsid w:val="30812733"/>
    <w:rsid w:val="30840E28"/>
    <w:rsid w:val="308B29B1"/>
    <w:rsid w:val="30AA3266"/>
    <w:rsid w:val="30B27309"/>
    <w:rsid w:val="30C020F7"/>
    <w:rsid w:val="30C419B0"/>
    <w:rsid w:val="30CF21A1"/>
    <w:rsid w:val="30D540AA"/>
    <w:rsid w:val="30E97669"/>
    <w:rsid w:val="30F00157"/>
    <w:rsid w:val="30F009F7"/>
    <w:rsid w:val="31364F41"/>
    <w:rsid w:val="31563212"/>
    <w:rsid w:val="317C521A"/>
    <w:rsid w:val="31850FE1"/>
    <w:rsid w:val="318C2A3B"/>
    <w:rsid w:val="319121DA"/>
    <w:rsid w:val="319A7C78"/>
    <w:rsid w:val="31A2421C"/>
    <w:rsid w:val="31A93189"/>
    <w:rsid w:val="31C11645"/>
    <w:rsid w:val="31D030AF"/>
    <w:rsid w:val="31D41A4F"/>
    <w:rsid w:val="322910CA"/>
    <w:rsid w:val="322E33E2"/>
    <w:rsid w:val="322E7A29"/>
    <w:rsid w:val="3240775C"/>
    <w:rsid w:val="327E0AB0"/>
    <w:rsid w:val="32925305"/>
    <w:rsid w:val="32ED1692"/>
    <w:rsid w:val="32F00F21"/>
    <w:rsid w:val="32F37AFD"/>
    <w:rsid w:val="32FE20EF"/>
    <w:rsid w:val="33016EEC"/>
    <w:rsid w:val="33576347"/>
    <w:rsid w:val="335D4118"/>
    <w:rsid w:val="335F3C12"/>
    <w:rsid w:val="336E17F0"/>
    <w:rsid w:val="3390223F"/>
    <w:rsid w:val="33C62FE8"/>
    <w:rsid w:val="33C66A6F"/>
    <w:rsid w:val="33C85C5B"/>
    <w:rsid w:val="33CF2B0E"/>
    <w:rsid w:val="33D23A93"/>
    <w:rsid w:val="33F629CD"/>
    <w:rsid w:val="34041CE3"/>
    <w:rsid w:val="341A3182"/>
    <w:rsid w:val="341F5D90"/>
    <w:rsid w:val="34402563"/>
    <w:rsid w:val="34563CEC"/>
    <w:rsid w:val="345E0617"/>
    <w:rsid w:val="347D19AD"/>
    <w:rsid w:val="347F3B76"/>
    <w:rsid w:val="34AE7724"/>
    <w:rsid w:val="34B51B07"/>
    <w:rsid w:val="34CE04B2"/>
    <w:rsid w:val="34F81471"/>
    <w:rsid w:val="34FC60D3"/>
    <w:rsid w:val="35051814"/>
    <w:rsid w:val="35370DDB"/>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080DA8"/>
    <w:rsid w:val="3729700D"/>
    <w:rsid w:val="372B7928"/>
    <w:rsid w:val="373D1531"/>
    <w:rsid w:val="3748571E"/>
    <w:rsid w:val="37500442"/>
    <w:rsid w:val="3752526E"/>
    <w:rsid w:val="375955DE"/>
    <w:rsid w:val="375C3A5F"/>
    <w:rsid w:val="37627D62"/>
    <w:rsid w:val="37645B6D"/>
    <w:rsid w:val="377A72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F21DBF"/>
    <w:rsid w:val="39F871AB"/>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46516"/>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2D5AC6"/>
    <w:rsid w:val="3C7050E2"/>
    <w:rsid w:val="3C785F45"/>
    <w:rsid w:val="3C88075E"/>
    <w:rsid w:val="3C8B38E1"/>
    <w:rsid w:val="3CAA23A2"/>
    <w:rsid w:val="3CE05DC4"/>
    <w:rsid w:val="3CF05294"/>
    <w:rsid w:val="3D5358A8"/>
    <w:rsid w:val="3D5F4F3E"/>
    <w:rsid w:val="3D623944"/>
    <w:rsid w:val="3D6C4254"/>
    <w:rsid w:val="3DA6700D"/>
    <w:rsid w:val="3DA951DC"/>
    <w:rsid w:val="3DAE4A21"/>
    <w:rsid w:val="3DB94353"/>
    <w:rsid w:val="3DCA3FA9"/>
    <w:rsid w:val="3DE07AF7"/>
    <w:rsid w:val="3DFC02BF"/>
    <w:rsid w:val="3E0334CE"/>
    <w:rsid w:val="3E064452"/>
    <w:rsid w:val="3E18370D"/>
    <w:rsid w:val="3E1966D0"/>
    <w:rsid w:val="3E297D01"/>
    <w:rsid w:val="3E36391C"/>
    <w:rsid w:val="3E636D6A"/>
    <w:rsid w:val="3E860224"/>
    <w:rsid w:val="3EA220F7"/>
    <w:rsid w:val="3EAD617A"/>
    <w:rsid w:val="3EB86474"/>
    <w:rsid w:val="3ED76D29"/>
    <w:rsid w:val="3EE13DB5"/>
    <w:rsid w:val="3EEC59CA"/>
    <w:rsid w:val="3F1C6E5B"/>
    <w:rsid w:val="3F263A7A"/>
    <w:rsid w:val="3F2A2B0C"/>
    <w:rsid w:val="3F4150D3"/>
    <w:rsid w:val="3F5462F2"/>
    <w:rsid w:val="3F561F35"/>
    <w:rsid w:val="3F5B1501"/>
    <w:rsid w:val="3F92745C"/>
    <w:rsid w:val="3FB13A48"/>
    <w:rsid w:val="3FB1448E"/>
    <w:rsid w:val="3FE24C5D"/>
    <w:rsid w:val="401A19BA"/>
    <w:rsid w:val="401C3B3D"/>
    <w:rsid w:val="40456A90"/>
    <w:rsid w:val="404C11C3"/>
    <w:rsid w:val="405743EB"/>
    <w:rsid w:val="40577D9B"/>
    <w:rsid w:val="406D6A2A"/>
    <w:rsid w:val="406E309D"/>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62D0C"/>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415557"/>
    <w:rsid w:val="426C5343"/>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369A1"/>
    <w:rsid w:val="46521562"/>
    <w:rsid w:val="4664740A"/>
    <w:rsid w:val="46691411"/>
    <w:rsid w:val="46980B5E"/>
    <w:rsid w:val="46A31C9D"/>
    <w:rsid w:val="46AF0327"/>
    <w:rsid w:val="46C76D34"/>
    <w:rsid w:val="46E577A2"/>
    <w:rsid w:val="46EB5526"/>
    <w:rsid w:val="47000990"/>
    <w:rsid w:val="47157B32"/>
    <w:rsid w:val="473D3E13"/>
    <w:rsid w:val="478D5F73"/>
    <w:rsid w:val="47960D7E"/>
    <w:rsid w:val="47A12BAB"/>
    <w:rsid w:val="47AC26D7"/>
    <w:rsid w:val="47D61564"/>
    <w:rsid w:val="47D64E32"/>
    <w:rsid w:val="47E44403"/>
    <w:rsid w:val="47F46C1C"/>
    <w:rsid w:val="47F54E6A"/>
    <w:rsid w:val="48046EB6"/>
    <w:rsid w:val="48097696"/>
    <w:rsid w:val="481F31DA"/>
    <w:rsid w:val="482254E2"/>
    <w:rsid w:val="48455675"/>
    <w:rsid w:val="48606BC0"/>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478F9"/>
    <w:rsid w:val="4BE56B11"/>
    <w:rsid w:val="4BF873EB"/>
    <w:rsid w:val="4BF91035"/>
    <w:rsid w:val="4C0F5757"/>
    <w:rsid w:val="4C207BF0"/>
    <w:rsid w:val="4C5061C1"/>
    <w:rsid w:val="4C5A4552"/>
    <w:rsid w:val="4C5B1004"/>
    <w:rsid w:val="4C601CDE"/>
    <w:rsid w:val="4C853452"/>
    <w:rsid w:val="4C87625C"/>
    <w:rsid w:val="4C93212D"/>
    <w:rsid w:val="4CAD655A"/>
    <w:rsid w:val="4CC4348E"/>
    <w:rsid w:val="4CC7692E"/>
    <w:rsid w:val="4CD8739E"/>
    <w:rsid w:val="4D102E74"/>
    <w:rsid w:val="4D334873"/>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DF02B8"/>
    <w:rsid w:val="4FE35224"/>
    <w:rsid w:val="4FFB4A48"/>
    <w:rsid w:val="500365D1"/>
    <w:rsid w:val="500A17DF"/>
    <w:rsid w:val="50193FF8"/>
    <w:rsid w:val="502226D6"/>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DE7D80"/>
    <w:rsid w:val="51ED2148"/>
    <w:rsid w:val="51F17CFE"/>
    <w:rsid w:val="520E31AE"/>
    <w:rsid w:val="524349D3"/>
    <w:rsid w:val="52722ED3"/>
    <w:rsid w:val="528278EA"/>
    <w:rsid w:val="52884ADC"/>
    <w:rsid w:val="528A34C2"/>
    <w:rsid w:val="52B64958"/>
    <w:rsid w:val="52BA2DC0"/>
    <w:rsid w:val="52C12C52"/>
    <w:rsid w:val="52D15024"/>
    <w:rsid w:val="52E26A0A"/>
    <w:rsid w:val="53010C0B"/>
    <w:rsid w:val="53416241"/>
    <w:rsid w:val="534F175F"/>
    <w:rsid w:val="53697924"/>
    <w:rsid w:val="536D0121"/>
    <w:rsid w:val="53996156"/>
    <w:rsid w:val="53CA4C80"/>
    <w:rsid w:val="53CE6F7A"/>
    <w:rsid w:val="53EA66AD"/>
    <w:rsid w:val="53F23262"/>
    <w:rsid w:val="53FD045B"/>
    <w:rsid w:val="53FD32A8"/>
    <w:rsid w:val="540A6B94"/>
    <w:rsid w:val="540D3A6F"/>
    <w:rsid w:val="54190C85"/>
    <w:rsid w:val="541F2B8E"/>
    <w:rsid w:val="54311BAF"/>
    <w:rsid w:val="545D58DB"/>
    <w:rsid w:val="546148FC"/>
    <w:rsid w:val="547316D7"/>
    <w:rsid w:val="547F7301"/>
    <w:rsid w:val="548E44C7"/>
    <w:rsid w:val="54AB3A77"/>
    <w:rsid w:val="54C65E82"/>
    <w:rsid w:val="54C75926"/>
    <w:rsid w:val="54FB72AA"/>
    <w:rsid w:val="550A3F74"/>
    <w:rsid w:val="551940AB"/>
    <w:rsid w:val="551C085F"/>
    <w:rsid w:val="55242A1A"/>
    <w:rsid w:val="552B1DC7"/>
    <w:rsid w:val="55301DC2"/>
    <w:rsid w:val="55432CF1"/>
    <w:rsid w:val="554D59FE"/>
    <w:rsid w:val="556C05F6"/>
    <w:rsid w:val="557B66CE"/>
    <w:rsid w:val="55990DAE"/>
    <w:rsid w:val="559B0682"/>
    <w:rsid w:val="55BB5C2C"/>
    <w:rsid w:val="55BE109B"/>
    <w:rsid w:val="55D75763"/>
    <w:rsid w:val="55D86806"/>
    <w:rsid w:val="55E0078B"/>
    <w:rsid w:val="55E8012F"/>
    <w:rsid w:val="55EC1E85"/>
    <w:rsid w:val="55F46D30"/>
    <w:rsid w:val="55F67FAE"/>
    <w:rsid w:val="561D19DF"/>
    <w:rsid w:val="5640190F"/>
    <w:rsid w:val="564C5721"/>
    <w:rsid w:val="566F67D3"/>
    <w:rsid w:val="56762305"/>
    <w:rsid w:val="56885586"/>
    <w:rsid w:val="568F4307"/>
    <w:rsid w:val="569F0646"/>
    <w:rsid w:val="56AE57C6"/>
    <w:rsid w:val="570C52FA"/>
    <w:rsid w:val="570F289C"/>
    <w:rsid w:val="572341DD"/>
    <w:rsid w:val="57245405"/>
    <w:rsid w:val="573F74F2"/>
    <w:rsid w:val="575171CD"/>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A5DED"/>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67E09"/>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9F014A"/>
    <w:rsid w:val="5E9F7A2D"/>
    <w:rsid w:val="5EB55B71"/>
    <w:rsid w:val="5ED75D25"/>
    <w:rsid w:val="5EF219E8"/>
    <w:rsid w:val="5F0955FB"/>
    <w:rsid w:val="5F0977F9"/>
    <w:rsid w:val="5F0A5510"/>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44372"/>
    <w:rsid w:val="61D71F16"/>
    <w:rsid w:val="61DF7322"/>
    <w:rsid w:val="61E36936"/>
    <w:rsid w:val="61FB637A"/>
    <w:rsid w:val="62441245"/>
    <w:rsid w:val="62543D0E"/>
    <w:rsid w:val="625933C2"/>
    <w:rsid w:val="626A7D5A"/>
    <w:rsid w:val="62711AE2"/>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5A5D7E"/>
    <w:rsid w:val="65955D1A"/>
    <w:rsid w:val="65B975F2"/>
    <w:rsid w:val="65C533DA"/>
    <w:rsid w:val="65C60736"/>
    <w:rsid w:val="65DF7832"/>
    <w:rsid w:val="65F20792"/>
    <w:rsid w:val="65F23134"/>
    <w:rsid w:val="65F47E78"/>
    <w:rsid w:val="66063E6E"/>
    <w:rsid w:val="660B1322"/>
    <w:rsid w:val="662F72F1"/>
    <w:rsid w:val="66377FD0"/>
    <w:rsid w:val="663D6361"/>
    <w:rsid w:val="66421AD5"/>
    <w:rsid w:val="66456B14"/>
    <w:rsid w:val="66672A19"/>
    <w:rsid w:val="66A42A73"/>
    <w:rsid w:val="66D1263E"/>
    <w:rsid w:val="66D9547D"/>
    <w:rsid w:val="66E910CF"/>
    <w:rsid w:val="6700790A"/>
    <w:rsid w:val="67010066"/>
    <w:rsid w:val="670F0ED0"/>
    <w:rsid w:val="672023BD"/>
    <w:rsid w:val="673832E7"/>
    <w:rsid w:val="676B34F8"/>
    <w:rsid w:val="678A0557"/>
    <w:rsid w:val="67C71B3D"/>
    <w:rsid w:val="67D01C2B"/>
    <w:rsid w:val="67E50E81"/>
    <w:rsid w:val="67E74384"/>
    <w:rsid w:val="67EA0B8C"/>
    <w:rsid w:val="68064677"/>
    <w:rsid w:val="680B7043"/>
    <w:rsid w:val="680C3831"/>
    <w:rsid w:val="680E4244"/>
    <w:rsid w:val="68133F4F"/>
    <w:rsid w:val="681A693D"/>
    <w:rsid w:val="682B16F7"/>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342B2B"/>
    <w:rsid w:val="6D3A5802"/>
    <w:rsid w:val="6D4F0C03"/>
    <w:rsid w:val="6D523A87"/>
    <w:rsid w:val="6D7D1C6D"/>
    <w:rsid w:val="6D812437"/>
    <w:rsid w:val="6D8D0DA1"/>
    <w:rsid w:val="6D8F1190"/>
    <w:rsid w:val="6DB22C06"/>
    <w:rsid w:val="6DB34C84"/>
    <w:rsid w:val="6DC14D72"/>
    <w:rsid w:val="6DC71E97"/>
    <w:rsid w:val="6DFD3F7F"/>
    <w:rsid w:val="6DFE1A00"/>
    <w:rsid w:val="6E197A95"/>
    <w:rsid w:val="6E1D2124"/>
    <w:rsid w:val="6E364DD3"/>
    <w:rsid w:val="6E447FE6"/>
    <w:rsid w:val="6E8354DD"/>
    <w:rsid w:val="6E8A4C37"/>
    <w:rsid w:val="6E9F0000"/>
    <w:rsid w:val="6EA92939"/>
    <w:rsid w:val="6EB10C80"/>
    <w:rsid w:val="6EB87E27"/>
    <w:rsid w:val="6EC07DDC"/>
    <w:rsid w:val="6EE2146D"/>
    <w:rsid w:val="6EEC0CAE"/>
    <w:rsid w:val="6EEE4B8C"/>
    <w:rsid w:val="6F050034"/>
    <w:rsid w:val="6F0D763F"/>
    <w:rsid w:val="6F1005C4"/>
    <w:rsid w:val="6F162E82"/>
    <w:rsid w:val="6F2914EE"/>
    <w:rsid w:val="6F311862"/>
    <w:rsid w:val="6F3F6524"/>
    <w:rsid w:val="6F407D0F"/>
    <w:rsid w:val="6F663551"/>
    <w:rsid w:val="6F674856"/>
    <w:rsid w:val="6F786CEE"/>
    <w:rsid w:val="6F85442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70F53"/>
    <w:rsid w:val="72F21DD2"/>
    <w:rsid w:val="730E1803"/>
    <w:rsid w:val="73106B62"/>
    <w:rsid w:val="73171C8B"/>
    <w:rsid w:val="731C6E4F"/>
    <w:rsid w:val="731D2368"/>
    <w:rsid w:val="73761E19"/>
    <w:rsid w:val="738C3CA1"/>
    <w:rsid w:val="739E0A22"/>
    <w:rsid w:val="73AD3C4B"/>
    <w:rsid w:val="73B10648"/>
    <w:rsid w:val="73B90110"/>
    <w:rsid w:val="73C46FA3"/>
    <w:rsid w:val="73CA1587"/>
    <w:rsid w:val="73DB035D"/>
    <w:rsid w:val="73FD72CB"/>
    <w:rsid w:val="73FF32F7"/>
    <w:rsid w:val="740343AD"/>
    <w:rsid w:val="74213FF1"/>
    <w:rsid w:val="7463285B"/>
    <w:rsid w:val="74666E87"/>
    <w:rsid w:val="74793BE8"/>
    <w:rsid w:val="74882C70"/>
    <w:rsid w:val="74AC5FB0"/>
    <w:rsid w:val="74BD7896"/>
    <w:rsid w:val="74D54F3C"/>
    <w:rsid w:val="74F00593"/>
    <w:rsid w:val="74F80974"/>
    <w:rsid w:val="752949C6"/>
    <w:rsid w:val="75336768"/>
    <w:rsid w:val="753C2362"/>
    <w:rsid w:val="754504E2"/>
    <w:rsid w:val="755425CC"/>
    <w:rsid w:val="75627117"/>
    <w:rsid w:val="756560C4"/>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3647F3"/>
    <w:rsid w:val="77417297"/>
    <w:rsid w:val="775D6EE5"/>
    <w:rsid w:val="77792F92"/>
    <w:rsid w:val="777D2475"/>
    <w:rsid w:val="77A15B74"/>
    <w:rsid w:val="77AA0898"/>
    <w:rsid w:val="77B519B5"/>
    <w:rsid w:val="77CA6C13"/>
    <w:rsid w:val="77EF0E28"/>
    <w:rsid w:val="77FC65B3"/>
    <w:rsid w:val="78104AA8"/>
    <w:rsid w:val="783720CB"/>
    <w:rsid w:val="78405B2D"/>
    <w:rsid w:val="78426C1C"/>
    <w:rsid w:val="78476634"/>
    <w:rsid w:val="7868724C"/>
    <w:rsid w:val="78695554"/>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282"/>
    <w:rsid w:val="7AF83CFD"/>
    <w:rsid w:val="7B0D6371"/>
    <w:rsid w:val="7B0E3521"/>
    <w:rsid w:val="7B335EA5"/>
    <w:rsid w:val="7B412AB0"/>
    <w:rsid w:val="7B741218"/>
    <w:rsid w:val="7B835FAF"/>
    <w:rsid w:val="7B866F34"/>
    <w:rsid w:val="7B875081"/>
    <w:rsid w:val="7B9207C8"/>
    <w:rsid w:val="7B963BCC"/>
    <w:rsid w:val="7B9B74D6"/>
    <w:rsid w:val="7BC4009E"/>
    <w:rsid w:val="7BD75A22"/>
    <w:rsid w:val="7BE72BDA"/>
    <w:rsid w:val="7BEE5100"/>
    <w:rsid w:val="7BFD5C79"/>
    <w:rsid w:val="7C1742A4"/>
    <w:rsid w:val="7C511181"/>
    <w:rsid w:val="7C5A278F"/>
    <w:rsid w:val="7C6158D2"/>
    <w:rsid w:val="7C640B20"/>
    <w:rsid w:val="7C7429D4"/>
    <w:rsid w:val="7C99137B"/>
    <w:rsid w:val="7CB55428"/>
    <w:rsid w:val="7CC279FA"/>
    <w:rsid w:val="7CED61AC"/>
    <w:rsid w:val="7CF46211"/>
    <w:rsid w:val="7D1312C2"/>
    <w:rsid w:val="7D1A4DCC"/>
    <w:rsid w:val="7D2221D8"/>
    <w:rsid w:val="7D3746FC"/>
    <w:rsid w:val="7D3C4514"/>
    <w:rsid w:val="7D3D40B9"/>
    <w:rsid w:val="7D594632"/>
    <w:rsid w:val="7D626845"/>
    <w:rsid w:val="7D6A3C51"/>
    <w:rsid w:val="7D837B99"/>
    <w:rsid w:val="7D967F99"/>
    <w:rsid w:val="7DB30D8D"/>
    <w:rsid w:val="7DB704CD"/>
    <w:rsid w:val="7DC61607"/>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C86628"/>
    <w:rsid w:val="7ED06A1C"/>
    <w:rsid w:val="7ED408EA"/>
    <w:rsid w:val="7F135B46"/>
    <w:rsid w:val="7F330CBF"/>
    <w:rsid w:val="7F3F33E6"/>
    <w:rsid w:val="7F460E2D"/>
    <w:rsid w:val="7F6E5620"/>
    <w:rsid w:val="7F7854E1"/>
    <w:rsid w:val="7F945543"/>
    <w:rsid w:val="7F957A5E"/>
    <w:rsid w:val="7F9F53FB"/>
    <w:rsid w:val="7FA91A6A"/>
    <w:rsid w:val="7FC7261C"/>
    <w:rsid w:val="7FC76F2D"/>
    <w:rsid w:val="7FCB608F"/>
    <w:rsid w:val="7FCF2FF2"/>
    <w:rsid w:val="7FDF7F40"/>
    <w:rsid w:val="7FE522A5"/>
    <w:rsid w:val="7FE63DDB"/>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4">
    <w:name w:val="heading 2"/>
    <w:basedOn w:val="1"/>
    <w:next w:val="1"/>
    <w:link w:val="34"/>
    <w:qFormat/>
    <w:uiPriority w:val="0"/>
    <w:pPr>
      <w:adjustRightInd w:val="0"/>
      <w:jc w:val="center"/>
      <w:textAlignment w:val="baseline"/>
      <w:outlineLvl w:val="1"/>
    </w:pPr>
    <w:rPr>
      <w:szCs w:val="20"/>
    </w:rPr>
  </w:style>
  <w:style w:type="paragraph" w:styleId="5">
    <w:name w:val="heading 3"/>
    <w:basedOn w:val="6"/>
    <w:next w:val="1"/>
    <w:link w:val="49"/>
    <w:qFormat/>
    <w:uiPriority w:val="9"/>
    <w:pPr>
      <w:spacing w:before="260" w:after="260"/>
      <w:outlineLvl w:val="2"/>
    </w:pPr>
    <w:rPr>
      <w:rFonts w:ascii="宋体" w:hAnsi="宋体" w:eastAsia="宋体"/>
      <w:szCs w:val="32"/>
    </w:rPr>
  </w:style>
  <w:style w:type="paragraph" w:styleId="6">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heme="minorHAnsi" w:hAnsiTheme="minorHAnsi" w:cstheme="minorBidi"/>
      <w:szCs w:val="22"/>
    </w:rPr>
  </w:style>
  <w:style w:type="paragraph" w:styleId="7">
    <w:name w:val="Normal Indent"/>
    <w:basedOn w:val="1"/>
    <w:qFormat/>
    <w:uiPriority w:val="0"/>
    <w:pPr>
      <w:ind w:firstLine="420" w:firstLineChars="200"/>
    </w:pPr>
  </w:style>
  <w:style w:type="paragraph" w:styleId="8">
    <w:name w:val="caption"/>
    <w:basedOn w:val="1"/>
    <w:next w:val="1"/>
    <w:qFormat/>
    <w:uiPriority w:val="0"/>
    <w:pPr>
      <w:spacing w:line="360" w:lineRule="auto"/>
      <w:ind w:firstLine="1940" w:firstLineChars="920"/>
    </w:pPr>
    <w:rPr>
      <w:rFonts w:ascii="宋体" w:hAnsi="宋体"/>
      <w:b/>
      <w:bCs/>
      <w:sz w:val="20"/>
      <w:szCs w:val="20"/>
    </w:rPr>
  </w:style>
  <w:style w:type="paragraph" w:styleId="9">
    <w:name w:val="annotation text"/>
    <w:basedOn w:val="1"/>
    <w:link w:val="42"/>
    <w:qFormat/>
    <w:uiPriority w:val="0"/>
  </w:style>
  <w:style w:type="paragraph" w:styleId="10">
    <w:name w:val="index 6"/>
    <w:basedOn w:val="1"/>
    <w:next w:val="1"/>
    <w:qFormat/>
    <w:uiPriority w:val="0"/>
    <w:pPr>
      <w:ind w:left="2100"/>
    </w:pPr>
  </w:style>
  <w:style w:type="paragraph" w:styleId="11">
    <w:name w:val="Body Text 3"/>
    <w:basedOn w:val="1"/>
    <w:qFormat/>
    <w:uiPriority w:val="0"/>
    <w:pPr>
      <w:spacing w:after="120"/>
    </w:pPr>
    <w:rPr>
      <w:sz w:val="16"/>
      <w:szCs w:val="16"/>
    </w:rPr>
  </w:style>
  <w:style w:type="paragraph" w:styleId="12">
    <w:name w:val="Body Text Indent"/>
    <w:basedOn w:val="1"/>
    <w:qFormat/>
    <w:uiPriority w:val="0"/>
    <w:pPr>
      <w:spacing w:line="360" w:lineRule="auto"/>
      <w:ind w:firstLine="420" w:firstLineChars="200"/>
    </w:pPr>
  </w:style>
  <w:style w:type="paragraph" w:styleId="13">
    <w:name w:val="Block Text"/>
    <w:basedOn w:val="1"/>
    <w:qFormat/>
    <w:uiPriority w:val="99"/>
    <w:pPr>
      <w:spacing w:line="360" w:lineRule="auto"/>
      <w:ind w:left="-85" w:right="-244" w:firstLine="435"/>
    </w:pPr>
  </w:style>
  <w:style w:type="paragraph" w:styleId="14">
    <w:name w:val="Plain Text"/>
    <w:basedOn w:val="1"/>
    <w:link w:val="44"/>
    <w:unhideWhenUsed/>
    <w:qFormat/>
    <w:uiPriority w:val="0"/>
    <w:pPr>
      <w:widowControl w:val="0"/>
      <w:jc w:val="both"/>
    </w:pPr>
    <w:rPr>
      <w:rFonts w:ascii="宋体" w:hAnsi="Courier New" w:eastAsia="宋体"/>
      <w:kern w:val="2"/>
      <w:sz w:val="21"/>
      <w:szCs w:val="20"/>
    </w:rPr>
  </w:style>
  <w:style w:type="paragraph" w:styleId="15">
    <w:name w:val="Balloon Text"/>
    <w:basedOn w:val="1"/>
    <w:link w:val="39"/>
    <w:qFormat/>
    <w:uiPriority w:val="0"/>
    <w:rPr>
      <w:sz w:val="18"/>
      <w:szCs w:val="18"/>
    </w:rPr>
  </w:style>
  <w:style w:type="paragraph" w:styleId="16">
    <w:name w:val="footer"/>
    <w:basedOn w:val="1"/>
    <w:link w:val="41"/>
    <w:qFormat/>
    <w:uiPriority w:val="0"/>
    <w:pPr>
      <w:tabs>
        <w:tab w:val="center" w:pos="4153"/>
        <w:tab w:val="right" w:pos="8306"/>
      </w:tabs>
      <w:snapToGrid w:val="0"/>
    </w:pPr>
    <w:rPr>
      <w:sz w:val="18"/>
      <w:szCs w:val="18"/>
    </w:rPr>
  </w:style>
  <w:style w:type="paragraph" w:styleId="17">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0">
    <w:name w:val="Body Text 2"/>
    <w:basedOn w:val="1"/>
    <w:qFormat/>
    <w:uiPriority w:val="0"/>
    <w:pPr>
      <w:spacing w:line="360" w:lineRule="auto"/>
    </w:pPr>
    <w:rPr>
      <w:sz w:val="24"/>
    </w:rPr>
  </w:style>
  <w:style w:type="paragraph" w:styleId="21">
    <w:name w:val="Normal (Web)"/>
    <w:basedOn w:val="1"/>
    <w:link w:val="36"/>
    <w:qFormat/>
    <w:uiPriority w:val="99"/>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9"/>
    <w:next w:val="9"/>
    <w:link w:val="43"/>
    <w:qFormat/>
    <w:uiPriority w:val="0"/>
    <w:rPr>
      <w:b/>
      <w:bCs/>
    </w:rPr>
  </w:style>
  <w:style w:type="paragraph" w:styleId="24">
    <w:name w:val="Body Text First Indent 2"/>
    <w:basedOn w:val="12"/>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ahoma" w:hAnsi="Tahoma" w:eastAsia="宋体"/>
      <w:b/>
      <w:bCs/>
      <w:spacing w:val="10"/>
      <w:kern w:val="2"/>
      <w:sz w:val="24"/>
      <w:szCs w:val="24"/>
      <w:lang w:val="en-US" w:eastAsia="zh-CN" w:bidi="ar-SA"/>
    </w:rPr>
  </w:style>
  <w:style w:type="character" w:styleId="29">
    <w:name w:val="FollowedHyperlink"/>
    <w:basedOn w:val="27"/>
    <w:semiHidden/>
    <w:unhideWhenUsed/>
    <w:qFormat/>
    <w:uiPriority w:val="0"/>
    <w:rPr>
      <w:rFonts w:hint="eastAsia" w:ascii="微软雅黑" w:hAnsi="微软雅黑" w:eastAsia="微软雅黑" w:cs="微软雅黑"/>
      <w:color w:val="02396F"/>
      <w:u w:val="single"/>
    </w:rPr>
  </w:style>
  <w:style w:type="character" w:styleId="30">
    <w:name w:val="Hyperlink"/>
    <w:basedOn w:val="27"/>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7"/>
    <w:qFormat/>
    <w:uiPriority w:val="0"/>
    <w:rPr>
      <w:sz w:val="21"/>
      <w:szCs w:val="21"/>
    </w:rPr>
  </w:style>
  <w:style w:type="paragraph" w:styleId="32">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标题 2 Char"/>
    <w:link w:val="4"/>
    <w:qFormat/>
    <w:uiPriority w:val="0"/>
    <w:rPr>
      <w:rFonts w:ascii="宋体" w:hAnsi="宋体" w:eastAsia="宋体"/>
      <w:b/>
      <w:bCs/>
      <w:sz w:val="24"/>
      <w:lang w:val="en-US" w:eastAsia="zh-CN" w:bidi="ar-SA"/>
    </w:rPr>
  </w:style>
  <w:style w:type="character" w:customStyle="1" w:styleId="35">
    <w:name w:val="标题 1 Char"/>
    <w:link w:val="3"/>
    <w:qFormat/>
    <w:uiPriority w:val="9"/>
    <w:rPr>
      <w:rFonts w:ascii="宋体" w:hAnsi="宋体" w:eastAsia="黑体"/>
      <w:b/>
      <w:bCs/>
      <w:kern w:val="44"/>
      <w:sz w:val="28"/>
      <w:szCs w:val="44"/>
      <w:lang w:val="en-US" w:eastAsia="zh-CN" w:bidi="ar-SA"/>
    </w:rPr>
  </w:style>
  <w:style w:type="character" w:customStyle="1" w:styleId="36">
    <w:name w:val="普通(网站) Char"/>
    <w:link w:val="21"/>
    <w:qFormat/>
    <w:uiPriority w:val="0"/>
    <w:rPr>
      <w:kern w:val="2"/>
      <w:sz w:val="24"/>
      <w:szCs w:val="24"/>
    </w:rPr>
  </w:style>
  <w:style w:type="character" w:customStyle="1" w:styleId="37">
    <w:name w:val="标题 4 Char"/>
    <w:link w:val="6"/>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7"/>
    <w:link w:val="15"/>
    <w:qFormat/>
    <w:uiPriority w:val="0"/>
    <w:rPr>
      <w:sz w:val="18"/>
      <w:szCs w:val="18"/>
    </w:rPr>
  </w:style>
  <w:style w:type="character" w:customStyle="1" w:styleId="40">
    <w:name w:val="页眉 Char"/>
    <w:basedOn w:val="27"/>
    <w:link w:val="18"/>
    <w:qFormat/>
    <w:uiPriority w:val="0"/>
    <w:rPr>
      <w:sz w:val="18"/>
      <w:szCs w:val="18"/>
    </w:rPr>
  </w:style>
  <w:style w:type="character" w:customStyle="1" w:styleId="41">
    <w:name w:val="页脚 Char"/>
    <w:basedOn w:val="27"/>
    <w:link w:val="16"/>
    <w:qFormat/>
    <w:uiPriority w:val="0"/>
    <w:rPr>
      <w:sz w:val="18"/>
      <w:szCs w:val="18"/>
    </w:rPr>
  </w:style>
  <w:style w:type="character" w:customStyle="1" w:styleId="42">
    <w:name w:val="批注文字 Char"/>
    <w:basedOn w:val="27"/>
    <w:link w:val="9"/>
    <w:qFormat/>
    <w:uiPriority w:val="0"/>
    <w:rPr>
      <w:sz w:val="24"/>
      <w:szCs w:val="24"/>
    </w:rPr>
  </w:style>
  <w:style w:type="character" w:customStyle="1" w:styleId="43">
    <w:name w:val="批注主题 Char"/>
    <w:basedOn w:val="42"/>
    <w:link w:val="23"/>
    <w:qFormat/>
    <w:uiPriority w:val="0"/>
    <w:rPr>
      <w:b/>
      <w:bCs/>
      <w:sz w:val="24"/>
      <w:szCs w:val="24"/>
    </w:rPr>
  </w:style>
  <w:style w:type="character" w:customStyle="1" w:styleId="44">
    <w:name w:val="纯文本 Char"/>
    <w:basedOn w:val="27"/>
    <w:link w:val="14"/>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5"/>
    <w:qFormat/>
    <w:uiPriority w:val="0"/>
    <w:rPr>
      <w:rFonts w:ascii="宋体" w:hAnsi="宋体" w:eastAsia="宋体"/>
      <w:b/>
      <w:kern w:val="2"/>
      <w:sz w:val="28"/>
    </w:rPr>
  </w:style>
  <w:style w:type="paragraph" w:customStyle="1" w:styleId="50">
    <w:name w:val="Default"/>
    <w:next w:val="10"/>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8"/>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7"/>
    <w:qFormat/>
    <w:uiPriority w:val="0"/>
    <w:rPr>
      <w:color w:val="333333"/>
      <w:sz w:val="18"/>
      <w:szCs w:val="18"/>
    </w:rPr>
  </w:style>
  <w:style w:type="character" w:customStyle="1" w:styleId="56">
    <w:name w:val="cfdate"/>
    <w:basedOn w:val="27"/>
    <w:qFormat/>
    <w:uiPriority w:val="0"/>
    <w:rPr>
      <w:color w:val="333333"/>
      <w:sz w:val="18"/>
      <w:szCs w:val="18"/>
    </w:rPr>
  </w:style>
  <w:style w:type="character" w:customStyle="1" w:styleId="57">
    <w:name w:val="redfilefwwh"/>
    <w:basedOn w:val="27"/>
    <w:qFormat/>
    <w:uiPriority w:val="0"/>
    <w:rPr>
      <w:color w:val="BA2636"/>
      <w:sz w:val="18"/>
      <w:szCs w:val="18"/>
    </w:rPr>
  </w:style>
  <w:style w:type="character" w:customStyle="1" w:styleId="58">
    <w:name w:val="redfilenumber"/>
    <w:basedOn w:val="27"/>
    <w:qFormat/>
    <w:uiPriority w:val="0"/>
    <w:rPr>
      <w:color w:val="BA2636"/>
      <w:sz w:val="18"/>
      <w:szCs w:val="18"/>
    </w:rPr>
  </w:style>
  <w:style w:type="character" w:customStyle="1" w:styleId="59">
    <w:name w:val="gjfg"/>
    <w:basedOn w:val="27"/>
    <w:qFormat/>
    <w:uiPriority w:val="0"/>
  </w:style>
  <w:style w:type="character" w:customStyle="1" w:styleId="60">
    <w:name w:val="prev"/>
    <w:basedOn w:val="27"/>
    <w:qFormat/>
    <w:uiPriority w:val="0"/>
    <w:rPr>
      <w:rFonts w:ascii="微软雅黑" w:hAnsi="微软雅黑" w:eastAsia="微软雅黑" w:cs="微软雅黑"/>
      <w:sz w:val="21"/>
      <w:szCs w:val="21"/>
    </w:rPr>
  </w:style>
  <w:style w:type="character" w:customStyle="1" w:styleId="61">
    <w:name w:val="next"/>
    <w:basedOn w:val="27"/>
    <w:qFormat/>
    <w:uiPriority w:val="0"/>
    <w:rPr>
      <w:rFonts w:hint="eastAsia" w:ascii="微软雅黑" w:hAnsi="微软雅黑" w:eastAsia="微软雅黑" w:cs="微软雅黑"/>
      <w:sz w:val="21"/>
      <w:szCs w:val="21"/>
    </w:rPr>
  </w:style>
  <w:style w:type="character" w:customStyle="1" w:styleId="62">
    <w:name w:val="next1"/>
    <w:basedOn w:val="27"/>
    <w:qFormat/>
    <w:uiPriority w:val="0"/>
    <w:rPr>
      <w:color w:val="888888"/>
    </w:rPr>
  </w:style>
  <w:style w:type="character" w:customStyle="1" w:styleId="63">
    <w:name w:val="displayarti"/>
    <w:basedOn w:val="27"/>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正文"/>
    <w:basedOn w:val="1"/>
    <w:qFormat/>
    <w:uiPriority w:val="0"/>
    <w:pPr>
      <w:spacing w:beforeLines="50"/>
      <w:ind w:firstLine="200" w:firstLineChars="200"/>
    </w:pPr>
    <w:rPr>
      <w:rFonts w:ascii="Calibri" w:hAnsi="Calibri" w:eastAsia="华文仿宋"/>
      <w:szCs w:val="22"/>
    </w:rPr>
  </w:style>
  <w:style w:type="paragraph" w:customStyle="1" w:styleId="71">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3187</Words>
  <Characters>3374</Characters>
  <Lines>127</Lines>
  <Paragraphs>35</Paragraphs>
  <TotalTime>4</TotalTime>
  <ScaleCrop>false</ScaleCrop>
  <LinksUpToDate>false</LinksUpToDate>
  <CharactersWithSpaces>3430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2024-07-04T03:35:00Z</cp:lastPrinted>
  <dcterms:modified xsi:type="dcterms:W3CDTF">2025-08-01T07:43:50Z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