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widowControl/>
        <w:spacing w:before="454" w:beforeAutospacing="0" w:after="454" w:afterAutospacing="0"/>
        <w:ind w:right="454"/>
        <w:jc w:val="both"/>
        <w:outlineLvl w:val="0"/>
        <w:rPr>
          <w:rFonts w:hint="default"/>
          <w:b/>
          <w:bCs/>
          <w:sz w:val="40"/>
          <w:szCs w:val="40"/>
          <w:lang w:val="en-US" w:eastAsia="zh-CN"/>
        </w:rPr>
      </w:pPr>
      <w:bookmarkStart w:id="0" w:name="_Hlk71456902"/>
      <w:r>
        <w:rPr>
          <w:rFonts w:hint="eastAsia"/>
          <w:b/>
          <w:bCs/>
          <w:sz w:val="40"/>
          <w:szCs w:val="40"/>
          <w:lang w:val="en-US" w:eastAsia="zh-CN"/>
        </w:rPr>
        <w:t xml:space="preserve"> </w:t>
      </w:r>
    </w:p>
    <w:p>
      <w:pPr>
        <w:pStyle w:val="22"/>
        <w:widowControl/>
        <w:spacing w:before="0" w:beforeAutospacing="0" w:after="0" w:afterAutospacing="0"/>
        <w:ind w:right="454"/>
        <w:jc w:val="center"/>
        <w:outlineLvl w:val="0"/>
        <w:rPr>
          <w:rFonts w:hint="eastAsia"/>
          <w:b w:val="0"/>
          <w:bCs w:val="0"/>
          <w:sz w:val="40"/>
          <w:szCs w:val="40"/>
          <w:highlight w:val="yellow"/>
          <w:u w:val="single"/>
          <w:lang w:val="en-US" w:eastAsia="zh-CN"/>
        </w:rPr>
      </w:pPr>
      <w:r>
        <w:rPr>
          <w:rFonts w:hint="eastAsia"/>
          <w:b/>
          <w:bCs/>
          <w:sz w:val="40"/>
          <w:szCs w:val="40"/>
          <w:lang w:val="en-US" w:eastAsia="zh-CN"/>
        </w:rPr>
        <w:t>深圳市龙岗区耳鼻咽喉医院</w:t>
      </w:r>
      <w:r>
        <w:rPr>
          <w:rFonts w:hint="eastAsia"/>
          <w:b w:val="0"/>
          <w:bCs w:val="0"/>
          <w:sz w:val="40"/>
          <w:szCs w:val="40"/>
          <w:highlight w:val="yellow"/>
          <w:u w:val="single"/>
          <w:lang w:val="en-US" w:eastAsia="zh-CN"/>
        </w:rPr>
        <w:t>台式ATP生物荧光</w:t>
      </w:r>
    </w:p>
    <w:p>
      <w:pPr>
        <w:pStyle w:val="22"/>
        <w:widowControl/>
        <w:spacing w:before="0" w:beforeAutospacing="0" w:after="0" w:afterAutospacing="0"/>
        <w:ind w:right="454"/>
        <w:jc w:val="center"/>
        <w:outlineLvl w:val="0"/>
        <w:rPr>
          <w:rFonts w:hint="eastAsia"/>
          <w:b/>
          <w:bCs/>
          <w:sz w:val="40"/>
          <w:szCs w:val="40"/>
          <w:highlight w:val="none"/>
          <w:u w:val="single"/>
          <w:lang w:val="en-US" w:eastAsia="zh-CN"/>
        </w:rPr>
      </w:pPr>
      <w:r>
        <w:rPr>
          <w:rFonts w:hint="eastAsia"/>
          <w:b w:val="0"/>
          <w:bCs w:val="0"/>
          <w:sz w:val="40"/>
          <w:szCs w:val="40"/>
          <w:highlight w:val="yellow"/>
          <w:u w:val="single"/>
          <w:lang w:val="en-US" w:eastAsia="zh-CN"/>
        </w:rPr>
        <w:t>检测仪</w:t>
      </w:r>
      <w:r>
        <w:rPr>
          <w:rFonts w:hint="eastAsia"/>
          <w:b/>
          <w:bCs/>
          <w:sz w:val="40"/>
          <w:szCs w:val="40"/>
          <w:highlight w:val="none"/>
          <w:u w:val="none"/>
          <w:lang w:val="en-US" w:eastAsia="zh-CN"/>
        </w:rPr>
        <w:t>采购项目</w:t>
      </w:r>
    </w:p>
    <w:p>
      <w:pPr>
        <w:pStyle w:val="22"/>
        <w:widowControl/>
        <w:spacing w:before="0" w:beforeAutospacing="0" w:after="0" w:afterAutospacing="0"/>
        <w:ind w:right="454"/>
        <w:jc w:val="center"/>
        <w:outlineLvl w:val="0"/>
        <w:rPr>
          <w:rFonts w:hint="default"/>
          <w:b/>
          <w:bCs/>
          <w:sz w:val="40"/>
          <w:szCs w:val="40"/>
          <w:highlight w:val="none"/>
          <w:u w:val="single"/>
          <w:lang w:val="en-US" w:eastAsia="zh-CN"/>
        </w:rPr>
      </w:pPr>
    </w:p>
    <w:p>
      <w:pPr>
        <w:pStyle w:val="22"/>
        <w:widowControl/>
        <w:jc w:val="center"/>
        <w:outlineLvl w:val="1"/>
        <w:rPr>
          <w:rFonts w:ascii="黑体" w:hAnsi="宋体" w:eastAsia="黑体" w:cs="黑体"/>
          <w:sz w:val="40"/>
          <w:szCs w:val="40"/>
        </w:rPr>
      </w:pPr>
      <w:r>
        <w:rPr>
          <w:rFonts w:hint="eastAsia" w:ascii="黑体" w:hAnsi="宋体" w:eastAsia="黑体" w:cs="黑体"/>
          <w:sz w:val="40"/>
          <w:szCs w:val="40"/>
        </w:rPr>
        <w:t>招标文件信息</w:t>
      </w:r>
    </w:p>
    <w:tbl>
      <w:tblPr>
        <w:tblStyle w:val="26"/>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highlight w:val="none"/>
              </w:rPr>
            </w:pPr>
            <w:r>
              <w:rPr>
                <w:rFonts w:hint="eastAsia" w:ascii="宋体" w:hAnsi="宋体" w:cs="宋体"/>
                <w:kern w:val="0"/>
                <w:sz w:val="30"/>
                <w:szCs w:val="30"/>
                <w:highlight w:val="none"/>
                <w:lang w:val="en-US" w:eastAsia="zh-CN" w:bidi="ar"/>
              </w:rPr>
              <w:t xml:space="preserve">       </w:t>
            </w:r>
            <w:r>
              <w:rPr>
                <w:rFonts w:ascii="宋体" w:hAnsi="宋体" w:cs="宋体"/>
                <w:kern w:val="0"/>
                <w:sz w:val="30"/>
                <w:szCs w:val="30"/>
                <w:highlight w:val="none"/>
                <w:lang w:bidi="ar"/>
              </w:rPr>
              <w:t>项目编号：</w:t>
            </w:r>
          </w:p>
        </w:tc>
        <w:tc>
          <w:tcPr>
            <w:tcW w:w="5220" w:type="dxa"/>
            <w:shd w:val="clear" w:color="auto" w:fill="auto"/>
            <w:vAlign w:val="center"/>
          </w:tcPr>
          <w:p>
            <w:pPr>
              <w:widowControl/>
              <w:jc w:val="left"/>
              <w:rPr>
                <w:rFonts w:hint="default" w:eastAsiaTheme="minorEastAsia"/>
                <w:sz w:val="30"/>
                <w:szCs w:val="30"/>
                <w:highlight w:val="none"/>
                <w:lang w:val="en-US" w:eastAsia="zh-CN"/>
              </w:rPr>
            </w:pPr>
            <w:r>
              <w:rPr>
                <w:rFonts w:hint="eastAsia" w:eastAsia="宋体"/>
                <w:sz w:val="30"/>
                <w:szCs w:val="30"/>
                <w:highlight w:val="yellow"/>
                <w:u w:val="single"/>
                <w:lang w:val="en-US" w:eastAsia="zh-CN"/>
              </w:rPr>
              <w:t xml:space="preserve"> ENT20250704                      </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left"/>
              <w:rPr>
                <w:rFonts w:hint="default" w:eastAsiaTheme="minorEastAsia"/>
                <w:sz w:val="30"/>
                <w:szCs w:val="30"/>
                <w:highlight w:val="red"/>
                <w:u w:val="single"/>
                <w:lang w:val="en-US" w:eastAsia="zh-CN"/>
              </w:rPr>
            </w:pPr>
            <w:r>
              <w:rPr>
                <w:rFonts w:hint="eastAsia" w:ascii="宋体" w:hAnsi="宋体" w:cs="宋体"/>
                <w:kern w:val="0"/>
                <w:sz w:val="30"/>
                <w:szCs w:val="30"/>
                <w:highlight w:val="none"/>
                <w:u w:val="none"/>
                <w:lang w:val="en-US" w:eastAsia="zh-CN" w:bidi="ar"/>
              </w:rPr>
              <w:t xml:space="preserve">       项目名称：</w:t>
            </w:r>
          </w:p>
        </w:tc>
        <w:tc>
          <w:tcPr>
            <w:tcW w:w="5220" w:type="dxa"/>
            <w:shd w:val="clear" w:color="auto" w:fill="auto"/>
            <w:vAlign w:val="center"/>
          </w:tcPr>
          <w:p>
            <w:pPr>
              <w:widowControl/>
              <w:jc w:val="left"/>
              <w:rPr>
                <w:rFonts w:hint="default" w:eastAsia="宋体"/>
                <w:sz w:val="30"/>
                <w:szCs w:val="30"/>
                <w:highlight w:val="yellow"/>
                <w:u w:val="single"/>
                <w:lang w:val="en-US" w:eastAsia="zh-CN"/>
              </w:rPr>
            </w:pPr>
            <w:r>
              <w:rPr>
                <w:rFonts w:hint="eastAsia" w:eastAsia="宋体"/>
                <w:sz w:val="30"/>
                <w:szCs w:val="30"/>
                <w:highlight w:val="yellow"/>
                <w:u w:val="single"/>
                <w:lang w:val="en-US" w:eastAsia="zh-CN"/>
              </w:rPr>
              <w:t xml:space="preserve"> 台式ATP生物荧光检测仪</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项目类型：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货物类</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公开招标</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845" w:hRule="atLeast"/>
          <w:tblCellSpacing w:w="0" w:type="dxa"/>
          <w:jc w:val="center"/>
        </w:trPr>
        <w:tc>
          <w:tcPr>
            <w:tcW w:w="2723" w:type="dxa"/>
            <w:shd w:val="clear" w:color="auto" w:fill="auto"/>
            <w:vAlign w:val="center"/>
          </w:tcPr>
          <w:p>
            <w:pPr>
              <w:widowControl/>
              <w:jc w:val="center"/>
              <w:rPr>
                <w:sz w:val="30"/>
                <w:szCs w:val="30"/>
              </w:rPr>
            </w:pPr>
            <w:r>
              <w:rPr>
                <w:rFonts w:hint="eastAsia" w:ascii="宋体" w:hAnsi="宋体" w:cs="宋体"/>
                <w:kern w:val="0"/>
                <w:sz w:val="30"/>
                <w:szCs w:val="30"/>
                <w:lang w:val="en-US" w:eastAsia="zh-CN" w:bidi="ar"/>
              </w:rPr>
              <w:t xml:space="preserve">      </w:t>
            </w:r>
            <w:r>
              <w:rPr>
                <w:rFonts w:ascii="宋体" w:hAnsi="宋体" w:cs="宋体"/>
                <w:kern w:val="0"/>
                <w:sz w:val="30"/>
                <w:szCs w:val="30"/>
                <w:lang w:bidi="ar"/>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bookmarkEnd w:id="0"/>
    </w:tbl>
    <w:p>
      <w:pPr>
        <w:spacing w:line="580" w:lineRule="exact"/>
        <w:rPr>
          <w:rFonts w:ascii="宋体" w:hAnsi="宋体" w:eastAsia="宋体" w:cs="宋体"/>
          <w:b/>
          <w:bCs/>
          <w:sz w:val="21"/>
          <w:szCs w:val="21"/>
        </w:rPr>
      </w:pPr>
    </w:p>
    <w:p>
      <w:pPr>
        <w:spacing w:line="360" w:lineRule="auto"/>
        <w:ind w:firstLine="1687" w:firstLineChars="800"/>
        <w:rPr>
          <w:rFonts w:ascii="宋体" w:hAnsi="宋体" w:eastAsia="宋体" w:cs="宋体"/>
          <w:b/>
          <w:sz w:val="21"/>
          <w:szCs w:val="21"/>
        </w:rPr>
      </w:pPr>
    </w:p>
    <w:p>
      <w:pPr>
        <w:pStyle w:val="8"/>
        <w:ind w:firstLine="422"/>
        <w:rPr>
          <w:rFonts w:ascii="宋体" w:hAnsi="宋体" w:eastAsia="宋体" w:cs="宋体"/>
          <w:b/>
          <w:sz w:val="21"/>
          <w:szCs w:val="21"/>
        </w:rPr>
      </w:pPr>
    </w:p>
    <w:p>
      <w:pPr>
        <w:pStyle w:val="2"/>
        <w:rPr>
          <w:rFonts w:ascii="宋体" w:hAnsi="宋体" w:eastAsia="宋体" w:cs="宋体"/>
          <w:b/>
          <w:sz w:val="21"/>
          <w:szCs w:val="21"/>
        </w:rPr>
      </w:pPr>
    </w:p>
    <w:p>
      <w:pPr>
        <w:pStyle w:val="23"/>
        <w:rPr>
          <w:rFonts w:ascii="宋体" w:hAnsi="宋体" w:eastAsia="宋体" w:cs="宋体"/>
          <w:sz w:val="21"/>
          <w:szCs w:val="21"/>
        </w:rPr>
      </w:pPr>
    </w:p>
    <w:p>
      <w:pPr>
        <w:rPr>
          <w:rFonts w:ascii="宋体" w:hAnsi="宋体" w:eastAsia="宋体" w:cs="宋体"/>
          <w:b/>
          <w:sz w:val="21"/>
          <w:szCs w:val="21"/>
        </w:rPr>
      </w:pPr>
    </w:p>
    <w:p>
      <w:pPr>
        <w:pStyle w:val="8"/>
        <w:ind w:firstLine="422"/>
        <w:rPr>
          <w:rFonts w:ascii="宋体" w:hAnsi="宋体" w:eastAsia="宋体" w:cs="宋体"/>
          <w:b/>
          <w:sz w:val="21"/>
          <w:szCs w:val="21"/>
        </w:rPr>
      </w:pPr>
    </w:p>
    <w:p>
      <w:pPr>
        <w:pStyle w:val="2"/>
        <w:rPr>
          <w:rFonts w:ascii="宋体" w:hAnsi="宋体" w:eastAsia="宋体" w:cs="宋体"/>
          <w:b/>
          <w:sz w:val="21"/>
          <w:szCs w:val="21"/>
        </w:rPr>
      </w:pPr>
    </w:p>
    <w:p/>
    <w:p>
      <w:pPr>
        <w:pStyle w:val="23"/>
        <w:rPr>
          <w:rFonts w:ascii="宋体" w:hAnsi="宋体" w:eastAsia="宋体" w:cs="宋体"/>
          <w:sz w:val="21"/>
          <w:szCs w:val="21"/>
        </w:rPr>
      </w:pPr>
    </w:p>
    <w:p>
      <w:pPr>
        <w:rPr>
          <w:rFonts w:ascii="宋体" w:hAnsi="宋体" w:eastAsia="宋体" w:cs="宋体"/>
          <w:b/>
          <w:sz w:val="21"/>
          <w:szCs w:val="21"/>
        </w:rPr>
      </w:pPr>
    </w:p>
    <w:p>
      <w:pPr>
        <w:pStyle w:val="22"/>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26"/>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21"/>
        <w:gridCol w:w="85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tcPr>
          <w:p>
            <w:pPr>
              <w:widowControl/>
              <w:ind w:firstLine="240" w:firstLineChars="100"/>
              <w:jc w:val="both"/>
              <w:textAlignment w:val="top"/>
              <w:rPr>
                <w:szCs w:val="21"/>
              </w:rPr>
            </w:pPr>
            <w:r>
              <w:rPr>
                <w:rFonts w:ascii="宋体" w:hAnsi="宋体" w:cs="宋体"/>
                <w:kern w:val="0"/>
                <w:szCs w:val="21"/>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rPr>
              <w:t>）</w:t>
            </w:r>
          </w:p>
        </w:tc>
      </w:tr>
    </w:tbl>
    <w:p>
      <w:pPr>
        <w:pStyle w:val="33"/>
        <w:rPr>
          <w:rFonts w:hint="eastAsia" w:ascii="Calibri" w:hAnsi="Calibri" w:eastAsia="宋体"/>
          <w:b/>
          <w:bCs/>
          <w:kern w:val="2"/>
          <w:sz w:val="32"/>
          <w:szCs w:val="40"/>
        </w:rPr>
      </w:pPr>
    </w:p>
    <w:p>
      <w:pPr>
        <w:pStyle w:val="22"/>
        <w:widowControl/>
        <w:spacing w:before="280" w:beforeAutospacing="0"/>
        <w:jc w:val="center"/>
        <w:outlineLvl w:val="1"/>
        <w:rPr>
          <w:rFonts w:hint="eastAsia" w:ascii="黑体" w:hAnsi="宋体" w:eastAsia="黑体" w:cs="黑体"/>
          <w:sz w:val="40"/>
          <w:szCs w:val="40"/>
        </w:rPr>
      </w:pPr>
      <w:r>
        <w:rPr>
          <w:rFonts w:hint="eastAsia" w:ascii="黑体" w:hAnsi="宋体" w:eastAsia="黑体" w:cs="黑体"/>
          <w:sz w:val="40"/>
          <w:szCs w:val="40"/>
        </w:rPr>
        <w:t>符合性审查表</w:t>
      </w:r>
    </w:p>
    <w:tbl>
      <w:tblPr>
        <w:tblStyle w:val="26"/>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19"/>
        <w:gridCol w:w="85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8"/>
                <w:szCs w:val="28"/>
              </w:rPr>
            </w:pPr>
            <w:r>
              <w:rPr>
                <w:rFonts w:hint="eastAsia" w:ascii="宋体" w:hAnsi="宋体" w:eastAsia="宋体" w:cs="宋体"/>
                <w:kern w:val="0"/>
                <w:sz w:val="28"/>
                <w:szCs w:val="28"/>
              </w:rPr>
              <w:t>序号</w:t>
            </w:r>
          </w:p>
        </w:tc>
        <w:tc>
          <w:tcPr>
            <w:tcW w:w="4563" w:type="pct"/>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8"/>
                <w:szCs w:val="28"/>
              </w:rPr>
            </w:pPr>
            <w:r>
              <w:rPr>
                <w:rFonts w:hint="eastAsia" w:ascii="宋体" w:hAnsi="宋体" w:eastAsia="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p>
          <w:p>
            <w:pPr>
              <w:widowControl/>
              <w:jc w:val="left"/>
              <w:textAlignment w:val="top"/>
              <w:rPr>
                <w:rFonts w:hint="eastAsia" w:ascii="宋体" w:hAnsi="宋体" w:cs="宋体"/>
                <w:kern w:val="0"/>
                <w:szCs w:val="21"/>
                <w:lang w:val="en-US" w:eastAsia="zh-CN"/>
              </w:rPr>
            </w:pPr>
          </w:p>
          <w:p>
            <w:pPr>
              <w:widowControl/>
              <w:jc w:val="left"/>
              <w:textAlignment w:val="top"/>
              <w:rPr>
                <w:rFonts w:hint="eastAsia" w:ascii="宋体" w:hAnsi="宋体" w:cs="宋体"/>
                <w:kern w:val="0"/>
                <w:szCs w:val="21"/>
                <w:lang w:val="en-US" w:eastAsia="zh-CN"/>
              </w:rPr>
            </w:pPr>
          </w:p>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3</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投标报价：</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（1）分项报价或投标总价不得高于相应预算金额（或设定的预算金额下的最高限价）；</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2）投标人的报价明显低于其他通过符合性审查投标人的报价，有可能影响产品质量或者不能诚信履约的，投标人不能在合理的时间内提供书面说明或者无法提交相关证明材料；不能证明其报价合理性的（若评审委员会成员对投标人提供的说明材料判断不一致的，按照“少数服从多数”的原则确定评审委员会的意见）；</w:t>
            </w:r>
          </w:p>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（3）投标报价有缺漏项目,或者对招标文件规定的项目需求内容或者需求数量进行修改，评审委员会判定投标响应不满足采购需求；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未按招标文件规定要求签署、盖章；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4563" w:type="pct"/>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投标人不得对实质性技术与商务的（即标注★号条款）条款产生偏离；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6"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default" w:ascii="宋体" w:hAnsi="宋体" w:cs="宋体"/>
                <w:kern w:val="0"/>
                <w:szCs w:val="21"/>
                <w:lang w:val="en-US" w:eastAsia="zh-CN"/>
              </w:rPr>
            </w:pPr>
            <w:r>
              <w:rPr>
                <w:rFonts w:hint="eastAsia" w:ascii="宋体" w:hAnsi="宋体" w:cs="宋体"/>
                <w:kern w:val="0"/>
                <w:szCs w:val="21"/>
                <w:lang w:val="en-US" w:eastAsia="zh-CN"/>
              </w:rPr>
              <w:t>7</w:t>
            </w:r>
          </w:p>
        </w:tc>
        <w:tc>
          <w:tcPr>
            <w:tcW w:w="4563" w:type="pct"/>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val="en-US" w:eastAsia="zh-CN"/>
              </w:rPr>
            </w:pPr>
            <w:r>
              <w:rPr>
                <w:rFonts w:hint="eastAsia" w:ascii="宋体" w:hAnsi="宋体" w:cs="宋体"/>
                <w:kern w:val="0"/>
                <w:szCs w:val="21"/>
                <w:lang w:val="en-US" w:eastAsia="zh-CN"/>
              </w:rPr>
              <w:t>法律、法规、规章、规范性文件规定的其他情形。</w:t>
            </w:r>
          </w:p>
        </w:tc>
      </w:tr>
    </w:tbl>
    <w:p>
      <w:pPr>
        <w:widowControl w:val="0"/>
        <w:tabs>
          <w:tab w:val="left" w:pos="562"/>
          <w:tab w:val="left" w:pos="3372"/>
          <w:tab w:val="left" w:pos="3653"/>
        </w:tabs>
        <w:spacing w:line="360" w:lineRule="auto"/>
        <w:jc w:val="both"/>
        <w:rPr>
          <w:rFonts w:ascii="Calibri" w:hAnsi="Calibri" w:eastAsia="宋体"/>
          <w:b/>
          <w:bCs/>
          <w:kern w:val="2"/>
        </w:rPr>
      </w:pPr>
      <w:r>
        <w:rPr>
          <w:rFonts w:hint="eastAsia" w:asciiTheme="minorEastAsia" w:hAnsiTheme="minorEastAsia" w:eastAsiaTheme="minorEastAsia" w:cstheme="minorEastAsia"/>
          <w:b/>
          <w:bCs/>
          <w:kern w:val="2"/>
          <w:sz w:val="21"/>
          <w:szCs w:val="21"/>
        </w:rPr>
        <w:t>注：</w:t>
      </w:r>
    </w:p>
    <w:p>
      <w:pPr>
        <w:widowControl w:val="0"/>
        <w:tabs>
          <w:tab w:val="left" w:pos="562"/>
          <w:tab w:val="left" w:pos="3372"/>
          <w:tab w:val="left" w:pos="3653"/>
        </w:tabs>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kern w:val="2"/>
          <w:sz w:val="24"/>
          <w:szCs w:val="24"/>
          <w:lang w:val="en-US" w:eastAsia="zh-CN"/>
        </w:rPr>
        <w:t>投标人必须严格按照《符合性审查表》的评审内容的要求如实提供证明材料并应加盖投标人公章，对缺漏或不符合项将直接导致无效投标。</w:t>
      </w:r>
    </w:p>
    <w:p>
      <w:pPr>
        <w:spacing w:line="240" w:lineRule="auto"/>
        <w:jc w:val="center"/>
        <w:rPr>
          <w:rFonts w:hint="eastAsia" w:asciiTheme="minorEastAsia" w:hAnsiTheme="minorEastAsia" w:eastAsiaTheme="minorEastAsia" w:cstheme="minorEastAsia"/>
          <w:b/>
          <w:sz w:val="24"/>
          <w:szCs w:val="24"/>
          <w:lang w:val="en-US" w:eastAsia="zh-CN"/>
        </w:rPr>
      </w:pPr>
    </w:p>
    <w:p>
      <w:pPr>
        <w:spacing w:line="240" w:lineRule="auto"/>
        <w:jc w:val="left"/>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br w:type="page"/>
      </w:r>
    </w:p>
    <w:p>
      <w:pPr>
        <w:spacing w:line="240" w:lineRule="auto"/>
        <w:jc w:val="center"/>
        <w:rPr>
          <w:rFonts w:hint="eastAsia" w:asciiTheme="minorEastAsia" w:hAnsiTheme="minorEastAsia" w:eastAsiaTheme="minorEastAsia" w:cstheme="minorEastAsia"/>
          <w:b/>
          <w:sz w:val="40"/>
          <w:szCs w:val="40"/>
        </w:rPr>
      </w:pPr>
      <w:r>
        <w:rPr>
          <w:rFonts w:hint="eastAsia" w:asciiTheme="minorEastAsia" w:hAnsiTheme="minorEastAsia" w:eastAsiaTheme="minorEastAsia" w:cstheme="minorEastAsia"/>
          <w:b/>
          <w:sz w:val="40"/>
          <w:szCs w:val="40"/>
        </w:rPr>
        <w:t>评分信息</w:t>
      </w:r>
    </w:p>
    <w:p>
      <w:pPr>
        <w:spacing w:line="340" w:lineRule="exact"/>
        <w:ind w:firstLine="2409" w:firstLineChars="1000"/>
        <w:rPr>
          <w:rFonts w:hint="eastAsia" w:asciiTheme="minorEastAsia" w:hAnsiTheme="minorEastAsia" w:eastAsiaTheme="minorEastAsia" w:cstheme="minorEastAsia"/>
          <w:b/>
          <w:sz w:val="24"/>
          <w:szCs w:val="24"/>
        </w:rPr>
      </w:pPr>
    </w:p>
    <w:tbl>
      <w:tblPr>
        <w:tblStyle w:val="26"/>
        <w:tblW w:w="9072" w:type="dxa"/>
        <w:jc w:val="center"/>
        <w:tblCellSpacing w:w="0" w:type="dxa"/>
        <w:tblLayout w:type="autofit"/>
        <w:tblCellMar>
          <w:top w:w="45" w:type="dxa"/>
          <w:left w:w="45" w:type="dxa"/>
          <w:bottom w:w="45" w:type="dxa"/>
          <w:right w:w="45" w:type="dxa"/>
        </w:tblCellMar>
      </w:tblPr>
      <w:tblGrid>
        <w:gridCol w:w="9072"/>
      </w:tblGrid>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一、评标方法：综合评分法</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综合评分法，是指投标文件满足招标文件全部实质性要求，且按照评审因素的量化指标评审得分最高的投标人为中标候选人的评标方法。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价格分计算方法：</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采用低价优先法计算，即满足招标文件要求且投标价格最低的投标报价为评标基准价，其价格分为满分。其他投标人的价格分统一按照下列公式计算：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价格分=(</w:t>
            </w:r>
            <w:r>
              <w:rPr>
                <w:rFonts w:hint="eastAsia" w:asciiTheme="minorEastAsia" w:hAnsiTheme="minorEastAsia" w:eastAsiaTheme="minorEastAsia" w:cstheme="minorEastAsia"/>
                <w:sz w:val="24"/>
                <w:szCs w:val="24"/>
                <w:lang w:val="en-US" w:eastAsia="zh-CN"/>
              </w:rPr>
              <w:t>评标基准价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有效投标报价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权重</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评标总得分＝F1×A1＋F2×A2＋……＋Fn×An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F1、F2……Fn分别为各项评审因素的得分；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A1、A2、……An 分别为各项评审因素所占的权重(A1＋A2＋……＋An＝1)。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评标过程中，去掉报价中的最高报价和最低报价。 </w:t>
            </w:r>
          </w:p>
          <w:p>
            <w:p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此方法适用于货物类、服务类、工程类项目。 </w:t>
            </w:r>
          </w:p>
        </w:tc>
      </w:tr>
    </w:tbl>
    <w:p>
      <w:pPr>
        <w:numPr>
          <w:ilvl w:val="0"/>
          <w:numId w:val="1"/>
        </w:numPr>
        <w:tabs>
          <w:tab w:val="left" w:pos="360"/>
        </w:tabs>
        <w:spacing w:line="46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评分表</w:t>
      </w:r>
    </w:p>
    <w:tbl>
      <w:tblPr>
        <w:tblStyle w:val="26"/>
        <w:tblW w:w="494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484"/>
        <w:gridCol w:w="508"/>
        <w:gridCol w:w="2044"/>
        <w:gridCol w:w="1004"/>
        <w:gridCol w:w="52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912"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评分项</w:t>
            </w:r>
          </w:p>
        </w:tc>
        <w:tc>
          <w:tcPr>
            <w:tcW w:w="2826" w:type="pct"/>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p>
        </w:tc>
        <w:tc>
          <w:tcPr>
            <w:tcW w:w="1912" w:type="pct"/>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价格</w:t>
            </w:r>
          </w:p>
        </w:tc>
        <w:tc>
          <w:tcPr>
            <w:tcW w:w="2826"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75" w:hRule="atLeast"/>
          <w:jc w:val="center"/>
        </w:trPr>
        <w:tc>
          <w:tcPr>
            <w:tcW w:w="260" w:type="pct"/>
            <w:vMerge w:val="restart"/>
            <w:tcBorders>
              <w:top w:val="single" w:color="000000" w:sz="8" w:space="0"/>
              <w:left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1</w:t>
            </w:r>
          </w:p>
        </w:tc>
        <w:tc>
          <w:tcPr>
            <w:tcW w:w="1912" w:type="pct"/>
            <w:gridSpan w:val="3"/>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技术部分</w:t>
            </w:r>
          </w:p>
        </w:tc>
        <w:tc>
          <w:tcPr>
            <w:tcW w:w="2826" w:type="pct"/>
            <w:tcBorders>
              <w:top w:val="single" w:color="000000" w:sz="8" w:space="0"/>
              <w:left w:val="single" w:color="000000" w:sz="8" w:space="0"/>
              <w:bottom w:val="single" w:color="000000" w:sz="8" w:space="0"/>
              <w:right w:val="single" w:color="000000" w:sz="8" w:space="0"/>
            </w:tcBorders>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cs="宋体"/>
                <w:b/>
                <w:bCs/>
                <w:color w:val="0000FF"/>
                <w:sz w:val="21"/>
                <w:szCs w:val="21"/>
                <w:highlight w:val="none"/>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shd w:val="clear" w:color="auto" w:fill="E6EFFA"/>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099"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540"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826"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bottom w:val="single" w:color="auto" w:sz="4"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仿宋"/>
                <w:szCs w:val="21"/>
                <w:lang w:val="en-US" w:eastAsia="zh-CN"/>
              </w:rPr>
            </w:pPr>
            <w:r>
              <w:rPr>
                <w:rFonts w:hint="eastAsia" w:ascii="宋体" w:hAnsi="宋体" w:cs="仿宋"/>
                <w:szCs w:val="21"/>
                <w:lang w:val="en-US" w:eastAsia="zh-CN"/>
              </w:rPr>
              <w:t>1</w:t>
            </w:r>
          </w:p>
        </w:tc>
        <w:tc>
          <w:tcPr>
            <w:tcW w:w="109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技术参数偏离表</w:t>
            </w:r>
          </w:p>
        </w:tc>
        <w:tc>
          <w:tcPr>
            <w:tcW w:w="5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w:t>
            </w:r>
          </w:p>
        </w:tc>
        <w:tc>
          <w:tcPr>
            <w:tcW w:w="282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（一）评审内容：</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投标人应如实填写《技术规格偏离表》，各项非实质性技术参数指标及要求全部满足的得</w:t>
            </w:r>
            <w:r>
              <w:rPr>
                <w:rFonts w:hint="eastAsia" w:ascii="宋体" w:hAnsi="宋体" w:eastAsia="宋体" w:cs="宋体"/>
                <w:sz w:val="21"/>
                <w:szCs w:val="21"/>
                <w:highlight w:val="none"/>
                <w:lang w:val="en-US" w:eastAsia="zh-CN"/>
              </w:rPr>
              <w:t>40</w:t>
            </w:r>
            <w:r>
              <w:rPr>
                <w:rFonts w:hint="eastAsia" w:ascii="宋体" w:hAnsi="宋体" w:eastAsia="宋体" w:cs="宋体"/>
                <w:sz w:val="21"/>
                <w:szCs w:val="21"/>
                <w:highlight w:val="none"/>
              </w:rPr>
              <w:t>分；其中“▲”参数为重要指标，每负偏离一项扣</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分；其余指标每负偏离一项扣</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分，最低0分。</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（二）评</w:t>
            </w:r>
            <w:r>
              <w:rPr>
                <w:rFonts w:hint="eastAsia" w:ascii="宋体" w:hAnsi="宋体" w:eastAsia="宋体" w:cs="宋体"/>
                <w:b/>
                <w:bCs/>
                <w:sz w:val="22"/>
                <w:szCs w:val="22"/>
                <w:highlight w:val="none"/>
                <w:lang w:val="en-US" w:eastAsia="zh-CN"/>
              </w:rPr>
              <w:t>审</w:t>
            </w:r>
            <w:r>
              <w:rPr>
                <w:rFonts w:hint="eastAsia" w:ascii="宋体" w:hAnsi="宋体" w:eastAsia="宋体" w:cs="宋体"/>
                <w:b/>
                <w:bCs/>
                <w:sz w:val="22"/>
                <w:szCs w:val="22"/>
                <w:highlight w:val="none"/>
              </w:rPr>
              <w:t>依据：</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特别提醒：投标人的技术响应情况、偏离情况等必须与客观实际保持一致，响应不实且情节严重的，经查实，将依法记入供应商诚信档案或受到行政处罚。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restart"/>
            <w:tcBorders>
              <w:top w:val="single" w:color="auto" w:sz="4" w:space="0"/>
              <w:left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2</w:t>
            </w:r>
          </w:p>
        </w:tc>
        <w:tc>
          <w:tcPr>
            <w:tcW w:w="1912"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综合实力部分</w:t>
            </w:r>
          </w:p>
        </w:tc>
        <w:tc>
          <w:tcPr>
            <w:tcW w:w="282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shd w:val="clear" w:color="auto" w:fill="E6EFFA"/>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099"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540"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p>
        </w:tc>
        <w:tc>
          <w:tcPr>
            <w:tcW w:w="2826" w:type="pct"/>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09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供货进度方案</w:t>
            </w:r>
          </w:p>
        </w:tc>
        <w:tc>
          <w:tcPr>
            <w:tcW w:w="5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282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（一）评审内容：</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根据投标人提供的供货安装进度方案进行评审：</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1.供货流程；</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2.供货人员安排；</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3.应急供货措施。</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（二）评审依据：</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1.投标人提供的供货安装进度方案每包含以上1点内容的，得1分，最高得3分。</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2.在此基础上，评审委员会根据投标人的具体响应内容进一步评审：</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（1）有具体的时间节点和步骤且内容全面具体，可操作性强；</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（2）有具体的人员安排及明确的分工；</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（3）对突发情况有具体的应对措施且内容详实清晰，可操作性强；</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体现以上3点内容的加</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分，体现以上任意2点内容的加</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分，体现以上任意1点内容的加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分，其他情况不加分。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09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产品保障措施</w:t>
            </w:r>
          </w:p>
        </w:tc>
        <w:tc>
          <w:tcPr>
            <w:tcW w:w="5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282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（一）评审内容：</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根据投标人提供的产品的保障措施进行评审，保障措施内容如下：</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1.调试方案；</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2.售后服务方案；</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3.质量控制措施。</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（二）评审依据：</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1.投标人提供的产品的保障措施每包含以上1点内容的，得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2.在此基础上，评审委员会根据投标人的具体响应内容进一步评审：</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（1）方案内容全面具体；</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（2）方案内容完整规范；</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（3）方案内容详实清晰；</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（4）方案内容可操作性强；</w:t>
            </w:r>
          </w:p>
          <w:p>
            <w:pPr>
              <w:keepNext w:val="0"/>
              <w:keepLines w:val="0"/>
              <w:pageBreakBefore w:val="0"/>
              <w:wordWrap w:val="0"/>
              <w:overflowPunct/>
              <w:topLinePunct w:val="0"/>
              <w:bidi w:val="0"/>
              <w:spacing w:line="240" w:lineRule="auto"/>
              <w:ind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满足以上4项的加</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分，满足以上任意3项的加</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分，满足以上任意2项的加</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分，满足以上任意1项的加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分，其他情况不加分。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restart"/>
            <w:tcBorders>
              <w:top w:val="single" w:color="000000" w:sz="8" w:space="0"/>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3</w:t>
            </w:r>
          </w:p>
        </w:tc>
        <w:tc>
          <w:tcPr>
            <w:tcW w:w="1372"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诚信部分</w:t>
            </w:r>
          </w:p>
        </w:tc>
        <w:tc>
          <w:tcPr>
            <w:tcW w:w="3366" w:type="pct"/>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pPr>
              <w:pStyle w:val="46"/>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序号</w:t>
            </w:r>
          </w:p>
        </w:tc>
        <w:tc>
          <w:tcPr>
            <w:tcW w:w="1099" w:type="pct"/>
            <w:tcBorders>
              <w:top w:val="single" w:color="000000" w:sz="8" w:space="0"/>
              <w:left w:val="single" w:color="000000" w:sz="8" w:space="0"/>
              <w:bottom w:val="single" w:color="000000" w:sz="8" w:space="0"/>
              <w:right w:val="single" w:color="000000" w:sz="8" w:space="0"/>
            </w:tcBorders>
            <w:vAlign w:val="center"/>
          </w:tcPr>
          <w:p>
            <w:pPr>
              <w:pStyle w:val="46"/>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评分因素</w:t>
            </w:r>
          </w:p>
        </w:tc>
        <w:tc>
          <w:tcPr>
            <w:tcW w:w="540" w:type="pct"/>
            <w:tcBorders>
              <w:top w:val="single" w:color="000000" w:sz="8" w:space="0"/>
              <w:left w:val="single" w:color="000000" w:sz="8" w:space="0"/>
              <w:bottom w:val="single" w:color="000000" w:sz="8" w:space="0"/>
              <w:right w:val="single" w:color="000000" w:sz="8" w:space="0"/>
            </w:tcBorders>
            <w:vAlign w:val="center"/>
          </w:tcPr>
          <w:p>
            <w:pPr>
              <w:pStyle w:val="46"/>
              <w:keepNext w:val="0"/>
              <w:keepLines w:val="0"/>
              <w:pageBreakBefore w:val="0"/>
              <w:widowControl w:val="0"/>
              <w:kinsoku/>
              <w:wordWrap/>
              <w:overflowPunct/>
              <w:topLinePunct w:val="0"/>
              <w:bidi w:val="0"/>
              <w:adjustRightInd/>
              <w:snapToGrid/>
              <w:spacing w:line="360" w:lineRule="exact"/>
              <w:ind w:left="38" w:leftChars="16" w:firstLine="0" w:firstLineChars="0"/>
              <w:jc w:val="center"/>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权重（%）</w:t>
            </w:r>
          </w:p>
        </w:tc>
        <w:tc>
          <w:tcPr>
            <w:tcW w:w="2826"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wordWrap w:val="0"/>
              <w:overflowPunct/>
              <w:topLinePunct w:val="0"/>
              <w:bidi w:val="0"/>
              <w:spacing w:line="240" w:lineRule="auto"/>
              <w:ind w:firstLine="0" w:firstLineChars="0"/>
              <w:jc w:val="center"/>
              <w:textAlignment w:val="top"/>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260" w:type="pct"/>
            <w:vMerge w:val="continue"/>
            <w:tcBorders>
              <w:left w:val="single" w:color="000000" w:sz="8" w:space="0"/>
              <w:bottom w:val="single" w:color="000000" w:sz="8" w:space="0"/>
              <w:right w:val="single" w:color="000000" w:sz="8" w:space="0"/>
            </w:tcBorders>
            <w:vAlign w:val="center"/>
          </w:tcPr>
          <w:p>
            <w:pPr>
              <w:keepNext w:val="0"/>
              <w:keepLines w:val="0"/>
              <w:pageBreakBefore w:val="0"/>
              <w:overflowPunct/>
              <w:topLinePunct w:val="0"/>
              <w:bidi w:val="0"/>
              <w:spacing w:line="240" w:lineRule="auto"/>
              <w:ind w:firstLine="0" w:firstLineChars="0"/>
              <w:rPr>
                <w:rFonts w:hint="eastAsia" w:ascii="宋体" w:hAnsi="宋体" w:eastAsia="宋体" w:cs="宋体"/>
                <w:b/>
                <w:bCs/>
                <w:color w:val="0000FF"/>
                <w:sz w:val="21"/>
                <w:szCs w:val="21"/>
                <w:highlight w:val="none"/>
              </w:rPr>
            </w:pPr>
          </w:p>
        </w:tc>
        <w:tc>
          <w:tcPr>
            <w:tcW w:w="273"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099"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诚信情况</w:t>
            </w:r>
          </w:p>
        </w:tc>
        <w:tc>
          <w:tcPr>
            <w:tcW w:w="5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ordWrap w:val="0"/>
              <w:overflowPunct/>
              <w:topLinePunct w:val="0"/>
              <w:bidi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2826" w:type="pct"/>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wordWrap w:val="0"/>
              <w:overflowPunct/>
              <w:topLinePunct w:val="0"/>
              <w:bidi w:val="0"/>
              <w:spacing w:line="24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pPr>
              <w:keepNext w:val="0"/>
              <w:keepLines w:val="0"/>
              <w:pageBreakBefore w:val="0"/>
              <w:wordWrap w:val="0"/>
              <w:overflowPunct/>
              <w:topLinePunct w:val="0"/>
              <w:bidi w:val="0"/>
              <w:spacing w:line="24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查询渠道：通过“信用中国”（www.creditchina.gov.cn，下载信用信息报告）、“中国政府采购网”（www.ccgp.gov.cn）以及“深圳市政府采购监管网”（http://zfcg.sz.gov.cn）查询供应商信用信息，在三年内（自招标公告发布之日起倒推）</w:t>
            </w:r>
          </w:p>
        </w:tc>
      </w:tr>
    </w:tbl>
    <w:p>
      <w:pPr>
        <w:pStyle w:val="2"/>
        <w:numPr>
          <w:ilvl w:val="0"/>
          <w:numId w:val="0"/>
        </w:numPr>
        <w:rPr>
          <w:rFonts w:hint="eastAsia"/>
        </w:rPr>
      </w:pPr>
    </w:p>
    <w:p>
      <w:pPr>
        <w:pStyle w:val="20"/>
        <w:numPr>
          <w:ilvl w:val="0"/>
          <w:numId w:val="0"/>
        </w:numPr>
        <w:tabs>
          <w:tab w:val="clear" w:pos="426"/>
        </w:tabs>
        <w:ind w:leftChars="0"/>
        <w:jc w:val="center"/>
        <w:rPr>
          <w:rFonts w:hint="eastAsia"/>
          <w:lang w:val="en-US" w:eastAsia="zh-CN"/>
        </w:rPr>
      </w:pPr>
      <w:bookmarkStart w:id="1" w:name="bt其他资料由投标人自定"/>
      <w:bookmarkEnd w:id="1"/>
      <w:bookmarkStart w:id="2" w:name="bt合同条款"/>
      <w:bookmarkEnd w:id="2"/>
      <w:bookmarkStart w:id="3" w:name="bt投标文件签署授权委托书"/>
      <w:bookmarkEnd w:id="3"/>
      <w:bookmarkStart w:id="4" w:name="bt投标函"/>
      <w:bookmarkEnd w:id="4"/>
      <w:bookmarkStart w:id="5" w:name="bt说明"/>
      <w:bookmarkEnd w:id="5"/>
      <w:bookmarkStart w:id="6" w:name="bt投标人情况介绍"/>
      <w:bookmarkEnd w:id="6"/>
      <w:bookmarkStart w:id="7" w:name="bt技术标投标文件格式"/>
      <w:bookmarkEnd w:id="7"/>
      <w:bookmarkStart w:id="8" w:name="bt投标人须知"/>
      <w:bookmarkEnd w:id="8"/>
      <w:bookmarkStart w:id="9" w:name="合同格式"/>
      <w:bookmarkEnd w:id="9"/>
      <w:bookmarkStart w:id="10" w:name="bt项目管理班子配备情况"/>
      <w:bookmarkEnd w:id="10"/>
      <w:bookmarkStart w:id="11" w:name="bt合同条款及格式"/>
      <w:bookmarkEnd w:id="11"/>
      <w:bookmarkStart w:id="12" w:name="bt本工程承诺书"/>
      <w:bookmarkEnd w:id="12"/>
      <w:bookmarkStart w:id="13" w:name="bt商务标投标文件格式"/>
      <w:bookmarkEnd w:id="13"/>
      <w:bookmarkStart w:id="14" w:name="bt投标报价汇总表"/>
      <w:bookmarkEnd w:id="14"/>
      <w:bookmarkStart w:id="15" w:name="bt开标一览表"/>
      <w:bookmarkEnd w:id="15"/>
      <w:bookmarkStart w:id="16" w:name="bt合同格式"/>
      <w:bookmarkEnd w:id="16"/>
      <w:bookmarkStart w:id="17" w:name="bt其他资料2"/>
      <w:bookmarkEnd w:id="17"/>
      <w:bookmarkStart w:id="18" w:name="_Toc265483798"/>
      <w:bookmarkStart w:id="19" w:name="_Toc432592813"/>
      <w:bookmarkStart w:id="20" w:name="_Toc76544499"/>
    </w:p>
    <w:p>
      <w:pPr>
        <w:pStyle w:val="20"/>
        <w:numPr>
          <w:ilvl w:val="0"/>
          <w:numId w:val="0"/>
        </w:numPr>
        <w:tabs>
          <w:tab w:val="clear" w:pos="426"/>
        </w:tabs>
        <w:ind w:leftChars="0"/>
        <w:jc w:val="center"/>
        <w:rPr>
          <w:rFonts w:hint="eastAsia"/>
          <w:lang w:val="en-US" w:eastAsia="zh-CN"/>
        </w:rPr>
      </w:pPr>
    </w:p>
    <w:p>
      <w:pPr>
        <w:pStyle w:val="20"/>
        <w:numPr>
          <w:ilvl w:val="0"/>
          <w:numId w:val="0"/>
        </w:numPr>
        <w:tabs>
          <w:tab w:val="clear" w:pos="426"/>
        </w:tabs>
        <w:ind w:leftChars="0"/>
        <w:jc w:val="center"/>
        <w:rPr>
          <w:rFonts w:hint="eastAsia"/>
          <w:lang w:val="en-US" w:eastAsia="zh-CN"/>
        </w:rPr>
      </w:pPr>
    </w:p>
    <w:p>
      <w:pPr>
        <w:ind w:leftChars="0"/>
        <w:jc w:val="center"/>
        <w:rPr>
          <w:rFonts w:hint="eastAsia"/>
          <w:color w:val="auto"/>
          <w:lang w:val="en-US" w:eastAsia="zh-CN"/>
        </w:rPr>
      </w:pPr>
      <w:r>
        <w:rPr>
          <w:rFonts w:hint="eastAsia"/>
          <w:color w:val="auto"/>
          <w:lang w:val="en-US" w:eastAsia="zh-CN"/>
        </w:rPr>
        <w:br w:type="page"/>
      </w:r>
    </w:p>
    <w:p>
      <w:pPr>
        <w:pStyle w:val="20"/>
        <w:numPr>
          <w:ilvl w:val="0"/>
          <w:numId w:val="0"/>
        </w:numPr>
        <w:tabs>
          <w:tab w:val="clear" w:pos="426"/>
        </w:tabs>
        <w:ind w:leftChars="0"/>
        <w:jc w:val="center"/>
        <w:rPr>
          <w:color w:val="auto"/>
        </w:rPr>
      </w:pPr>
      <w:r>
        <w:rPr>
          <w:rFonts w:hint="eastAsia"/>
          <w:color w:val="auto"/>
          <w:lang w:val="en-US" w:eastAsia="zh-CN"/>
        </w:rPr>
        <w:t>第一章  招标</w:t>
      </w:r>
      <w:r>
        <w:rPr>
          <w:rFonts w:hint="eastAsia"/>
          <w:color w:val="auto"/>
        </w:rPr>
        <w:t>公告</w:t>
      </w:r>
      <w:bookmarkEnd w:id="18"/>
      <w:bookmarkEnd w:id="19"/>
      <w:bookmarkEnd w:id="20"/>
    </w:p>
    <w:p>
      <w:pPr>
        <w:keepNext w:val="0"/>
        <w:keepLines w:val="0"/>
        <w:pageBreakBefore w:val="0"/>
        <w:widowControl/>
        <w:tabs>
          <w:tab w:val="left" w:pos="426"/>
        </w:tabs>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rPr>
        <w:t>根据《中华人民共和国政府采购法》和《深圳经济特区政府采购条例实施细则》的有关规定，我院拟对以下项目进行</w:t>
      </w:r>
      <w:r>
        <w:rPr>
          <w:rFonts w:hint="eastAsia" w:ascii="宋体" w:hAnsi="宋体" w:eastAsia="宋体" w:cs="宋体"/>
          <w:bCs/>
          <w:color w:val="auto"/>
          <w:sz w:val="24"/>
          <w:szCs w:val="24"/>
          <w:shd w:val="clear" w:color="auto" w:fill="FFFFFF"/>
          <w:lang w:val="en-US" w:eastAsia="zh-CN"/>
        </w:rPr>
        <w:t>院内招标采购</w:t>
      </w:r>
      <w:r>
        <w:rPr>
          <w:rFonts w:hint="eastAsia" w:ascii="宋体" w:hAnsi="宋体" w:eastAsia="宋体" w:cs="宋体"/>
          <w:bCs/>
          <w:color w:val="auto"/>
          <w:sz w:val="24"/>
          <w:szCs w:val="24"/>
          <w:shd w:val="clear" w:color="auto" w:fill="FFFFFF"/>
        </w:rPr>
        <w:t>，欢迎符合条件具有供应能力的供应商或厂家前来报名参加。</w:t>
      </w:r>
    </w:p>
    <w:p>
      <w:pPr>
        <w:pStyle w:val="45"/>
        <w:widowControl w:val="0"/>
        <w:numPr>
          <w:ilvl w:val="0"/>
          <w:numId w:val="0"/>
        </w:numPr>
        <w:shd w:val="clear" w:color="auto" w:fill="auto"/>
        <w:adjustRightInd/>
        <w:snapToGrid/>
        <w:spacing w:line="560" w:lineRule="exact"/>
        <w:ind w:leftChars="0" w:firstLine="480"/>
        <w:rPr>
          <w:rFonts w:hint="eastAsia" w:ascii="宋体" w:hAnsi="宋体" w:eastAsia="宋体" w:cs="宋体"/>
          <w:bCs/>
          <w:color w:val="auto"/>
          <w:sz w:val="24"/>
          <w:szCs w:val="24"/>
          <w:shd w:val="clear" w:color="auto" w:fill="FFFFFF"/>
        </w:rPr>
      </w:pPr>
      <w:r>
        <w:rPr>
          <w:rFonts w:hint="eastAsia" w:ascii="宋体" w:hAnsi="宋体" w:eastAsia="宋体" w:cs="宋体"/>
          <w:bCs/>
          <w:color w:val="auto"/>
          <w:sz w:val="24"/>
          <w:szCs w:val="24"/>
          <w:shd w:val="clear" w:color="auto" w:fill="FFFFFF"/>
          <w:lang w:val="en-US" w:eastAsia="zh-CN"/>
        </w:rPr>
        <w:t>一、</w:t>
      </w:r>
      <w:r>
        <w:rPr>
          <w:rFonts w:hint="eastAsia" w:ascii="宋体" w:hAnsi="宋体" w:eastAsia="宋体" w:cs="宋体"/>
          <w:bCs/>
          <w:color w:val="auto"/>
          <w:sz w:val="24"/>
          <w:szCs w:val="24"/>
          <w:shd w:val="clear" w:color="auto" w:fill="FFFFFF"/>
        </w:rPr>
        <w:t>项目基本情况</w:t>
      </w:r>
    </w:p>
    <w:tbl>
      <w:tblPr>
        <w:tblStyle w:val="26"/>
        <w:tblW w:w="4996"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13"/>
        <w:gridCol w:w="1931"/>
        <w:gridCol w:w="2027"/>
        <w:gridCol w:w="784"/>
        <w:gridCol w:w="798"/>
        <w:gridCol w:w="1186"/>
        <w:gridCol w:w="664"/>
        <w:gridCol w:w="11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4" w:hRule="atLeast"/>
          <w:tblHeader/>
          <w:tblCellSpacing w:w="0" w:type="dxa"/>
          <w:jc w:val="center"/>
        </w:trPr>
        <w:tc>
          <w:tcPr>
            <w:tcW w:w="387" w:type="pct"/>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序号</w:t>
            </w:r>
          </w:p>
        </w:tc>
        <w:tc>
          <w:tcPr>
            <w:tcW w:w="1047" w:type="pct"/>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项目编号</w:t>
            </w:r>
          </w:p>
        </w:tc>
        <w:tc>
          <w:tcPr>
            <w:tcW w:w="1099"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lang w:eastAsia="zh-CN"/>
              </w:rPr>
              <w:t>名称</w:t>
            </w:r>
          </w:p>
        </w:tc>
        <w:tc>
          <w:tcPr>
            <w:tcW w:w="425"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433"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strike w:val="0"/>
                <w:dstrike w:val="0"/>
                <w:color w:val="auto"/>
                <w:kern w:val="0"/>
                <w:sz w:val="24"/>
                <w:szCs w:val="24"/>
                <w:highlight w:val="none"/>
                <w:lang w:val="en-US" w:eastAsia="zh-CN" w:bidi="ar"/>
              </w:rPr>
              <w:t>单位</w:t>
            </w:r>
          </w:p>
        </w:tc>
        <w:tc>
          <w:tcPr>
            <w:tcW w:w="643"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预算总价</w:t>
            </w:r>
          </w:p>
          <w:p>
            <w:pPr>
              <w:widowControl/>
              <w:adjustRightInd w:val="0"/>
              <w:snapToGrid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(元)</w:t>
            </w:r>
          </w:p>
        </w:tc>
        <w:tc>
          <w:tcPr>
            <w:tcW w:w="360"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是否进口</w:t>
            </w:r>
          </w:p>
        </w:tc>
        <w:tc>
          <w:tcPr>
            <w:tcW w:w="602"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8" w:hRule="atLeast"/>
          <w:tblCellSpacing w:w="0" w:type="dxa"/>
          <w:jc w:val="center"/>
        </w:trPr>
        <w:tc>
          <w:tcPr>
            <w:tcW w:w="387" w:type="pct"/>
            <w:tcBorders>
              <w:tl2br w:val="nil"/>
              <w:tr2bl w:val="nil"/>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w:t>
            </w:r>
          </w:p>
        </w:tc>
        <w:tc>
          <w:tcPr>
            <w:tcW w:w="1047" w:type="pct"/>
            <w:tcBorders>
              <w:tl2br w:val="nil"/>
              <w:tr2bl w:val="nil"/>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ENT20250704</w:t>
            </w:r>
          </w:p>
        </w:tc>
        <w:tc>
          <w:tcPr>
            <w:tcW w:w="1099" w:type="pct"/>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台式ATP生物荧光检测仪</w:t>
            </w:r>
          </w:p>
        </w:tc>
        <w:tc>
          <w:tcPr>
            <w:tcW w:w="425" w:type="pct"/>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1</w:t>
            </w:r>
          </w:p>
        </w:tc>
        <w:tc>
          <w:tcPr>
            <w:tcW w:w="433" w:type="pct"/>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套</w:t>
            </w:r>
          </w:p>
        </w:tc>
        <w:tc>
          <w:tcPr>
            <w:tcW w:w="643" w:type="pct"/>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128700</w:t>
            </w:r>
          </w:p>
        </w:tc>
        <w:tc>
          <w:tcPr>
            <w:tcW w:w="360" w:type="pct"/>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拒绝进口</w:t>
            </w:r>
          </w:p>
        </w:tc>
        <w:tc>
          <w:tcPr>
            <w:tcW w:w="602" w:type="pct"/>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kern w:val="0"/>
                <w:sz w:val="24"/>
                <w:szCs w:val="24"/>
                <w:highlight w:val="none"/>
                <w:lang w:val="en-US" w:eastAsia="zh-CN" w:bidi="ar-SA"/>
              </w:rPr>
              <w:t>不作为医疗器械管理</w:t>
            </w:r>
          </w:p>
        </w:tc>
      </w:tr>
    </w:tbl>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default"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核心产品：</w:t>
      </w:r>
      <w:r>
        <w:rPr>
          <w:rFonts w:hint="eastAsia" w:ascii="宋体" w:hAnsi="宋体" w:eastAsia="宋体" w:cs="宋体"/>
          <w:bCs/>
          <w:color w:val="333333"/>
          <w:kern w:val="0"/>
          <w:sz w:val="24"/>
          <w:szCs w:val="24"/>
          <w:u w:val="single"/>
          <w:shd w:val="clear" w:color="auto" w:fill="FFFFFF"/>
          <w:lang w:val="en-US" w:eastAsia="zh-CN" w:bidi="ar-SA"/>
        </w:rPr>
        <w:t xml:space="preserve">  台式ATP生物荧光检测仪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二、供应商（参与人）资格要求：</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cs="宋体"/>
          <w:bCs/>
          <w:color w:val="333333"/>
          <w:kern w:val="0"/>
          <w:sz w:val="24"/>
          <w:szCs w:val="24"/>
          <w:highlight w:val="none"/>
          <w:shd w:val="clear" w:color="auto" w:fill="FFFFFF"/>
          <w:lang w:val="en-US" w:eastAsia="zh-CN" w:bidi="ar-SA"/>
        </w:rPr>
      </w:pPr>
      <w:r>
        <w:rPr>
          <w:rFonts w:hint="eastAsia" w:cs="宋体"/>
          <w:bCs/>
          <w:color w:val="333333"/>
          <w:kern w:val="0"/>
          <w:sz w:val="24"/>
          <w:szCs w:val="24"/>
          <w:highlight w:val="none"/>
          <w:shd w:val="clear" w:color="auto" w:fill="FFFFFF"/>
          <w:lang w:val="en-US" w:eastAsia="zh-CN" w:bidi="ar-SA"/>
        </w:rPr>
        <w:t>1</w:t>
      </w:r>
      <w:r>
        <w:rPr>
          <w:rFonts w:hint="eastAsia" w:ascii="宋体" w:hAnsi="宋体" w:eastAsia="宋体" w:cs="宋体"/>
          <w:bCs/>
          <w:color w:val="333333"/>
          <w:kern w:val="0"/>
          <w:sz w:val="24"/>
          <w:szCs w:val="24"/>
          <w:highlight w:val="none"/>
          <w:shd w:val="clear" w:color="auto" w:fill="FFFFFF"/>
          <w:lang w:val="en-US" w:eastAsia="zh-CN" w:bidi="ar-SA"/>
        </w:rPr>
        <w:t>、供应商须是在中华人民共和国境内经注册独立法人单位，具有独立法人资格或者具有独立承担民事责任的能力的其他组织（提供营业执照或事业单位法人证等法人证明扫描件，原件备查）</w:t>
      </w:r>
      <w:r>
        <w:rPr>
          <w:rFonts w:hint="eastAsia" w:cs="宋体"/>
          <w:bCs/>
          <w:color w:val="333333"/>
          <w:kern w:val="0"/>
          <w:sz w:val="24"/>
          <w:szCs w:val="24"/>
          <w:highlight w:val="none"/>
          <w:shd w:val="clear" w:color="auto" w:fill="FFFFFF"/>
          <w:lang w:val="en-US" w:eastAsia="zh-CN" w:bidi="ar-SA"/>
        </w:rPr>
        <w:t>。</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2、若投标人为所投产品的生产企业，必须提供《医疗器械生产企业许可证》或备案凭证，且生产范围包含该产品。若投标人为所投产品的代理商或授权供应商，必须提供《医疗器械经营企业许可证》或备案凭证，且经营范围包含该产品（须提供相关证书扫描件，原件备查）；当所投产品属于第一类医疗器械时必须提供第一类医疗器械备案证明。</w:t>
      </w:r>
    </w:p>
    <w:p>
      <w:pPr>
        <w:pStyle w:val="2"/>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3、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4、若投标人所投产品为进口设备，则必须提供所投产品制造商出具的销售授权书，且同时提供由产品制造商或授权的中国总代理签署的合法有效的保修、维修承诺函扫描件，原件备查；若所投产品为国产产品，则无需提供。</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5、本项目不接受任何形式的联合体投标，不接受同一母公司下属两家（含两家）以上的分、子公司参与投标。投标人不得将本项目进行分包、转包。</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6、参与本项目投标前三年内，在经营活动中没有重大违法记录（由供应商在《投标及履约承诺函》中作出声明）。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7、参与本项目政府采购活动时不存在被有关部门禁止参与政府采购活动且在有效期内的情况（由供应商在《投标及履约承诺函》中作出声明）。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8、投标人未被列入失信被执行人、重大税收违法案件当事人名单及政府采购严重违法失信行为记录名单（由供应商在《投标及履约承诺函》中作出声明）。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9、单位负责人为同一人或者存在直接控股、管理关系的不同供应商，不得参加同一包号投标或者未划分包号的同一招标项目投标（由供应商在《投标及履约承诺函》中作出声明）。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10、为采购项目提供整体设计、规范编制或者项目管理、监理、检测等服务的供应商，不得再参加该采购项目的其他采购活动（由供应商在《投标及履约承诺函》中作出声明）。</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三、供应商报名资格审查资料清单（复印件加盖公章、原件备查）：</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1、供应商报名表（格式详见附件）；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2、企业法人营业执照、税务登记证、组织机构代码证复印件或三证合一复印件；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3、供应商基本情况表及供应商基本情况表附件（格式详见附件）；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4、法定代表人证明书（格式详见附件）；</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333333"/>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5、法定代表人授权书（格式详见附件，投标人代表为法定代表人的无需提供本格式）；</w:t>
      </w:r>
    </w:p>
    <w:p>
      <w:pPr>
        <w:shd w:val="clear" w:color="auto" w:fill="FFFFFF"/>
        <w:tabs>
          <w:tab w:val="left" w:pos="426"/>
        </w:tabs>
        <w:adjustRightInd w:val="0"/>
        <w:snapToGrid w:val="0"/>
        <w:spacing w:line="460" w:lineRule="atLeast"/>
        <w:ind w:firstLine="480" w:firstLineChars="200"/>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auto"/>
          <w:kern w:val="0"/>
          <w:sz w:val="24"/>
          <w:szCs w:val="24"/>
          <w:highlight w:val="none"/>
          <w:shd w:val="clear" w:color="auto" w:fill="FFFFFF"/>
          <w:lang w:val="en-US" w:eastAsia="zh-CN" w:bidi="ar-SA"/>
        </w:rPr>
        <w:t>6、若投标人为所投产品的生产企业，必须提供《医疗器械生产企业许可证》或备案凭证，且生产范围包含该产品；若投标人为所投产品的代理商或授权供应商，必须提供《医疗器械经营企业许可证》或备案凭证，且经营范围包含该产品（须提供相关证书扫描件，原件备查）；</w:t>
      </w:r>
    </w:p>
    <w:p>
      <w:pPr>
        <w:pStyle w:val="2"/>
        <w:rPr>
          <w:rFonts w:hint="eastAsia"/>
          <w:lang w:val="en-US" w:eastAsia="zh-CN"/>
        </w:rPr>
      </w:pPr>
    </w:p>
    <w:p>
      <w:pPr>
        <w:adjustRightInd w:val="0"/>
        <w:snapToGrid w:val="0"/>
        <w:spacing w:line="460" w:lineRule="atLeast"/>
        <w:ind w:firstLine="480" w:firstLineChars="200"/>
        <w:rPr>
          <w:rFonts w:hint="eastAsia"/>
          <w:lang w:val="en-US" w:eastAsia="zh-CN"/>
        </w:rPr>
      </w:pPr>
      <w:r>
        <w:rPr>
          <w:rFonts w:hint="eastAsia" w:ascii="宋体" w:hAnsi="宋体" w:eastAsia="宋体" w:cs="宋体"/>
          <w:color w:val="auto"/>
          <w:szCs w:val="21"/>
          <w:lang w:val="en-US" w:eastAsia="zh-CN"/>
        </w:rPr>
        <w:t>7、投标人须提供所投产品的《医疗器械注册（备案）证》的复印件，原件备查，开标时，该证应在有效期内；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460" w:lineRule="atLeast"/>
        <w:ind w:left="0" w:right="0" w:firstLine="480" w:firstLineChars="200"/>
        <w:jc w:val="left"/>
        <w:textAlignment w:val="auto"/>
        <w:rPr>
          <w:rFonts w:hint="eastAsia" w:ascii="宋体" w:hAnsi="宋体" w:eastAsia="宋体" w:cs="宋体"/>
          <w:bCs w:val="0"/>
          <w:color w:val="auto"/>
          <w:kern w:val="0"/>
          <w:sz w:val="24"/>
          <w:szCs w:val="21"/>
          <w:highlight w:val="none"/>
          <w:shd w:val="clear" w:color="auto" w:fill="auto"/>
          <w:lang w:val="en-US" w:eastAsia="zh-CN" w:bidi="ar-SA"/>
        </w:rPr>
      </w:pPr>
      <w:r>
        <w:rPr>
          <w:rFonts w:hint="eastAsia" w:ascii="宋体" w:hAnsi="宋体" w:eastAsia="宋体" w:cs="宋体"/>
          <w:bCs/>
          <w:color w:val="auto"/>
          <w:kern w:val="0"/>
          <w:sz w:val="24"/>
          <w:szCs w:val="24"/>
          <w:highlight w:val="none"/>
          <w:shd w:val="clear" w:color="auto" w:fill="FFFFFF"/>
          <w:lang w:val="en-US" w:eastAsia="zh-CN" w:bidi="ar-SA"/>
        </w:rPr>
        <w:t>8、</w:t>
      </w:r>
      <w:r>
        <w:rPr>
          <w:rFonts w:hint="eastAsia" w:ascii="宋体" w:hAnsi="宋体" w:eastAsia="宋体" w:cs="宋体"/>
          <w:bCs/>
          <w:color w:val="333333"/>
          <w:kern w:val="0"/>
          <w:sz w:val="24"/>
          <w:szCs w:val="24"/>
          <w:highlight w:val="none"/>
          <w:shd w:val="clear" w:color="auto" w:fill="FFFFFF"/>
          <w:lang w:val="en-US" w:eastAsia="zh-CN" w:bidi="ar-SA"/>
        </w:rPr>
        <w:t>若投标人所投产品为进口设备，则必须提供所投产品制造商出具的销售授权书，且同时提供由产品制造商或授权的中国总代理签署的合法有效的保修、维修承诺函扫描</w:t>
      </w:r>
      <w:r>
        <w:rPr>
          <w:rFonts w:hint="eastAsia" w:ascii="宋体" w:hAnsi="宋体" w:eastAsia="宋体" w:cs="宋体"/>
          <w:bCs w:val="0"/>
          <w:color w:val="auto"/>
          <w:kern w:val="0"/>
          <w:sz w:val="24"/>
          <w:szCs w:val="21"/>
          <w:highlight w:val="none"/>
          <w:shd w:val="clear" w:color="auto" w:fill="auto"/>
          <w:lang w:val="en-US" w:eastAsia="zh-CN" w:bidi="ar-SA"/>
        </w:rPr>
        <w:t>件，原件备查；若所投产品为国产产品，则无需提供。</w:t>
      </w:r>
    </w:p>
    <w:p>
      <w:pPr>
        <w:adjustRightInd w:val="0"/>
        <w:snapToGrid w:val="0"/>
        <w:spacing w:line="460" w:lineRule="atLeast"/>
        <w:ind w:firstLine="48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9、诚信声明函（格式自拟）。在三年内（自招标公告发布之日起倒推），通过“信用中国”（www.creditchina.gov.cn）、“中国政府采购网”（www.ccgp.gov.cn）、“深圳市政府采购监管网”（</w:t>
      </w:r>
      <w:ins w:id="0" w:author="沈少敏" w:date="2025-07-29T15:09:19Z">
        <w:r>
          <w:rPr>
            <w:rFonts w:ascii="Helvetica" w:hAnsi="Helvetica" w:eastAsia="Helvetica" w:cs="Helvetica"/>
            <w:i w:val="0"/>
            <w:iCs w:val="0"/>
            <w:caps w:val="0"/>
            <w:color w:val="616161"/>
            <w:spacing w:val="0"/>
            <w:sz w:val="21"/>
            <w:szCs w:val="21"/>
            <w:shd w:val="clear" w:fill="FFFFFF"/>
          </w:rPr>
          <w:t>zfcg.sz.gov.cn</w:t>
        </w:r>
      </w:ins>
      <w:del w:id="1" w:author="沈少敏" w:date="2025-07-29T15:09:19Z">
        <w:r>
          <w:rPr>
            <w:rFonts w:hint="eastAsia" w:ascii="宋体" w:hAnsi="宋体" w:eastAsia="宋体" w:cs="宋体"/>
            <w:color w:val="auto"/>
            <w:szCs w:val="21"/>
            <w:lang w:val="en-US" w:eastAsia="zh-CN"/>
          </w:rPr>
          <w:delText>www.zfcg.sz.gov.cn</w:delText>
        </w:r>
      </w:del>
      <w:r>
        <w:rPr>
          <w:rFonts w:hint="eastAsia" w:ascii="宋体" w:hAnsi="宋体" w:eastAsia="宋体" w:cs="宋体"/>
          <w:color w:val="auto"/>
          <w:szCs w:val="21"/>
          <w:lang w:val="en-US" w:eastAsia="zh-CN"/>
        </w:rPr>
        <w:t>）三个渠道查询供应商信用记录查询有失信记录，被取消中选资格的，与招标人有合同纠纷，或被索赔过的投标人的投标将被拒绝，需提供查询记录截图；</w:t>
      </w:r>
      <w:bookmarkStart w:id="35" w:name="_GoBack"/>
      <w:bookmarkEnd w:id="35"/>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FF0000"/>
          <w:kern w:val="0"/>
          <w:sz w:val="24"/>
          <w:szCs w:val="24"/>
          <w:shd w:val="clear" w:color="auto" w:fill="FFFFFF"/>
          <w:lang w:val="en-US" w:eastAsia="zh-CN" w:bidi="ar-SA"/>
        </w:rPr>
      </w:pPr>
      <w:r>
        <w:rPr>
          <w:rFonts w:hint="eastAsia" w:ascii="宋体" w:hAnsi="宋体" w:eastAsia="宋体" w:cs="宋体"/>
          <w:bCs/>
          <w:color w:val="FF0000"/>
          <w:kern w:val="0"/>
          <w:sz w:val="24"/>
          <w:szCs w:val="24"/>
          <w:shd w:val="clear" w:color="auto" w:fill="FFFFFF"/>
          <w:lang w:val="en-US" w:eastAsia="zh-CN" w:bidi="ar-SA"/>
        </w:rPr>
        <w:t>注意：声明函及三个渠道查询供应商信用查询记录截图均须提供。</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10、投标函（格式详见附件）；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11、</w:t>
      </w:r>
      <w:r>
        <w:rPr>
          <w:rFonts w:hint="eastAsia" w:asciiTheme="minorEastAsia" w:hAnsiTheme="minorEastAsia" w:eastAsiaTheme="minorEastAsia" w:cstheme="minorEastAsia"/>
          <w:bCs/>
          <w:sz w:val="24"/>
          <w:szCs w:val="24"/>
          <w:lang w:val="en-US" w:eastAsia="zh-CN"/>
        </w:rPr>
        <w:t>投标及履约承诺函（格式详见附件）</w:t>
      </w:r>
      <w:r>
        <w:rPr>
          <w:rFonts w:hint="eastAsia" w:asciiTheme="minorEastAsia" w:hAnsiTheme="minorEastAsia" w:cstheme="minorEastAsia"/>
          <w:bCs/>
          <w:sz w:val="24"/>
          <w:szCs w:val="24"/>
          <w:lang w:val="en-US" w:eastAsia="zh-CN"/>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12、龙岗区进一步规范政商交往行为告知书（格式详见附件）。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FF0000"/>
          <w:kern w:val="0"/>
          <w:sz w:val="24"/>
          <w:szCs w:val="24"/>
          <w:shd w:val="clear" w:color="auto" w:fill="FFFFFF"/>
          <w:lang w:val="en-US" w:eastAsia="zh-CN" w:bidi="ar-SA"/>
        </w:rPr>
        <w:t>以上资料需加盖公章。</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投标人应在</w:t>
      </w:r>
      <w:r>
        <w:rPr>
          <w:rFonts w:hint="eastAsia" w:asciiTheme="minorEastAsia" w:hAnsiTheme="minorEastAsia" w:eastAsiaTheme="minorEastAsia" w:cstheme="minorEastAsia"/>
          <w:b/>
          <w:bCs w:val="0"/>
          <w:sz w:val="24"/>
          <w:szCs w:val="24"/>
          <w:highlight w:val="none"/>
          <w:lang w:val="en-US" w:eastAsia="zh-CN"/>
        </w:rPr>
        <w:t>2025年</w:t>
      </w:r>
      <w:r>
        <w:rPr>
          <w:rFonts w:hint="eastAsia" w:asciiTheme="minorEastAsia" w:hAnsiTheme="minorEastAsia" w:cstheme="minorEastAsia"/>
          <w:b/>
          <w:bCs w:val="0"/>
          <w:sz w:val="24"/>
          <w:szCs w:val="24"/>
          <w:highlight w:val="none"/>
          <w:lang w:val="en-US" w:eastAsia="zh-CN"/>
        </w:rPr>
        <w:t xml:space="preserve"> 7</w:t>
      </w:r>
      <w:r>
        <w:rPr>
          <w:rFonts w:hint="eastAsia" w:asciiTheme="minorEastAsia" w:hAnsiTheme="minorEastAsia" w:eastAsiaTheme="minorEastAsia" w:cstheme="minorEastAsia"/>
          <w:b/>
          <w:bCs w:val="0"/>
          <w:sz w:val="24"/>
          <w:szCs w:val="24"/>
          <w:highlight w:val="none"/>
          <w:lang w:val="en-US" w:eastAsia="zh-CN"/>
        </w:rPr>
        <w:t>月</w:t>
      </w:r>
      <w:r>
        <w:rPr>
          <w:rFonts w:hint="eastAsia" w:asciiTheme="minorEastAsia" w:hAnsiTheme="minorEastAsia" w:cstheme="minorEastAsia"/>
          <w:b/>
          <w:bCs w:val="0"/>
          <w:sz w:val="24"/>
          <w:szCs w:val="24"/>
          <w:highlight w:val="none"/>
          <w:lang w:val="en-US" w:eastAsia="zh-CN"/>
        </w:rPr>
        <w:t>29</w:t>
      </w:r>
      <w:r>
        <w:rPr>
          <w:rFonts w:hint="eastAsia" w:asciiTheme="minorEastAsia" w:hAnsiTheme="minorEastAsia" w:eastAsiaTheme="minorEastAsia" w:cstheme="minorEastAsia"/>
          <w:b/>
          <w:bCs w:val="0"/>
          <w:sz w:val="24"/>
          <w:szCs w:val="24"/>
          <w:highlight w:val="none"/>
          <w:lang w:val="en-US" w:eastAsia="zh-CN"/>
        </w:rPr>
        <w:t>日-2025年</w:t>
      </w:r>
      <w:r>
        <w:rPr>
          <w:rFonts w:hint="eastAsia" w:asciiTheme="minorEastAsia" w:hAnsiTheme="minorEastAsia" w:cstheme="minorEastAsia"/>
          <w:b/>
          <w:bCs w:val="0"/>
          <w:sz w:val="24"/>
          <w:szCs w:val="24"/>
          <w:highlight w:val="none"/>
          <w:lang w:val="en-US" w:eastAsia="zh-CN"/>
        </w:rPr>
        <w:t>8</w:t>
      </w:r>
      <w:r>
        <w:rPr>
          <w:rFonts w:hint="eastAsia" w:asciiTheme="minorEastAsia" w:hAnsiTheme="minorEastAsia" w:eastAsiaTheme="minorEastAsia" w:cstheme="minorEastAsia"/>
          <w:b/>
          <w:bCs w:val="0"/>
          <w:sz w:val="24"/>
          <w:szCs w:val="24"/>
          <w:highlight w:val="none"/>
          <w:lang w:val="en-US" w:eastAsia="zh-CN"/>
        </w:rPr>
        <w:t>月</w:t>
      </w:r>
      <w:r>
        <w:rPr>
          <w:rFonts w:hint="eastAsia" w:asciiTheme="minorEastAsia" w:hAnsiTheme="minorEastAsia" w:cstheme="minorEastAsia"/>
          <w:b/>
          <w:bCs w:val="0"/>
          <w:sz w:val="24"/>
          <w:szCs w:val="24"/>
          <w:highlight w:val="none"/>
          <w:lang w:val="en-US" w:eastAsia="zh-CN"/>
        </w:rPr>
        <w:t>4</w:t>
      </w:r>
      <w:r>
        <w:rPr>
          <w:rFonts w:hint="eastAsia" w:asciiTheme="minorEastAsia" w:hAnsiTheme="minorEastAsia" w:eastAsiaTheme="minorEastAsia" w:cstheme="minorEastAsia"/>
          <w:b/>
          <w:bCs w:val="0"/>
          <w:sz w:val="24"/>
          <w:szCs w:val="24"/>
          <w:highlight w:val="none"/>
          <w:lang w:val="en-US" w:eastAsia="zh-CN"/>
        </w:rPr>
        <w:t>日</w:t>
      </w:r>
      <w:r>
        <w:rPr>
          <w:rFonts w:hint="eastAsia" w:asciiTheme="minorEastAsia" w:hAnsiTheme="minorEastAsia" w:eastAsiaTheme="minorEastAsia" w:cstheme="minorEastAsia"/>
          <w:bCs/>
          <w:sz w:val="24"/>
          <w:szCs w:val="24"/>
          <w:highlight w:val="none"/>
          <w:lang w:val="en-US" w:eastAsia="zh-CN"/>
        </w:rPr>
        <w:t>，</w:t>
      </w:r>
      <w:r>
        <w:rPr>
          <w:rFonts w:hint="eastAsia" w:asciiTheme="minorEastAsia" w:hAnsiTheme="minorEastAsia" w:eastAsiaTheme="minorEastAsia" w:cstheme="minorEastAsia"/>
          <w:b/>
          <w:bCs w:val="0"/>
          <w:sz w:val="24"/>
          <w:szCs w:val="24"/>
          <w:highlight w:val="none"/>
          <w:lang w:val="en-US" w:eastAsia="zh-CN"/>
        </w:rPr>
        <w:t>工作日</w:t>
      </w:r>
      <w:r>
        <w:rPr>
          <w:rFonts w:hint="eastAsia" w:asciiTheme="minorEastAsia" w:hAnsiTheme="minorEastAsia" w:eastAsiaTheme="minorEastAsia" w:cstheme="minorEastAsia"/>
          <w:bCs/>
          <w:sz w:val="24"/>
          <w:szCs w:val="24"/>
          <w:lang w:val="en-US" w:eastAsia="zh-CN"/>
        </w:rPr>
        <w:t>上午8:00-12:00，下午2:00-5:00，提交以上报名资料到深圳市</w:t>
      </w:r>
      <w:r>
        <w:rPr>
          <w:rFonts w:hint="eastAsia" w:asciiTheme="minorEastAsia" w:hAnsiTheme="minorEastAsia" w:cstheme="minorEastAsia"/>
          <w:bCs/>
          <w:sz w:val="24"/>
          <w:szCs w:val="24"/>
          <w:lang w:val="en-US" w:eastAsia="zh-CN"/>
        </w:rPr>
        <w:t>龙岗区龙城街道黄阁路186号</w:t>
      </w:r>
      <w:r>
        <w:rPr>
          <w:rFonts w:hint="eastAsia" w:asciiTheme="minorEastAsia" w:hAnsiTheme="minorEastAsia" w:eastAsiaTheme="minorEastAsia" w:cstheme="minorEastAsia"/>
          <w:bCs/>
          <w:sz w:val="24"/>
          <w:szCs w:val="24"/>
          <w:lang w:val="en-US" w:eastAsia="zh-CN"/>
        </w:rPr>
        <w:t>龙</w:t>
      </w:r>
      <w:r>
        <w:rPr>
          <w:rFonts w:hint="eastAsia" w:asciiTheme="minorEastAsia" w:hAnsiTheme="minorEastAsia" w:eastAsiaTheme="minorEastAsia" w:cstheme="minorEastAsia"/>
          <w:bCs/>
          <w:sz w:val="24"/>
          <w:szCs w:val="24"/>
          <w:highlight w:val="none"/>
          <w:lang w:val="en-US" w:eastAsia="zh-CN"/>
        </w:rPr>
        <w:t>岗区耳鼻咽喉医院</w:t>
      </w:r>
      <w:r>
        <w:rPr>
          <w:rFonts w:hint="eastAsia" w:asciiTheme="minorEastAsia" w:hAnsiTheme="minorEastAsia" w:cstheme="minorEastAsia"/>
          <w:bCs/>
          <w:sz w:val="24"/>
          <w:szCs w:val="24"/>
          <w:highlight w:val="none"/>
          <w:lang w:val="en-US" w:eastAsia="zh-CN"/>
        </w:rPr>
        <w:t>科研楼1106</w:t>
      </w:r>
      <w:r>
        <w:rPr>
          <w:rFonts w:hint="eastAsia" w:asciiTheme="minorEastAsia" w:hAnsiTheme="minorEastAsia" w:eastAsiaTheme="minorEastAsia" w:cstheme="minorEastAsia"/>
          <w:bCs/>
          <w:sz w:val="24"/>
          <w:szCs w:val="24"/>
          <w:highlight w:val="none"/>
          <w:lang w:val="en-US" w:eastAsia="zh-CN"/>
        </w:rPr>
        <w:t>审核，联系人：</w:t>
      </w:r>
      <w:r>
        <w:rPr>
          <w:rFonts w:hint="eastAsia" w:asciiTheme="minorEastAsia" w:hAnsiTheme="minorEastAsia" w:cstheme="minorEastAsia"/>
          <w:bCs/>
          <w:sz w:val="24"/>
          <w:szCs w:val="24"/>
          <w:highlight w:val="none"/>
          <w:lang w:val="en-US" w:eastAsia="zh-CN"/>
        </w:rPr>
        <w:t>曹老师</w:t>
      </w:r>
      <w:r>
        <w:rPr>
          <w:rFonts w:hint="eastAsia" w:asciiTheme="minorEastAsia" w:hAnsiTheme="minorEastAsia" w:eastAsiaTheme="minorEastAsia" w:cstheme="minorEastAsia"/>
          <w:bCs/>
          <w:sz w:val="24"/>
          <w:szCs w:val="24"/>
          <w:highlight w:val="none"/>
          <w:lang w:val="en-US" w:eastAsia="zh-CN"/>
        </w:rPr>
        <w:t>，联系方式：</w:t>
      </w:r>
      <w:r>
        <w:rPr>
          <w:rFonts w:hint="eastAsia" w:asciiTheme="minorEastAsia" w:hAnsiTheme="minorEastAsia" w:cstheme="minorEastAsia"/>
          <w:bCs/>
          <w:sz w:val="24"/>
          <w:szCs w:val="24"/>
          <w:highlight w:val="none"/>
          <w:lang w:val="en-US" w:eastAsia="zh-CN"/>
        </w:rPr>
        <w:t>0755-28989999-61106</w:t>
      </w:r>
      <w:r>
        <w:rPr>
          <w:rFonts w:hint="eastAsia" w:asciiTheme="minorEastAsia" w:hAnsiTheme="minorEastAsia" w:eastAsiaTheme="minorEastAsia" w:cstheme="minorEastAsia"/>
          <w:bCs/>
          <w:sz w:val="24"/>
          <w:szCs w:val="24"/>
          <w:highlight w:val="none"/>
          <w:lang w:val="en-US" w:eastAsia="zh-CN"/>
        </w:rPr>
        <w:t>。</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四、投标资料（详见招标文件）</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投标资料须加盖公章，密封在一个档案袋里面加盖骑缝章，一正五副，</w:t>
      </w:r>
      <w:r>
        <w:rPr>
          <w:rFonts w:hint="eastAsia" w:asciiTheme="minorEastAsia" w:hAnsiTheme="minorEastAsia" w:eastAsiaTheme="minorEastAsia" w:cstheme="minorEastAsia"/>
          <w:bCs/>
          <w:color w:val="FF0000"/>
          <w:sz w:val="24"/>
          <w:szCs w:val="24"/>
          <w:lang w:val="en-US" w:eastAsia="zh-CN"/>
        </w:rPr>
        <w:t>电子文件一份，U盘储存</w:t>
      </w:r>
      <w:r>
        <w:rPr>
          <w:rFonts w:hint="eastAsia" w:asciiTheme="minorEastAsia" w:hAnsiTheme="minorEastAsia" w:eastAsiaTheme="minorEastAsia" w:cstheme="minorEastAsia"/>
          <w:bCs/>
          <w:sz w:val="24"/>
          <w:szCs w:val="24"/>
          <w:lang w:val="en-US" w:eastAsia="zh-CN"/>
        </w:rPr>
        <w:t>（投标文件正本盖章后的扫描件，PDF格式）。供应商须将密封完好的投标资料带到开标现场，于开标时在现场提交评审。项目需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五、评分方法：综合评分法</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cs="宋体"/>
          <w:bCs/>
          <w:color w:val="333333"/>
          <w:kern w:val="0"/>
          <w:sz w:val="24"/>
          <w:szCs w:val="24"/>
          <w:shd w:val="clear" w:color="auto" w:fill="FFFFFF"/>
          <w:lang w:val="en-US" w:eastAsia="zh-CN" w:bidi="ar-SA"/>
        </w:rPr>
        <w:t>六</w:t>
      </w:r>
      <w:r>
        <w:rPr>
          <w:rFonts w:hint="eastAsia" w:ascii="宋体" w:hAnsi="宋体" w:eastAsia="宋体" w:cs="宋体"/>
          <w:bCs/>
          <w:color w:val="333333"/>
          <w:kern w:val="0"/>
          <w:sz w:val="24"/>
          <w:szCs w:val="24"/>
          <w:shd w:val="clear" w:color="auto" w:fill="FFFFFF"/>
          <w:lang w:val="en-US" w:eastAsia="zh-CN" w:bidi="ar-SA"/>
        </w:rPr>
        <w:t>、开标时间：另行通知</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附件1：报名表</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附件2：招标文件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Theme="minorEastAsia" w:hAnsiTheme="minorEastAsia" w:eastAsiaTheme="minorEastAsia" w:cstheme="minorEastAsia"/>
          <w:bCs/>
          <w:sz w:val="24"/>
          <w:szCs w:val="24"/>
          <w:lang w:val="en-US" w:eastAsia="zh-CN"/>
        </w:rPr>
        <w:t>附件3：供应商基本情况表及供应商基本情况表附件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附件4：法定代表人证明书</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附件5：法定代表人授权书</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附件6：信用声明函及证明文件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附件7：投标函</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default"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附件8：投标及履约承诺函</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6"/>
        </w:tabs>
        <w:kinsoku/>
        <w:wordWrap/>
        <w:overflowPunct/>
        <w:topLinePunct w:val="0"/>
        <w:autoSpaceDE/>
        <w:autoSpaceDN/>
        <w:bidi w:val="0"/>
        <w:adjustRightInd w:val="0"/>
        <w:snapToGrid w:val="0"/>
        <w:spacing w:before="0" w:beforeAutospacing="0" w:after="0" w:afterAutospacing="0" w:line="560" w:lineRule="exact"/>
        <w:ind w:left="0" w:leftChars="0" w:right="0" w:firstLine="480" w:firstLineChars="200"/>
        <w:jc w:val="left"/>
        <w:textAlignment w:val="auto"/>
        <w:rPr>
          <w:rFonts w:hint="eastAsia" w:ascii="宋体" w:hAnsi="宋体" w:eastAsia="宋体" w:cs="宋体"/>
          <w:bCs/>
          <w:color w:val="333333"/>
          <w:kern w:val="0"/>
          <w:sz w:val="24"/>
          <w:szCs w:val="24"/>
          <w:shd w:val="clear" w:color="auto" w:fill="FFFFFF"/>
          <w:lang w:val="en-US" w:eastAsia="zh-CN" w:bidi="ar-SA"/>
        </w:rPr>
      </w:pPr>
      <w:r>
        <w:rPr>
          <w:rFonts w:hint="eastAsia" w:ascii="宋体" w:hAnsi="宋体" w:eastAsia="宋体" w:cs="宋体"/>
          <w:bCs/>
          <w:color w:val="333333"/>
          <w:kern w:val="0"/>
          <w:sz w:val="24"/>
          <w:szCs w:val="24"/>
          <w:shd w:val="clear" w:color="auto" w:fill="FFFFFF"/>
          <w:lang w:val="en-US" w:eastAsia="zh-CN" w:bidi="ar-SA"/>
        </w:rPr>
        <w:t>附件9：龙岗区进一步规范政商交往行为告知书</w:t>
      </w:r>
    </w:p>
    <w:p>
      <w:pPr>
        <w:spacing w:line="240" w:lineRule="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br w:type="page"/>
      </w:r>
    </w:p>
    <w:p>
      <w:pPr>
        <w:spacing w:line="560" w:lineRule="exact"/>
        <w:ind w:firstLine="562" w:firstLineChars="200"/>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t>第二章   投标人须知</w:t>
      </w:r>
    </w:p>
    <w:p>
      <w:pPr>
        <w:pStyle w:val="45"/>
        <w:numPr>
          <w:ilvl w:val="0"/>
          <w:numId w:val="0"/>
        </w:numPr>
        <w:spacing w:line="240" w:lineRule="auto"/>
        <w:ind w:leftChars="0" w:firstLine="48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一、</w:t>
      </w:r>
      <w:r>
        <w:rPr>
          <w:rFonts w:hint="eastAsia" w:asciiTheme="minorEastAsia" w:hAnsiTheme="minorEastAsia" w:eastAsiaTheme="minorEastAsia" w:cstheme="minorEastAsia"/>
          <w:b/>
          <w:sz w:val="24"/>
          <w:szCs w:val="24"/>
          <w:highlight w:val="none"/>
        </w:rPr>
        <w:t>招标简介：</w:t>
      </w:r>
    </w:p>
    <w:p>
      <w:pPr>
        <w:widowControl w:val="0"/>
        <w:tabs>
          <w:tab w:val="left" w:pos="720"/>
        </w:tabs>
        <w:spacing w:line="560" w:lineRule="exact"/>
        <w:ind w:firstLine="48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（一）招标单位：</w:t>
      </w:r>
      <w:r>
        <w:rPr>
          <w:rFonts w:hint="eastAsia" w:asciiTheme="minorEastAsia" w:hAnsiTheme="minorEastAsia" w:eastAsiaTheme="minorEastAsia" w:cstheme="minorEastAsia"/>
          <w:sz w:val="24"/>
          <w:szCs w:val="24"/>
          <w:highlight w:val="none"/>
          <w:lang w:eastAsia="zh-CN"/>
        </w:rPr>
        <w:t>深圳市龙岗区耳鼻咽喉医院</w:t>
      </w:r>
    </w:p>
    <w:p>
      <w:pPr>
        <w:widowControl w:val="0"/>
        <w:tabs>
          <w:tab w:val="left" w:pos="72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（二）地    址：深圳市龙岗区龙城街道黄阁路186号</w:t>
      </w:r>
    </w:p>
    <w:p>
      <w:pPr>
        <w:widowControl w:val="0"/>
        <w:tabs>
          <w:tab w:val="left" w:pos="720"/>
        </w:tabs>
        <w:spacing w:line="560" w:lineRule="exact"/>
        <w:ind w:firstLine="480" w:firstLineChars="20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highlight w:val="yellow"/>
        </w:rPr>
        <w:t>（三）</w:t>
      </w:r>
      <w:r>
        <w:rPr>
          <w:rFonts w:hint="eastAsia" w:asciiTheme="minorEastAsia" w:hAnsiTheme="minorEastAsia" w:eastAsiaTheme="minorEastAsia" w:cstheme="minorEastAsia"/>
          <w:color w:val="auto"/>
          <w:sz w:val="24"/>
          <w:szCs w:val="24"/>
          <w:highlight w:val="yellow"/>
        </w:rPr>
        <w:t>资金来源：</w:t>
      </w:r>
      <w:r>
        <w:rPr>
          <w:rFonts w:hint="eastAsia"/>
          <w:color w:val="auto"/>
          <w:spacing w:val="-10"/>
          <w:lang w:eastAsia="zh-CN"/>
        </w:rPr>
        <w:t>☑</w:t>
      </w:r>
      <w:r>
        <w:rPr>
          <w:rFonts w:hint="eastAsia" w:asciiTheme="minorEastAsia" w:hAnsiTheme="minorEastAsia" w:cstheme="minorEastAsia"/>
          <w:color w:val="auto"/>
          <w:sz w:val="24"/>
          <w:szCs w:val="24"/>
          <w:highlight w:val="yellow"/>
          <w:lang w:val="en-US" w:eastAsia="zh-CN"/>
        </w:rPr>
        <w:t xml:space="preserve">财政资金 </w:t>
      </w:r>
      <w:r>
        <w:rPr>
          <w:rFonts w:hint="eastAsia"/>
          <w:color w:val="auto"/>
          <w:spacing w:val="-10"/>
          <w:lang w:eastAsia="zh-CN"/>
        </w:rPr>
        <w:t>□</w:t>
      </w:r>
      <w:r>
        <w:rPr>
          <w:rFonts w:hint="eastAsia" w:asciiTheme="minorEastAsia" w:hAnsiTheme="minorEastAsia" w:cstheme="minorEastAsia"/>
          <w:color w:val="auto"/>
          <w:sz w:val="24"/>
          <w:szCs w:val="24"/>
          <w:highlight w:val="yellow"/>
          <w:lang w:val="en-US" w:eastAsia="zh-CN"/>
        </w:rPr>
        <w:t>自筹资金</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二、</w:t>
      </w:r>
      <w:r>
        <w:rPr>
          <w:rFonts w:hint="eastAsia" w:asciiTheme="minorEastAsia" w:hAnsiTheme="minorEastAsia" w:cstheme="minorEastAsia"/>
          <w:b/>
          <w:sz w:val="24"/>
          <w:szCs w:val="24"/>
          <w:highlight w:val="none"/>
          <w:lang w:val="en-US" w:eastAsia="zh-CN"/>
        </w:rPr>
        <w:t>采购</w:t>
      </w:r>
      <w:r>
        <w:rPr>
          <w:rFonts w:hint="eastAsia" w:asciiTheme="minorEastAsia" w:hAnsiTheme="minorEastAsia" w:eastAsiaTheme="minorEastAsia" w:cstheme="minorEastAsia"/>
          <w:b/>
          <w:sz w:val="24"/>
          <w:szCs w:val="24"/>
          <w:highlight w:val="none"/>
        </w:rPr>
        <w:t>方式：</w:t>
      </w:r>
    </w:p>
    <w:p>
      <w:pPr>
        <w:spacing w:line="560" w:lineRule="exact"/>
        <w:ind w:firstLine="480" w:firstLineChars="200"/>
        <w:jc w:val="both"/>
        <w:rPr>
          <w:rFonts w:hint="eastAsia" w:ascii="宋体" w:hAnsi="宋体"/>
          <w:sz w:val="24"/>
          <w:szCs w:val="24"/>
          <w:highlight w:val="none"/>
        </w:rPr>
      </w:pPr>
      <w:r>
        <w:rPr>
          <w:rFonts w:hint="eastAsia" w:ascii="宋体" w:hAnsi="宋体"/>
          <w:sz w:val="24"/>
          <w:szCs w:val="24"/>
          <w:highlight w:val="none"/>
          <w:lang w:val="en-US" w:eastAsia="zh-CN"/>
        </w:rPr>
        <w:t>深圳市龙岗区耳鼻咽喉医院</w:t>
      </w:r>
      <w:r>
        <w:rPr>
          <w:rFonts w:hint="eastAsia" w:ascii="宋体" w:hAnsi="宋体"/>
          <w:sz w:val="24"/>
          <w:szCs w:val="24"/>
          <w:highlight w:val="none"/>
        </w:rPr>
        <w:t>院内公开</w:t>
      </w:r>
      <w:r>
        <w:rPr>
          <w:rFonts w:hint="eastAsia" w:ascii="宋体" w:hAnsi="宋体"/>
          <w:sz w:val="24"/>
          <w:szCs w:val="24"/>
          <w:highlight w:val="none"/>
          <w:lang w:val="en-US" w:eastAsia="zh-CN"/>
        </w:rPr>
        <w:t>招标</w:t>
      </w:r>
      <w:r>
        <w:rPr>
          <w:rFonts w:hint="eastAsia" w:ascii="宋体" w:hAnsi="宋体"/>
          <w:sz w:val="24"/>
          <w:szCs w:val="24"/>
          <w:highlight w:val="none"/>
        </w:rPr>
        <w:t>。</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三</w:t>
      </w:r>
      <w:r>
        <w:rPr>
          <w:rFonts w:hint="eastAsia" w:asciiTheme="minorEastAsia" w:hAnsiTheme="minorEastAsia" w:eastAsiaTheme="minorEastAsia" w:cstheme="minorEastAsia"/>
          <w:b/>
          <w:sz w:val="24"/>
          <w:szCs w:val="24"/>
          <w:highlight w:val="none"/>
        </w:rPr>
        <w:t>、投标</w:t>
      </w:r>
      <w:r>
        <w:rPr>
          <w:rFonts w:hint="eastAsia" w:asciiTheme="minorEastAsia" w:hAnsiTheme="minorEastAsia" w:eastAsiaTheme="minorEastAsia" w:cstheme="minorEastAsia"/>
          <w:b/>
          <w:sz w:val="24"/>
          <w:szCs w:val="24"/>
          <w:highlight w:val="none"/>
          <w:lang w:val="en-US" w:eastAsia="zh-CN"/>
        </w:rPr>
        <w:t>人</w:t>
      </w:r>
      <w:r>
        <w:rPr>
          <w:rFonts w:hint="eastAsia" w:asciiTheme="minorEastAsia" w:hAnsiTheme="minorEastAsia" w:eastAsiaTheme="minorEastAsia" w:cstheme="minorEastAsia"/>
          <w:b/>
          <w:sz w:val="24"/>
          <w:szCs w:val="24"/>
          <w:highlight w:val="none"/>
        </w:rPr>
        <w:t>应满足及同意如下条款：</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（一）同意按招标文件的要求提供完整投标资料，不在</w:t>
      </w:r>
      <w:r>
        <w:rPr>
          <w:rFonts w:hint="eastAsia" w:asciiTheme="minorEastAsia" w:hAnsiTheme="minorEastAsia" w:eastAsiaTheme="minorEastAsia" w:cstheme="minorEastAsia"/>
          <w:bCs/>
          <w:kern w:val="44"/>
          <w:sz w:val="24"/>
          <w:szCs w:val="24"/>
          <w:highlight w:val="none"/>
        </w:rPr>
        <w:t>投标文件的行间插字、涂改或增删。</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（二）同意承担因中标后违反招标文件要求而直接影响招标单位的工作正常运转，甚至造成不良后果的全部责任。</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（三）同意招标单位的招标项目需求。</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（四）保证在投标报价时按实际情况报价，并保证按质按量完成交付成果。</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（五）同意承担因用极端低价进行恶意竞争而造成的各种不良后果的全部责任。</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（六）同意中标后，如在履行合同过程中不能按本招标文件的要求和服务满足招标方，同意招标方单方中止合同。</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（七）在中标人被终止合同后，候选中标人如接到招标方通知要求时，应按照投标文件的要求提供服务启动签合同程序。</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（八）同意在接到中标通知书之日起10个工作日内到招标单位签订合同。</w:t>
      </w:r>
    </w:p>
    <w:p>
      <w:pPr>
        <w:spacing w:line="560" w:lineRule="exact"/>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sz w:val="24"/>
          <w:szCs w:val="24"/>
          <w:highlight w:val="none"/>
          <w:lang w:val="en-US" w:eastAsia="zh-CN"/>
        </w:rPr>
        <w:t>四、中标结果公示：</w:t>
      </w:r>
      <w:r>
        <w:rPr>
          <w:rFonts w:hint="eastAsia" w:asciiTheme="minorEastAsia" w:hAnsiTheme="minorEastAsia" w:eastAsiaTheme="minorEastAsia" w:cstheme="minorEastAsia"/>
          <w:sz w:val="24"/>
          <w:szCs w:val="24"/>
          <w:highlight w:val="none"/>
        </w:rPr>
        <w:t>中标结果将在龙岗区政府在线网公示3</w:t>
      </w:r>
      <w:r>
        <w:rPr>
          <w:rFonts w:hint="eastAsia" w:asciiTheme="minorEastAsia" w:hAnsiTheme="minorEastAsia" w:cstheme="minorEastAsia"/>
          <w:sz w:val="24"/>
          <w:szCs w:val="24"/>
          <w:highlight w:val="none"/>
          <w:lang w:val="en-US" w:eastAsia="zh-CN"/>
        </w:rPr>
        <w:t>个工作</w:t>
      </w:r>
      <w:r>
        <w:rPr>
          <w:rFonts w:hint="eastAsia" w:asciiTheme="minorEastAsia" w:hAnsiTheme="minorEastAsia" w:eastAsiaTheme="minorEastAsia" w:cstheme="minorEastAsia"/>
          <w:sz w:val="24"/>
          <w:szCs w:val="24"/>
          <w:highlight w:val="none"/>
        </w:rPr>
        <w:t>日，如无质疑，医院将与中标单位签订合同，未入围的单位不再另行通知。</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五</w:t>
      </w:r>
      <w:r>
        <w:rPr>
          <w:rFonts w:hint="eastAsia" w:asciiTheme="minorEastAsia" w:hAnsiTheme="minorEastAsia" w:eastAsiaTheme="minorEastAsia" w:cstheme="minorEastAsia"/>
          <w:b/>
          <w:sz w:val="24"/>
          <w:szCs w:val="24"/>
          <w:highlight w:val="none"/>
        </w:rPr>
        <w:t>、定标原则：</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（一）遵循公开、公平、公正的原则；</w:t>
      </w:r>
    </w:p>
    <w:p>
      <w:pPr>
        <w:tabs>
          <w:tab w:val="left" w:pos="720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（二）坚持质量优先、服务至上的原则。</w:t>
      </w:r>
    </w:p>
    <w:p>
      <w:pPr>
        <w:tabs>
          <w:tab w:val="left" w:pos="7200"/>
        </w:tabs>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pacing w:val="6"/>
          <w:kern w:val="11"/>
          <w:sz w:val="24"/>
          <w:szCs w:val="24"/>
          <w:highlight w:val="none"/>
        </w:rPr>
        <w:t>开标评审（定标）</w:t>
      </w:r>
      <w:r>
        <w:rPr>
          <w:rFonts w:hint="eastAsia" w:asciiTheme="minorEastAsia" w:hAnsiTheme="minorEastAsia" w:eastAsiaTheme="minorEastAsia" w:cstheme="minorEastAsia"/>
          <w:sz w:val="24"/>
          <w:szCs w:val="24"/>
          <w:highlight w:val="none"/>
        </w:rPr>
        <w:t>：招标人当众拆封，宣读投标人名称、投标价格以及投标文件中的其他主要内容，并进行审查。</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（四）医院纪审部门全程有效监督。</w:t>
      </w:r>
    </w:p>
    <w:p>
      <w:pPr>
        <w:widowControl/>
        <w:shd w:val="clear" w:color="auto" w:fill="FFFFFF"/>
        <w:spacing w:line="560" w:lineRule="exact"/>
        <w:ind w:firstLine="482" w:firstLineChars="200"/>
        <w:jc w:val="left"/>
        <w:rPr>
          <w:rFonts w:ascii="仿宋" w:hAnsi="仿宋" w:eastAsia="仿宋" w:cs="仿宋"/>
          <w:b/>
          <w:bCs/>
          <w:color w:val="000000"/>
          <w:sz w:val="24"/>
          <w:szCs w:val="24"/>
          <w:highlight w:val="none"/>
        </w:rPr>
      </w:pPr>
      <w:r>
        <w:rPr>
          <w:rFonts w:hint="eastAsia" w:asciiTheme="minorEastAsia" w:hAnsiTheme="minorEastAsia" w:cstheme="minorEastAsia"/>
          <w:b/>
          <w:sz w:val="24"/>
          <w:szCs w:val="24"/>
          <w:highlight w:val="none"/>
          <w:lang w:val="en-US" w:eastAsia="zh-CN"/>
        </w:rPr>
        <w:t>六、评标方法</w:t>
      </w:r>
    </w:p>
    <w:p>
      <w:pPr>
        <w:spacing w:line="560" w:lineRule="exact"/>
        <w:ind w:firstLine="480" w:firstLineChars="200"/>
        <w:rPr>
          <w:rFonts w:hint="eastAsia"/>
          <w:sz w:val="24"/>
          <w:szCs w:val="24"/>
          <w:highlight w:val="none"/>
        </w:rPr>
      </w:pPr>
      <w:r>
        <w:rPr>
          <w:rFonts w:hint="eastAsia" w:asciiTheme="minorEastAsia" w:hAnsiTheme="minorEastAsia" w:eastAsiaTheme="minorEastAsia" w:cstheme="minorEastAsia"/>
          <w:sz w:val="24"/>
          <w:szCs w:val="24"/>
          <w:highlight w:val="none"/>
        </w:rPr>
        <w:t>本次采用综合评标法，最高分为中标单位，并经龙岗</w:t>
      </w:r>
      <w:r>
        <w:rPr>
          <w:rFonts w:hint="eastAsia" w:asciiTheme="minorEastAsia" w:hAnsiTheme="minorEastAsia" w:cstheme="minorEastAsia"/>
          <w:sz w:val="24"/>
          <w:szCs w:val="24"/>
          <w:highlight w:val="none"/>
          <w:lang w:val="en-US" w:eastAsia="zh-CN"/>
        </w:rPr>
        <w:t>区耳鼻咽喉医院</w:t>
      </w:r>
      <w:r>
        <w:rPr>
          <w:rFonts w:hint="eastAsia" w:asciiTheme="minorEastAsia" w:hAnsiTheme="minorEastAsia" w:eastAsiaTheme="minorEastAsia" w:cstheme="minorEastAsia"/>
          <w:sz w:val="24"/>
          <w:szCs w:val="24"/>
          <w:highlight w:val="none"/>
        </w:rPr>
        <w:t>评标小组审核确定中标单位。</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bCs/>
          <w:sz w:val="24"/>
          <w:szCs w:val="24"/>
          <w:highlight w:val="none"/>
          <w:lang w:val="en-US" w:eastAsia="zh-CN"/>
        </w:rPr>
        <w:t>七</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sz w:val="24"/>
          <w:szCs w:val="24"/>
          <w:highlight w:val="none"/>
        </w:rPr>
        <w:t>无效标（废标）的认定：</w:t>
      </w:r>
    </w:p>
    <w:p>
      <w:pPr>
        <w:spacing w:line="560" w:lineRule="exact"/>
        <w:ind w:firstLine="480"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出现下列情况之一，“投标文件”为无效标（废标）：</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未按招投标文件的要求填报相关资料（包括样式和顺序等）；</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违反本招标文件的规定；</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未准时递交投标书，未准时出席开标评审会议；</w:t>
      </w:r>
    </w:p>
    <w:p>
      <w:pPr>
        <w:spacing w:line="560" w:lineRule="exact"/>
        <w:ind w:firstLine="480" w:firstLineChars="200"/>
        <w:jc w:val="both"/>
        <w:rPr>
          <w:rFonts w:hint="eastAsia" w:asciiTheme="minorEastAsia" w:hAnsiTheme="minorEastAsia" w:eastAsiaTheme="minorEastAsia" w:cstheme="minorEastAsia"/>
          <w:bCs/>
          <w:kern w:val="44"/>
          <w:sz w:val="24"/>
          <w:szCs w:val="24"/>
          <w:highlight w:val="none"/>
        </w:rPr>
      </w:pPr>
      <w:r>
        <w:rPr>
          <w:rFonts w:hint="eastAsia" w:asciiTheme="minorEastAsia" w:hAnsiTheme="minorEastAsia" w:eastAsiaTheme="minorEastAsia" w:cstheme="minorEastAsia"/>
          <w:sz w:val="24"/>
          <w:szCs w:val="24"/>
          <w:highlight w:val="none"/>
        </w:rPr>
        <w:t>（四）</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的投标文件资料不齐全或填报不完整或</w:t>
      </w:r>
      <w:r>
        <w:rPr>
          <w:rFonts w:hint="eastAsia" w:asciiTheme="minorEastAsia" w:hAnsiTheme="minorEastAsia" w:eastAsiaTheme="minorEastAsia" w:cstheme="minorEastAsia"/>
          <w:bCs/>
          <w:kern w:val="44"/>
          <w:sz w:val="24"/>
          <w:szCs w:val="24"/>
          <w:highlight w:val="none"/>
        </w:rPr>
        <w:t>对提交的投标文件行间插字、涂改</w:t>
      </w:r>
      <w:r>
        <w:rPr>
          <w:rFonts w:hint="eastAsia" w:asciiTheme="minorEastAsia" w:hAnsiTheme="minorEastAsia" w:cstheme="minorEastAsia"/>
          <w:bCs/>
          <w:kern w:val="44"/>
          <w:sz w:val="24"/>
          <w:szCs w:val="24"/>
          <w:highlight w:val="none"/>
          <w:lang w:eastAsia="zh-CN"/>
        </w:rPr>
        <w:t>、</w:t>
      </w:r>
      <w:r>
        <w:rPr>
          <w:rFonts w:hint="eastAsia" w:asciiTheme="minorEastAsia" w:hAnsiTheme="minorEastAsia" w:eastAsiaTheme="minorEastAsia" w:cstheme="minorEastAsia"/>
          <w:bCs/>
          <w:kern w:val="44"/>
          <w:sz w:val="24"/>
          <w:szCs w:val="24"/>
          <w:highlight w:val="none"/>
        </w:rPr>
        <w:t>增删；</w:t>
      </w:r>
    </w:p>
    <w:p>
      <w:pPr>
        <w:spacing w:line="560" w:lineRule="exact"/>
        <w:ind w:firstLine="482" w:firstLineChars="20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val="en-US" w:eastAsia="zh-CN"/>
        </w:rPr>
        <w:t>八</w:t>
      </w:r>
      <w:r>
        <w:rPr>
          <w:rFonts w:hint="eastAsia" w:asciiTheme="minorEastAsia" w:hAnsiTheme="minorEastAsia" w:eastAsiaTheme="minorEastAsia" w:cstheme="minorEastAsia"/>
          <w:b/>
          <w:sz w:val="24"/>
          <w:szCs w:val="24"/>
          <w:highlight w:val="none"/>
        </w:rPr>
        <w:t>、其他要求：</w:t>
      </w:r>
    </w:p>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投标报价表建议采用电脑打印，如手工填写必须在有涂改的地方盖上公章，否则视为报价不规范。如出现报价不规范的视为废标，有故意涂改情节的单位列入我院黑名单，3年内不得参加我院的任何投标。</w:t>
      </w:r>
    </w:p>
    <w:p>
      <w:pPr>
        <w:spacing w:line="56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br w:type="page"/>
      </w:r>
    </w:p>
    <w:p>
      <w:pPr>
        <w:spacing w:line="560" w:lineRule="exact"/>
        <w:ind w:firstLine="0" w:firstLineChars="0"/>
        <w:jc w:val="center"/>
        <w:rPr>
          <w:rFonts w:hint="eastAsia" w:asciiTheme="minorEastAsia" w:hAnsiTheme="minorEastAsia" w:eastAsiaTheme="minorEastAsia" w:cstheme="minorEastAsia"/>
          <w:bCs/>
          <w:sz w:val="24"/>
          <w:szCs w:val="24"/>
          <w:lang w:val="en-US" w:eastAsia="zh-CN"/>
        </w:rPr>
      </w:pPr>
      <w:r>
        <w:rPr>
          <w:rFonts w:hint="eastAsia" w:ascii="Cambria" w:hAnsi="Cambria" w:cs="Times New Roman" w:eastAsiaTheme="minorEastAsia"/>
          <w:b/>
          <w:bCs/>
          <w:kern w:val="28"/>
          <w:sz w:val="28"/>
          <w:szCs w:val="32"/>
          <w:highlight w:val="none"/>
          <w:lang w:val="en-US" w:eastAsia="zh-CN" w:bidi="ar-SA"/>
        </w:rPr>
        <w:t>第三章   用户需求书</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说明：</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cstheme="minorEastAsia"/>
          <w:b/>
          <w:bCs/>
          <w:color w:val="FF0000"/>
          <w:sz w:val="24"/>
          <w:szCs w:val="24"/>
          <w:lang w:val="en-US" w:eastAsia="zh-CN"/>
        </w:rPr>
        <w:t>1.</w:t>
      </w:r>
      <w:r>
        <w:rPr>
          <w:rFonts w:hint="eastAsia" w:asciiTheme="minorEastAsia" w:hAnsiTheme="minorEastAsia" w:eastAsiaTheme="minorEastAsia" w:cstheme="minorEastAsia"/>
          <w:b/>
          <w:bCs/>
          <w:color w:val="FF0000"/>
          <w:sz w:val="24"/>
          <w:szCs w:val="24"/>
        </w:rPr>
        <w:t>投标人须对本项目的采购标的或服务内容进行整体响应，任何只对采购标的或服务内容其中一部分内容进行的响应都被视为无效投标。</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cstheme="minorEastAsia"/>
          <w:b/>
          <w:bCs/>
          <w:color w:val="FF0000"/>
          <w:sz w:val="24"/>
          <w:szCs w:val="24"/>
          <w:lang w:val="en-US" w:eastAsia="zh-CN"/>
        </w:rPr>
        <w:t>2.</w:t>
      </w:r>
      <w:r>
        <w:rPr>
          <w:rFonts w:hint="eastAsia" w:asciiTheme="minorEastAsia" w:hAnsiTheme="minorEastAsia" w:eastAsiaTheme="minorEastAsia" w:cstheme="minorEastAsia"/>
          <w:b/>
          <w:bCs/>
          <w:color w:val="FF0000"/>
          <w:sz w:val="24"/>
          <w:szCs w:val="24"/>
          <w:lang w:val="en-US" w:eastAsia="zh-CN"/>
        </w:rPr>
        <w:t>评分时，如对一项招标商务要求（以划分框为准）中的内容存在两处（或以上）负偏离的，</w:t>
      </w:r>
      <w:r>
        <w:rPr>
          <w:rFonts w:hint="eastAsia" w:asciiTheme="minorEastAsia" w:hAnsiTheme="minorEastAsia" w:cstheme="minorEastAsia"/>
          <w:b/>
          <w:bCs/>
          <w:color w:val="FF0000"/>
          <w:sz w:val="24"/>
          <w:szCs w:val="24"/>
          <w:lang w:val="en-US" w:eastAsia="zh-CN"/>
        </w:rPr>
        <w:t>每条内容</w:t>
      </w:r>
      <w:r>
        <w:rPr>
          <w:rFonts w:hint="eastAsia" w:asciiTheme="minorEastAsia" w:hAnsiTheme="minorEastAsia" w:eastAsiaTheme="minorEastAsia" w:cstheme="minorEastAsia"/>
          <w:b/>
          <w:bCs/>
          <w:color w:val="FF0000"/>
          <w:sz w:val="24"/>
          <w:szCs w:val="24"/>
          <w:lang w:val="en-US" w:eastAsia="zh-CN"/>
        </w:rPr>
        <w:t>作一项负偏离扣分。</w:t>
      </w:r>
    </w:p>
    <w:p>
      <w:pPr>
        <w:tabs>
          <w:tab w:val="left" w:pos="360"/>
        </w:tabs>
        <w:spacing w:line="460" w:lineRule="exact"/>
        <w:ind w:firstLine="482" w:firstLineChars="200"/>
        <w:jc w:val="both"/>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3.</w:t>
      </w:r>
      <w:r>
        <w:rPr>
          <w:rFonts w:hint="eastAsia" w:asciiTheme="minorEastAsia" w:hAnsiTheme="minorEastAsia" w:eastAsiaTheme="minorEastAsia" w:cstheme="minorEastAsia"/>
          <w:b/>
          <w:bCs/>
          <w:color w:val="FF0000"/>
          <w:sz w:val="24"/>
          <w:szCs w:val="24"/>
        </w:rPr>
        <w:t>用户需求书中打“★”号条款为实质性条款，有任何一条负偏离则导致无效投标。</w:t>
      </w:r>
    </w:p>
    <w:p>
      <w:pPr>
        <w:tabs>
          <w:tab w:val="left" w:pos="360"/>
        </w:tabs>
        <w:spacing w:line="460" w:lineRule="exact"/>
        <w:ind w:firstLine="482" w:firstLineChars="200"/>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4.</w:t>
      </w:r>
      <w:r>
        <w:rPr>
          <w:rFonts w:hint="eastAsia" w:asciiTheme="minorEastAsia" w:hAnsiTheme="minorEastAsia" w:eastAsiaTheme="minorEastAsia" w:cstheme="minorEastAsia"/>
          <w:b/>
          <w:bCs/>
          <w:color w:val="FF0000"/>
          <w:sz w:val="24"/>
          <w:szCs w:val="24"/>
        </w:rPr>
        <w:t>用户需求书中打“▲”号条款为重要技术参数，但不作为无效投标条款。</w:t>
      </w:r>
    </w:p>
    <w:p>
      <w:pPr>
        <w:tabs>
          <w:tab w:val="left" w:pos="360"/>
        </w:tabs>
        <w:spacing w:line="460" w:lineRule="exact"/>
        <w:ind w:firstLine="482" w:firstLineChars="200"/>
        <w:rPr>
          <w:rFonts w:ascii="Times New Roman" w:hAnsi="Times New Roman" w:cs="Times New Roman"/>
          <w:b/>
          <w:bCs/>
          <w:szCs w:val="21"/>
          <w:highlight w:val="yellow"/>
        </w:rPr>
      </w:pPr>
      <w:r>
        <w:rPr>
          <w:rStyle w:val="29"/>
          <w:rFonts w:hint="eastAsia" w:ascii="宋体" w:hAnsi="宋体" w:cs="宋体"/>
          <w:bCs w:val="0"/>
          <w:color w:val="000000"/>
          <w:spacing w:val="0"/>
          <w:kern w:val="0"/>
          <w:sz w:val="24"/>
          <w:szCs w:val="24"/>
          <w:highlight w:val="none"/>
          <w:lang w:val="en-US"/>
        </w:rPr>
        <w:t>一</w:t>
      </w:r>
      <w:r>
        <w:rPr>
          <w:rStyle w:val="29"/>
          <w:rFonts w:hint="eastAsia" w:ascii="宋体" w:hAnsi="宋体" w:eastAsia="宋体" w:cs="宋体"/>
          <w:bCs w:val="0"/>
          <w:color w:val="000000"/>
          <w:spacing w:val="0"/>
          <w:kern w:val="0"/>
          <w:sz w:val="24"/>
          <w:szCs w:val="24"/>
          <w:highlight w:val="none"/>
          <w:lang w:val="en-US"/>
        </w:rPr>
        <w:t>、</w:t>
      </w:r>
      <w:r>
        <w:rPr>
          <w:rStyle w:val="29"/>
          <w:rFonts w:hint="eastAsia" w:ascii="宋体" w:hAnsi="宋体" w:cs="宋体"/>
          <w:bCs w:val="0"/>
          <w:color w:val="000000"/>
          <w:spacing w:val="0"/>
          <w:kern w:val="0"/>
          <w:sz w:val="24"/>
          <w:szCs w:val="24"/>
          <w:highlight w:val="none"/>
          <w:lang w:val="en-US"/>
        </w:rPr>
        <w:t>项目基本信息</w:t>
      </w:r>
    </w:p>
    <w:tbl>
      <w:tblPr>
        <w:tblStyle w:val="26"/>
        <w:tblW w:w="4977"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12"/>
        <w:gridCol w:w="1416"/>
        <w:gridCol w:w="1806"/>
        <w:gridCol w:w="801"/>
        <w:gridCol w:w="898"/>
        <w:gridCol w:w="1236"/>
        <w:gridCol w:w="648"/>
        <w:gridCol w:w="17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4" w:hRule="atLeast"/>
          <w:tblHeader/>
          <w:tblCellSpacing w:w="0" w:type="dxa"/>
          <w:jc w:val="center"/>
        </w:trPr>
        <w:tc>
          <w:tcPr>
            <w:tcW w:w="333" w:type="pct"/>
            <w:tcBorders>
              <w:tl2br w:val="nil"/>
              <w:tr2bl w:val="nil"/>
            </w:tcBorders>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序号</w:t>
            </w:r>
          </w:p>
        </w:tc>
        <w:tc>
          <w:tcPr>
            <w:tcW w:w="771" w:type="pct"/>
            <w:tcBorders>
              <w:tl2br w:val="nil"/>
              <w:tr2bl w:val="nil"/>
            </w:tcBorders>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项目编号</w:t>
            </w:r>
          </w:p>
        </w:tc>
        <w:tc>
          <w:tcPr>
            <w:tcW w:w="983" w:type="pct"/>
            <w:noWrap w:val="0"/>
            <w:tcMar>
              <w:top w:w="15" w:type="dxa"/>
              <w:left w:w="15" w:type="dxa"/>
              <w:bottom w:w="15" w:type="dxa"/>
              <w:right w:w="15" w:type="dxa"/>
            </w:tcMar>
            <w:vAlign w:val="center"/>
          </w:tcPr>
          <w:p>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lang w:eastAsia="zh-CN"/>
              </w:rPr>
              <w:t>名称</w:t>
            </w:r>
          </w:p>
        </w:tc>
        <w:tc>
          <w:tcPr>
            <w:tcW w:w="436" w:type="pct"/>
            <w:noWrap w:val="0"/>
            <w:tcMar>
              <w:top w:w="15" w:type="dxa"/>
              <w:left w:w="15" w:type="dxa"/>
              <w:bottom w:w="15" w:type="dxa"/>
              <w:right w:w="15" w:type="dxa"/>
            </w:tcMar>
            <w:vAlign w:val="center"/>
          </w:tcPr>
          <w:p>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489" w:type="pct"/>
            <w:noWrap w:val="0"/>
            <w:tcMar>
              <w:top w:w="15" w:type="dxa"/>
              <w:left w:w="15" w:type="dxa"/>
              <w:bottom w:w="15" w:type="dxa"/>
              <w:right w:w="15" w:type="dxa"/>
            </w:tcMar>
            <w:vAlign w:val="center"/>
          </w:tcPr>
          <w:p>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strike w:val="0"/>
                <w:dstrike w:val="0"/>
                <w:color w:val="auto"/>
                <w:kern w:val="0"/>
                <w:sz w:val="24"/>
                <w:szCs w:val="24"/>
                <w:highlight w:val="none"/>
                <w:lang w:val="en-US" w:eastAsia="zh-CN" w:bidi="ar"/>
              </w:rPr>
              <w:t>单位</w:t>
            </w:r>
          </w:p>
        </w:tc>
        <w:tc>
          <w:tcPr>
            <w:tcW w:w="673" w:type="pct"/>
            <w:noWrap w:val="0"/>
            <w:tcMar>
              <w:top w:w="15" w:type="dxa"/>
              <w:left w:w="15" w:type="dxa"/>
              <w:bottom w:w="15" w:type="dxa"/>
              <w:right w:w="15" w:type="dxa"/>
            </w:tcMar>
            <w:vAlign w:val="center"/>
          </w:tcPr>
          <w:p>
            <w:pPr>
              <w:widowControl/>
              <w:adjustRightInd w:val="0"/>
              <w:snapToGrid w:val="0"/>
              <w:spacing w:line="24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预算总价</w:t>
            </w:r>
            <w:r>
              <w:rPr>
                <w:rFonts w:hint="eastAsia" w:ascii="宋体" w:hAnsi="宋体" w:eastAsia="宋体" w:cs="宋体"/>
                <w:b w:val="0"/>
                <w:bCs w:val="0"/>
                <w:color w:val="auto"/>
                <w:kern w:val="0"/>
                <w:sz w:val="24"/>
                <w:szCs w:val="24"/>
                <w:highlight w:val="none"/>
              </w:rPr>
              <w:t>(元)</w:t>
            </w:r>
          </w:p>
        </w:tc>
        <w:tc>
          <w:tcPr>
            <w:tcW w:w="353" w:type="pct"/>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是否进口</w:t>
            </w:r>
          </w:p>
        </w:tc>
        <w:tc>
          <w:tcPr>
            <w:tcW w:w="959" w:type="pct"/>
            <w:noWrap w:val="0"/>
            <w:tcMar>
              <w:top w:w="15" w:type="dxa"/>
              <w:left w:w="15" w:type="dxa"/>
              <w:bottom w:w="15" w:type="dxa"/>
              <w:right w:w="15" w:type="dxa"/>
            </w:tcMar>
            <w:vAlign w:val="center"/>
          </w:tcPr>
          <w:p>
            <w:pPr>
              <w:widowControl/>
              <w:adjustRightInd w:val="0"/>
              <w:snapToGrid w:val="0"/>
              <w:spacing w:line="24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8" w:hRule="atLeast"/>
          <w:tblCellSpacing w:w="0" w:type="dxa"/>
          <w:jc w:val="center"/>
        </w:trPr>
        <w:tc>
          <w:tcPr>
            <w:tcW w:w="333" w:type="pct"/>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1</w:t>
            </w:r>
          </w:p>
        </w:tc>
        <w:tc>
          <w:tcPr>
            <w:tcW w:w="771" w:type="pct"/>
            <w:tcBorders>
              <w:tl2br w:val="nil"/>
              <w:tr2bl w:val="nil"/>
            </w:tcBorders>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ENT20250704</w:t>
            </w:r>
          </w:p>
        </w:tc>
        <w:tc>
          <w:tcPr>
            <w:tcW w:w="983" w:type="pct"/>
            <w:noWrap w:val="0"/>
            <w:tcMar>
              <w:top w:w="15" w:type="dxa"/>
              <w:left w:w="15" w:type="dxa"/>
              <w:bottom w:w="15" w:type="dxa"/>
              <w:right w:w="15" w:type="dxa"/>
            </w:tcMar>
            <w:vAlign w:val="center"/>
          </w:tcPr>
          <w:p>
            <w:pPr>
              <w:widowControl/>
              <w:adjustRightInd w:val="0"/>
              <w:snapToGrid w:val="0"/>
              <w:spacing w:line="360" w:lineRule="auto"/>
              <w:jc w:val="center"/>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台式ATP生物荧光检测仪</w:t>
            </w:r>
          </w:p>
        </w:tc>
        <w:tc>
          <w:tcPr>
            <w:tcW w:w="436"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1</w:t>
            </w:r>
          </w:p>
        </w:tc>
        <w:tc>
          <w:tcPr>
            <w:tcW w:w="489"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Times New Roman" w:hAnsi="Times New Roman" w:eastAsia="宋体" w:cs="Times New Roman"/>
                <w:b w:val="0"/>
                <w:bCs w:val="0"/>
                <w:color w:val="auto"/>
                <w:sz w:val="24"/>
                <w:szCs w:val="24"/>
                <w:highlight w:val="none"/>
                <w:lang w:val="en-US" w:eastAsia="zh-CN"/>
              </w:rPr>
            </w:pPr>
            <w:r>
              <w:rPr>
                <w:rFonts w:hint="eastAsia" w:eastAsia="宋体" w:cs="Times New Roman"/>
                <w:b w:val="0"/>
                <w:bCs w:val="0"/>
                <w:color w:val="auto"/>
                <w:sz w:val="24"/>
                <w:szCs w:val="24"/>
                <w:highlight w:val="none"/>
                <w:lang w:val="en-US" w:eastAsia="zh-CN"/>
              </w:rPr>
              <w:t>套</w:t>
            </w:r>
          </w:p>
        </w:tc>
        <w:tc>
          <w:tcPr>
            <w:tcW w:w="673" w:type="pct"/>
            <w:noWrap w:val="0"/>
            <w:tcMar>
              <w:top w:w="15" w:type="dxa"/>
              <w:left w:w="15" w:type="dxa"/>
              <w:bottom w:w="15" w:type="dxa"/>
              <w:right w:w="15" w:type="dxa"/>
            </w:tcMar>
            <w:vAlign w:val="center"/>
          </w:tcPr>
          <w:p>
            <w:pPr>
              <w:widowControl/>
              <w:adjustRightInd w:val="0"/>
              <w:snapToGrid w:val="0"/>
              <w:spacing w:line="360" w:lineRule="auto"/>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128700</w:t>
            </w:r>
          </w:p>
        </w:tc>
        <w:tc>
          <w:tcPr>
            <w:tcW w:w="648"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拒绝进口</w:t>
            </w:r>
          </w:p>
        </w:tc>
        <w:tc>
          <w:tcPr>
            <w:tcW w:w="1761"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kern w:val="0"/>
                <w:sz w:val="24"/>
                <w:szCs w:val="24"/>
                <w:highlight w:val="none"/>
                <w:lang w:val="en-US" w:eastAsia="zh-CN" w:bidi="ar-SA"/>
              </w:rPr>
              <w:t>不作为医疗器械管理</w:t>
            </w:r>
          </w:p>
        </w:tc>
      </w:tr>
    </w:tbl>
    <w:p>
      <w:pPr>
        <w:pStyle w:val="45"/>
        <w:numPr>
          <w:ilvl w:val="-1"/>
          <w:numId w:val="0"/>
        </w:numPr>
        <w:spacing w:line="240" w:lineRule="auto"/>
        <w:ind w:left="0" w:firstLine="522" w:firstLineChars="200"/>
        <w:rPr>
          <w:rStyle w:val="29"/>
          <w:rFonts w:ascii="宋体" w:hAnsi="宋体" w:eastAsia="宋体" w:cs="宋体"/>
          <w:color w:val="000000"/>
          <w:kern w:val="0"/>
        </w:rPr>
      </w:pPr>
    </w:p>
    <w:p>
      <w:pPr>
        <w:pStyle w:val="45"/>
        <w:numPr>
          <w:ilvl w:val="-1"/>
          <w:numId w:val="0"/>
        </w:numPr>
        <w:spacing w:line="240" w:lineRule="auto"/>
        <w:ind w:left="0" w:firstLine="522" w:firstLineChars="200"/>
        <w:rPr>
          <w:rFonts w:hint="default" w:ascii="Times New Roman" w:hAnsi="Times New Roman" w:cs="Times New Roman"/>
          <w:b/>
          <w:bCs/>
          <w:szCs w:val="21"/>
          <w:highlight w:val="yellow"/>
          <w:lang w:val="en-US"/>
        </w:rPr>
      </w:pPr>
      <w:r>
        <w:rPr>
          <w:rStyle w:val="29"/>
          <w:rFonts w:hint="eastAsia" w:ascii="宋体" w:hAnsi="宋体" w:eastAsia="宋体" w:cs="宋体"/>
          <w:b/>
          <w:bCs/>
          <w:color w:val="000000"/>
          <w:kern w:val="0"/>
          <w:sz w:val="24"/>
          <w:szCs w:val="24"/>
          <w:highlight w:val="none"/>
          <w:lang w:val="en-US" w:eastAsia="zh-CN"/>
        </w:rPr>
        <w:t>二、货物需求明细</w:t>
      </w:r>
      <w:r>
        <w:rPr>
          <w:rStyle w:val="29"/>
          <w:rFonts w:hint="eastAsia" w:ascii="宋体" w:hAnsi="宋体" w:cs="宋体"/>
          <w:b/>
          <w:bCs/>
          <w:color w:val="000000"/>
          <w:kern w:val="0"/>
          <w:sz w:val="24"/>
          <w:szCs w:val="24"/>
          <w:highlight w:val="none"/>
          <w:lang w:val="en-US" w:eastAsia="zh-CN"/>
        </w:rPr>
        <w:t>清单</w:t>
      </w:r>
    </w:p>
    <w:tbl>
      <w:tblPr>
        <w:tblStyle w:val="26"/>
        <w:tblW w:w="4885" w:type="pct"/>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2"/>
        <w:gridCol w:w="3250"/>
        <w:gridCol w:w="1750"/>
        <w:gridCol w:w="1084"/>
        <w:gridCol w:w="1166"/>
        <w:gridCol w:w="1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aps w:val="0"/>
                <w:color w:val="444444"/>
                <w:spacing w:val="0"/>
                <w:sz w:val="24"/>
                <w:szCs w:val="24"/>
              </w:rPr>
              <w:t>货物名称</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cstheme="minorEastAsia"/>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w:t>
            </w:r>
          </w:p>
        </w:tc>
        <w:tc>
          <w:tcPr>
            <w:tcW w:w="1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 机</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台</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w:t>
            </w:r>
          </w:p>
        </w:tc>
        <w:tc>
          <w:tcPr>
            <w:tcW w:w="1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延长组件</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个</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w:t>
            </w:r>
          </w:p>
        </w:tc>
        <w:tc>
          <w:tcPr>
            <w:tcW w:w="1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PC数据连接线</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条</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w:t>
            </w:r>
          </w:p>
        </w:tc>
        <w:tc>
          <w:tcPr>
            <w:tcW w:w="1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电源适配器</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个</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w:t>
            </w:r>
          </w:p>
        </w:tc>
        <w:tc>
          <w:tcPr>
            <w:tcW w:w="1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充电线</w:t>
            </w:r>
            <w:r>
              <w:rPr>
                <w:rFonts w:hint="eastAsia" w:asciiTheme="minorEastAsia" w:hAnsiTheme="minorEastAsia" w:eastAsiaTheme="minorEastAsia" w:cstheme="minorEastAsia"/>
                <w:sz w:val="24"/>
                <w:szCs w:val="24"/>
                <w:highlight w:val="none"/>
                <w:lang w:val="en-US" w:eastAsia="zh-CN"/>
              </w:rPr>
              <w:t>及</w:t>
            </w:r>
            <w:r>
              <w:rPr>
                <w:rFonts w:hint="eastAsia" w:asciiTheme="minorEastAsia" w:hAnsiTheme="minorEastAsia" w:eastAsiaTheme="minorEastAsia" w:cstheme="minorEastAsia"/>
                <w:sz w:val="24"/>
                <w:szCs w:val="24"/>
                <w:highlight w:val="none"/>
              </w:rPr>
              <w:t>充电线插座</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套</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w:t>
            </w:r>
          </w:p>
        </w:tc>
        <w:tc>
          <w:tcPr>
            <w:tcW w:w="1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台式座充</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个</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7</w:t>
            </w:r>
          </w:p>
        </w:tc>
        <w:tc>
          <w:tcPr>
            <w:tcW w:w="1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保护套</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个</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8</w:t>
            </w:r>
          </w:p>
        </w:tc>
        <w:tc>
          <w:tcPr>
            <w:tcW w:w="1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检查舱开启器</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个</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9</w:t>
            </w:r>
          </w:p>
        </w:tc>
        <w:tc>
          <w:tcPr>
            <w:tcW w:w="1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工作软件</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套</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10</w:t>
            </w:r>
          </w:p>
        </w:tc>
        <w:tc>
          <w:tcPr>
            <w:tcW w:w="1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便携仪器箱</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个</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11</w:t>
            </w:r>
          </w:p>
        </w:tc>
        <w:tc>
          <w:tcPr>
            <w:tcW w:w="1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ATP采样拭子</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支</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30</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12</w:t>
            </w:r>
          </w:p>
        </w:tc>
        <w:tc>
          <w:tcPr>
            <w:tcW w:w="1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过氧化氢气体监测仪</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个</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13</w:t>
            </w:r>
          </w:p>
        </w:tc>
        <w:tc>
          <w:tcPr>
            <w:tcW w:w="1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定制亚克力盒子（存放纸塑袋）</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个</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14</w:t>
            </w:r>
          </w:p>
        </w:tc>
        <w:tc>
          <w:tcPr>
            <w:tcW w:w="1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both"/>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eastAsia="zh-CN"/>
              </w:rPr>
              <w:t>清洗篮框（大）</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个</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default" w:asciiTheme="minorEastAsia" w:hAnsiTheme="minorEastAsia" w:eastAsiaTheme="minorEastAsia" w:cstheme="minorEastAsia"/>
                <w:sz w:val="24"/>
                <w:szCs w:val="24"/>
                <w:highlight w:val="none"/>
                <w:lang w:val="en-US"/>
              </w:rPr>
            </w:pPr>
            <w:r>
              <w:rPr>
                <w:rFonts w:hint="eastAsia" w:asciiTheme="minorEastAsia" w:hAnsiTheme="minorEastAsia" w:cstheme="minorEastAsia"/>
                <w:sz w:val="24"/>
                <w:szCs w:val="24"/>
                <w:highlight w:val="none"/>
                <w:lang w:val="en-US" w:eastAsia="zh-CN"/>
              </w:rPr>
              <w:t>20</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15</w:t>
            </w:r>
          </w:p>
        </w:tc>
        <w:tc>
          <w:tcPr>
            <w:tcW w:w="1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带盖的密封篮框</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个</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5</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16</w:t>
            </w:r>
          </w:p>
        </w:tc>
        <w:tc>
          <w:tcPr>
            <w:tcW w:w="1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器械车</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个</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17</w:t>
            </w:r>
          </w:p>
        </w:tc>
        <w:tc>
          <w:tcPr>
            <w:tcW w:w="1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both"/>
              <w:rPr>
                <w:rFonts w:hint="eastAsia" w:asciiTheme="minorEastAsia" w:hAnsiTheme="minorEastAsia" w:eastAsiaTheme="minorEastAsia" w:cstheme="minorEastAsia"/>
                <w:sz w:val="24"/>
                <w:szCs w:val="24"/>
                <w:highlight w:val="none"/>
              </w:rPr>
            </w:pPr>
            <w:r>
              <w:rPr>
                <w:rFonts w:hint="default" w:asciiTheme="minorEastAsia" w:hAnsiTheme="minorEastAsia" w:eastAsiaTheme="minorEastAsia" w:cstheme="minorEastAsia"/>
                <w:sz w:val="24"/>
                <w:szCs w:val="24"/>
                <w:highlight w:val="none"/>
                <w:lang w:val="en-US" w:eastAsia="zh-CN"/>
              </w:rPr>
              <w:t>压力蒸汽灭菌器装载架层板</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块</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6</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p>
        </w:tc>
      </w:tr>
    </w:tbl>
    <w:p>
      <w:pPr>
        <w:spacing w:line="560" w:lineRule="exact"/>
        <w:ind w:firstLine="482" w:firstLineChars="200"/>
        <w:jc w:val="both"/>
        <w:rPr>
          <w:rFonts w:hint="eastAsia" w:asciiTheme="minorEastAsia" w:hAnsi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三、技术要求</w:t>
      </w:r>
    </w:p>
    <w:tbl>
      <w:tblPr>
        <w:tblStyle w:val="26"/>
        <w:tblW w:w="49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883"/>
        <w:gridCol w:w="6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序号</w:t>
            </w:r>
          </w:p>
        </w:tc>
        <w:tc>
          <w:tcPr>
            <w:tcW w:w="10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货物名称</w:t>
            </w:r>
          </w:p>
        </w:tc>
        <w:tc>
          <w:tcPr>
            <w:tcW w:w="355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cs="宋体"/>
                <w:b/>
                <w:bCs/>
                <w:color w:val="FF0000"/>
                <w:kern w:val="0"/>
                <w:sz w:val="22"/>
                <w:szCs w:val="28"/>
                <w:highlight w:val="none"/>
                <w:lang w:val="en-US" w:eastAsia="zh-CN"/>
              </w:rPr>
            </w:pPr>
            <w:r>
              <w:rPr>
                <w:rFonts w:hint="eastAsia" w:ascii="宋体" w:hAnsi="宋体" w:cs="宋体"/>
                <w:b/>
                <w:bCs/>
                <w:color w:val="auto"/>
                <w:kern w:val="0"/>
                <w:sz w:val="22"/>
                <w:szCs w:val="28"/>
                <w:highlight w:val="none"/>
                <w:lang w:val="en-US" w:eastAsia="zh-CN"/>
              </w:rPr>
              <w:t>1</w:t>
            </w:r>
          </w:p>
        </w:tc>
        <w:tc>
          <w:tcPr>
            <w:tcW w:w="1016" w:type="pct"/>
            <w:vMerge w:val="restart"/>
            <w:tcBorders>
              <w:top w:val="single" w:color="auto" w:sz="4" w:space="0"/>
              <w:left w:val="single" w:color="auto" w:sz="4" w:space="0"/>
              <w:right w:val="single" w:color="auto" w:sz="4" w:space="0"/>
            </w:tcBorders>
            <w:noWrap w:val="0"/>
            <w:vAlign w:val="top"/>
          </w:tcPr>
          <w:p>
            <w:pPr>
              <w:numPr>
                <w:ilvl w:val="0"/>
                <w:numId w:val="0"/>
              </w:numPr>
              <w:ind w:left="0" w:leftChars="0" w:firstLine="0" w:firstLineChars="0"/>
              <w:rPr>
                <w:rFonts w:hint="eastAsia" w:ascii="Times New Roman" w:hAnsi="Times New Roman" w:eastAsia="宋体" w:cs="Times New Roman"/>
                <w:b w:val="0"/>
                <w:bCs w:val="0"/>
                <w:color w:val="auto"/>
                <w:sz w:val="24"/>
                <w:szCs w:val="24"/>
                <w:highlight w:val="none"/>
                <w:lang w:val="en-US" w:eastAsia="zh-CN"/>
              </w:rPr>
            </w:pPr>
          </w:p>
          <w:p>
            <w:pPr>
              <w:numPr>
                <w:ilvl w:val="0"/>
                <w:numId w:val="0"/>
              </w:numPr>
              <w:ind w:left="0" w:leftChars="0" w:firstLine="0" w:firstLineChars="0"/>
              <w:rPr>
                <w:rFonts w:hint="eastAsia" w:ascii="Times New Roman" w:hAnsi="Times New Roman" w:eastAsia="宋体" w:cs="Times New Roman"/>
                <w:b w:val="0"/>
                <w:bCs w:val="0"/>
                <w:color w:val="auto"/>
                <w:sz w:val="24"/>
                <w:szCs w:val="24"/>
                <w:highlight w:val="none"/>
                <w:lang w:val="en-US" w:eastAsia="zh-CN"/>
              </w:rPr>
            </w:pPr>
          </w:p>
          <w:p>
            <w:pPr>
              <w:numPr>
                <w:ilvl w:val="0"/>
                <w:numId w:val="0"/>
              </w:numPr>
              <w:ind w:left="0" w:leftChars="0" w:firstLine="0" w:firstLineChars="0"/>
              <w:rPr>
                <w:rFonts w:hint="eastAsia" w:ascii="Times New Roman" w:hAnsi="Times New Roman" w:eastAsia="宋体" w:cs="Times New Roman"/>
                <w:b w:val="0"/>
                <w:bCs w:val="0"/>
                <w:color w:val="auto"/>
                <w:sz w:val="24"/>
                <w:szCs w:val="24"/>
                <w:highlight w:val="none"/>
                <w:lang w:val="en-US" w:eastAsia="zh-CN"/>
              </w:rPr>
            </w:pPr>
          </w:p>
          <w:p>
            <w:pPr>
              <w:numPr>
                <w:ilvl w:val="0"/>
                <w:numId w:val="0"/>
              </w:numPr>
              <w:ind w:left="0" w:leftChars="0" w:firstLine="0" w:firstLineChars="0"/>
              <w:rPr>
                <w:rFonts w:hint="eastAsia" w:ascii="Times New Roman" w:hAnsi="Times New Roman" w:eastAsia="宋体" w:cs="Times New Roman"/>
                <w:b w:val="0"/>
                <w:bCs w:val="0"/>
                <w:color w:val="auto"/>
                <w:sz w:val="24"/>
                <w:szCs w:val="24"/>
                <w:highlight w:val="none"/>
                <w:lang w:val="en-US" w:eastAsia="zh-CN"/>
              </w:rPr>
            </w:pPr>
          </w:p>
          <w:p>
            <w:pPr>
              <w:numPr>
                <w:ilvl w:val="0"/>
                <w:numId w:val="0"/>
              </w:numPr>
              <w:ind w:left="0" w:leftChars="0" w:firstLine="0" w:firstLineChars="0"/>
              <w:rPr>
                <w:rFonts w:hint="eastAsia" w:ascii="Times New Roman" w:hAnsi="Times New Roman" w:eastAsia="宋体" w:cs="Times New Roman"/>
                <w:b w:val="0"/>
                <w:bCs w:val="0"/>
                <w:color w:val="auto"/>
                <w:sz w:val="24"/>
                <w:szCs w:val="24"/>
                <w:highlight w:val="none"/>
                <w:lang w:val="en-US" w:eastAsia="zh-CN"/>
              </w:rPr>
            </w:pPr>
          </w:p>
          <w:p>
            <w:pPr>
              <w:numPr>
                <w:ilvl w:val="0"/>
                <w:numId w:val="0"/>
              </w:numPr>
              <w:ind w:left="0" w:leftChars="0" w:firstLine="0" w:firstLineChars="0"/>
              <w:rPr>
                <w:rFonts w:hint="eastAsia" w:ascii="Times New Roman" w:hAnsi="Times New Roman" w:eastAsia="宋体" w:cs="Times New Roman"/>
                <w:b w:val="0"/>
                <w:bCs w:val="0"/>
                <w:color w:val="auto"/>
                <w:sz w:val="24"/>
                <w:szCs w:val="24"/>
                <w:highlight w:val="none"/>
                <w:lang w:val="en-US" w:eastAsia="zh-CN"/>
              </w:rPr>
            </w:pPr>
          </w:p>
          <w:p>
            <w:pPr>
              <w:numPr>
                <w:ilvl w:val="0"/>
                <w:numId w:val="0"/>
              </w:numPr>
              <w:ind w:left="0" w:leftChars="0" w:firstLine="0" w:firstLineChars="0"/>
              <w:rPr>
                <w:rFonts w:hint="eastAsia" w:ascii="Times New Roman" w:hAnsi="Times New Roman" w:eastAsia="宋体" w:cs="Times New Roman"/>
                <w:b w:val="0"/>
                <w:bCs w:val="0"/>
                <w:color w:val="auto"/>
                <w:sz w:val="24"/>
                <w:szCs w:val="24"/>
                <w:highlight w:val="none"/>
                <w:lang w:val="en-US" w:eastAsia="zh-CN"/>
              </w:rPr>
            </w:pPr>
          </w:p>
          <w:p>
            <w:pPr>
              <w:numPr>
                <w:ilvl w:val="0"/>
                <w:numId w:val="0"/>
              </w:numPr>
              <w:ind w:left="0" w:leftChars="0" w:firstLine="0" w:firstLineChars="0"/>
              <w:rPr>
                <w:rFonts w:hint="eastAsia" w:ascii="Times New Roman" w:hAnsi="Times New Roman" w:eastAsia="宋体" w:cs="Times New Roman"/>
                <w:b w:val="0"/>
                <w:bCs w:val="0"/>
                <w:color w:val="auto"/>
                <w:sz w:val="24"/>
                <w:szCs w:val="24"/>
                <w:highlight w:val="none"/>
                <w:lang w:val="en-US" w:eastAsia="zh-CN"/>
              </w:rPr>
            </w:pPr>
          </w:p>
          <w:p>
            <w:pPr>
              <w:numPr>
                <w:ilvl w:val="0"/>
                <w:numId w:val="0"/>
              </w:numPr>
              <w:ind w:left="0" w:leftChars="0" w:firstLine="0" w:firstLineChars="0"/>
              <w:rPr>
                <w:rFonts w:hint="eastAsia" w:ascii="Times New Roman" w:hAnsi="Times New Roman" w:eastAsia="宋体" w:cs="Times New Roman"/>
                <w:b w:val="0"/>
                <w:bCs w:val="0"/>
                <w:color w:val="auto"/>
                <w:sz w:val="24"/>
                <w:szCs w:val="24"/>
                <w:highlight w:val="none"/>
                <w:lang w:val="en-US" w:eastAsia="zh-CN"/>
              </w:rPr>
            </w:pPr>
          </w:p>
          <w:p>
            <w:pPr>
              <w:numPr>
                <w:ilvl w:val="0"/>
                <w:numId w:val="0"/>
              </w:numPr>
              <w:ind w:left="0" w:leftChars="0" w:firstLine="0" w:firstLineChars="0"/>
              <w:rPr>
                <w:rFonts w:hint="eastAsia" w:ascii="Times New Roman" w:hAnsi="Times New Roman" w:eastAsia="宋体" w:cs="Times New Roman"/>
                <w:b w:val="0"/>
                <w:bCs w:val="0"/>
                <w:color w:val="auto"/>
                <w:sz w:val="24"/>
                <w:szCs w:val="24"/>
                <w:highlight w:val="none"/>
                <w:lang w:val="en-US" w:eastAsia="zh-CN"/>
              </w:rPr>
            </w:pPr>
          </w:p>
          <w:p>
            <w:pPr>
              <w:numPr>
                <w:ilvl w:val="0"/>
                <w:numId w:val="0"/>
              </w:numPr>
              <w:ind w:left="0" w:leftChars="0" w:firstLine="0" w:firstLineChars="0"/>
              <w:rPr>
                <w:rFonts w:hint="eastAsia" w:ascii="Times New Roman" w:hAnsi="Times New Roman" w:eastAsia="宋体" w:cs="Times New Roman"/>
                <w:b w:val="0"/>
                <w:bCs w:val="0"/>
                <w:color w:val="auto"/>
                <w:sz w:val="24"/>
                <w:szCs w:val="24"/>
                <w:highlight w:val="none"/>
                <w:lang w:val="en-US" w:eastAsia="zh-CN"/>
              </w:rPr>
            </w:pPr>
          </w:p>
          <w:p>
            <w:pPr>
              <w:numPr>
                <w:ilvl w:val="0"/>
                <w:numId w:val="0"/>
              </w:numPr>
              <w:ind w:left="0" w:leftChars="0" w:firstLine="0" w:firstLineChars="0"/>
              <w:rPr>
                <w:rFonts w:ascii="Times New Roman" w:hAnsi="Times New Roman" w:cs="Times New Roman"/>
                <w:szCs w:val="21"/>
                <w:highlight w:val="yellow"/>
              </w:rPr>
            </w:pPr>
            <w:r>
              <w:rPr>
                <w:rFonts w:hint="eastAsia" w:ascii="Times New Roman" w:hAnsi="Times New Roman" w:eastAsia="宋体" w:cs="Times New Roman"/>
                <w:b w:val="0"/>
                <w:bCs w:val="0"/>
                <w:color w:val="auto"/>
                <w:sz w:val="24"/>
                <w:szCs w:val="24"/>
                <w:highlight w:val="none"/>
                <w:lang w:val="en-US" w:eastAsia="zh-CN"/>
              </w:rPr>
              <w:t>台式ATP生物荧光检测仪</w:t>
            </w:r>
          </w:p>
        </w:tc>
        <w:tc>
          <w:tcPr>
            <w:tcW w:w="3555"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▲1、主机尺寸：≤17.7cm</w:t>
            </w:r>
            <w:r>
              <w:rPr>
                <w:rFonts w:hint="default" w:ascii="Arial" w:hAnsi="Arial" w:cs="Arial"/>
                <w:i w:val="0"/>
                <w:iCs w:val="0"/>
                <w:color w:val="000000"/>
                <w:sz w:val="24"/>
                <w:szCs w:val="24"/>
                <w:u w:val="none"/>
                <w:lang w:val="en-US" w:eastAsia="zh-CN"/>
              </w:rPr>
              <w:t>×</w:t>
            </w:r>
            <w:r>
              <w:rPr>
                <w:rFonts w:hint="eastAsia" w:asciiTheme="minorEastAsia" w:hAnsiTheme="minorEastAsia" w:cstheme="minorEastAsia"/>
                <w:i w:val="0"/>
                <w:iCs w:val="0"/>
                <w:color w:val="000000"/>
                <w:sz w:val="24"/>
                <w:szCs w:val="24"/>
                <w:u w:val="none"/>
                <w:lang w:val="en-US" w:eastAsia="zh-CN"/>
              </w:rPr>
              <w:t>7.6cm</w:t>
            </w:r>
            <w:r>
              <w:rPr>
                <w:rFonts w:hint="default" w:ascii="Arial" w:hAnsi="Arial" w:cs="Arial"/>
                <w:i w:val="0"/>
                <w:iCs w:val="0"/>
                <w:color w:val="000000"/>
                <w:sz w:val="24"/>
                <w:szCs w:val="24"/>
                <w:u w:val="none"/>
                <w:lang w:val="en-US" w:eastAsia="zh-CN"/>
              </w:rPr>
              <w:t>×</w:t>
            </w:r>
            <w:r>
              <w:rPr>
                <w:rFonts w:hint="eastAsia" w:asciiTheme="minorEastAsia" w:hAnsiTheme="minorEastAsia" w:cstheme="minorEastAsia"/>
                <w:i w:val="0"/>
                <w:iCs w:val="0"/>
                <w:color w:val="000000"/>
                <w:sz w:val="24"/>
                <w:szCs w:val="24"/>
                <w:u w:val="none"/>
                <w:lang w:val="en-US" w:eastAsia="zh-CN"/>
              </w:rPr>
              <w:t>2.6cm，可单手手持操作，也可台式操作，防水设计，外部采用≥5英寸电容式防碎触摸屏，戴手套或使用触控笔也可工作。</w:t>
            </w:r>
            <w:r>
              <w:rPr>
                <w:rFonts w:hint="eastAsia" w:asciiTheme="minorEastAsia" w:hAnsiTheme="minorEastAsia" w:cstheme="minorEastAsia"/>
                <w:i w:val="0"/>
                <w:iCs w:val="0"/>
                <w:color w:val="0000FF"/>
                <w:sz w:val="24"/>
                <w:szCs w:val="24"/>
                <w:u w:val="none"/>
                <w:lang w:val="en-US" w:eastAsia="zh-CN"/>
              </w:rPr>
              <w:t>（投标文件中须提供公开正式的产品彩页或产品说明书关键页中标注相应参数，未按要求标注的，评委可按负偏离处理）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w:t>
            </w:r>
          </w:p>
        </w:tc>
        <w:tc>
          <w:tcPr>
            <w:tcW w:w="1016"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55"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▲2、检测灵敏度：设备与配套超灵敏检测拭子</w:t>
            </w:r>
            <w:r>
              <w:rPr>
                <w:rFonts w:hint="eastAsia" w:asciiTheme="minorEastAsia" w:hAnsiTheme="minorEastAsia" w:cstheme="minorEastAsia"/>
                <w:b w:val="0"/>
                <w:bCs w:val="0"/>
                <w:i w:val="0"/>
                <w:iCs w:val="0"/>
                <w:color w:val="000000"/>
                <w:sz w:val="24"/>
                <w:szCs w:val="24"/>
                <w:u w:val="none"/>
                <w:lang w:val="en-US" w:eastAsia="zh-CN"/>
              </w:rPr>
              <w:t>精确度高于（含）1</w:t>
            </w:r>
            <w:r>
              <w:rPr>
                <w:rFonts w:hint="default" w:ascii="Arial" w:hAnsi="Arial" w:cs="Arial"/>
                <w:b w:val="0"/>
                <w:bCs w:val="0"/>
                <w:i w:val="0"/>
                <w:iCs w:val="0"/>
                <w:color w:val="000000"/>
                <w:sz w:val="28"/>
                <w:szCs w:val="28"/>
                <w:u w:val="none"/>
                <w:lang w:val="en-US" w:eastAsia="zh-CN"/>
              </w:rPr>
              <w:t>×</w:t>
            </w:r>
            <w:r>
              <w:rPr>
                <w:rFonts w:hint="eastAsia" w:asciiTheme="minorEastAsia" w:hAnsiTheme="minorEastAsia" w:cstheme="minorEastAsia"/>
                <w:b w:val="0"/>
                <w:bCs w:val="0"/>
                <w:i w:val="0"/>
                <w:iCs w:val="0"/>
                <w:color w:val="000000"/>
                <w:sz w:val="28"/>
                <w:szCs w:val="28"/>
                <w:u w:val="none"/>
                <w:lang w:val="en-US" w:eastAsia="zh-CN"/>
              </w:rPr>
              <w:t>10</w:t>
            </w:r>
            <w:r>
              <w:rPr>
                <w:rFonts w:hint="eastAsia" w:asciiTheme="minorEastAsia" w:hAnsiTheme="minorEastAsia" w:cstheme="minorEastAsia"/>
                <w:b w:val="0"/>
                <w:bCs w:val="0"/>
                <w:i w:val="0"/>
                <w:iCs w:val="0"/>
                <w:color w:val="000000"/>
                <w:sz w:val="28"/>
                <w:szCs w:val="28"/>
                <w:u w:val="none"/>
                <w:vertAlign w:val="superscript"/>
                <w:lang w:val="en-US" w:eastAsia="zh-CN"/>
              </w:rPr>
              <w:t>-16</w:t>
            </w:r>
            <w:r>
              <w:rPr>
                <w:rFonts w:hint="eastAsia" w:asciiTheme="minorEastAsia" w:hAnsiTheme="minorEastAsia" w:cstheme="minorEastAsia"/>
                <w:i w:val="0"/>
                <w:iCs w:val="0"/>
                <w:color w:val="000000"/>
                <w:sz w:val="24"/>
                <w:szCs w:val="24"/>
                <w:u w:val="none"/>
                <w:lang w:val="en-US" w:eastAsia="zh-CN"/>
              </w:rPr>
              <w:t>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3</w:t>
            </w:r>
          </w:p>
        </w:tc>
        <w:tc>
          <w:tcPr>
            <w:tcW w:w="1016"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55"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3、检测精度：1RLU，检测范围：0-999999 RLUs。</w:t>
            </w:r>
            <w:r>
              <w:rPr>
                <w:rFonts w:hint="eastAsia" w:asciiTheme="minorEastAsia" w:hAnsiTheme="minorEastAsia" w:cstheme="minorEastAsia"/>
                <w:i w:val="0"/>
                <w:iCs w:val="0"/>
                <w:color w:val="0000FF"/>
                <w:sz w:val="24"/>
                <w:szCs w:val="24"/>
                <w:u w:val="none"/>
                <w:lang w:val="en-US" w:eastAsia="zh-CN"/>
              </w:rPr>
              <w:t>（投标文件中须提供公开正式的产品彩页或产品说明书关键页中标注相应参数，未按要求标注的，评委可按负偏离处理）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4</w:t>
            </w:r>
          </w:p>
        </w:tc>
        <w:tc>
          <w:tcPr>
            <w:tcW w:w="1016"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55"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▲4、校准：开机15秒自动校准，出厂时已经校准并预设校准提醒，以保持始终符合GMP/ISO标准，无需每年定期进行校准，当提示需要校准时可选配阴阳性校准棒自行校准。</w:t>
            </w:r>
            <w:r>
              <w:rPr>
                <w:rFonts w:hint="eastAsia" w:asciiTheme="minorEastAsia" w:hAnsiTheme="minorEastAsia" w:cstheme="minorEastAsia"/>
                <w:i w:val="0"/>
                <w:iCs w:val="0"/>
                <w:color w:val="0000FF"/>
                <w:sz w:val="24"/>
                <w:szCs w:val="24"/>
                <w:u w:val="none"/>
                <w:lang w:val="en-US" w:eastAsia="zh-CN"/>
              </w:rPr>
              <w:t>（投标文件中须提供公开正式的产品彩页或产品说明书关键页中标注相应参数，未按要求标注的，评委可按负偏离处理）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5</w:t>
            </w:r>
          </w:p>
        </w:tc>
        <w:tc>
          <w:tcPr>
            <w:tcW w:w="1016"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55"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5、检测时间：≤15秒，相对标准偏差≤8%。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6</w:t>
            </w:r>
          </w:p>
        </w:tc>
        <w:tc>
          <w:tcPr>
            <w:tcW w:w="1016"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55"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▲6、设置：可修改语言，内置功能菜单，可设置不同程序组，检测类型，比如设置不同清洗机，清洗剂，器械种类分组，全中文操作界面。</w:t>
            </w:r>
            <w:r>
              <w:rPr>
                <w:rFonts w:hint="eastAsia" w:asciiTheme="minorEastAsia" w:hAnsiTheme="minorEastAsia" w:cstheme="minorEastAsia"/>
                <w:i w:val="0"/>
                <w:iCs w:val="0"/>
                <w:color w:val="0000FF"/>
                <w:sz w:val="24"/>
                <w:szCs w:val="24"/>
                <w:u w:val="none"/>
                <w:lang w:val="en-US" w:eastAsia="zh-CN"/>
              </w:rPr>
              <w:t>（投标文件中须提供公开正式的产品彩页或产品说明书关键页中标注相应参数，未按要求标注的，评委可按负偏离处理）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7</w:t>
            </w:r>
          </w:p>
        </w:tc>
        <w:tc>
          <w:tcPr>
            <w:tcW w:w="1016"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7、系统：内存≥2G，可保存超10000个检测结果。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8</w:t>
            </w:r>
          </w:p>
        </w:tc>
        <w:tc>
          <w:tcPr>
            <w:tcW w:w="1016"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55"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8、连接：可自动搜索网络可连接WIFI,软件版本可随时更新最新版，具有安全的云端数据管理，无需数据线导入。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9</w:t>
            </w:r>
          </w:p>
        </w:tc>
        <w:tc>
          <w:tcPr>
            <w:tcW w:w="1016"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55"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9、具有快速搜索功能，可快速找到特定的检测计划和位置，提高工作效率。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10</w:t>
            </w:r>
          </w:p>
        </w:tc>
        <w:tc>
          <w:tcPr>
            <w:tcW w:w="1016"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55"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10、多功能性：系统具有多功能性，可检测器械表面洁净度也能依据不同的检测拭子检测水样ATP和微生物等。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11</w:t>
            </w:r>
          </w:p>
        </w:tc>
        <w:tc>
          <w:tcPr>
            <w:tcW w:w="1016"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11、检测舱可拆卸、可清洗。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12</w:t>
            </w:r>
          </w:p>
        </w:tc>
        <w:tc>
          <w:tcPr>
            <w:tcW w:w="1016"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55"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▲12、可配套直径为1-4mm的内镜拭子搭配器械表面拭子检测内镜管道。</w:t>
            </w:r>
            <w:r>
              <w:rPr>
                <w:rFonts w:hint="eastAsia" w:asciiTheme="minorEastAsia" w:hAnsiTheme="minorEastAsia" w:cstheme="minorEastAsia"/>
                <w:i w:val="0"/>
                <w:iCs w:val="0"/>
                <w:color w:val="0000FF"/>
                <w:sz w:val="24"/>
                <w:szCs w:val="24"/>
                <w:u w:val="none"/>
                <w:lang w:val="en-US" w:eastAsia="zh-CN"/>
              </w:rPr>
              <w:t>（投标文件中须提供公开正式的产品彩页或原厂拭子的实物照片作为证明材料，未按要求提供的，评委可按负偏离处理）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13</w:t>
            </w:r>
          </w:p>
        </w:tc>
        <w:tc>
          <w:tcPr>
            <w:tcW w:w="1016"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55"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▲13、一体化液态稳定检测拭子采用球阀型拭子头和预湿的采样头一体化设计，兼具取样、反应和吸管的三重功能，非冻干拭子，保障检测结果稳定。</w:t>
            </w:r>
            <w:r>
              <w:rPr>
                <w:rFonts w:hint="eastAsia" w:asciiTheme="minorEastAsia" w:hAnsiTheme="minorEastAsia" w:cstheme="minorEastAsia"/>
                <w:i w:val="0"/>
                <w:iCs w:val="0"/>
                <w:color w:val="0000FF"/>
                <w:sz w:val="24"/>
                <w:szCs w:val="24"/>
                <w:u w:val="none"/>
                <w:lang w:val="en-US" w:eastAsia="zh-CN"/>
              </w:rPr>
              <w:t>（投标文件中须提供公开正式的产品彩页或产品说明书关键页中标注相应参数，未按要求标注的，评委可按负偏离处理）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14</w:t>
            </w:r>
          </w:p>
        </w:tc>
        <w:tc>
          <w:tcPr>
            <w:tcW w:w="1016"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55"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14、一体化液态稳定检测拭子出厂冷藏保质期长达12个月，可室温保存至少4周。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15</w:t>
            </w:r>
          </w:p>
        </w:tc>
        <w:tc>
          <w:tcPr>
            <w:tcW w:w="1016"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55"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15、使用外挂式充电锂电池，一次充电可以运行100次测试，具备线充和座充两种充电方式。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16</w:t>
            </w:r>
          </w:p>
        </w:tc>
        <w:tc>
          <w:tcPr>
            <w:tcW w:w="1016" w:type="pct"/>
            <w:vMerge w:val="continue"/>
            <w:tcBorders>
              <w:left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55"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16、配套SureTrend独立数据处理软件，连续数据库系统防止意外或欺诈性数据，提供多种数据趋势分析模式，数据可导出到Excel表格整理成册。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17</w:t>
            </w:r>
          </w:p>
        </w:tc>
        <w:tc>
          <w:tcPr>
            <w:tcW w:w="1016" w:type="pct"/>
            <w:vMerge w:val="continue"/>
            <w:tcBorders>
              <w:left w:val="single" w:color="auto" w:sz="4" w:space="0"/>
              <w:bottom w:val="nil"/>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55"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▲17、配套的过氧化氢气体监测仪需为壁挂式固定安装，24小时在线监测环境中的过氧化氢气体浓度，超标报警；测量原理：电化学原理，量程：0-50ppm，具有国家防爆产品质量监督检验机构认证的防爆合格证。</w:t>
            </w:r>
            <w:r>
              <w:rPr>
                <w:rFonts w:hint="eastAsia" w:asciiTheme="minorEastAsia" w:hAnsiTheme="minorEastAsia" w:cstheme="minorEastAsia"/>
                <w:i w:val="0"/>
                <w:iCs w:val="0"/>
                <w:color w:val="0000FF"/>
                <w:sz w:val="24"/>
                <w:szCs w:val="24"/>
                <w:u w:val="none"/>
                <w:lang w:val="en-US" w:eastAsia="zh-CN"/>
              </w:rPr>
              <w:t>（投标文件中须提供防爆合格证证书复印件，未按要求提供的，评委可按负偏离处理）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8"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18</w:t>
            </w:r>
          </w:p>
        </w:tc>
        <w:tc>
          <w:tcPr>
            <w:tcW w:w="1016" w:type="pct"/>
            <w:tcBorders>
              <w:top w:val="nil"/>
              <w:left w:val="single" w:color="auto" w:sz="4" w:space="0"/>
              <w:bottom w:val="single" w:color="auto" w:sz="4" w:space="0"/>
              <w:right w:val="single" w:color="auto" w:sz="4" w:space="0"/>
            </w:tcBorders>
            <w:noWrap w:val="0"/>
            <w:vAlign w:val="top"/>
          </w:tcPr>
          <w:p>
            <w:pPr>
              <w:numPr>
                <w:ilvl w:val="0"/>
                <w:numId w:val="0"/>
              </w:numPr>
              <w:rPr>
                <w:rFonts w:hint="default" w:ascii="宋体" w:hAnsi="宋体" w:eastAsia="宋体" w:cs="宋体"/>
                <w:sz w:val="24"/>
                <w:szCs w:val="24"/>
                <w:highlight w:val="none"/>
                <w:lang w:val="en-US" w:eastAsia="zh-CN"/>
              </w:rPr>
            </w:pPr>
          </w:p>
        </w:tc>
        <w:tc>
          <w:tcPr>
            <w:tcW w:w="3555"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18、配套的</w:t>
            </w:r>
            <w:r>
              <w:rPr>
                <w:rFonts w:hint="default" w:asciiTheme="minorEastAsia" w:hAnsiTheme="minorEastAsia" w:cstheme="minorEastAsia"/>
                <w:i w:val="0"/>
                <w:iCs w:val="0"/>
                <w:color w:val="000000"/>
                <w:sz w:val="24"/>
                <w:szCs w:val="24"/>
                <w:u w:val="none"/>
                <w:lang w:val="en-US" w:eastAsia="zh-CN"/>
              </w:rPr>
              <w:t>压力蒸汽灭菌器装载架层板</w:t>
            </w:r>
            <w:r>
              <w:rPr>
                <w:rFonts w:hint="eastAsia" w:asciiTheme="minorEastAsia" w:hAnsiTheme="minorEastAsia" w:cstheme="minorEastAsia"/>
                <w:i w:val="0"/>
                <w:iCs w:val="0"/>
                <w:color w:val="000000"/>
                <w:sz w:val="24"/>
                <w:szCs w:val="24"/>
                <w:u w:val="none"/>
                <w:lang w:val="en-US" w:eastAsia="zh-CN"/>
              </w:rPr>
              <w:t>需适配现有医院的灭菌器使用，高质量不锈钢，抗压不易变形。</w:t>
            </w:r>
          </w:p>
        </w:tc>
      </w:tr>
    </w:tbl>
    <w:p>
      <w:pPr>
        <w:spacing w:line="560" w:lineRule="exact"/>
        <w:jc w:val="both"/>
        <w:rPr>
          <w:rFonts w:hint="eastAsia" w:asciiTheme="minorEastAsia" w:hAnsi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四、商务要求</w:t>
      </w:r>
    </w:p>
    <w:tbl>
      <w:tblPr>
        <w:tblStyle w:val="26"/>
        <w:tblW w:w="4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869"/>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4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序号</w:t>
            </w:r>
          </w:p>
        </w:tc>
        <w:tc>
          <w:tcPr>
            <w:tcW w:w="100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目录</w:t>
            </w:r>
          </w:p>
        </w:tc>
        <w:tc>
          <w:tcPr>
            <w:tcW w:w="355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招标商务要求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jc w:val="center"/>
        </w:trPr>
        <w:tc>
          <w:tcPr>
            <w:tcW w:w="442"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default" w:ascii="宋体" w:hAnsi="宋体" w:cs="宋体"/>
                <w:b/>
                <w:bCs/>
                <w:color w:val="FF0000"/>
                <w:kern w:val="0"/>
                <w:sz w:val="22"/>
                <w:szCs w:val="28"/>
                <w:highlight w:val="none"/>
                <w:lang w:val="en-US" w:eastAsia="zh-CN"/>
              </w:rPr>
            </w:pPr>
            <w:r>
              <w:rPr>
                <w:rFonts w:hint="eastAsia" w:ascii="宋体" w:hAnsi="宋体" w:cs="宋体"/>
                <w:b/>
                <w:bCs/>
                <w:color w:val="FF0000"/>
                <w:kern w:val="0"/>
                <w:sz w:val="22"/>
                <w:szCs w:val="28"/>
                <w:highlight w:val="none"/>
                <w:lang w:val="en-US" w:eastAsia="zh-CN"/>
              </w:rPr>
              <w:t>1</w:t>
            </w:r>
          </w:p>
        </w:tc>
        <w:tc>
          <w:tcPr>
            <w:tcW w:w="10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★报价及设备出厂时间要求</w:t>
            </w:r>
          </w:p>
        </w:tc>
        <w:tc>
          <w:tcPr>
            <w:tcW w:w="35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人民币报价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42"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2</w:t>
            </w:r>
          </w:p>
        </w:tc>
        <w:tc>
          <w:tcPr>
            <w:tcW w:w="10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★交货地点</w:t>
            </w:r>
          </w:p>
        </w:tc>
        <w:tc>
          <w:tcPr>
            <w:tcW w:w="35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采购人指定位置（深圳市龙岗区龙城街道黄阁路186号）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42"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3</w:t>
            </w:r>
          </w:p>
        </w:tc>
        <w:tc>
          <w:tcPr>
            <w:tcW w:w="10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★交货期或完工期</w:t>
            </w:r>
          </w:p>
        </w:tc>
        <w:tc>
          <w:tcPr>
            <w:tcW w:w="35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合同签订后接到采购人通知30个日历日内完成交货。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42"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4</w:t>
            </w:r>
          </w:p>
        </w:tc>
        <w:tc>
          <w:tcPr>
            <w:tcW w:w="10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★付款方式</w:t>
            </w:r>
          </w:p>
        </w:tc>
        <w:tc>
          <w:tcPr>
            <w:tcW w:w="355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分期支付：①合同签订、财政资金到位后且收到中标人的发票，支付中标人不高于项目总额70%预付款；②设备到货、财政资金到位且收到中标人累计100%设备货款发票，按照相应规定支付中标人累计不高于项目总额95%货款；③设备验收合格、财政资金到位按照相应规定支付中标人剩余货款。当采购人本年度的资金预算不足以支付项目款项时，则需顺延至下年度支付。</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2、签订合同时需提交厂家出具的3年质保售后服务承诺书。</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3、（1）如果采购人对中标人提供的产品有质量异议的，可以视具体情况暂时中止支付争议款项或其他相关款项，直到争议解除，采购人不因此承担延期付款的违约责任。</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（3）中标人提供的产品不合格，或产品存在瑕疵、缺陷，采购人有权暂停支付中标人项目相应到期应付货款，且不视为采购人违约，直到双方正式处理完不合格产品为止。</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（5）采购人在规定时间向支付部门提出支付申请，如因财政支付部门审核时间导致无法按期支付的，采购人不承担违约责任。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42"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5</w:t>
            </w:r>
          </w:p>
        </w:tc>
        <w:tc>
          <w:tcPr>
            <w:tcW w:w="10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★验收方式</w:t>
            </w:r>
          </w:p>
        </w:tc>
        <w:tc>
          <w:tcPr>
            <w:tcW w:w="355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1、货到安装，现场验收。中标人应派有经验的技术人员到现场进行安装、调试，直到设备正常使用。</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2、交货后30个日历日内完成安装、调试、交付使用，由采购人使用科室、设备科、中标人等代表在场进行验收。</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在本项目涉及的医疗设备安装过程中，若安装场地需进行改造以满足设备安装要求，投标人应承担全部改造工作及相关费用。改造工作包括但不限于拆除、新建、装修、水电线路改造、通风系统调整等一切为实现设备正常安装及后续使用所必需的工程内容。改造工程费用由投标人全额承担，费用包含但不限于材料采购、施工人员薪酬、设备租赁、运输、税费等所有与改造工程相关的支出。</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产品质量和安装调试检验标准遵照国家相关规定和最新标准执行。提供的货物必须为全新、经检验合格的产品，且产品生产日期应为验收日期一年内。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5、当满足以下条件时，采购人才向中标人签发货物验收报告：</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A.设备出厂日期≤1年（以合同签订时间为准）；</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B.中标人按合同要求如期交货；</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C.中标人已按照合同规定提供了全部产品及完整的技术资料；</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D.货物符合招标文件技术规格书的要求，性能满足要求；</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E.提供货物中文说明书；</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F.提供维修手册、与厂家签订的3年质保售后服务协议；</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G.进口设备必须提供正常有效的报关证明（报关单、海关增值税发票）及合法有效的商检合格证明；</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7、验收时，中标人须按采购人要求提供中标验货验收所需要的其他资料。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42"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6</w:t>
            </w:r>
          </w:p>
        </w:tc>
        <w:tc>
          <w:tcPr>
            <w:tcW w:w="10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★包装及运输要求</w:t>
            </w:r>
          </w:p>
        </w:tc>
        <w:tc>
          <w:tcPr>
            <w:tcW w:w="355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42"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7</w:t>
            </w:r>
          </w:p>
        </w:tc>
        <w:tc>
          <w:tcPr>
            <w:tcW w:w="10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★售后服务要求</w:t>
            </w:r>
          </w:p>
        </w:tc>
        <w:tc>
          <w:tcPr>
            <w:tcW w:w="35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1、投标人对所提供的设备(包括零配件)提供免费保修期 3 年。(免费保修期时间自最终验收合格并交付使用之日起计算)，在免费保修期，需提供原装的零配件及其维修，终身负责维修，储备足够的零配件备库并保证十年以上维修配件；一年需对设备进行维护四次（每季度一次），不额外收费。免费保修期内出现的质量问题,由投标人负责,投标人负责包修、包换或者包退,并承担修理、调换或退货的实际费用。免费保修期外，投标人负责提供原装配件并免费维修更换，不额外收费，采购人只需支付更换的零配件费用。投标人负责该套设备软件的免费安装，软件终身免费升级维护、备份。</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免费保修期内，投标人应对产品因质量出现的问题修复，在2小时内响应，24小时内到达现场维修，48小时内消除故障(不可抗力情况除外)，消耗品/零配件供应及时；若在48小时内不能及时排除故障的，投标人应在10个日历日内向采购人提供不低故障设备规格型号档次的备用设备使用，直至故障修复为止。由此产生的包括但不限于运输费、安装费、搬运费、替换产品的损耗费、零部件费、调试费等全部费用由投标人承担。</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免费保修期，投标人应确保设备年开机率在98%（含）以上，若达不到此开机率，将作以下处理：年开机率在90%（含）-98%（不含）之间，免费保修期延长一年；年开机率在85%（含）-90%（不含）之间，免费保修期延长两年；年开机率低于85（不含），投标人必须无条件更换新设备，并重新计算新设备的免费保修期，以及赔偿采购人的直接经济损失和间接经济损失，以上费用均已包含在洽谈报价中。【注：年开机率=（365-停机天数）/365】</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4、提供工程师电话和技术维修力量情况和维修的详细地址及联系方式。</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5、负责安装、调试、提供技术咨询、软件升级及人员培训，以保证采购人工作人员掌握设备各种使用操作，不额外收费。</w:t>
            </w:r>
          </w:p>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6、如场地迁移，需要移机时，投标人需提供设备拆装服务（包括但不限于本次招标的设备）并提供技术支持，且确保机器的正常使用，不额外收费。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42"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8</w:t>
            </w:r>
          </w:p>
        </w:tc>
        <w:tc>
          <w:tcPr>
            <w:tcW w:w="10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★违约责任</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p>
        </w:tc>
        <w:tc>
          <w:tcPr>
            <w:tcW w:w="355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1、中标人所交的设备品种、规格、型号、质量等任何一项不符合同规定标准的，采购人有权拒绝收货，中标人向采购人支付本合同总金额百分之二十的违约金，并需在采购人指定期限内重新提供，否则采购人有权解除合同。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2、中标人若逾期30日以上不能交付设备，采购人有权选择解除合同并且中标人应向采购人支付本合同总金额百分之二十的违约金。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3、中标人逾期交付设备或安装调试，中标人向采购人每日支付本合同总金额万分之五的违约金。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4、中标人在一年内的不良服务率（指设备发生故障，没有合理的理由而未能在合 同规定的时限内及时妥善处理，产生采购人有效投诉。）大于百分之三（以单台设备产品为单位），则中标人赔偿采购人损失，并承担合同金额百分之五的违约金。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5、如中标人未按照本合同的约定提供售后服务，中标人向采购人支付本合同总金额百分之二十的违约金，给采购人造成损失的，中标人应承担全部赔偿责任。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6、中标人所供设备因质量、缺陷、技术标准等问题，给采购人或实际使用人造成损害的，中标人接到采购人通知后立即到现场配合采购人处理事故，一切赔偿责任及法律责任由中标人承担。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7、中标人如交付假冒伪劣、以旧充新、以不合格冒充合格产品，一经发现，采购人有权选择解除合同并且中标人应向采购人支付本合同总金额百分之二十的违约金，给采购人造成损失的，中标人应承担全部赔偿责任。</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8、如果采购人对中标人提供的产品有质量异议的，可以视具体情况暂时中止支付争议款项或其他相关款项，直到争议解除，采购人不因此承担延期付款的违约责任。</w:t>
            </w:r>
          </w:p>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9、中标人提供的产品不合格，或产品存在瑕疵、缺陷，采购人有权暂停支付中标人项下相应到期应付货款，且不视为采购人违约，直到双方正式处理完不合格产品为止。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42" w:type="pct"/>
            <w:tcBorders>
              <w:top w:val="single" w:color="auto" w:sz="4" w:space="0"/>
              <w:left w:val="single" w:color="auto" w:sz="4" w:space="0"/>
              <w:bottom w:val="single" w:color="auto" w:sz="4" w:space="0"/>
              <w:right w:val="single" w:color="auto" w:sz="4" w:space="0"/>
            </w:tcBorders>
            <w:noWrap w:val="0"/>
            <w:vAlign w:val="center"/>
          </w:tcPr>
          <w:p>
            <w:pPr>
              <w:spacing w:after="78" w:afterLines="25" w:line="300" w:lineRule="auto"/>
              <w:jc w:val="center"/>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9</w:t>
            </w:r>
          </w:p>
        </w:tc>
        <w:tc>
          <w:tcPr>
            <w:tcW w:w="10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★其他要求</w:t>
            </w:r>
          </w:p>
        </w:tc>
        <w:tc>
          <w:tcPr>
            <w:tcW w:w="3552"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1、本项目中如有涉及水、电、气设备安装及调试、室外高空作业等项目的中标人应使用具有国家认可资质的操作人员（资质证书仍在有效期内）实施，否则由此造成的后果由中标人负责。</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2、本项目所要求的硬件、软件，中标人要配备给采购人，并保证采购人能正常使用，不需要另外增加其他附件和其他费用。</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涉及软件应用的设备，中标人和厂家应配合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4、投标机型的硬件及软件配置均须是注册证或官方白皮书所描述的，且在不同的应用领域（临床、科研）新技术改进、更新的产品。</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pPr>
              <w:keepNext w:val="0"/>
              <w:keepLines w:val="0"/>
              <w:widowControl/>
              <w:suppressLineNumbers w:val="0"/>
              <w:jc w:val="left"/>
              <w:textAlignment w:val="center"/>
              <w:rPr>
                <w:rFonts w:hint="default"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6、设备使用期间，发生产品召回事件，中标人提供替代或赔偿方案。</w:t>
            </w:r>
          </w:p>
        </w:tc>
      </w:tr>
    </w:tbl>
    <w:p>
      <w:pPr>
        <w:jc w:val="center"/>
        <w:rPr>
          <w:rFonts w:hint="eastAsia" w:ascii="Cambria" w:hAnsi="Cambria" w:cs="Times New Roman" w:eastAsiaTheme="minorEastAsia"/>
          <w:b/>
          <w:bCs/>
          <w:kern w:val="28"/>
          <w:sz w:val="28"/>
          <w:szCs w:val="32"/>
          <w:highlight w:val="none"/>
          <w:lang w:val="en-US" w:eastAsia="zh-CN" w:bidi="ar-SA"/>
        </w:rPr>
      </w:pPr>
    </w:p>
    <w:p>
      <w:pPr>
        <w:jc w:val="center"/>
        <w:rPr>
          <w:rFonts w:hint="eastAsia" w:ascii="Cambria" w:hAnsi="Cambria" w:cs="Times New Roman" w:eastAsiaTheme="minorEastAsia"/>
          <w:b/>
          <w:bCs/>
          <w:kern w:val="28"/>
          <w:sz w:val="28"/>
          <w:szCs w:val="32"/>
          <w:highlight w:val="none"/>
          <w:lang w:val="en-US" w:eastAsia="zh-CN" w:bidi="ar-SA"/>
        </w:rPr>
      </w:pPr>
      <w:r>
        <w:rPr>
          <w:rFonts w:hint="eastAsia" w:ascii="Cambria" w:hAnsi="Cambria" w:cs="Times New Roman" w:eastAsiaTheme="minorEastAsia"/>
          <w:b/>
          <w:bCs/>
          <w:kern w:val="28"/>
          <w:sz w:val="28"/>
          <w:szCs w:val="32"/>
          <w:highlight w:val="none"/>
          <w:lang w:val="en-US" w:eastAsia="zh-CN" w:bidi="ar-SA"/>
        </w:rPr>
        <w:br w:type="page"/>
      </w:r>
    </w:p>
    <w:p>
      <w:pPr>
        <w:pStyle w:val="15"/>
        <w:tabs>
          <w:tab w:val="left" w:pos="426"/>
        </w:tabs>
        <w:jc w:val="center"/>
        <w:rPr>
          <w:rFonts w:hint="eastAsia" w:asciiTheme="minorEastAsia" w:hAnsiTheme="minorEastAsia" w:eastAsiaTheme="minorEastAsia" w:cstheme="minorEastAsia"/>
          <w:b/>
          <w:bCs/>
          <w:sz w:val="24"/>
          <w:szCs w:val="24"/>
          <w:highlight w:val="none"/>
        </w:rPr>
      </w:pPr>
      <w:r>
        <w:rPr>
          <w:rFonts w:hint="eastAsia" w:ascii="Cambria" w:hAnsi="Cambria" w:cs="Times New Roman" w:eastAsiaTheme="minorEastAsia"/>
          <w:b/>
          <w:bCs/>
          <w:kern w:val="28"/>
          <w:sz w:val="28"/>
          <w:szCs w:val="32"/>
          <w:highlight w:val="none"/>
          <w:lang w:val="en-US" w:eastAsia="zh-CN" w:bidi="ar-SA"/>
        </w:rPr>
        <w:t>第四章   投标文件的组成、格式</w:t>
      </w:r>
    </w:p>
    <w:p>
      <w:pPr>
        <w:spacing w:line="420" w:lineRule="exact"/>
        <w:ind w:firstLine="480" w:firstLineChars="200"/>
        <w:rPr>
          <w:rFonts w:hint="eastAsia" w:asciiTheme="minorEastAsia" w:hAnsiTheme="minorEastAsia" w:eastAsiaTheme="minorEastAsia" w:cstheme="minorEastAsia"/>
          <w:sz w:val="24"/>
          <w:szCs w:val="24"/>
          <w:highlight w:val="none"/>
        </w:rPr>
      </w:pPr>
    </w:p>
    <w:p>
      <w:pPr>
        <w:tabs>
          <w:tab w:val="left" w:pos="360"/>
        </w:tabs>
        <w:spacing w:line="460" w:lineRule="exact"/>
        <w:ind w:left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投标文件组成</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一、</w:t>
      </w:r>
      <w:r>
        <w:rPr>
          <w:rFonts w:hint="eastAsia" w:asciiTheme="minorEastAsia" w:hAnsiTheme="minorEastAsia" w:eastAsiaTheme="minorEastAsia" w:cstheme="minorEastAsia"/>
          <w:b w:val="0"/>
          <w:bCs w:val="0"/>
          <w:sz w:val="24"/>
          <w:szCs w:val="24"/>
          <w:highlight w:val="none"/>
          <w:lang w:val="en-US" w:eastAsia="zh-CN"/>
        </w:rPr>
        <w:t>封面</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二、</w:t>
      </w:r>
      <w:r>
        <w:rPr>
          <w:rFonts w:hint="eastAsia" w:asciiTheme="minorEastAsia" w:hAnsiTheme="minorEastAsia" w:eastAsiaTheme="minorEastAsia" w:cstheme="minorEastAsia"/>
          <w:b w:val="0"/>
          <w:bCs w:val="0"/>
          <w:sz w:val="24"/>
          <w:szCs w:val="24"/>
          <w:highlight w:val="none"/>
          <w:lang w:val="en-US" w:eastAsia="zh-CN"/>
        </w:rPr>
        <w:t>目录指引</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w:t>
      </w:r>
      <w:r>
        <w:rPr>
          <w:rFonts w:hint="eastAsia" w:asciiTheme="minorEastAsia" w:hAnsiTheme="minorEastAsia" w:eastAsiaTheme="minorEastAsia" w:cstheme="minorEastAsia"/>
          <w:b w:val="0"/>
          <w:bCs w:val="0"/>
          <w:sz w:val="24"/>
          <w:szCs w:val="24"/>
          <w:highlight w:val="none"/>
          <w:lang w:val="en-US" w:eastAsia="zh-CN"/>
        </w:rPr>
        <w:t>投标函</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四、</w:t>
      </w:r>
      <w:r>
        <w:rPr>
          <w:rFonts w:hint="eastAsia" w:asciiTheme="minorEastAsia" w:hAnsiTheme="minorEastAsia" w:eastAsiaTheme="minorEastAsia" w:cstheme="minorEastAsia"/>
          <w:b w:val="0"/>
          <w:bCs w:val="0"/>
          <w:sz w:val="24"/>
          <w:szCs w:val="24"/>
          <w:highlight w:val="none"/>
          <w:lang w:val="en-US" w:eastAsia="zh-CN"/>
        </w:rPr>
        <w:t>投标及履约承诺函</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五、</w:t>
      </w:r>
      <w:r>
        <w:rPr>
          <w:rFonts w:hint="eastAsia" w:asciiTheme="minorEastAsia" w:hAnsiTheme="minorEastAsia" w:eastAsiaTheme="minorEastAsia" w:cstheme="minorEastAsia"/>
          <w:b w:val="0"/>
          <w:bCs w:val="0"/>
          <w:sz w:val="24"/>
          <w:szCs w:val="24"/>
          <w:highlight w:val="none"/>
          <w:lang w:val="en-US" w:eastAsia="zh-CN"/>
        </w:rPr>
        <w:t>采购违法行为风险知悉确认书</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六、投标人基本情况及资格证明文件</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（一）供应商基本情况表及供应商基本情况表附件</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（二）资格证明文件</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（三）法定代表人证明书</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w:t>
      </w:r>
      <w:r>
        <w:rPr>
          <w:rFonts w:hint="default" w:asciiTheme="minorEastAsia" w:hAnsiTheme="minorEastAsia" w:cstheme="minorEastAsia"/>
          <w:b w:val="0"/>
          <w:bCs w:val="0"/>
          <w:sz w:val="24"/>
          <w:szCs w:val="24"/>
          <w:highlight w:val="none"/>
          <w:lang w:val="en-US" w:eastAsia="zh-CN"/>
        </w:rPr>
        <w:t>四</w:t>
      </w:r>
      <w:r>
        <w:rPr>
          <w:rFonts w:hint="eastAsia" w:asciiTheme="minorEastAsia" w:hAnsiTheme="minorEastAsia" w:cstheme="minorEastAsia"/>
          <w:b w:val="0"/>
          <w:bCs w:val="0"/>
          <w:sz w:val="24"/>
          <w:szCs w:val="24"/>
          <w:highlight w:val="none"/>
          <w:lang w:val="en-US" w:eastAsia="zh-CN"/>
        </w:rPr>
        <w:t>）法定代表人授权书格式（投标人代表为法定代表人的无需提供本格式）</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七、项目报价表</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八、技术偏离表</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 xml:space="preserve">九、实质性条款偏离表 </w:t>
      </w:r>
    </w:p>
    <w:p>
      <w:pPr>
        <w:pageBreakBefore w:val="0"/>
        <w:tabs>
          <w:tab w:val="left" w:pos="360"/>
        </w:tabs>
        <w:kinsoku/>
        <w:wordWrap/>
        <w:overflowPunct/>
        <w:topLinePunct w:val="0"/>
        <w:autoSpaceDE/>
        <w:autoSpaceDN/>
        <w:bidi w:val="0"/>
        <w:adjustRightInd/>
        <w:snapToGrid/>
        <w:spacing w:line="600" w:lineRule="atLeast"/>
        <w:ind w:left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十、其他响应评分的内容及佐证材料</w:t>
      </w:r>
    </w:p>
    <w:p>
      <w:pPr>
        <w:tabs>
          <w:tab w:val="left" w:pos="360"/>
        </w:tabs>
        <w:spacing w:line="460" w:lineRule="exact"/>
        <w:ind w:leftChars="200"/>
        <w:jc w:val="both"/>
        <w:rPr>
          <w:rFonts w:hint="default" w:asciiTheme="minorEastAsia" w:hAnsiTheme="minorEastAsia" w:eastAsiaTheme="minorEastAsia" w:cstheme="minorEastAsia"/>
          <w:sz w:val="24"/>
          <w:szCs w:val="24"/>
          <w:highlight w:val="none"/>
          <w:lang w:val="en-US" w:eastAsia="zh-CN"/>
        </w:rPr>
      </w:pPr>
    </w:p>
    <w:p>
      <w:pPr>
        <w:tabs>
          <w:tab w:val="left" w:pos="360"/>
        </w:tabs>
        <w:spacing w:line="460" w:lineRule="exact"/>
        <w:ind w:leftChars="200" w:firstLine="480" w:firstLineChars="200"/>
        <w:jc w:val="both"/>
        <w:rPr>
          <w:rFonts w:hint="eastAsia" w:asciiTheme="minorEastAsia" w:hAnsiTheme="minorEastAsia" w:eastAsiaTheme="minorEastAsia" w:cstheme="minorEastAsia"/>
          <w:color w:val="F79646" w:themeColor="accent6"/>
          <w:sz w:val="24"/>
          <w:szCs w:val="24"/>
          <w:highlight w:val="none"/>
          <w:lang w:eastAsia="zh-CN"/>
          <w14:textFill>
            <w14:solidFill>
              <w14:schemeClr w14:val="accent6"/>
            </w14:solidFill>
          </w14:textFill>
        </w:rPr>
      </w:pPr>
      <w:r>
        <w:rPr>
          <w:rFonts w:hint="eastAsia" w:asciiTheme="minorEastAsia" w:hAnsiTheme="minorEastAsia" w:eastAsiaTheme="minorEastAsia" w:cstheme="minorEastAsia"/>
          <w:color w:val="FF0000"/>
          <w:sz w:val="24"/>
          <w:szCs w:val="24"/>
          <w:highlight w:val="none"/>
        </w:rPr>
        <w:t>备注：投标人将所有投标文件一起包装在一个密封袋里，并在袋上注明项目名称以及投标人名称、地址，封口处应贴封条并骑缝加盖投标人公章。投标文件由以上组成，按如上顺序分别装订成本（一正五副</w:t>
      </w:r>
      <w:r>
        <w:rPr>
          <w:rFonts w:hint="eastAsia" w:asciiTheme="minorEastAsia" w:hAnsiTheme="minorEastAsia" w:eastAsiaTheme="minorEastAsia" w:cstheme="minorEastAsia"/>
          <w:color w:val="FF0000"/>
          <w:sz w:val="24"/>
          <w:szCs w:val="24"/>
          <w:highlight w:val="none"/>
          <w:lang w:eastAsia="zh-CN"/>
        </w:rPr>
        <w:t>，</w:t>
      </w:r>
      <w:r>
        <w:rPr>
          <w:rFonts w:hint="eastAsia" w:ascii="宋体" w:hAnsi="宋体" w:eastAsia="宋体" w:cs="宋体"/>
          <w:bCs/>
          <w:color w:val="F79646" w:themeColor="accent6"/>
          <w:kern w:val="0"/>
          <w:sz w:val="24"/>
          <w:szCs w:val="24"/>
          <w:highlight w:val="none"/>
          <w:shd w:val="clear" w:color="auto" w:fill="FFFFFF"/>
          <w:lang w:val="en-US" w:eastAsia="zh-CN" w:bidi="ar-SA"/>
          <w14:textFill>
            <w14:solidFill>
              <w14:schemeClr w14:val="accent6"/>
            </w14:solidFill>
          </w14:textFill>
        </w:rPr>
        <w:t>电子文件一份，U盘或光盘储存（投标文件正本盖章后的扫描件，PDF格式）</w:t>
      </w:r>
      <w:r>
        <w:rPr>
          <w:rFonts w:hint="eastAsia" w:asciiTheme="minorEastAsia" w:hAnsiTheme="minorEastAsia" w:eastAsiaTheme="minorEastAsia" w:cstheme="minorEastAsia"/>
          <w:color w:val="F79646" w:themeColor="accent6"/>
          <w:sz w:val="24"/>
          <w:szCs w:val="24"/>
          <w:highlight w:val="none"/>
          <w14:textFill>
            <w14:solidFill>
              <w14:schemeClr w14:val="accent6"/>
            </w14:solidFill>
          </w14:textFill>
        </w:rPr>
        <w:t>）</w:t>
      </w:r>
      <w:r>
        <w:rPr>
          <w:rFonts w:hint="eastAsia" w:asciiTheme="minorEastAsia" w:hAnsiTheme="minorEastAsia" w:cstheme="minorEastAsia"/>
          <w:color w:val="F79646" w:themeColor="accent6"/>
          <w:sz w:val="24"/>
          <w:szCs w:val="24"/>
          <w:highlight w:val="none"/>
          <w:lang w:eastAsia="zh-CN"/>
          <w14:textFill>
            <w14:solidFill>
              <w14:schemeClr w14:val="accent6"/>
            </w14:solidFill>
          </w14:textFill>
        </w:rPr>
        <w:t>。</w:t>
      </w:r>
    </w:p>
    <w:p>
      <w:pPr>
        <w:keepNext/>
        <w:keepLines/>
        <w:spacing w:line="420" w:lineRule="exact"/>
        <w:ind w:leftChars="200"/>
        <w:outlineLvl w:val="3"/>
        <w:rPr>
          <w:rFonts w:hint="eastAsia" w:asciiTheme="minorEastAsia" w:hAnsiTheme="minorEastAsia" w:eastAsiaTheme="minorEastAsia" w:cstheme="minorEastAsia"/>
          <w:b/>
          <w:bCs/>
          <w:color w:val="F79646" w:themeColor="accent6"/>
          <w:sz w:val="21"/>
          <w:szCs w:val="21"/>
          <w:highlight w:val="none"/>
          <w14:textFill>
            <w14:solidFill>
              <w14:schemeClr w14:val="accent6"/>
            </w14:solidFill>
          </w14:textFill>
        </w:rPr>
      </w:pPr>
    </w:p>
    <w:p>
      <w:pPr>
        <w:pStyle w:val="33"/>
        <w:rPr>
          <w:rFonts w:hint="eastAsia"/>
          <w:color w:val="F79646" w:themeColor="accent6"/>
          <w:highlight w:val="none"/>
          <w14:textFill>
            <w14:solidFill>
              <w14:schemeClr w14:val="accent6"/>
            </w14:solidFill>
          </w14:textFill>
        </w:rPr>
      </w:pPr>
    </w:p>
    <w:p>
      <w:pPr>
        <w:keepNext/>
        <w:keepLines/>
        <w:spacing w:line="420" w:lineRule="exact"/>
        <w:outlineLvl w:val="3"/>
        <w:rPr>
          <w:rFonts w:hint="eastAsia" w:asciiTheme="minorEastAsia" w:hAnsiTheme="minorEastAsia" w:eastAsiaTheme="minorEastAsia" w:cstheme="minorEastAsia"/>
          <w:b/>
          <w:bCs/>
          <w:sz w:val="21"/>
          <w:szCs w:val="21"/>
          <w:highlight w:val="none"/>
        </w:rPr>
      </w:pPr>
    </w:p>
    <w:p>
      <w:pPr>
        <w:pStyle w:val="33"/>
        <w:rPr>
          <w:rFonts w:hint="eastAsia" w:asciiTheme="minorEastAsia" w:hAnsiTheme="minorEastAsia" w:eastAsiaTheme="minorEastAsia" w:cstheme="minorEastAsia"/>
          <w:b/>
          <w:bCs/>
          <w:sz w:val="21"/>
          <w:szCs w:val="21"/>
          <w:highlight w:val="none"/>
        </w:rPr>
      </w:pPr>
    </w:p>
    <w:p>
      <w:pPr>
        <w:pStyle w:val="33"/>
        <w:rPr>
          <w:rFonts w:hint="eastAsia" w:asciiTheme="minorEastAsia" w:hAnsiTheme="minorEastAsia" w:eastAsiaTheme="minorEastAsia" w:cstheme="minorEastAsia"/>
          <w:b/>
          <w:bCs/>
          <w:sz w:val="21"/>
          <w:szCs w:val="21"/>
          <w:highlight w:val="none"/>
        </w:rPr>
      </w:pPr>
    </w:p>
    <w:p>
      <w:pPr>
        <w:jc w:val="both"/>
        <w:rPr>
          <w:rFonts w:hint="eastAsia"/>
          <w:sz w:val="44"/>
          <w:szCs w:val="44"/>
          <w:highlight w:val="none"/>
          <w:u w:val="single"/>
        </w:rPr>
      </w:pPr>
    </w:p>
    <w:p>
      <w:pPr>
        <w:jc w:val="right"/>
        <w:rPr>
          <w:rFonts w:hint="eastAsia"/>
          <w:sz w:val="44"/>
          <w:szCs w:val="44"/>
          <w:highlight w:val="none"/>
          <w:u w:val="single"/>
        </w:rPr>
      </w:pPr>
    </w:p>
    <w:p>
      <w:pPr>
        <w:jc w:val="right"/>
        <w:rPr>
          <w:sz w:val="44"/>
          <w:szCs w:val="44"/>
          <w:highlight w:val="none"/>
          <w:u w:val="single"/>
        </w:rPr>
      </w:pPr>
      <w:r>
        <w:rPr>
          <w:rFonts w:hint="eastAsia"/>
          <w:sz w:val="44"/>
          <w:szCs w:val="44"/>
          <w:highlight w:val="none"/>
          <w:u w:val="single"/>
        </w:rPr>
        <w:t>（□正本 □副本）</w:t>
      </w:r>
    </w:p>
    <w:p>
      <w:pPr>
        <w:jc w:val="center"/>
        <w:rPr>
          <w:sz w:val="44"/>
          <w:szCs w:val="44"/>
          <w:highlight w:val="none"/>
          <w:u w:val="single"/>
        </w:rPr>
      </w:pPr>
    </w:p>
    <w:p>
      <w:pPr>
        <w:jc w:val="center"/>
        <w:rPr>
          <w:rFonts w:hint="eastAsia"/>
          <w:sz w:val="44"/>
          <w:szCs w:val="44"/>
          <w:highlight w:val="none"/>
          <w:u w:val="single"/>
        </w:rPr>
      </w:pPr>
    </w:p>
    <w:p>
      <w:pPr>
        <w:jc w:val="center"/>
        <w:rPr>
          <w:sz w:val="44"/>
          <w:szCs w:val="44"/>
          <w:highlight w:val="none"/>
          <w:u w:val="single"/>
        </w:rPr>
      </w:pPr>
      <w:r>
        <w:rPr>
          <w:rFonts w:hint="eastAsia"/>
          <w:sz w:val="44"/>
          <w:szCs w:val="44"/>
          <w:highlight w:val="none"/>
          <w:u w:val="single"/>
        </w:rPr>
        <w:t>（项目名称全称）</w:t>
      </w:r>
    </w:p>
    <w:p>
      <w:pPr>
        <w:jc w:val="center"/>
        <w:rPr>
          <w:sz w:val="44"/>
          <w:szCs w:val="44"/>
          <w:highlight w:val="none"/>
        </w:rPr>
      </w:pPr>
      <w:r>
        <w:rPr>
          <w:rFonts w:hint="eastAsia"/>
          <w:sz w:val="44"/>
          <w:szCs w:val="44"/>
          <w:highlight w:val="none"/>
        </w:rPr>
        <w:t>投标文件</w:t>
      </w:r>
    </w:p>
    <w:p>
      <w:pPr>
        <w:rPr>
          <w:highlight w:val="none"/>
        </w:rPr>
      </w:pPr>
    </w:p>
    <w:p>
      <w:pPr>
        <w:pStyle w:val="66"/>
        <w:ind w:firstLine="480"/>
        <w:rPr>
          <w:highlight w:val="none"/>
        </w:rPr>
      </w:pPr>
    </w:p>
    <w:p>
      <w:pPr>
        <w:tabs>
          <w:tab w:val="left" w:pos="426"/>
        </w:tabs>
        <w:rPr>
          <w:highlight w:val="none"/>
        </w:rPr>
      </w:pPr>
    </w:p>
    <w:p>
      <w:pPr>
        <w:tabs>
          <w:tab w:val="left" w:pos="426"/>
        </w:tabs>
        <w:ind w:firstLine="960" w:firstLineChars="300"/>
        <w:rPr>
          <w:rFonts w:hint="eastAsia"/>
          <w:sz w:val="32"/>
          <w:szCs w:val="32"/>
          <w:highlight w:val="none"/>
        </w:rPr>
      </w:pP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rPr>
      </w:pPr>
      <w:r>
        <w:rPr>
          <w:rFonts w:hint="eastAsia"/>
          <w:sz w:val="32"/>
          <w:szCs w:val="32"/>
          <w:highlight w:val="none"/>
        </w:rPr>
        <w:t xml:space="preserve">项目编号： </w:t>
      </w:r>
      <w:r>
        <w:rPr>
          <w:rFonts w:hint="eastAsia"/>
          <w:sz w:val="32"/>
          <w:szCs w:val="32"/>
          <w:highlight w:val="none"/>
          <w:u w:val="single"/>
        </w:rPr>
        <w:t xml:space="preserve">                             </w:t>
      </w:r>
      <w:r>
        <w:rPr>
          <w:rFonts w:hint="eastAsia"/>
          <w:sz w:val="32"/>
          <w:szCs w:val="32"/>
          <w:highlight w:val="non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24"/>
          <w:highlight w:val="none"/>
          <w:u w:val="single"/>
        </w:rPr>
      </w:pPr>
      <w:r>
        <w:rPr>
          <w:rFonts w:hint="eastAsia"/>
          <w:sz w:val="32"/>
          <w:szCs w:val="32"/>
          <w:highlight w:val="none"/>
        </w:rPr>
        <w:t>项目名称：</w:t>
      </w:r>
      <w:r>
        <w:rPr>
          <w:rFonts w:hint="eastAsia"/>
          <w:sz w:val="24"/>
          <w:highlight w:val="none"/>
          <w:u w:val="single"/>
        </w:rPr>
        <w:t xml:space="preserve">                                  </w:t>
      </w:r>
      <w:r>
        <w:rPr>
          <w:sz w:val="24"/>
          <w:highlight w:val="none"/>
          <w:u w:val="single"/>
        </w:rPr>
        <w:t xml:space="preserve"> </w:t>
      </w:r>
      <w:r>
        <w:rPr>
          <w:rFonts w:hint="eastAsia"/>
          <w:sz w:val="24"/>
          <w:highlight w:val="none"/>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投标单位名称（公章）：</w:t>
      </w:r>
      <w:r>
        <w:rPr>
          <w:rFonts w:hint="eastAsia"/>
          <w:sz w:val="32"/>
          <w:szCs w:val="32"/>
          <w:highlight w:val="none"/>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投标单位地址：</w:t>
      </w:r>
      <w:r>
        <w:rPr>
          <w:rFonts w:hint="eastAsia"/>
          <w:sz w:val="32"/>
          <w:szCs w:val="32"/>
          <w:highlight w:val="none"/>
          <w:u w:val="singl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u w:val="single"/>
        </w:rPr>
      </w:pPr>
      <w:r>
        <w:rPr>
          <w:rFonts w:hint="eastAsia"/>
          <w:sz w:val="32"/>
          <w:szCs w:val="32"/>
          <w:highlight w:val="none"/>
        </w:rPr>
        <w:t>联系人：</w:t>
      </w:r>
      <w:r>
        <w:rPr>
          <w:rFonts w:hint="eastAsia"/>
          <w:sz w:val="32"/>
          <w:szCs w:val="32"/>
          <w:highlight w:val="none"/>
          <w:u w:val="single"/>
        </w:rPr>
        <w:t xml:space="preserve">                               </w:t>
      </w:r>
      <w:r>
        <w:rPr>
          <w:rFonts w:hint="eastAsia"/>
          <w:sz w:val="32"/>
          <w:szCs w:val="32"/>
          <w:highlight w:val="none"/>
        </w:rPr>
        <w:t xml:space="preserve">                             </w:t>
      </w:r>
    </w:p>
    <w:p>
      <w:pPr>
        <w:keepNext w:val="0"/>
        <w:keepLines w:val="0"/>
        <w:pageBreakBefore w:val="0"/>
        <w:widowControl/>
        <w:tabs>
          <w:tab w:val="left" w:pos="426"/>
        </w:tabs>
        <w:kinsoku/>
        <w:wordWrap/>
        <w:overflowPunct/>
        <w:topLinePunct w:val="0"/>
        <w:autoSpaceDE/>
        <w:autoSpaceDN/>
        <w:bidi w:val="0"/>
        <w:adjustRightInd/>
        <w:snapToGrid/>
        <w:spacing w:line="760" w:lineRule="exact"/>
        <w:ind w:firstLine="960" w:firstLineChars="300"/>
        <w:textAlignment w:val="auto"/>
        <w:rPr>
          <w:sz w:val="32"/>
          <w:szCs w:val="32"/>
          <w:highlight w:val="none"/>
        </w:rPr>
      </w:pPr>
      <w:r>
        <w:rPr>
          <w:rFonts w:hint="eastAsia"/>
          <w:sz w:val="32"/>
          <w:szCs w:val="32"/>
          <w:highlight w:val="none"/>
        </w:rPr>
        <w:t>联系电话：</w:t>
      </w:r>
      <w:r>
        <w:rPr>
          <w:rFonts w:hint="eastAsia"/>
          <w:sz w:val="32"/>
          <w:szCs w:val="32"/>
          <w:highlight w:val="none"/>
          <w:u w:val="single"/>
        </w:rPr>
        <w:t xml:space="preserve">                               </w:t>
      </w:r>
      <w:r>
        <w:rPr>
          <w:rFonts w:hint="eastAsia"/>
          <w:sz w:val="32"/>
          <w:szCs w:val="32"/>
          <w:highlight w:val="none"/>
        </w:rPr>
        <w:t xml:space="preserve">                            </w:t>
      </w:r>
    </w:p>
    <w:p>
      <w:pPr>
        <w:tabs>
          <w:tab w:val="left" w:pos="426"/>
        </w:tabs>
        <w:rPr>
          <w:szCs w:val="21"/>
          <w:highlight w:val="none"/>
        </w:rPr>
      </w:pPr>
    </w:p>
    <w:p>
      <w:pPr>
        <w:pStyle w:val="15"/>
        <w:tabs>
          <w:tab w:val="left" w:pos="426"/>
        </w:tabs>
        <w:ind w:firstLine="960" w:firstLineChars="300"/>
        <w:rPr>
          <w:highlight w:val="none"/>
        </w:rPr>
      </w:pPr>
      <w:r>
        <w:rPr>
          <w:rFonts w:hint="eastAsia"/>
          <w:sz w:val="32"/>
          <w:szCs w:val="32"/>
          <w:highlight w:val="none"/>
        </w:rPr>
        <w:t>时    间</w:t>
      </w:r>
      <w:r>
        <w:rPr>
          <w:rFonts w:hint="eastAsia"/>
          <w:sz w:val="32"/>
          <w:szCs w:val="32"/>
          <w:highlight w:val="none"/>
          <w:u w:val="single"/>
          <w:lang w:val="en-US" w:eastAsia="zh-CN"/>
        </w:rPr>
        <w:t xml:space="preserve">      </w:t>
      </w:r>
      <w:r>
        <w:rPr>
          <w:rFonts w:hint="eastAsia"/>
          <w:sz w:val="32"/>
          <w:szCs w:val="32"/>
          <w:highlight w:val="none"/>
        </w:rPr>
        <w:t>年</w:t>
      </w:r>
      <w:r>
        <w:rPr>
          <w:rFonts w:hint="eastAsia"/>
          <w:sz w:val="32"/>
          <w:szCs w:val="32"/>
          <w:highlight w:val="none"/>
          <w:u w:val="single"/>
        </w:rPr>
        <w:t xml:space="preserve">     </w:t>
      </w:r>
      <w:r>
        <w:rPr>
          <w:rFonts w:hint="eastAsia"/>
          <w:sz w:val="32"/>
          <w:szCs w:val="32"/>
          <w:highlight w:val="none"/>
        </w:rPr>
        <w:t>月</w:t>
      </w:r>
      <w:r>
        <w:rPr>
          <w:rFonts w:hint="eastAsia"/>
          <w:sz w:val="32"/>
          <w:szCs w:val="32"/>
          <w:highlight w:val="none"/>
          <w:u w:val="single"/>
        </w:rPr>
        <w:t xml:space="preserve">     </w:t>
      </w:r>
      <w:r>
        <w:rPr>
          <w:rFonts w:hint="eastAsia"/>
          <w:sz w:val="32"/>
          <w:szCs w:val="32"/>
          <w:highlight w:val="none"/>
        </w:rPr>
        <w:t>日</w:t>
      </w:r>
      <w:r>
        <w:rPr>
          <w:rFonts w:hint="eastAsia"/>
          <w:highlight w:val="none"/>
        </w:rPr>
        <w:t xml:space="preserve">   </w:t>
      </w:r>
    </w:p>
    <w:p>
      <w:pPr>
        <w:pStyle w:val="15"/>
        <w:tabs>
          <w:tab w:val="left" w:pos="426"/>
        </w:tabs>
        <w:ind w:firstLine="630" w:firstLineChars="300"/>
        <w:rPr>
          <w:highlight w:val="none"/>
        </w:rPr>
      </w:pPr>
    </w:p>
    <w:p>
      <w:pPr>
        <w:pStyle w:val="15"/>
        <w:tabs>
          <w:tab w:val="left" w:pos="426"/>
        </w:tabs>
        <w:ind w:firstLine="630" w:firstLineChars="300"/>
        <w:rPr>
          <w:highlight w:val="none"/>
        </w:rPr>
      </w:pPr>
    </w:p>
    <w:p>
      <w:pPr>
        <w:pStyle w:val="15"/>
        <w:tabs>
          <w:tab w:val="left" w:pos="426"/>
        </w:tabs>
        <w:ind w:firstLine="630" w:firstLineChars="300"/>
        <w:rPr>
          <w:highlight w:val="none"/>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4"/>
          <w:szCs w:val="24"/>
          <w:highlight w:val="none"/>
          <w:lang w:val="en-US" w:eastAsia="zh-CN"/>
        </w:rPr>
      </w:pPr>
    </w:p>
    <w:p>
      <w:pPr>
        <w:spacing w:line="240" w:lineRule="auto"/>
        <w:outlineLvl w:val="9"/>
        <w:rPr>
          <w:rFonts w:hint="eastAsia"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br w:type="page"/>
      </w:r>
    </w:p>
    <w:p>
      <w:pPr>
        <w:spacing w:line="420" w:lineRule="exact"/>
        <w:outlineLvl w:val="3"/>
        <w:rPr>
          <w:rFonts w:hint="default"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二、目录指引</w:t>
      </w:r>
    </w:p>
    <w:p>
      <w:pPr>
        <w:rPr>
          <w:rFonts w:hint="eastAsia"/>
          <w:b/>
          <w:bCs/>
          <w:color w:val="FF0000"/>
          <w:highlight w:val="none"/>
        </w:rPr>
      </w:pPr>
      <w:r>
        <w:rPr>
          <w:rFonts w:hint="eastAsia"/>
          <w:b w:val="0"/>
          <w:bCs w:val="0"/>
          <w:color w:val="FF0000"/>
          <w:highlight w:val="none"/>
          <w:lang w:eastAsia="zh-CN"/>
        </w:rPr>
        <w:t>（</w:t>
      </w:r>
      <w:r>
        <w:rPr>
          <w:rFonts w:hint="eastAsia"/>
          <w:b w:val="0"/>
          <w:bCs w:val="0"/>
          <w:color w:val="FF0000"/>
          <w:highlight w:val="none"/>
        </w:rPr>
        <w:t>按照</w:t>
      </w:r>
      <w:r>
        <w:rPr>
          <w:rFonts w:hint="eastAsia"/>
          <w:b w:val="0"/>
          <w:bCs w:val="0"/>
          <w:color w:val="FF0000"/>
          <w:highlight w:val="none"/>
          <w:lang w:eastAsia="zh-CN"/>
        </w:rPr>
        <w:t>招标</w:t>
      </w:r>
      <w:r>
        <w:rPr>
          <w:rFonts w:hint="eastAsia"/>
          <w:b w:val="0"/>
          <w:bCs w:val="0"/>
          <w:color w:val="FF0000"/>
          <w:highlight w:val="none"/>
        </w:rPr>
        <w:t>文件相应内容，请标明各部分内容的页码。</w:t>
      </w:r>
      <w:r>
        <w:rPr>
          <w:rFonts w:hint="eastAsia"/>
          <w:b w:val="0"/>
          <w:bCs w:val="0"/>
          <w:color w:val="FF0000"/>
          <w:highlight w:val="none"/>
          <w:lang w:eastAsia="zh-CN"/>
        </w:rPr>
        <w:t>）</w:t>
      </w: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spacing w:line="420" w:lineRule="exact"/>
        <w:outlineLvl w:val="3"/>
        <w:rPr>
          <w:rFonts w:hint="eastAsia" w:asciiTheme="minorEastAsia" w:hAnsiTheme="minorEastAsia" w:cstheme="minorEastAsia"/>
          <w:b/>
          <w:bCs/>
          <w:sz w:val="21"/>
          <w:szCs w:val="21"/>
          <w:highlight w:val="none"/>
          <w:lang w:val="en-US" w:eastAsia="zh-CN"/>
        </w:rPr>
      </w:pPr>
    </w:p>
    <w:p>
      <w:pPr>
        <w:pStyle w:val="33"/>
        <w:rPr>
          <w:rFonts w:hint="eastAsia" w:asciiTheme="minorEastAsia" w:hAnsiTheme="minorEastAsia" w:cstheme="minorEastAsia"/>
          <w:b/>
          <w:bCs/>
          <w:sz w:val="21"/>
          <w:szCs w:val="21"/>
          <w:highlight w:val="none"/>
          <w:lang w:val="en-US" w:eastAsia="zh-CN"/>
        </w:rPr>
      </w:pPr>
    </w:p>
    <w:p>
      <w:pPr>
        <w:numPr>
          <w:ilvl w:val="0"/>
          <w:numId w:val="2"/>
        </w:numPr>
        <w:spacing w:line="420" w:lineRule="exact"/>
        <w:ind w:left="0" w:leftChars="0" w:firstLine="0" w:firstLineChars="0"/>
        <w:outlineLvl w:val="3"/>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投标函格式</w:t>
      </w:r>
    </w:p>
    <w:p>
      <w:pPr>
        <w:numPr>
          <w:ilvl w:val="0"/>
          <w:numId w:val="0"/>
        </w:numPr>
        <w:spacing w:line="420" w:lineRule="exact"/>
        <w:ind w:leftChars="0"/>
        <w:outlineLvl w:val="3"/>
        <w:rPr>
          <w:rFonts w:hint="eastAsia" w:asciiTheme="minorEastAsia" w:hAnsiTheme="minorEastAsia" w:eastAsiaTheme="minorEastAsia" w:cstheme="minorEastAsia"/>
          <w:b/>
          <w:bCs/>
          <w:sz w:val="24"/>
          <w:szCs w:val="24"/>
          <w:highlight w:val="none"/>
        </w:rPr>
      </w:pPr>
    </w:p>
    <w:p>
      <w:pPr>
        <w:spacing w:line="360" w:lineRule="auto"/>
        <w:ind w:left="120" w:leftChars="50" w:firstLine="375" w:firstLineChars="178"/>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致：</w:t>
      </w:r>
      <w:r>
        <w:rPr>
          <w:rFonts w:hint="eastAsia" w:asciiTheme="minorEastAsia" w:hAnsiTheme="minorEastAsia" w:eastAsiaTheme="minorEastAsia" w:cstheme="minorEastAsia"/>
          <w:b/>
          <w:bCs/>
          <w:sz w:val="21"/>
          <w:szCs w:val="21"/>
          <w:highlight w:val="none"/>
          <w:lang w:val="en-US" w:eastAsia="zh-CN"/>
        </w:rPr>
        <w:t>深圳市龙岗区耳鼻咽喉医院</w:t>
      </w:r>
    </w:p>
    <w:p>
      <w:pPr>
        <w:spacing w:line="360" w:lineRule="auto"/>
        <w:ind w:left="120" w:leftChars="50" w:firstLine="373" w:firstLineChars="178"/>
        <w:rPr>
          <w:rFonts w:ascii="宋体" w:hAnsi="宋体"/>
          <w:sz w:val="21"/>
          <w:szCs w:val="21"/>
          <w:highlight w:val="none"/>
        </w:rPr>
      </w:pPr>
      <w:r>
        <w:rPr>
          <w:rFonts w:hint="eastAsia" w:ascii="宋体" w:hAnsi="宋体"/>
          <w:sz w:val="21"/>
          <w:szCs w:val="21"/>
          <w:highlight w:val="none"/>
        </w:rPr>
        <w:t>我方确认收到贵方</w:t>
      </w:r>
      <w:r>
        <w:rPr>
          <w:rFonts w:hint="eastAsia" w:ascii="宋体" w:hAnsi="宋体"/>
          <w:kern w:val="28"/>
          <w:sz w:val="21"/>
          <w:szCs w:val="21"/>
          <w:highlight w:val="none"/>
          <w:u w:val="single"/>
        </w:rPr>
        <w:t xml:space="preserve">                   </w:t>
      </w:r>
      <w:r>
        <w:rPr>
          <w:rFonts w:hint="eastAsia" w:ascii="宋体" w:hAnsi="宋体"/>
          <w:kern w:val="28"/>
          <w:sz w:val="21"/>
          <w:szCs w:val="21"/>
          <w:highlight w:val="none"/>
        </w:rPr>
        <w:t>采购</w:t>
      </w:r>
      <w:r>
        <w:rPr>
          <w:rFonts w:hint="eastAsia" w:ascii="宋体" w:hAnsi="宋体"/>
          <w:sz w:val="21"/>
          <w:szCs w:val="21"/>
          <w:highlight w:val="none"/>
        </w:rPr>
        <w:t>货物及相关服务的招标文件（项目编号：</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rPr>
        <w:t>），</w:t>
      </w:r>
      <w:r>
        <w:rPr>
          <w:rFonts w:hint="eastAsia" w:ascii="宋体" w:hAnsi="宋体"/>
          <w:sz w:val="21"/>
          <w:szCs w:val="21"/>
          <w:highlight w:val="none"/>
          <w:u w:val="single"/>
        </w:rPr>
        <w:t xml:space="preserve"> (投标人名称、地址)</w:t>
      </w:r>
      <w:r>
        <w:rPr>
          <w:rFonts w:hint="eastAsia" w:ascii="宋体" w:hAnsi="宋体"/>
          <w:sz w:val="21"/>
          <w:szCs w:val="21"/>
          <w:highlight w:val="none"/>
        </w:rPr>
        <w:t>作为投标人已正式授权</w:t>
      </w:r>
      <w:r>
        <w:rPr>
          <w:rFonts w:hint="eastAsia" w:ascii="宋体" w:hAnsi="宋体"/>
          <w:sz w:val="21"/>
          <w:szCs w:val="21"/>
          <w:highlight w:val="none"/>
          <w:u w:val="single"/>
        </w:rPr>
        <w:t xml:space="preserve"> (被投标人授权代表全名、职务)</w:t>
      </w:r>
      <w:r>
        <w:rPr>
          <w:rFonts w:hint="eastAsia" w:ascii="宋体" w:hAnsi="宋体"/>
          <w:sz w:val="21"/>
          <w:szCs w:val="21"/>
          <w:highlight w:val="none"/>
        </w:rPr>
        <w:t>为我方签名代表，签名代表在此声明并同意：</w:t>
      </w:r>
    </w:p>
    <w:p>
      <w:pPr>
        <w:numPr>
          <w:ilvl w:val="0"/>
          <w:numId w:val="3"/>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我单位愿意遵守招标文件的各项规定，自愿参加投标，并已清楚招标文件的要求及有关文件规定，并严格按照招标文件的规定履行全部责任和义务。</w:t>
      </w:r>
    </w:p>
    <w:p>
      <w:pPr>
        <w:numPr>
          <w:ilvl w:val="0"/>
          <w:numId w:val="3"/>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我们同意本投标文件的投标有效期从提交投标文件的截止之日起</w:t>
      </w:r>
      <w:r>
        <w:rPr>
          <w:rFonts w:hint="eastAsia" w:asciiTheme="minorEastAsia" w:hAnsiTheme="minorEastAsia" w:cstheme="minorEastAsia"/>
          <w:b/>
          <w:sz w:val="21"/>
          <w:szCs w:val="21"/>
          <w:highlight w:val="none"/>
          <w:u w:val="single"/>
          <w:lang w:val="en-US" w:eastAsia="zh-CN"/>
        </w:rPr>
        <w:t>90</w:t>
      </w:r>
      <w:r>
        <w:rPr>
          <w:rFonts w:hint="eastAsia" w:asciiTheme="minorEastAsia" w:hAnsiTheme="minorEastAsia" w:eastAsiaTheme="minorEastAsia" w:cstheme="minorEastAsia"/>
          <w:b/>
          <w:sz w:val="21"/>
          <w:szCs w:val="21"/>
          <w:highlight w:val="none"/>
        </w:rPr>
        <w:t>日历日内有效，并承诺不予撤销已递交的投标文件。</w:t>
      </w:r>
    </w:p>
    <w:p>
      <w:pPr>
        <w:numPr>
          <w:ilvl w:val="0"/>
          <w:numId w:val="3"/>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我单位已经详细地阅读并完全明白了全部招标文件及附件，我单位完全理解本招标文件的要求，我单位同意放弃对招标文件提出不明或误解的一切权利。</w:t>
      </w:r>
    </w:p>
    <w:p>
      <w:pPr>
        <w:numPr>
          <w:ilvl w:val="0"/>
          <w:numId w:val="3"/>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我单位同意提供</w:t>
      </w:r>
      <w:r>
        <w:rPr>
          <w:rFonts w:hint="eastAsia" w:asciiTheme="minorEastAsia" w:hAnsiTheme="minorEastAsia" w:eastAsiaTheme="minorEastAsia" w:cstheme="minorEastAsia"/>
          <w:b/>
          <w:sz w:val="21"/>
          <w:szCs w:val="21"/>
          <w:highlight w:val="none"/>
          <w:lang w:eastAsia="zh-TW"/>
        </w:rPr>
        <w:t>采购人</w:t>
      </w:r>
      <w:r>
        <w:rPr>
          <w:rFonts w:hint="eastAsia" w:asciiTheme="minorEastAsia" w:hAnsiTheme="minorEastAsia" w:eastAsiaTheme="minorEastAsia" w:cstheme="minorEastAsia"/>
          <w:b/>
          <w:sz w:val="21"/>
          <w:szCs w:val="21"/>
          <w:highlight w:val="none"/>
        </w:rPr>
        <w:t>与</w:t>
      </w:r>
      <w:r>
        <w:rPr>
          <w:rFonts w:hint="eastAsia" w:asciiTheme="minorEastAsia" w:hAnsiTheme="minorEastAsia" w:eastAsiaTheme="minorEastAsia" w:cstheme="minorEastAsia"/>
          <w:b/>
          <w:sz w:val="21"/>
          <w:szCs w:val="21"/>
          <w:highlight w:val="none"/>
          <w:lang w:eastAsia="zh-CN"/>
        </w:rPr>
        <w:t>评审委员会</w:t>
      </w:r>
      <w:r>
        <w:rPr>
          <w:rFonts w:hint="eastAsia" w:asciiTheme="minorEastAsia" w:hAnsiTheme="minorEastAsia" w:eastAsiaTheme="minorEastAsia" w:cstheme="minorEastAsia"/>
          <w:b/>
          <w:sz w:val="21"/>
          <w:szCs w:val="21"/>
          <w:highlight w:val="none"/>
        </w:rPr>
        <w:t>要求的有关投标的一切数据或资料。</w:t>
      </w:r>
    </w:p>
    <w:p>
      <w:pPr>
        <w:numPr>
          <w:ilvl w:val="0"/>
          <w:numId w:val="3"/>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我单位理解</w:t>
      </w:r>
      <w:r>
        <w:rPr>
          <w:rFonts w:hint="eastAsia" w:asciiTheme="minorEastAsia" w:hAnsiTheme="minorEastAsia" w:eastAsiaTheme="minorEastAsia" w:cstheme="minorEastAsia"/>
          <w:b/>
          <w:sz w:val="21"/>
          <w:szCs w:val="21"/>
          <w:highlight w:val="none"/>
          <w:lang w:eastAsia="zh-TW"/>
        </w:rPr>
        <w:t>采购人</w:t>
      </w:r>
      <w:r>
        <w:rPr>
          <w:rFonts w:hint="eastAsia" w:asciiTheme="minorEastAsia" w:hAnsiTheme="minorEastAsia" w:eastAsiaTheme="minorEastAsia" w:cstheme="minorEastAsia"/>
          <w:b/>
          <w:sz w:val="21"/>
          <w:szCs w:val="21"/>
          <w:highlight w:val="none"/>
        </w:rPr>
        <w:t>与</w:t>
      </w:r>
      <w:r>
        <w:rPr>
          <w:rFonts w:hint="eastAsia" w:asciiTheme="minorEastAsia" w:hAnsiTheme="minorEastAsia" w:eastAsiaTheme="minorEastAsia" w:cstheme="minorEastAsia"/>
          <w:b/>
          <w:sz w:val="21"/>
          <w:szCs w:val="21"/>
          <w:highlight w:val="none"/>
          <w:lang w:eastAsia="zh-CN"/>
        </w:rPr>
        <w:t>评审委员会</w:t>
      </w:r>
      <w:r>
        <w:rPr>
          <w:rFonts w:hint="eastAsia" w:asciiTheme="minorEastAsia" w:hAnsiTheme="minorEastAsia" w:eastAsiaTheme="minorEastAsia" w:cstheme="minorEastAsia"/>
          <w:b/>
          <w:sz w:val="21"/>
          <w:szCs w:val="21"/>
          <w:highlight w:val="none"/>
        </w:rPr>
        <w:t>并无义务必须接受最低报价的投标或其它任何投标，完全</w:t>
      </w:r>
      <w:r>
        <w:rPr>
          <w:rFonts w:hint="eastAsia" w:asciiTheme="minorEastAsia" w:hAnsiTheme="minorEastAsia" w:eastAsiaTheme="minorEastAsia" w:cstheme="minorEastAsia"/>
          <w:b/>
          <w:sz w:val="21"/>
          <w:szCs w:val="21"/>
          <w:highlight w:val="none"/>
          <w:lang w:val="en-US" w:eastAsia="zh-CN"/>
        </w:rPr>
        <w:t>采购人</w:t>
      </w:r>
      <w:r>
        <w:rPr>
          <w:rFonts w:hint="eastAsia" w:asciiTheme="minorEastAsia" w:hAnsiTheme="minorEastAsia" w:eastAsiaTheme="minorEastAsia" w:cstheme="minorEastAsia"/>
          <w:b/>
          <w:sz w:val="21"/>
          <w:szCs w:val="21"/>
          <w:highlight w:val="none"/>
        </w:rPr>
        <w:t>拒绝迟到的任何投标和最低投标报价不是被授予中标的唯一条件。</w:t>
      </w:r>
    </w:p>
    <w:p>
      <w:pPr>
        <w:numPr>
          <w:ilvl w:val="0"/>
          <w:numId w:val="3"/>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 xml:space="preserve">如果我单位未对招标文件全部要求作出实质性响应，则完全同意并接受按无效投标处理。 </w:t>
      </w:r>
    </w:p>
    <w:p>
      <w:pPr>
        <w:numPr>
          <w:ilvl w:val="0"/>
          <w:numId w:val="3"/>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3"/>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如果我单位提供的声明或承诺不真实，则完全同意认定为我司提供虚假材料，并同意作相应处理。</w:t>
      </w:r>
    </w:p>
    <w:p>
      <w:pPr>
        <w:numPr>
          <w:ilvl w:val="0"/>
          <w:numId w:val="3"/>
        </w:numPr>
        <w:tabs>
          <w:tab w:val="clear" w:pos="780"/>
        </w:tabs>
        <w:snapToGrid w:val="0"/>
        <w:spacing w:line="360" w:lineRule="auto"/>
        <w:ind w:left="42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我单位是依法注册的法人，在法律、财务及运作上完全独立于本项目采购人、用户单位（如有）和采购代理机构。</w:t>
      </w:r>
    </w:p>
    <w:p>
      <w:pPr>
        <w:numPr>
          <w:ilvl w:val="0"/>
          <w:numId w:val="0"/>
        </w:numPr>
        <w:snapToGrid w:val="0"/>
        <w:spacing w:line="360" w:lineRule="auto"/>
        <w:ind w:left="66" w:leftChars="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备注：</w:t>
      </w:r>
    </w:p>
    <w:p>
      <w:pPr>
        <w:autoSpaceDE w:val="0"/>
        <w:autoSpaceDN w:val="0"/>
        <w:adjustRightIn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1、投标函中承诺的投标有效期应当不少于招标文件中载明的投标有效期，否则视为无效投标。</w:t>
      </w:r>
    </w:p>
    <w:p>
      <w:pPr>
        <w:autoSpaceDE w:val="0"/>
        <w:autoSpaceDN w:val="0"/>
        <w:adjustRightInd w:val="0"/>
        <w:spacing w:line="360"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2、除投标有效期承诺的时间外，本投标函内容不得擅自删改，否则视为无效投标。</w:t>
      </w:r>
    </w:p>
    <w:p>
      <w:pPr>
        <w:spacing w:line="360" w:lineRule="auto"/>
        <w:rPr>
          <w:rFonts w:hint="eastAsia" w:asciiTheme="minorEastAsia" w:hAnsiTheme="minorEastAsia" w:eastAsiaTheme="minorEastAsia" w:cstheme="minorEastAsia"/>
          <w:b/>
          <w:bCs/>
          <w:sz w:val="21"/>
          <w:szCs w:val="21"/>
          <w:highlight w:val="none"/>
        </w:rPr>
      </w:pPr>
    </w:p>
    <w:p>
      <w:pPr>
        <w:spacing w:line="360" w:lineRule="auto"/>
        <w:ind w:firstLine="1265" w:firstLineChars="600"/>
        <w:rPr>
          <w:rFonts w:hint="eastAsia"/>
          <w:b/>
          <w:bCs/>
          <w:sz w:val="21"/>
          <w:szCs w:val="21"/>
          <w:highlight w:val="none"/>
        </w:rPr>
      </w:pPr>
    </w:p>
    <w:p>
      <w:pPr>
        <w:spacing w:line="360" w:lineRule="auto"/>
        <w:ind w:firstLine="2741" w:firstLineChars="1300"/>
        <w:rPr>
          <w:sz w:val="21"/>
          <w:szCs w:val="21"/>
          <w:highlight w:val="none"/>
        </w:rPr>
      </w:pPr>
      <w:r>
        <w:rPr>
          <w:rFonts w:hint="eastAsia"/>
          <w:b/>
          <w:bCs/>
          <w:sz w:val="21"/>
          <w:szCs w:val="21"/>
          <w:highlight w:val="none"/>
        </w:rPr>
        <w:t>投标人单位名称（单位盖公章）：</w:t>
      </w:r>
      <w:r>
        <w:rPr>
          <w:rFonts w:hint="eastAsia"/>
          <w:sz w:val="21"/>
          <w:szCs w:val="21"/>
          <w:highlight w:val="none"/>
          <w:u w:val="single"/>
        </w:rPr>
        <w:t xml:space="preserve">                            </w:t>
      </w:r>
      <w:r>
        <w:rPr>
          <w:rFonts w:hint="eastAsia"/>
          <w:sz w:val="21"/>
          <w:szCs w:val="21"/>
          <w:highlight w:val="none"/>
        </w:rPr>
        <w:t xml:space="preserve"> </w:t>
      </w:r>
    </w:p>
    <w:p>
      <w:pPr>
        <w:spacing w:line="360" w:lineRule="auto"/>
        <w:ind w:firstLine="2741" w:firstLineChars="1300"/>
        <w:rPr>
          <w:rFonts w:ascii="宋体" w:hAnsi="宋体"/>
          <w:b/>
          <w:bCs/>
          <w:sz w:val="21"/>
          <w:szCs w:val="21"/>
          <w:highlight w:val="none"/>
        </w:rPr>
      </w:pPr>
      <w:r>
        <w:rPr>
          <w:rFonts w:hint="eastAsia" w:ascii="宋体" w:hAnsi="宋体"/>
          <w:b/>
          <w:bCs/>
          <w:sz w:val="21"/>
          <w:szCs w:val="21"/>
          <w:highlight w:val="none"/>
        </w:rPr>
        <w:t>日期：</w:t>
      </w:r>
      <w:r>
        <w:rPr>
          <w:rFonts w:hint="eastAsia" w:ascii="宋体" w:hAnsi="宋体"/>
          <w:b/>
          <w:bCs/>
          <w:sz w:val="21"/>
          <w:szCs w:val="21"/>
          <w:highlight w:val="none"/>
          <w:u w:val="single"/>
        </w:rPr>
        <w:t xml:space="preserve">       </w:t>
      </w:r>
      <w:r>
        <w:rPr>
          <w:rFonts w:hint="eastAsia" w:ascii="宋体" w:hAnsi="宋体"/>
          <w:b/>
          <w:bCs/>
          <w:sz w:val="21"/>
          <w:szCs w:val="21"/>
          <w:highlight w:val="none"/>
        </w:rPr>
        <w:t>年</w:t>
      </w:r>
      <w:r>
        <w:rPr>
          <w:rFonts w:hint="eastAsia" w:ascii="宋体" w:hAnsi="宋体"/>
          <w:b/>
          <w:bCs/>
          <w:sz w:val="21"/>
          <w:szCs w:val="21"/>
          <w:highlight w:val="none"/>
          <w:u w:val="single"/>
        </w:rPr>
        <w:t xml:space="preserve">     </w:t>
      </w:r>
      <w:r>
        <w:rPr>
          <w:rFonts w:hint="eastAsia" w:ascii="宋体" w:hAnsi="宋体"/>
          <w:b/>
          <w:bCs/>
          <w:sz w:val="21"/>
          <w:szCs w:val="21"/>
          <w:highlight w:val="none"/>
        </w:rPr>
        <w:t>月</w:t>
      </w:r>
      <w:r>
        <w:rPr>
          <w:rFonts w:hint="eastAsia" w:ascii="宋体" w:hAnsi="宋体"/>
          <w:b/>
          <w:bCs/>
          <w:sz w:val="21"/>
          <w:szCs w:val="21"/>
          <w:highlight w:val="none"/>
          <w:u w:val="single"/>
        </w:rPr>
        <w:t xml:space="preserve">    </w:t>
      </w:r>
      <w:r>
        <w:rPr>
          <w:rFonts w:hint="eastAsia" w:ascii="宋体" w:hAnsi="宋体"/>
          <w:b/>
          <w:bCs/>
          <w:sz w:val="21"/>
          <w:szCs w:val="21"/>
          <w:highlight w:val="none"/>
        </w:rPr>
        <w:t>日</w:t>
      </w:r>
    </w:p>
    <w:p>
      <w:pPr>
        <w:adjustRightInd w:val="0"/>
        <w:snapToGrid w:val="0"/>
        <w:spacing w:line="360" w:lineRule="auto"/>
        <w:rPr>
          <w:rFonts w:ascii="黑体" w:eastAsia="黑体"/>
          <w:b/>
          <w:bCs/>
          <w:sz w:val="21"/>
          <w:szCs w:val="21"/>
          <w:highlight w:val="none"/>
        </w:rPr>
        <w:sectPr>
          <w:pgSz w:w="11906" w:h="16838"/>
          <w:pgMar w:top="1440" w:right="1286" w:bottom="1440" w:left="1440" w:header="851" w:footer="992" w:gutter="0"/>
          <w:cols w:space="720" w:num="1"/>
          <w:docGrid w:type="lines" w:linePitch="312" w:charSpace="0"/>
        </w:sectPr>
      </w:pPr>
    </w:p>
    <w:p>
      <w:pPr>
        <w:numPr>
          <w:ilvl w:val="0"/>
          <w:numId w:val="2"/>
        </w:numPr>
        <w:spacing w:line="420" w:lineRule="exact"/>
        <w:ind w:left="0" w:leftChars="0" w:firstLine="0" w:firstLineChars="0"/>
        <w:outlineLvl w:val="3"/>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投标及履约承诺函</w:t>
      </w:r>
    </w:p>
    <w:p>
      <w:pPr>
        <w:numPr>
          <w:ilvl w:val="0"/>
          <w:numId w:val="0"/>
        </w:numPr>
        <w:spacing w:line="420" w:lineRule="exact"/>
        <w:ind w:leftChars="0"/>
        <w:outlineLvl w:val="3"/>
        <w:rPr>
          <w:rFonts w:hint="default" w:asciiTheme="minorEastAsia" w:hAnsiTheme="minorEastAsia" w:eastAsiaTheme="minorEastAsia" w:cstheme="minorEastAsia"/>
          <w:b/>
          <w:bCs/>
          <w:sz w:val="24"/>
          <w:szCs w:val="24"/>
          <w:highlight w:val="none"/>
          <w:lang w:val="en-US" w:eastAsia="zh-CN"/>
        </w:rPr>
      </w:pPr>
    </w:p>
    <w:p>
      <w:pPr>
        <w:tabs>
          <w:tab w:val="left" w:pos="426"/>
        </w:tabs>
        <w:adjustRightInd w:val="0"/>
        <w:spacing w:line="420" w:lineRule="exact"/>
        <w:jc w:val="center"/>
        <w:outlineLvl w:val="4"/>
        <w:rPr>
          <w:rFonts w:hint="eastAsia" w:ascii="方正小标宋简体" w:hAnsi="方正小标宋简体" w:eastAsia="方正小标宋简体" w:cs="方正小标宋简体"/>
          <w:b w:val="0"/>
          <w:bCs/>
          <w:color w:val="333333"/>
          <w:kern w:val="0"/>
          <w:sz w:val="36"/>
          <w:szCs w:val="36"/>
          <w:shd w:val="clear" w:color="auto" w:fill="FFFFFF"/>
          <w:lang w:val="en-US" w:eastAsia="zh-CN" w:bidi="ar-SA"/>
        </w:rPr>
      </w:pPr>
      <w:r>
        <w:rPr>
          <w:rFonts w:hint="eastAsia" w:ascii="方正小标宋简体" w:hAnsi="方正小标宋简体" w:eastAsia="方正小标宋简体" w:cs="方正小标宋简体"/>
          <w:b w:val="0"/>
          <w:bCs/>
          <w:color w:val="333333"/>
          <w:kern w:val="0"/>
          <w:sz w:val="36"/>
          <w:szCs w:val="36"/>
          <w:shd w:val="clear" w:color="auto" w:fill="FFFFFF"/>
          <w:lang w:val="en-US" w:eastAsia="zh-CN" w:bidi="ar-SA"/>
        </w:rPr>
        <w:t>投标及履约承诺函</w:t>
      </w:r>
    </w:p>
    <w:p>
      <w:pPr>
        <w:pStyle w:val="2"/>
        <w:spacing w:line="420" w:lineRule="exact"/>
        <w:rPr>
          <w:rFonts w:hint="eastAsia" w:ascii="仿宋_GB2312" w:hAnsi="仿宋_GB2312" w:eastAsia="仿宋_GB2312" w:cs="仿宋_GB2312"/>
          <w:b w:val="0"/>
          <w:bCs/>
          <w:color w:val="333333"/>
          <w:kern w:val="0"/>
          <w:sz w:val="24"/>
          <w:szCs w:val="24"/>
          <w:shd w:val="clear" w:color="auto" w:fill="FFFFFF"/>
          <w:lang w:val="en-US" w:eastAsia="zh-CN" w:bidi="ar-SA"/>
        </w:rPr>
      </w:pPr>
    </w:p>
    <w:p>
      <w:pPr>
        <w:tabs>
          <w:tab w:val="left" w:pos="360"/>
        </w:tabs>
        <w:spacing w:line="460" w:lineRule="exact"/>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致：深圳市龙岗区耳鼻咽喉医院</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我公司承诺：</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1.我公司参与本项目所投标（响应）的货物或服务未侵犯知识产权。</w:t>
      </w:r>
    </w:p>
    <w:p>
      <w:pPr>
        <w:numPr>
          <w:ilvl w:val="0"/>
          <w:numId w:val="0"/>
        </w:num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2.我公司参与本项目采购活动前三年内，在经营活动中没有《中华人民共和国政府采购法实施条例》第十九条规定的重大违法记录。</w:t>
      </w:r>
    </w:p>
    <w:p>
      <w:pPr>
        <w:numPr>
          <w:ilvl w:val="0"/>
          <w:numId w:val="0"/>
        </w:num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3.我公司参与本项目采购活动时不存在被有关部门禁止参与政府采购活动且在有效期内的情况。</w:t>
      </w:r>
    </w:p>
    <w:p>
      <w:pPr>
        <w:numPr>
          <w:ilvl w:val="0"/>
          <w:numId w:val="0"/>
        </w:numPr>
        <w:tabs>
          <w:tab w:val="left" w:pos="360"/>
        </w:tabs>
        <w:spacing w:line="460" w:lineRule="exact"/>
        <w:ind w:leftChars="0"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4.我公司具备《中华人民共和国政府采购法》第二十二条第一款规定的六项条件。</w:t>
      </w:r>
    </w:p>
    <w:p>
      <w:pPr>
        <w:numPr>
          <w:ilvl w:val="0"/>
          <w:numId w:val="0"/>
        </w:numPr>
        <w:tabs>
          <w:tab w:val="left" w:pos="360"/>
        </w:tabs>
        <w:spacing w:line="460" w:lineRule="exact"/>
        <w:ind w:leftChars="0"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5.我公司未被列入失信被执行人、重大税收违法案件当事人名单、政府采购严重违法失信行为记录名单。</w:t>
      </w:r>
    </w:p>
    <w:p>
      <w:pPr>
        <w:numPr>
          <w:ilvl w:val="0"/>
          <w:numId w:val="0"/>
        </w:numPr>
        <w:tabs>
          <w:tab w:val="left" w:pos="360"/>
        </w:tabs>
        <w:spacing w:line="460" w:lineRule="exact"/>
        <w:ind w:leftChars="0"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6.我公司参加本项目采购活动时，不存在《中华人民共和国政府采购法实施条例》第十八条规定的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不存在对本次采购项目提供整体设计、规范编制或许项目管理、监理、检测等服务的情形。</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7.我公司参与本项目采购活动，严格遵守政府采购相关法律，做到诚实，不造假，不围标、串标、陪标。我公司已清楚：如违反上述要求，将作无效响应处理，被列入不良记录名单并网上曝光，同时将被提请政府采购监督管理部门给予一定年限内禁止参与政府采购活动或其他处罚。</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8.我公司如果成为本项目成交供应商，做到守信，不偷工减料，依照本项目采购文件需求内容、签署的采购合同及本公司在参与投标文件中所作的一切响应和承诺进行履约。项目验收达到全部指标合格，力争优良。在合同履约期间，如我公司违法行为被禁止参与政府采购活动或者存在其他重大违法行为的。采购人可以提前解除合同或者不予续签合同。</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报价响应中所作的全部承诺履行。我公司清楚，若我公司以“报价太低而无法履约”为理由放弃本项目中标资格时，愿意接受政府采购监督管理部门的处理。若我公司成为本项目成交供应商，我公司的报价明显低于其他参与投标供应商的报价时，本项目将成为重点监管、重点验收项目，我公司将按时保质保量完成，并全力配合有关监管、验收工作；若我公司未按上述要求履约，我公司愿意接受主管部门的处理处罚。</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10.我公司已认真核实了招标响应文件的全部内容，所有资料均为真实材料。我公司对招标响应文件中全部投标资料的真实性负责，如被证实我公司的投标响应文件存在虚假资料，则视为我公司隐瞒真实情况、提供虚假资料，我公司愿意接受主管部门作出的行政处罚。</w:t>
      </w:r>
    </w:p>
    <w:p>
      <w:pPr>
        <w:tabs>
          <w:tab w:val="left" w:pos="360"/>
        </w:tabs>
        <w:spacing w:line="460" w:lineRule="exact"/>
        <w:ind w:firstLine="480" w:firstLineChars="200"/>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11.我公司承诺不非法转包、分包。</w:t>
      </w:r>
    </w:p>
    <w:p>
      <w:pPr>
        <w:tabs>
          <w:tab w:val="left" w:pos="360"/>
        </w:tabs>
        <w:spacing w:line="460" w:lineRule="exact"/>
        <w:jc w:val="both"/>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以上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tabs>
          <w:tab w:val="left" w:pos="360"/>
        </w:tabs>
        <w:spacing w:line="460" w:lineRule="exact"/>
        <w:jc w:val="both"/>
        <w:rPr>
          <w:rFonts w:hint="eastAsia" w:ascii="仿宋_GB2312" w:hAnsi="仿宋_GB2312" w:eastAsia="仿宋_GB2312" w:cs="仿宋_GB2312"/>
          <w:b w:val="0"/>
          <w:bCs/>
          <w:color w:val="333333"/>
          <w:kern w:val="0"/>
          <w:sz w:val="24"/>
          <w:szCs w:val="24"/>
          <w:shd w:val="clear" w:color="auto" w:fill="FFFFFF"/>
          <w:lang w:val="en-US" w:eastAsia="zh-CN" w:bidi="ar-SA"/>
        </w:rPr>
      </w:pPr>
    </w:p>
    <w:p>
      <w:pPr>
        <w:pStyle w:val="2"/>
        <w:spacing w:line="420" w:lineRule="exact"/>
        <w:rPr>
          <w:rFonts w:hint="eastAsia" w:ascii="仿宋_GB2312" w:hAnsi="仿宋_GB2312" w:eastAsia="仿宋_GB2312" w:cs="仿宋_GB2312"/>
          <w:b w:val="0"/>
          <w:bCs/>
          <w:color w:val="333333"/>
          <w:kern w:val="0"/>
          <w:sz w:val="24"/>
          <w:szCs w:val="24"/>
          <w:shd w:val="clear" w:color="auto" w:fill="FFFFFF"/>
          <w:lang w:val="en-US" w:eastAsia="zh-CN" w:bidi="ar-SA"/>
        </w:rPr>
      </w:pPr>
    </w:p>
    <w:p>
      <w:pPr>
        <w:tabs>
          <w:tab w:val="left" w:pos="426"/>
        </w:tabs>
        <w:snapToGrid w:val="0"/>
        <w:spacing w:line="420" w:lineRule="exact"/>
        <w:rPr>
          <w:rFonts w:hint="eastAsia" w:ascii="仿宋_GB2312" w:hAnsi="仿宋_GB2312" w:eastAsia="仿宋_GB2312" w:cs="仿宋_GB2312"/>
          <w:b w:val="0"/>
          <w:bCs/>
          <w:color w:val="333333"/>
          <w:kern w:val="0"/>
          <w:sz w:val="24"/>
          <w:szCs w:val="24"/>
          <w:shd w:val="clear" w:color="auto" w:fill="FFFFFF"/>
          <w:lang w:val="en-US" w:eastAsia="zh-CN" w:bidi="ar-SA"/>
        </w:rPr>
      </w:pPr>
    </w:p>
    <w:p>
      <w:pPr>
        <w:tabs>
          <w:tab w:val="left" w:pos="426"/>
        </w:tabs>
        <w:spacing w:line="420" w:lineRule="exact"/>
        <w:ind w:firstLine="5040" w:firstLineChars="2100"/>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投标人单位名称（公章）：</w:t>
      </w:r>
    </w:p>
    <w:p>
      <w:pPr>
        <w:tabs>
          <w:tab w:val="left" w:pos="426"/>
        </w:tabs>
        <w:spacing w:line="420" w:lineRule="exact"/>
        <w:ind w:firstLine="4560" w:firstLineChars="1900"/>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法定代表人或其授权代表签名：</w:t>
      </w:r>
    </w:p>
    <w:p>
      <w:pPr>
        <w:tabs>
          <w:tab w:val="left" w:pos="426"/>
        </w:tabs>
        <w:spacing w:line="420" w:lineRule="exact"/>
        <w:ind w:firstLine="4800" w:firstLineChars="2000"/>
        <w:rPr>
          <w:rFonts w:hint="eastAsia" w:ascii="仿宋_GB2312" w:hAnsi="仿宋_GB2312" w:eastAsia="仿宋_GB2312" w:cs="仿宋_GB2312"/>
          <w:b w:val="0"/>
          <w:bCs/>
          <w:color w:val="333333"/>
          <w:kern w:val="0"/>
          <w:sz w:val="24"/>
          <w:szCs w:val="24"/>
          <w:shd w:val="clear" w:color="auto" w:fill="FFFFFF"/>
          <w:lang w:val="en-US" w:eastAsia="zh-CN" w:bidi="ar-SA"/>
        </w:rPr>
      </w:pPr>
      <w:r>
        <w:rPr>
          <w:rFonts w:hint="eastAsia" w:ascii="仿宋_GB2312" w:hAnsi="仿宋_GB2312" w:eastAsia="仿宋_GB2312" w:cs="仿宋_GB2312"/>
          <w:b w:val="0"/>
          <w:bCs/>
          <w:color w:val="333333"/>
          <w:kern w:val="0"/>
          <w:sz w:val="24"/>
          <w:szCs w:val="24"/>
          <w:shd w:val="clear" w:color="auto" w:fill="FFFFFF"/>
          <w:lang w:val="en-US" w:eastAsia="zh-CN" w:bidi="ar-SA"/>
        </w:rPr>
        <w:t>日期：      年    月    日</w:t>
      </w:r>
    </w:p>
    <w:p>
      <w:pPr>
        <w:pStyle w:val="33"/>
        <w:tabs>
          <w:tab w:val="left" w:pos="426"/>
        </w:tabs>
        <w:rPr>
          <w:rFonts w:hint="eastAsia" w:ascii="仿宋_GB2312" w:hAnsi="仿宋_GB2312" w:eastAsia="仿宋_GB2312" w:cs="仿宋_GB2312"/>
          <w:b w:val="0"/>
          <w:bCs/>
          <w:sz w:val="24"/>
          <w:szCs w:val="24"/>
          <w:lang w:eastAsia="zh-CN"/>
        </w:rPr>
      </w:pPr>
    </w:p>
    <w:p>
      <w:pPr>
        <w:pStyle w:val="33"/>
        <w:tabs>
          <w:tab w:val="left" w:pos="426"/>
        </w:tabs>
        <w:rPr>
          <w:rFonts w:hint="eastAsia" w:ascii="仿宋" w:hAnsi="仿宋" w:eastAsia="仿宋" w:cs="仿宋"/>
          <w:sz w:val="24"/>
          <w:szCs w:val="24"/>
          <w:lang w:eastAsia="zh-CN"/>
        </w:rPr>
      </w:pPr>
    </w:p>
    <w:p>
      <w:pPr>
        <w:pStyle w:val="33"/>
        <w:tabs>
          <w:tab w:val="left" w:pos="426"/>
        </w:tabs>
        <w:rPr>
          <w:rFonts w:hint="eastAsia" w:ascii="仿宋" w:hAnsi="仿宋" w:eastAsia="仿宋" w:cs="仿宋"/>
          <w:sz w:val="24"/>
          <w:szCs w:val="24"/>
          <w:lang w:eastAsia="zh-CN"/>
        </w:rPr>
      </w:pPr>
    </w:p>
    <w:p>
      <w:pPr>
        <w:pStyle w:val="33"/>
        <w:tabs>
          <w:tab w:val="left" w:pos="426"/>
        </w:tabs>
        <w:rPr>
          <w:rFonts w:hint="eastAsia" w:ascii="仿宋" w:hAnsi="仿宋" w:eastAsia="仿宋" w:cs="仿宋"/>
          <w:sz w:val="24"/>
          <w:szCs w:val="24"/>
          <w:lang w:eastAsia="zh-CN"/>
        </w:rPr>
      </w:pPr>
    </w:p>
    <w:p>
      <w:pPr>
        <w:numPr>
          <w:ilvl w:val="0"/>
          <w:numId w:val="4"/>
        </w:numPr>
        <w:spacing w:line="420" w:lineRule="exact"/>
        <w:ind w:leftChars="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采购违法行为风险知悉确认书</w:t>
      </w:r>
    </w:p>
    <w:p>
      <w:pPr>
        <w:numPr>
          <w:ilvl w:val="0"/>
          <w:numId w:val="0"/>
        </w:numPr>
        <w:spacing w:line="420" w:lineRule="exact"/>
        <w:rPr>
          <w:rFonts w:hint="eastAsia" w:asciiTheme="minorEastAsia" w:hAnsiTheme="minorEastAsia" w:eastAsiaTheme="minorEastAsia" w:cstheme="minorEastAsia"/>
          <w:b/>
          <w:sz w:val="24"/>
          <w:szCs w:val="24"/>
          <w:lang w:val="en-US" w:eastAsia="zh-CN"/>
        </w:rPr>
      </w:pP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本公司（单位）已充分知悉以下情形为参与采购活动时的重大风险事项，并承诺已对下述风险提示事项重点排查，做到严谨、诚信、依法依规参与贵院采购活动。</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一、本公司（单位）已充分知悉“隐瞒真实情况，提供虚假资料”的法定情形，相关情形包括但不限于：</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（一）通过转让或者租借等方式从其他单位获取资格或者资质证书参加项目采购活动的。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（二）由其他单位或者其他单位负责人在编制的投标文件上加盖印章或者签字的。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（三）项目负责人或者主要技术人员不是本单位人员的。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（四）其他隐瞒真实情况、提供虚假资料的行为。</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二、本公司（单位）已充分知悉“与其他采购参加人串通投标”的法定情形，相关情形包括但不限于：</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（一）参加本项目供应商之间相互约定给予未中标的供应商利益补偿。</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（二）不同报名供应商的法定代表人、主要经营负责人、项目授权代表人、项目负责人、主要技术人员为同一人、属同一单位或者在同一单位缴纳社会保险。</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（三）不同报名供应商的投标文件由同一单位或者同一人编制，或者由同一人分阶段参与编制的。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（四）不同报名供应商的投标文件或部分投标文件相互混装。</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（五）不同报名供应商的投标文件内容存在非正常一致。</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（六）由同一单位工作人员为两家以上（含两家）供应商进行同一项采购活动的。</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（七）不同供应商的报价呈规律性差异。</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（八）主管部门依照法律、法规认定的其他情形。</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三、本公司（单位）已充分知悉下列情形所对应的法律风险，并已对相关风险事项进行排查。</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（一）对于从其他主体获取的资料，供应商应审慎核查，确保投标文件的真实性。如主管部门查实投标文件中存在虚假资料的，无论相关资料是否由第三方或本公司（单位）员工提供，均不影响</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主管部门对供应商存在“隐瞒真实情况，提供虚假资料”违法行为的认定。</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（三）对于涉及安全生产、特种作业、抢险救灾、防疫等政府采购项目，供应商实施提供虚假资料、串通投标等违法行为的，主管部门将依法从严处理。</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供应商应严格规范项目授权代表、员工参与本项目采购活动的行为，加强对投标文件的审核。项目授权代表、员工编制、上传投标文件等行为违反政府采购法律法规或招标文件要求的，供应商应当依法承担相应法律责任。</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（五）单位负责人为同一人或者存在直接控股、管理关系的不同供应商，不得参加同一合同项下的政府采购活动。相关情形如查实，依法作投标无效处理；涉嫌串通投标等违法行为的，主管部门将依法调查处理。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四、本公司（单位）已充分知悉政府采购违法、违规行为的法律后果。经查实，若参与供应商存在政府采购违法、违规行为，主管部门将依据《深圳经济特区政府采购条例》第五十七条的规定，处以</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left="120" w:leftChars="50" w:firstLine="373" w:firstLineChars="178"/>
        <w:rPr>
          <w:rFonts w:hint="eastAsia" w:ascii="宋体" w:hAnsi="宋体" w:cs="Times New Roman"/>
          <w:sz w:val="21"/>
          <w:szCs w:val="21"/>
          <w:lang w:val="en-US" w:eastAsia="zh-CN"/>
        </w:rPr>
      </w:pPr>
    </w:p>
    <w:p>
      <w:pPr>
        <w:spacing w:line="360" w:lineRule="auto"/>
        <w:ind w:left="120" w:leftChars="50" w:firstLine="373" w:firstLineChars="178"/>
        <w:rPr>
          <w:rFonts w:hint="eastAsia" w:ascii="宋体" w:hAnsi="宋体" w:cs="Times New Roman"/>
          <w:color w:val="FF0000"/>
          <w:sz w:val="21"/>
          <w:szCs w:val="21"/>
          <w:lang w:val="en-US" w:eastAsia="zh-CN"/>
        </w:rPr>
      </w:pPr>
      <w:r>
        <w:rPr>
          <w:rFonts w:hint="eastAsia" w:ascii="宋体" w:hAnsi="宋体" w:cs="Times New Roman"/>
          <w:color w:val="FF0000"/>
          <w:sz w:val="21"/>
          <w:szCs w:val="21"/>
          <w:lang w:val="en-US" w:eastAsia="zh-CN"/>
        </w:rPr>
        <w:t>以下文字请供应商抄写并确认：“本公司（单位）已仔细阅读《采购违法行为风险知悉确认书》，充分知悉违法行为的法律后果，并承诺将严谨、诚信、依法依规参与政府采购活动”。</w:t>
      </w:r>
    </w:p>
    <w:p>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pPr>
        <w:spacing w:line="360" w:lineRule="auto"/>
        <w:rPr>
          <w:rFonts w:hint="eastAsia" w:ascii="宋体" w:hAnsi="宋体" w:cs="Times New Roman"/>
          <w:sz w:val="21"/>
          <w:szCs w:val="21"/>
          <w:u w:val="single"/>
          <w:lang w:val="en-US" w:eastAsia="zh-CN"/>
        </w:rPr>
      </w:pPr>
      <w:r>
        <w:rPr>
          <w:rFonts w:hint="eastAsia" w:ascii="宋体" w:hAnsi="宋体" w:cs="Times New Roman"/>
          <w:sz w:val="21"/>
          <w:szCs w:val="21"/>
          <w:u w:val="single"/>
          <w:lang w:val="en-US" w:eastAsia="zh-CN"/>
        </w:rPr>
        <w:t xml:space="preserve">                                                                               </w:t>
      </w:r>
    </w:p>
    <w:p>
      <w:pPr>
        <w:spacing w:line="360" w:lineRule="auto"/>
        <w:rPr>
          <w:rFonts w:hint="eastAsia" w:ascii="宋体" w:hAnsi="宋体" w:cs="Times New Roman"/>
          <w:sz w:val="21"/>
          <w:szCs w:val="21"/>
          <w:lang w:val="en-US" w:eastAsia="zh-CN"/>
        </w:rPr>
      </w:pPr>
      <w:r>
        <w:rPr>
          <w:rFonts w:hint="eastAsia" w:ascii="宋体" w:hAnsi="宋体" w:cs="Times New Roman"/>
          <w:sz w:val="21"/>
          <w:szCs w:val="21"/>
          <w:u w:val="single"/>
          <w:lang w:val="en-US" w:eastAsia="zh-CN"/>
        </w:rPr>
        <w:t xml:space="preserve">                                                                                   </w:t>
      </w:r>
      <w:r>
        <w:rPr>
          <w:rFonts w:hint="eastAsia" w:ascii="宋体" w:hAnsi="宋体" w:cs="Times New Roman"/>
          <w:sz w:val="21"/>
          <w:szCs w:val="21"/>
          <w:lang w:val="en-US" w:eastAsia="zh-CN"/>
        </w:rPr>
        <w:t xml:space="preserve">                                                                                         </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w:t>
      </w:r>
    </w:p>
    <w:p>
      <w:pPr>
        <w:spacing w:line="360" w:lineRule="auto"/>
        <w:ind w:left="4360" w:leftChars="224" w:hanging="3822" w:hangingChars="182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法定代表人/项目授权代表签名：                  </w:t>
      </w:r>
    </w:p>
    <w:p>
      <w:pPr>
        <w:spacing w:line="360" w:lineRule="auto"/>
        <w:ind w:firstLine="3570" w:firstLineChars="170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知悉人（公章）：</w:t>
      </w:r>
    </w:p>
    <w:p>
      <w:pPr>
        <w:spacing w:line="360" w:lineRule="auto"/>
        <w:ind w:left="4570" w:leftChars="224" w:hanging="4032" w:hangingChars="1920"/>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日期：2025年    月    日</w:t>
      </w:r>
    </w:p>
    <w:p>
      <w:pPr>
        <w:spacing w:line="360" w:lineRule="auto"/>
        <w:ind w:left="120" w:leftChars="50" w:firstLine="373" w:firstLineChars="178"/>
        <w:rPr>
          <w:rFonts w:hint="eastAsia" w:ascii="宋体" w:hAnsi="宋体" w:cs="Times New Roman"/>
          <w:sz w:val="21"/>
          <w:szCs w:val="21"/>
          <w:lang w:val="en-US" w:eastAsia="zh-CN"/>
        </w:rPr>
      </w:pPr>
      <w:r>
        <w:rPr>
          <w:rFonts w:hint="eastAsia" w:ascii="宋体" w:hAnsi="宋体" w:cs="Times New Roman"/>
          <w:sz w:val="21"/>
          <w:szCs w:val="21"/>
          <w:lang w:val="en-US" w:eastAsia="zh-CN"/>
        </w:rPr>
        <w:br w:type="page"/>
      </w:r>
    </w:p>
    <w:p>
      <w:pPr>
        <w:numPr>
          <w:ilvl w:val="0"/>
          <w:numId w:val="4"/>
        </w:numPr>
        <w:spacing w:line="420" w:lineRule="exact"/>
        <w:ind w:left="0" w:leftChars="0" w:firstLine="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w:t>
      </w:r>
      <w:r>
        <w:rPr>
          <w:rFonts w:hint="eastAsia" w:asciiTheme="minorEastAsia" w:hAnsiTheme="minorEastAsia" w:cstheme="minorEastAsia"/>
          <w:b/>
          <w:sz w:val="24"/>
          <w:szCs w:val="24"/>
          <w:lang w:val="en-US" w:eastAsia="zh-CN"/>
        </w:rPr>
        <w:t>基本</w:t>
      </w:r>
      <w:r>
        <w:rPr>
          <w:rFonts w:hint="eastAsia" w:asciiTheme="minorEastAsia" w:hAnsiTheme="minorEastAsia" w:eastAsiaTheme="minorEastAsia" w:cstheme="minorEastAsia"/>
          <w:b/>
          <w:sz w:val="24"/>
          <w:szCs w:val="24"/>
        </w:rPr>
        <w:t>情况及资格证明文件</w:t>
      </w:r>
    </w:p>
    <w:p>
      <w:pPr>
        <w:numPr>
          <w:ilvl w:val="0"/>
          <w:numId w:val="0"/>
        </w:numPr>
        <w:spacing w:line="420" w:lineRule="exact"/>
        <w:ind w:leftChars="0" w:firstLine="0" w:firstLineChars="0"/>
        <w:jc w:val="both"/>
        <w:rPr>
          <w:rFonts w:hint="eastAsia" w:asciiTheme="minorEastAsia" w:hAnsiTheme="minorEastAsia" w:cstheme="minorEastAsia"/>
          <w:b/>
          <w:sz w:val="24"/>
          <w:szCs w:val="24"/>
          <w:lang w:val="en-US" w:eastAsia="zh-CN"/>
        </w:rPr>
      </w:pP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一</w:t>
      </w: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供应商基本情况表及供应商基本情况表附件</w:t>
      </w:r>
    </w:p>
    <w:p>
      <w:pPr>
        <w:numPr>
          <w:ilvl w:val="0"/>
          <w:numId w:val="0"/>
        </w:numPr>
        <w:spacing w:line="420" w:lineRule="exact"/>
        <w:ind w:leftChars="0" w:firstLine="0" w:firstLineChars="0"/>
        <w:jc w:val="both"/>
        <w:rPr>
          <w:rFonts w:hint="default" w:asciiTheme="minorEastAsia" w:hAnsiTheme="minorEastAsia" w:cstheme="minorEastAsia"/>
          <w:b/>
          <w:sz w:val="24"/>
          <w:szCs w:val="24"/>
          <w:lang w:val="en-US" w:eastAsia="zh-CN"/>
        </w:rPr>
      </w:pPr>
    </w:p>
    <w:p>
      <w:pPr>
        <w:pStyle w:val="5"/>
        <w:numPr>
          <w:ilvl w:val="0"/>
          <w:numId w:val="0"/>
        </w:numPr>
        <w:spacing w:line="240" w:lineRule="auto"/>
        <w:ind w:leftChars="0"/>
        <w:jc w:val="center"/>
        <w:rPr>
          <w:rFonts w:asciiTheme="majorEastAsia" w:hAnsiTheme="majorEastAsia" w:eastAsiaTheme="majorEastAsia"/>
          <w:sz w:val="30"/>
          <w:szCs w:val="30"/>
        </w:rPr>
      </w:pPr>
      <w:bookmarkStart w:id="21" w:name="_Toc11498"/>
      <w:r>
        <w:rPr>
          <w:rFonts w:hint="eastAsia" w:asciiTheme="majorEastAsia" w:hAnsiTheme="majorEastAsia" w:eastAsiaTheme="majorEastAsia"/>
          <w:b/>
          <w:bCs/>
          <w:sz w:val="30"/>
          <w:szCs w:val="30"/>
        </w:rPr>
        <w:t>供应商基本情况表</w:t>
      </w:r>
      <w:bookmarkEnd w:id="21"/>
    </w:p>
    <w:p>
      <w:pPr>
        <w:spacing w:before="220" w:line="198" w:lineRule="auto"/>
        <w:ind w:left="126"/>
        <w:rPr>
          <w:rFonts w:hint="eastAsia" w:ascii="宋体" w:hAnsi="宋体" w:eastAsia="宋体" w:cs="宋体"/>
          <w:sz w:val="21"/>
          <w:szCs w:val="21"/>
        </w:rPr>
      </w:pPr>
      <w:r>
        <w:rPr>
          <w:rFonts w:hint="eastAsia" w:ascii="宋体" w:hAnsi="宋体" w:eastAsia="宋体" w:cs="宋体"/>
          <w:sz w:val="21"/>
          <w:szCs w:val="21"/>
        </w:rPr>
        <w:t>填</w:t>
      </w:r>
      <w:r>
        <w:rPr>
          <w:rFonts w:hint="eastAsia" w:ascii="宋体" w:hAnsi="宋体" w:eastAsia="宋体" w:cs="宋体"/>
          <w:spacing w:val="-2"/>
          <w:kern w:val="2"/>
          <w:sz w:val="21"/>
          <w:szCs w:val="21"/>
          <w:lang w:val="en-US" w:eastAsia="en-US" w:bidi="ar-SA"/>
        </w:rPr>
        <w:t>表单位：（加盖单位公章）</w:t>
      </w:r>
      <w:r>
        <w:rPr>
          <w:rFonts w:hint="eastAsia" w:ascii="宋体" w:hAnsi="宋体" w:eastAsia="宋体" w:cs="宋体"/>
          <w:spacing w:val="4"/>
          <w:sz w:val="21"/>
          <w:szCs w:val="21"/>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年     月      日</w:t>
      </w:r>
    </w:p>
    <w:p>
      <w:pPr>
        <w:spacing w:line="75" w:lineRule="exact"/>
        <w:rPr>
          <w:rFonts w:hint="eastAsia" w:ascii="宋体" w:hAnsi="宋体" w:eastAsia="宋体" w:cs="宋体"/>
          <w:sz w:val="21"/>
          <w:szCs w:val="21"/>
        </w:rPr>
      </w:pPr>
    </w:p>
    <w:tbl>
      <w:tblPr>
        <w:tblStyle w:val="69"/>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855"/>
        <w:gridCol w:w="1605"/>
        <w:gridCol w:w="946"/>
        <w:gridCol w:w="791"/>
        <w:gridCol w:w="1199"/>
        <w:gridCol w:w="1499"/>
        <w:gridCol w:w="1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center"/>
          </w:tcPr>
          <w:p>
            <w:pPr>
              <w:pStyle w:val="68"/>
              <w:spacing w:before="180" w:line="203" w:lineRule="auto"/>
              <w:ind w:left="359"/>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采购人</w:t>
            </w:r>
          </w:p>
        </w:tc>
        <w:tc>
          <w:tcPr>
            <w:tcW w:w="7529" w:type="dxa"/>
            <w:gridSpan w:val="6"/>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Cs w:val="21"/>
                <w:lang w:eastAsia="zh-CN"/>
              </w:rPr>
              <w:t>深圳市龙岗区耳鼻咽喉医院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shd w:val="clear" w:color="auto" w:fill="auto"/>
            <w:vAlign w:val="center"/>
          </w:tcPr>
          <w:p>
            <w:pPr>
              <w:pStyle w:val="68"/>
              <w:spacing w:before="181" w:line="201" w:lineRule="auto"/>
              <w:jc w:val="center"/>
              <w:rPr>
                <w:rFonts w:hint="eastAsia" w:ascii="宋体" w:hAnsi="宋体" w:eastAsia="宋体" w:cs="宋体"/>
                <w:color w:val="auto"/>
                <w:kern w:val="2"/>
                <w:sz w:val="21"/>
                <w:szCs w:val="21"/>
                <w:lang w:val="en-US" w:eastAsia="en-US" w:bidi="ar-SA"/>
              </w:rPr>
            </w:pPr>
            <w:r>
              <w:rPr>
                <w:rFonts w:hint="eastAsia" w:ascii="宋体" w:hAnsi="宋体" w:eastAsia="宋体" w:cs="宋体"/>
                <w:color w:val="auto"/>
                <w:spacing w:val="-3"/>
                <w:sz w:val="21"/>
                <w:szCs w:val="21"/>
              </w:rPr>
              <w:t>项目名称</w:t>
            </w:r>
          </w:p>
        </w:tc>
        <w:tc>
          <w:tcPr>
            <w:tcW w:w="2551" w:type="dxa"/>
            <w:gridSpan w:val="2"/>
            <w:shd w:val="clear" w:color="auto" w:fill="auto"/>
            <w:vAlign w:val="center"/>
          </w:tcPr>
          <w:p>
            <w:pPr>
              <w:jc w:val="center"/>
              <w:rPr>
                <w:rFonts w:hint="eastAsia" w:ascii="宋体" w:hAnsi="宋体" w:eastAsia="宋体" w:cs="宋体"/>
                <w:color w:val="auto"/>
                <w:kern w:val="2"/>
                <w:sz w:val="21"/>
                <w:szCs w:val="21"/>
                <w:lang w:val="en-US" w:eastAsia="zh-CN" w:bidi="ar-SA"/>
              </w:rPr>
            </w:pPr>
          </w:p>
        </w:tc>
        <w:tc>
          <w:tcPr>
            <w:tcW w:w="1990" w:type="dxa"/>
            <w:gridSpan w:val="2"/>
            <w:vAlign w:val="center"/>
          </w:tcPr>
          <w:p>
            <w:pPr>
              <w:pStyle w:val="68"/>
              <w:spacing w:before="40" w:line="191" w:lineRule="auto"/>
              <w:ind w:right="152"/>
              <w:jc w:val="center"/>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项目编号</w:t>
            </w:r>
          </w:p>
        </w:tc>
        <w:tc>
          <w:tcPr>
            <w:tcW w:w="2988" w:type="dxa"/>
            <w:gridSpan w:val="2"/>
            <w:vAlign w:val="center"/>
          </w:tcPr>
          <w:p>
            <w:pPr>
              <w:jc w:val="center"/>
              <w:rPr>
                <w:rFonts w:hint="eastAsia" w:ascii="宋体" w:hAnsi="宋体" w:eastAsia="宋体" w:cs="宋体"/>
                <w:color w:val="auto"/>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pPr>
              <w:pStyle w:val="68"/>
              <w:spacing w:before="40" w:line="191" w:lineRule="auto"/>
              <w:ind w:left="126" w:right="105" w:firstLine="111"/>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投标（响</w:t>
            </w:r>
            <w:r>
              <w:rPr>
                <w:rFonts w:hint="eastAsia" w:ascii="宋体" w:hAnsi="宋体" w:eastAsia="宋体" w:cs="宋体"/>
                <w:color w:val="auto"/>
                <w:spacing w:val="-5"/>
                <w:sz w:val="21"/>
                <w:szCs w:val="21"/>
              </w:rPr>
              <w:t>应）供应商</w:t>
            </w:r>
          </w:p>
        </w:tc>
        <w:tc>
          <w:tcPr>
            <w:tcW w:w="2551" w:type="dxa"/>
            <w:gridSpan w:val="2"/>
            <w:vAlign w:val="center"/>
          </w:tcPr>
          <w:p>
            <w:pPr>
              <w:jc w:val="center"/>
              <w:rPr>
                <w:rFonts w:hint="eastAsia" w:ascii="宋体" w:hAnsi="宋体" w:eastAsia="宋体" w:cs="宋体"/>
                <w:color w:val="auto"/>
                <w:sz w:val="21"/>
                <w:szCs w:val="21"/>
              </w:rPr>
            </w:pPr>
          </w:p>
        </w:tc>
        <w:tc>
          <w:tcPr>
            <w:tcW w:w="1990" w:type="dxa"/>
            <w:gridSpan w:val="2"/>
            <w:vAlign w:val="center"/>
          </w:tcPr>
          <w:p>
            <w:pPr>
              <w:pStyle w:val="68"/>
              <w:spacing w:before="40" w:line="191" w:lineRule="auto"/>
              <w:ind w:left="527" w:right="152" w:hanging="362"/>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供应商统一社会</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信用代码</w:t>
            </w:r>
          </w:p>
        </w:tc>
        <w:tc>
          <w:tcPr>
            <w:tcW w:w="2988" w:type="dxa"/>
            <w:gridSpan w:val="2"/>
            <w:vAlign w:val="center"/>
          </w:tcPr>
          <w:p>
            <w:pPr>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45" w:type="dxa"/>
            <w:gridSpan w:val="8"/>
            <w:vAlign w:val="top"/>
          </w:tcPr>
          <w:p>
            <w:pPr>
              <w:pStyle w:val="68"/>
              <w:spacing w:before="175" w:line="198" w:lineRule="auto"/>
              <w:ind w:left="2683"/>
              <w:rPr>
                <w:rFonts w:hint="eastAsia" w:ascii="宋体" w:hAnsi="宋体" w:eastAsia="宋体" w:cs="宋体"/>
                <w:color w:val="auto"/>
                <w:sz w:val="21"/>
                <w:szCs w:val="21"/>
              </w:rPr>
            </w:pPr>
            <w:r>
              <w:rPr>
                <w:rFonts w:hint="eastAsia" w:ascii="宋体" w:hAnsi="宋体" w:eastAsia="宋体" w:cs="宋体"/>
                <w:b/>
                <w:bCs/>
                <w:color w:val="auto"/>
                <w:sz w:val="21"/>
                <w:szCs w:val="21"/>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561" w:type="dxa"/>
            <w:vAlign w:val="top"/>
          </w:tcPr>
          <w:p>
            <w:pPr>
              <w:pStyle w:val="68"/>
              <w:spacing w:before="217" w:line="202" w:lineRule="auto"/>
              <w:ind w:left="14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460" w:type="dxa"/>
            <w:gridSpan w:val="2"/>
            <w:vAlign w:val="top"/>
          </w:tcPr>
          <w:p>
            <w:pPr>
              <w:pStyle w:val="68"/>
              <w:spacing w:before="213" w:line="202" w:lineRule="auto"/>
              <w:ind w:left="916"/>
              <w:rPr>
                <w:rFonts w:hint="eastAsia" w:ascii="宋体" w:hAnsi="宋体" w:eastAsia="宋体" w:cs="宋体"/>
                <w:color w:val="auto"/>
                <w:sz w:val="21"/>
                <w:szCs w:val="21"/>
              </w:rPr>
            </w:pPr>
            <w:r>
              <w:rPr>
                <w:rFonts w:hint="eastAsia" w:ascii="宋体" w:hAnsi="宋体" w:eastAsia="宋体" w:cs="宋体"/>
                <w:color w:val="auto"/>
                <w:spacing w:val="-6"/>
                <w:sz w:val="21"/>
                <w:szCs w:val="21"/>
              </w:rPr>
              <w:t>职务</w:t>
            </w:r>
          </w:p>
        </w:tc>
        <w:tc>
          <w:tcPr>
            <w:tcW w:w="946" w:type="dxa"/>
            <w:vAlign w:val="top"/>
          </w:tcPr>
          <w:p>
            <w:pPr>
              <w:pStyle w:val="68"/>
              <w:spacing w:before="213" w:line="203" w:lineRule="auto"/>
              <w:ind w:left="245"/>
              <w:rPr>
                <w:rFonts w:hint="eastAsia" w:ascii="宋体" w:hAnsi="宋体" w:eastAsia="宋体" w:cs="宋体"/>
                <w:color w:val="auto"/>
                <w:sz w:val="21"/>
                <w:szCs w:val="21"/>
              </w:rPr>
            </w:pPr>
            <w:r>
              <w:rPr>
                <w:rFonts w:hint="eastAsia" w:ascii="宋体" w:hAnsi="宋体" w:eastAsia="宋体" w:cs="宋体"/>
                <w:color w:val="auto"/>
                <w:spacing w:val="-4"/>
                <w:sz w:val="21"/>
                <w:szCs w:val="21"/>
              </w:rPr>
              <w:t>姓名</w:t>
            </w:r>
          </w:p>
        </w:tc>
        <w:tc>
          <w:tcPr>
            <w:tcW w:w="1990" w:type="dxa"/>
            <w:gridSpan w:val="2"/>
            <w:vAlign w:val="top"/>
          </w:tcPr>
          <w:p>
            <w:pPr>
              <w:pStyle w:val="68"/>
              <w:spacing w:before="214" w:line="203" w:lineRule="auto"/>
              <w:ind w:left="410"/>
              <w:rPr>
                <w:rFonts w:hint="eastAsia" w:ascii="宋体" w:hAnsi="宋体" w:eastAsia="宋体" w:cs="宋体"/>
                <w:color w:val="auto"/>
                <w:sz w:val="21"/>
                <w:szCs w:val="21"/>
              </w:rPr>
            </w:pPr>
            <w:r>
              <w:rPr>
                <w:rFonts w:hint="eastAsia" w:ascii="宋体" w:hAnsi="宋体" w:eastAsia="宋体" w:cs="宋体"/>
                <w:color w:val="auto"/>
                <w:spacing w:val="-3"/>
                <w:sz w:val="21"/>
                <w:szCs w:val="21"/>
              </w:rPr>
              <w:t>身份证号码</w:t>
            </w:r>
          </w:p>
        </w:tc>
        <w:tc>
          <w:tcPr>
            <w:tcW w:w="1499" w:type="dxa"/>
            <w:vAlign w:val="top"/>
          </w:tcPr>
          <w:p>
            <w:pPr>
              <w:pStyle w:val="68"/>
              <w:spacing w:before="39" w:line="191" w:lineRule="auto"/>
              <w:ind w:left="288" w:right="266" w:firstLine="5"/>
              <w:rPr>
                <w:rFonts w:hint="eastAsia" w:ascii="宋体" w:hAnsi="宋体" w:eastAsia="宋体" w:cs="宋体"/>
                <w:sz w:val="21"/>
                <w:szCs w:val="21"/>
              </w:rPr>
            </w:pPr>
            <w:r>
              <w:rPr>
                <w:rFonts w:hint="eastAsia" w:ascii="宋体" w:hAnsi="宋体" w:eastAsia="宋体" w:cs="宋体"/>
                <w:spacing w:val="-7"/>
                <w:sz w:val="21"/>
                <w:szCs w:val="21"/>
              </w:rPr>
              <w:t>劳动合同</w:t>
            </w:r>
            <w:r>
              <w:rPr>
                <w:rFonts w:hint="eastAsia" w:ascii="宋体" w:hAnsi="宋体" w:eastAsia="宋体" w:cs="宋体"/>
                <w:sz w:val="21"/>
                <w:szCs w:val="21"/>
              </w:rPr>
              <w:t xml:space="preserve"> </w:t>
            </w:r>
            <w:r>
              <w:rPr>
                <w:rFonts w:hint="eastAsia" w:ascii="宋体" w:hAnsi="宋体" w:eastAsia="宋体" w:cs="宋体"/>
                <w:spacing w:val="-6"/>
                <w:sz w:val="21"/>
                <w:szCs w:val="21"/>
              </w:rPr>
              <w:t>关系单位</w:t>
            </w:r>
          </w:p>
        </w:tc>
        <w:tc>
          <w:tcPr>
            <w:tcW w:w="1489" w:type="dxa"/>
            <w:vAlign w:val="top"/>
          </w:tcPr>
          <w:p>
            <w:pPr>
              <w:pStyle w:val="68"/>
              <w:spacing w:before="39" w:line="191" w:lineRule="auto"/>
              <w:ind w:left="271" w:right="262" w:firstLine="8"/>
              <w:rPr>
                <w:rFonts w:hint="eastAsia" w:ascii="宋体" w:hAnsi="宋体" w:eastAsia="宋体" w:cs="宋体"/>
                <w:sz w:val="21"/>
                <w:szCs w:val="21"/>
              </w:rPr>
            </w:pPr>
            <w:r>
              <w:rPr>
                <w:rFonts w:hint="eastAsia" w:ascii="宋体" w:hAnsi="宋体" w:eastAsia="宋体" w:cs="宋体"/>
                <w:spacing w:val="-5"/>
                <w:sz w:val="21"/>
                <w:szCs w:val="21"/>
              </w:rPr>
              <w:t>缴纳社会</w:t>
            </w:r>
            <w:r>
              <w:rPr>
                <w:rFonts w:hint="eastAsia" w:ascii="宋体" w:hAnsi="宋体" w:eastAsia="宋体" w:cs="宋体"/>
                <w:sz w:val="21"/>
                <w:szCs w:val="21"/>
              </w:rPr>
              <w:t xml:space="preserve"> </w:t>
            </w:r>
            <w:r>
              <w:rPr>
                <w:rFonts w:hint="eastAsia" w:ascii="宋体" w:hAnsi="宋体" w:eastAsia="宋体" w:cs="宋体"/>
                <w:spacing w:val="-3"/>
                <w:sz w:val="21"/>
                <w:szCs w:val="21"/>
              </w:rPr>
              <w:t>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61" w:type="dxa"/>
            <w:vAlign w:val="top"/>
          </w:tcPr>
          <w:p>
            <w:pPr>
              <w:spacing w:line="252" w:lineRule="auto"/>
              <w:rPr>
                <w:rFonts w:hint="eastAsia" w:ascii="宋体" w:hAnsi="宋体" w:eastAsia="宋体" w:cs="宋体"/>
                <w:color w:val="auto"/>
                <w:sz w:val="21"/>
                <w:szCs w:val="21"/>
              </w:rPr>
            </w:pPr>
          </w:p>
          <w:p>
            <w:pPr>
              <w:pStyle w:val="68"/>
              <w:spacing w:before="103"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460" w:type="dxa"/>
            <w:gridSpan w:val="2"/>
            <w:vAlign w:val="top"/>
          </w:tcPr>
          <w:p>
            <w:pPr>
              <w:pStyle w:val="68"/>
              <w:spacing w:before="174" w:line="235" w:lineRule="auto"/>
              <w:ind w:left="240" w:right="116" w:hanging="101"/>
              <w:rPr>
                <w:rFonts w:hint="eastAsia" w:ascii="宋体" w:hAnsi="宋体" w:eastAsia="宋体" w:cs="宋体"/>
                <w:color w:val="auto"/>
                <w:sz w:val="21"/>
                <w:szCs w:val="21"/>
              </w:rPr>
            </w:pPr>
            <w:r>
              <w:rPr>
                <w:rFonts w:hint="eastAsia" w:ascii="宋体" w:hAnsi="宋体" w:eastAsia="宋体" w:cs="宋体"/>
                <w:color w:val="auto"/>
                <w:spacing w:val="-6"/>
                <w:sz w:val="21"/>
                <w:szCs w:val="21"/>
              </w:rPr>
              <w:t>法定代表人/单位负责 人/主要经营负责人</w:t>
            </w:r>
          </w:p>
        </w:tc>
        <w:tc>
          <w:tcPr>
            <w:tcW w:w="946" w:type="dxa"/>
            <w:vAlign w:val="top"/>
          </w:tcPr>
          <w:p>
            <w:pPr>
              <w:rPr>
                <w:rFonts w:hint="eastAsia" w:ascii="宋体" w:hAnsi="宋体" w:eastAsia="宋体" w:cs="宋体"/>
                <w:color w:val="auto"/>
                <w:sz w:val="21"/>
                <w:szCs w:val="21"/>
              </w:rPr>
            </w:pPr>
          </w:p>
        </w:tc>
        <w:tc>
          <w:tcPr>
            <w:tcW w:w="1990" w:type="dxa"/>
            <w:gridSpan w:val="2"/>
            <w:vAlign w:val="top"/>
          </w:tcPr>
          <w:p>
            <w:pPr>
              <w:rPr>
                <w:rFonts w:hint="eastAsia" w:ascii="宋体" w:hAnsi="宋体" w:eastAsia="宋体" w:cs="宋体"/>
                <w:color w:val="auto"/>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1" w:type="dxa"/>
            <w:vAlign w:val="top"/>
          </w:tcPr>
          <w:p>
            <w:pPr>
              <w:pStyle w:val="68"/>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top"/>
          </w:tcPr>
          <w:p>
            <w:pPr>
              <w:pStyle w:val="68"/>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61" w:type="dxa"/>
            <w:vAlign w:val="top"/>
          </w:tcPr>
          <w:p>
            <w:pPr>
              <w:pStyle w:val="68"/>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460" w:type="dxa"/>
            <w:gridSpan w:val="2"/>
            <w:vAlign w:val="top"/>
          </w:tcPr>
          <w:p>
            <w:pPr>
              <w:pStyle w:val="68"/>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61" w:type="dxa"/>
            <w:vAlign w:val="top"/>
          </w:tcPr>
          <w:p>
            <w:pPr>
              <w:pStyle w:val="68"/>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460" w:type="dxa"/>
            <w:gridSpan w:val="2"/>
            <w:vAlign w:val="top"/>
          </w:tcPr>
          <w:p>
            <w:pPr>
              <w:pStyle w:val="68"/>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561" w:type="dxa"/>
            <w:vAlign w:val="top"/>
          </w:tcPr>
          <w:p>
            <w:pPr>
              <w:pStyle w:val="68"/>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460" w:type="dxa"/>
            <w:gridSpan w:val="2"/>
            <w:vAlign w:val="top"/>
          </w:tcPr>
          <w:p>
            <w:pPr>
              <w:pStyle w:val="68"/>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top"/>
          </w:tcPr>
          <w:p>
            <w:pPr>
              <w:rPr>
                <w:rFonts w:hint="eastAsia" w:ascii="宋体" w:hAnsi="宋体" w:eastAsia="宋体" w:cs="宋体"/>
                <w:sz w:val="21"/>
                <w:szCs w:val="21"/>
              </w:rPr>
            </w:pPr>
          </w:p>
        </w:tc>
        <w:tc>
          <w:tcPr>
            <w:tcW w:w="1990" w:type="dxa"/>
            <w:gridSpan w:val="2"/>
            <w:vAlign w:val="top"/>
          </w:tcPr>
          <w:p>
            <w:pPr>
              <w:rPr>
                <w:rFonts w:hint="eastAsia" w:ascii="宋体" w:hAnsi="宋体" w:eastAsia="宋体" w:cs="宋体"/>
                <w:sz w:val="21"/>
                <w:szCs w:val="21"/>
              </w:rPr>
            </w:pPr>
          </w:p>
        </w:tc>
        <w:tc>
          <w:tcPr>
            <w:tcW w:w="1499" w:type="dxa"/>
            <w:vAlign w:val="top"/>
          </w:tcPr>
          <w:p>
            <w:pPr>
              <w:rPr>
                <w:rFonts w:hint="eastAsia" w:ascii="宋体" w:hAnsi="宋体" w:eastAsia="宋体" w:cs="宋体"/>
                <w:sz w:val="21"/>
                <w:szCs w:val="21"/>
              </w:rPr>
            </w:pPr>
          </w:p>
        </w:tc>
        <w:tc>
          <w:tcPr>
            <w:tcW w:w="1489"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945" w:type="dxa"/>
            <w:gridSpan w:val="8"/>
            <w:vAlign w:val="top"/>
          </w:tcPr>
          <w:p>
            <w:pPr>
              <w:pStyle w:val="68"/>
              <w:spacing w:before="178" w:line="198"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pPr>
              <w:pStyle w:val="68"/>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561" w:type="dxa"/>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序号</w:t>
            </w:r>
          </w:p>
        </w:tc>
        <w:tc>
          <w:tcPr>
            <w:tcW w:w="2460" w:type="dxa"/>
            <w:gridSpan w:val="2"/>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4"/>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61" w:type="dxa"/>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460" w:type="dxa"/>
            <w:gridSpan w:val="2"/>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sz w:val="21"/>
                <w:szCs w:val="21"/>
              </w:rPr>
            </w:pPr>
          </w:p>
        </w:tc>
        <w:tc>
          <w:tcPr>
            <w:tcW w:w="4187" w:type="dxa"/>
            <w:gridSpan w:val="3"/>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right="116" w:firstLine="19"/>
              <w:jc w:val="both"/>
              <w:textAlignment w:val="auto"/>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pacing w:val="18"/>
                <w:w w:val="101"/>
                <w:sz w:val="21"/>
                <w:szCs w:val="21"/>
              </w:rPr>
              <w:t xml:space="preserve"> </w:t>
            </w:r>
            <w:r>
              <w:rPr>
                <w:rFonts w:hint="eastAsia" w:ascii="宋体" w:hAnsi="宋体" w:eastAsia="宋体" w:cs="宋体"/>
                <w:sz w:val="21"/>
                <w:szCs w:val="21"/>
              </w:rPr>
              <w:t>应）供应商股东会（或股东大会）的决议产生重要</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460" w:type="dxa"/>
            <w:gridSpan w:val="2"/>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p>
        </w:tc>
        <w:tc>
          <w:tcPr>
            <w:tcW w:w="4187" w:type="dxa"/>
            <w:gridSpan w:val="3"/>
            <w:vAlign w:val="center"/>
          </w:tcPr>
          <w:p>
            <w:pPr>
              <w:pStyle w:val="68"/>
              <w:keepNext w:val="0"/>
              <w:keepLines w:val="0"/>
              <w:pageBreakBefore w:val="0"/>
              <w:widowControl/>
              <w:kinsoku/>
              <w:wordWrap/>
              <w:overflowPunct/>
              <w:topLinePunct w:val="0"/>
              <w:autoSpaceDE/>
              <w:autoSpaceDN/>
              <w:bidi w:val="0"/>
              <w:adjustRightInd/>
              <w:snapToGrid/>
              <w:spacing w:line="240" w:lineRule="auto"/>
              <w:ind w:left="0" w:right="24"/>
              <w:jc w:val="both"/>
              <w:textAlignment w:val="auto"/>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pPr>
              <w:pStyle w:val="68"/>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pPr>
        <w:rPr>
          <w:rFonts w:hint="eastAsia" w:ascii="宋体" w:hAnsi="宋体" w:eastAsia="宋体" w:cs="宋体"/>
          <w:sz w:val="21"/>
          <w:szCs w:val="21"/>
        </w:rPr>
      </w:pPr>
    </w:p>
    <w:p>
      <w:pPr>
        <w:spacing w:line="360" w:lineRule="auto"/>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注</w:t>
      </w:r>
      <w:r>
        <w:rPr>
          <w:rFonts w:hint="eastAsia" w:ascii="宋体" w:hAnsi="宋体" w:eastAsia="宋体" w:cs="宋体"/>
          <w:sz w:val="21"/>
          <w:szCs w:val="21"/>
          <w:highlight w:val="none"/>
        </w:rPr>
        <w:t>：</w:t>
      </w:r>
    </w:p>
    <w:p>
      <w:pPr>
        <w:numPr>
          <w:ilvl w:val="0"/>
          <w:numId w:val="5"/>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主要经营负责人</w:t>
      </w:r>
      <w:r>
        <w:rPr>
          <w:rFonts w:hint="eastAsia" w:ascii="宋体" w:hAnsi="宋体" w:eastAsia="宋体" w:cs="宋体"/>
          <w:b w:val="0"/>
          <w:bCs w:val="0"/>
          <w:sz w:val="21"/>
          <w:szCs w:val="21"/>
          <w:highlight w:val="none"/>
          <w:lang w:val="en-US" w:eastAsia="zh-CN"/>
        </w:rPr>
        <w:t>即实际控制人，是指通过投资关系、协议或者其他安排，能够实际支配公司行为的人。</w:t>
      </w:r>
    </w:p>
    <w:p>
      <w:pPr>
        <w:numPr>
          <w:ilvl w:val="0"/>
          <w:numId w:val="5"/>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如未有相关情况，请在相应栏填写“无”。</w:t>
      </w:r>
    </w:p>
    <w:p>
      <w:pPr>
        <w:numPr>
          <w:ilvl w:val="0"/>
          <w:numId w:val="5"/>
        </w:numPr>
        <w:spacing w:line="440" w:lineRule="exact"/>
        <w:ind w:left="0" w:leftChars="0" w:firstLine="454" w:firstLineChars="0"/>
        <w:rPr>
          <w:rFonts w:hint="eastAsia" w:ascii="宋体" w:hAnsi="宋体" w:eastAsia="宋体" w:cs="宋体"/>
          <w:b w:val="0"/>
          <w:bCs w:val="0"/>
          <w:sz w:val="21"/>
          <w:szCs w:val="21"/>
          <w:u w:val="double"/>
          <w:lang w:val="en-US" w:eastAsia="zh-CN"/>
        </w:rPr>
      </w:pPr>
      <w:r>
        <w:rPr>
          <w:rFonts w:hint="eastAsia" w:ascii="宋体" w:hAnsi="宋体" w:cs="宋体"/>
          <w:b w:val="0"/>
          <w:bCs w:val="0"/>
          <w:sz w:val="21"/>
          <w:szCs w:val="21"/>
          <w:highlight w:val="none"/>
          <w:lang w:eastAsia="zh-CN"/>
        </w:rPr>
        <w:t>投标供应商</w:t>
      </w:r>
      <w:r>
        <w:rPr>
          <w:rFonts w:hint="eastAsia" w:ascii="宋体" w:hAnsi="宋体" w:eastAsia="宋体" w:cs="宋体"/>
          <w:b w:val="0"/>
          <w:bCs w:val="0"/>
          <w:sz w:val="21"/>
          <w:szCs w:val="21"/>
          <w:highlight w:val="none"/>
        </w:rPr>
        <w:t>应如实申报本单位控股及管理关系人员信息，如存在隐瞒真实情况，提供虚假资料的，经查实，主管部门将依据《深圳经济特区政府采购条例》第五十七条的规定进行处</w:t>
      </w:r>
      <w:r>
        <w:rPr>
          <w:rFonts w:hint="eastAsia" w:ascii="宋体" w:hAnsi="宋体" w:eastAsia="宋体" w:cs="宋体"/>
          <w:b w:val="0"/>
          <w:bCs w:val="0"/>
          <w:sz w:val="21"/>
          <w:szCs w:val="21"/>
        </w:rPr>
        <w:t>罚。</w:t>
      </w: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pStyle w:val="4"/>
        <w:rPr>
          <w:rFonts w:hint="eastAsia" w:ascii="宋体" w:hAnsi="宋体" w:eastAsia="宋体" w:cs="宋体"/>
          <w:sz w:val="21"/>
          <w:szCs w:val="21"/>
          <w:highlight w:val="none"/>
        </w:rPr>
      </w:pPr>
    </w:p>
    <w:p>
      <w:pPr>
        <w:rPr>
          <w:rFonts w:hint="eastAsia"/>
        </w:rPr>
      </w:pPr>
    </w:p>
    <w:p>
      <w:pPr>
        <w:pStyle w:val="5"/>
        <w:numPr>
          <w:ilvl w:val="0"/>
          <w:numId w:val="0"/>
        </w:numPr>
        <w:spacing w:line="240" w:lineRule="auto"/>
        <w:ind w:leftChars="0" w:firstLine="2100" w:firstLineChars="700"/>
        <w:jc w:val="both"/>
        <w:rPr>
          <w:rFonts w:hint="eastAsia" w:asciiTheme="majorEastAsia" w:hAnsiTheme="majorEastAsia" w:eastAsiaTheme="majorEastAsia"/>
          <w:sz w:val="30"/>
          <w:szCs w:val="30"/>
        </w:rPr>
      </w:pPr>
      <w:bookmarkStart w:id="22" w:name="_Toc21942"/>
      <w:r>
        <w:rPr>
          <w:rFonts w:hint="eastAsia" w:asciiTheme="majorEastAsia" w:hAnsiTheme="majorEastAsia" w:eastAsiaTheme="majorEastAsia"/>
          <w:sz w:val="30"/>
          <w:szCs w:val="30"/>
        </w:rPr>
        <w:t>《供应商基本情况表》附件</w:t>
      </w:r>
      <w:bookmarkEnd w:id="22"/>
    </w:p>
    <w:p/>
    <w:p>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1"/>
          <w:szCs w:val="21"/>
          <w:highlight w:val="none"/>
          <w:lang w:val="en-US" w:eastAsia="zh-CN"/>
        </w:rPr>
        <w:t>投标时需提供《供应商基本情况表》附件，该要求作为供应商资格性审查的证明材料。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如实提供上述人员的社会保险证明，如上述人员的社会保险未由</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缴纳，亦需提供相应单位为其缴纳的社会保险证明。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为新成立企业且成立时间不足一个月可提供加盖</w:t>
      </w:r>
      <w:r>
        <w:rPr>
          <w:rFonts w:hint="eastAsia" w:ascii="宋体" w:hAnsi="宋体" w:cs="宋体"/>
          <w:b w:val="0"/>
          <w:bCs w:val="0"/>
          <w:kern w:val="2"/>
          <w:sz w:val="21"/>
          <w:szCs w:val="21"/>
          <w:highlight w:val="none"/>
          <w:lang w:val="en-US" w:eastAsia="zh-CN" w:bidi="ar-SA"/>
        </w:rPr>
        <w:t>投标供应商</w:t>
      </w:r>
      <w:r>
        <w:rPr>
          <w:rFonts w:hint="eastAsia" w:ascii="宋体" w:hAnsi="宋体" w:eastAsia="宋体" w:cs="宋体"/>
          <w:b w:val="0"/>
          <w:bCs w:val="0"/>
          <w:kern w:val="2"/>
          <w:sz w:val="21"/>
          <w:szCs w:val="21"/>
          <w:highlight w:val="none"/>
          <w:lang w:val="en-US" w:eastAsia="zh-CN" w:bidi="ar-SA"/>
        </w:rPr>
        <w:t>公章的情况说明或者证明材料亦视为符合。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3.若为退休人员，提供退休证明。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4.如依法不需要缴纳社会保险的，提供相应文件证明。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5.若因为社保部门或税务部门原因无法提供的，需提供劳动合同及社保部门或税务部门官方通知证明（或官网公告截图）。</w:t>
      </w:r>
    </w:p>
    <w:p>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6.如本项目未安排项目投标授权代表人、项目负责人、主要技术人员的，无需提供投标授权代表人、项目负责人、主要技术人员的社保。</w:t>
      </w:r>
    </w:p>
    <w:p>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rPr>
        <w:t>主要经营负责人即实际控制人，是指通过投资关系、协议或者其他安排，能够实际支配公司行为的人。</w:t>
      </w:r>
      <w:r>
        <w:rPr>
          <w:rFonts w:hint="eastAsia" w:ascii="宋体" w:hAnsi="宋体" w:eastAsia="宋体" w:cs="宋体"/>
          <w:color w:val="auto"/>
          <w:sz w:val="21"/>
          <w:szCs w:val="21"/>
          <w:highlight w:val="none"/>
          <w:lang w:val="en-US" w:eastAsia="zh-CN"/>
        </w:rPr>
        <w:t>如</w:t>
      </w:r>
      <w:r>
        <w:rPr>
          <w:rFonts w:hint="eastAsia" w:hAnsi="宋体" w:eastAsia="宋体" w:cs="宋体"/>
          <w:color w:val="auto"/>
          <w:sz w:val="21"/>
          <w:szCs w:val="21"/>
          <w:highlight w:val="none"/>
          <w:lang w:val="en-US" w:eastAsia="zh-CN"/>
        </w:rPr>
        <w:t>投标供应商</w:t>
      </w:r>
      <w:r>
        <w:rPr>
          <w:rFonts w:hint="eastAsia" w:ascii="宋体" w:hAnsi="宋体" w:eastAsia="宋体" w:cs="宋体"/>
          <w:color w:val="auto"/>
          <w:sz w:val="21"/>
          <w:szCs w:val="21"/>
          <w:highlight w:val="none"/>
          <w:lang w:val="en-US" w:eastAsia="zh-CN"/>
        </w:rPr>
        <w:t>无</w:t>
      </w:r>
      <w:r>
        <w:rPr>
          <w:rFonts w:hint="default" w:ascii="宋体" w:hAnsi="宋体" w:eastAsia="宋体" w:cs="宋体"/>
          <w:color w:val="auto"/>
          <w:sz w:val="21"/>
          <w:szCs w:val="21"/>
          <w:highlight w:val="none"/>
        </w:rPr>
        <w:t>主要经营负责人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default" w:ascii="宋体" w:hAnsi="宋体" w:eastAsia="宋体" w:cs="宋体"/>
          <w:color w:val="auto"/>
          <w:sz w:val="21"/>
          <w:szCs w:val="21"/>
          <w:highlight w:val="none"/>
        </w:rPr>
        <w:t>无需提供主要经营负责人的社保</w:t>
      </w:r>
      <w:r>
        <w:rPr>
          <w:rFonts w:hint="eastAsia"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lang w:val="en-US" w:eastAsia="zh-CN"/>
        </w:rPr>
        <w:t>8.</w:t>
      </w:r>
      <w:r>
        <w:rPr>
          <w:rFonts w:hint="eastAsia" w:cs="仿宋" w:asciiTheme="minorEastAsia" w:hAnsiTheme="minorEastAsia" w:eastAsiaTheme="minorEastAsia"/>
          <w:b/>
          <w:color w:val="auto"/>
          <w:szCs w:val="21"/>
          <w:highlight w:val="none"/>
        </w:rPr>
        <w:t>请供应商按以下格式提供</w:t>
      </w:r>
      <w:r>
        <w:rPr>
          <w:rFonts w:hint="eastAsia" w:cs="仿宋" w:asciiTheme="minorEastAsia" w:hAnsiTheme="minorEastAsia" w:eastAsiaTheme="minorEastAsia"/>
          <w:b/>
          <w:color w:val="auto"/>
          <w:szCs w:val="21"/>
          <w:highlight w:val="none"/>
          <w:lang w:val="en-US" w:eastAsia="zh-CN"/>
        </w:rPr>
        <w:t>上述</w:t>
      </w:r>
      <w:r>
        <w:rPr>
          <w:rFonts w:hint="eastAsia" w:cs="仿宋" w:asciiTheme="minorEastAsia" w:hAnsiTheme="minorEastAsia" w:eastAsiaTheme="minorEastAsia"/>
          <w:b/>
          <w:color w:val="auto"/>
          <w:szCs w:val="21"/>
          <w:highlight w:val="none"/>
        </w:rPr>
        <w:t>涉及人员</w:t>
      </w:r>
      <w:r>
        <w:rPr>
          <w:rFonts w:hint="eastAsia" w:ascii="宋体" w:hAnsi="宋体" w:eastAsia="宋体" w:cs="宋体"/>
          <w:b/>
          <w:bCs/>
          <w:color w:val="auto"/>
          <w:sz w:val="21"/>
          <w:szCs w:val="21"/>
          <w:highlight w:val="none"/>
          <w:lang w:val="en-US" w:eastAsia="zh-CN"/>
        </w:rPr>
        <w:t>近三个月（含开标当月）中的任意一个月</w:t>
      </w:r>
      <w:r>
        <w:rPr>
          <w:rFonts w:hint="eastAsia" w:cs="仿宋" w:asciiTheme="minorEastAsia" w:hAnsiTheme="minorEastAsia" w:eastAsiaTheme="minorEastAsia"/>
          <w:b/>
          <w:color w:val="auto"/>
          <w:szCs w:val="21"/>
          <w:highlight w:val="none"/>
        </w:rPr>
        <w:t>的社保缴纳情况</w:t>
      </w:r>
      <w:r>
        <w:rPr>
          <w:rFonts w:hint="eastAsia" w:cs="仿宋" w:asciiTheme="minorEastAsia" w:hAnsiTheme="minorEastAsia" w:eastAsiaTheme="minorEastAsia"/>
          <w:b/>
          <w:color w:val="auto"/>
          <w:szCs w:val="21"/>
          <w:highlight w:val="none"/>
          <w:lang w:val="en-US" w:eastAsia="zh-CN"/>
        </w:rPr>
        <w:t>以及企业股权关系证明</w:t>
      </w:r>
      <w:r>
        <w:rPr>
          <w:rFonts w:hint="eastAsia" w:cs="仿宋" w:asciiTheme="minorEastAsia" w:hAnsiTheme="minorEastAsia" w:eastAsiaTheme="minorEastAsia"/>
          <w:b/>
          <w:color w:val="auto"/>
          <w:szCs w:val="21"/>
          <w:highlight w:val="none"/>
        </w:rPr>
        <w:t>。（注：以下内容将作为评审委员会和主管部门判定本项目不同投标供应商是否涉嫌、属于串通投标的重要依据，请供应商认真填报，并保证所填信息的真实、准确和完整。）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cs="仿宋" w:asciiTheme="minorEastAsia" w:hAnsiTheme="minorEastAsia" w:eastAsiaTheme="minorEastAsia"/>
          <w:b/>
          <w:color w:val="auto"/>
          <w:szCs w:val="21"/>
          <w:highlight w:val="none"/>
        </w:rPr>
        <w:t>社保缴纳情况</w:t>
      </w:r>
      <w:r>
        <w:rPr>
          <w:rFonts w:hint="eastAsia" w:ascii="宋体" w:hAnsi="宋体" w:eastAsia="宋体" w:cs="宋体"/>
          <w:b/>
          <w:color w:val="auto"/>
          <w:szCs w:val="21"/>
          <w:highlight w:val="none"/>
        </w:rPr>
        <w:t>证明材料：</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rPr>
        <w:t>身份证复印件（正</w:t>
      </w:r>
      <w:r>
        <w:rPr>
          <w:rFonts w:hint="eastAsia" w:ascii="宋体" w:hAnsi="宋体" w:eastAsia="宋体" w:cs="宋体"/>
          <w:b/>
          <w:color w:val="auto"/>
          <w:sz w:val="21"/>
          <w:szCs w:val="21"/>
          <w:highlight w:val="none"/>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单位负责人（</w:t>
      </w:r>
      <w:r>
        <w:rPr>
          <w:rFonts w:hint="eastAsia" w:ascii="宋体" w:hAnsi="宋体" w:cs="宋体"/>
          <w:b/>
          <w:szCs w:val="21"/>
          <w:lang w:val="en-US" w:eastAsia="zh-CN"/>
        </w:rPr>
        <w:t>如有</w:t>
      </w:r>
      <w:r>
        <w:rPr>
          <w:rFonts w:hint="eastAsia" w:ascii="宋体" w:hAnsi="宋体" w:eastAsia="宋体" w:cs="宋体"/>
          <w:b/>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主要经营负责人（</w:t>
      </w:r>
      <w:r>
        <w:rPr>
          <w:rFonts w:hint="eastAsia" w:ascii="宋体" w:hAnsi="宋体" w:cs="宋体"/>
          <w:b/>
          <w:szCs w:val="21"/>
          <w:lang w:val="en-US" w:eastAsia="zh-CN"/>
        </w:rPr>
        <w:t>如有</w:t>
      </w:r>
      <w:r>
        <w:rPr>
          <w:rFonts w:hint="eastAsia" w:ascii="宋体" w:hAnsi="宋体" w:eastAsia="宋体" w:cs="宋体"/>
          <w:b/>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szCs w:val="21"/>
        </w:rPr>
        <w:t>身份证复印件（正反面）：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项目投标授权代表人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Cs w:val="21"/>
        </w:rPr>
      </w:pPr>
      <w:r>
        <w:rPr>
          <w:rFonts w:hint="eastAsia" w:ascii="宋体" w:hAnsi="宋体" w:eastAsia="宋体" w:cs="宋体"/>
          <w:b/>
          <w:szCs w:val="21"/>
        </w:rPr>
        <w:t>项目负责人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szCs w:val="21"/>
        </w:rPr>
        <w:t>身份证复印件（正</w:t>
      </w:r>
      <w:r>
        <w:rPr>
          <w:rFonts w:hint="eastAsia" w:ascii="宋体" w:hAnsi="宋体" w:eastAsia="宋体" w:cs="宋体"/>
          <w:b/>
          <w:sz w:val="21"/>
          <w:szCs w:val="21"/>
        </w:rPr>
        <w:t>反面）：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eastAsia="宋体" w:cs="宋体"/>
          <w:b/>
          <w:bCs/>
          <w:sz w:val="21"/>
          <w:szCs w:val="21"/>
          <w:highlight w:val="none"/>
          <w:lang w:val="en-US" w:eastAsia="zh-CN"/>
        </w:rPr>
        <w:t>近三个月（含开标当月）中的任意一个月</w:t>
      </w:r>
      <w:r>
        <w:rPr>
          <w:rFonts w:hint="eastAsia" w:ascii="宋体" w:hAnsi="宋体" w:eastAsia="宋体" w:cs="宋体"/>
          <w:b/>
          <w:szCs w:val="21"/>
        </w:rPr>
        <w:t>的社保缴纳凭证：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pPr>
        <w:numPr>
          <w:ilvl w:val="0"/>
          <w:numId w:val="7"/>
        </w:numPr>
        <w:rPr>
          <w:rFonts w:hint="eastAsia" w:ascii="宋体" w:hAnsi="宋体" w:cs="宋体"/>
          <w:b/>
          <w:szCs w:val="21"/>
          <w:lang w:eastAsia="zh-CN"/>
        </w:rPr>
      </w:pP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szCs w:val="21"/>
          <w:u w:val="double"/>
          <w:lang w:eastAsia="zh-CN"/>
        </w:rPr>
        <w:t>（</w:t>
      </w:r>
      <w:r>
        <w:rPr>
          <w:rFonts w:hint="eastAsia" w:ascii="宋体" w:hAnsi="宋体" w:cs="宋体"/>
          <w:b/>
          <w:szCs w:val="21"/>
          <w:u w:val="double"/>
          <w:lang w:val="en-US" w:eastAsia="zh-CN"/>
        </w:rPr>
        <w:t>投标人根据自身情况提供证明材料</w:t>
      </w:r>
      <w:r>
        <w:rPr>
          <w:rFonts w:hint="eastAsia" w:ascii="宋体" w:hAnsi="宋体" w:cs="宋体"/>
          <w:b/>
          <w:szCs w:val="21"/>
          <w:u w:val="double"/>
          <w:lang w:eastAsia="zh-CN"/>
        </w:rPr>
        <w:t>）</w:t>
      </w:r>
      <w:r>
        <w:rPr>
          <w:rFonts w:hint="eastAsia" w:ascii="宋体" w:hAnsi="宋体" w:cs="宋体"/>
          <w:b/>
          <w:szCs w:val="21"/>
          <w:lang w:eastAsia="zh-CN"/>
        </w:rPr>
        <w:t>：</w:t>
      </w:r>
    </w:p>
    <w:p>
      <w:pPr>
        <w:numPr>
          <w:ilvl w:val="-1"/>
          <w:numId w:val="0"/>
        </w:numPr>
        <w:spacing w:line="240" w:lineRule="auto"/>
        <w:jc w:val="left"/>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br w:type="page"/>
      </w:r>
    </w:p>
    <w:p>
      <w:pPr>
        <w:numPr>
          <w:ilvl w:val="0"/>
          <w:numId w:val="0"/>
        </w:numPr>
        <w:tabs>
          <w:tab w:val="left" w:pos="360"/>
        </w:tabs>
        <w:spacing w:line="460" w:lineRule="exact"/>
        <w:jc w:val="both"/>
        <w:rPr>
          <w:rFonts w:hint="eastAsia" w:asciiTheme="minorEastAsia" w:hAnsiTheme="minorEastAsia" w:cstheme="minorEastAsia"/>
          <w:b/>
          <w:bCs/>
          <w:spacing w:val="0"/>
          <w:sz w:val="24"/>
          <w:szCs w:val="24"/>
          <w:lang w:val="en-US" w:eastAsia="zh-CN" w:bidi="ar-SA"/>
        </w:rPr>
      </w:pPr>
      <w:r>
        <w:rPr>
          <w:rFonts w:hint="eastAsia" w:asciiTheme="minorEastAsia" w:hAnsiTheme="minorEastAsia" w:cstheme="minorEastAsia"/>
          <w:b/>
          <w:bCs/>
          <w:spacing w:val="0"/>
          <w:sz w:val="24"/>
          <w:szCs w:val="24"/>
          <w:lang w:val="en-US" w:eastAsia="zh-CN" w:bidi="ar-SA"/>
        </w:rPr>
        <w:t>（二）资格证明文件</w:t>
      </w:r>
    </w:p>
    <w:p>
      <w:pPr>
        <w:shd w:val="clear" w:color="auto" w:fill="FFFFFF"/>
        <w:tabs>
          <w:tab w:val="left" w:pos="426"/>
        </w:tabs>
        <w:adjustRightInd w:val="0"/>
        <w:snapToGrid w:val="0"/>
        <w:spacing w:line="460" w:lineRule="atLeast"/>
        <w:rPr>
          <w:rFonts w:hint="eastAsia" w:ascii="宋体" w:hAnsi="宋体" w:eastAsia="宋体" w:cs="宋体"/>
          <w:bCs/>
          <w:color w:val="auto"/>
          <w:kern w:val="0"/>
          <w:sz w:val="24"/>
          <w:szCs w:val="24"/>
          <w:highlight w:val="none"/>
          <w:shd w:val="clear" w:color="auto" w:fill="FFFFFF"/>
          <w:lang w:val="en-US" w:eastAsia="zh-CN" w:bidi="ar-SA"/>
        </w:rPr>
      </w:pPr>
      <w:r>
        <w:rPr>
          <w:rFonts w:hint="eastAsia" w:ascii="宋体" w:hAnsi="宋体" w:eastAsia="宋体" w:cs="宋体"/>
          <w:bCs/>
          <w:color w:val="333333"/>
          <w:kern w:val="0"/>
          <w:sz w:val="24"/>
          <w:szCs w:val="24"/>
          <w:highlight w:val="none"/>
          <w:shd w:val="clear" w:color="auto" w:fill="FFFFFF"/>
          <w:lang w:val="en-US" w:eastAsia="zh-CN" w:bidi="ar-SA"/>
        </w:rPr>
        <w:t>供应商须是在中华人民共和国境内经注册独立法人单位，具有独立法人资格或者具有独立承担民事责任的能力的其他组织（提供营业执照或事业单位法人证等法人证明扫描件）</w:t>
      </w:r>
      <w:r>
        <w:rPr>
          <w:rFonts w:hint="eastAsia" w:cs="宋体"/>
          <w:bCs/>
          <w:color w:val="333333"/>
          <w:kern w:val="0"/>
          <w:sz w:val="24"/>
          <w:szCs w:val="24"/>
          <w:highlight w:val="none"/>
          <w:shd w:val="clear" w:color="auto" w:fill="FFFFFF"/>
          <w:lang w:val="en-US" w:eastAsia="zh-CN" w:bidi="ar-SA"/>
        </w:rPr>
        <w:t>。</w:t>
      </w:r>
    </w:p>
    <w:p>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pPr>
        <w:widowControl w:val="0"/>
        <w:numPr>
          <w:ilvl w:val="0"/>
          <w:numId w:val="0"/>
        </w:numPr>
        <w:adjustRightInd w:val="0"/>
        <w:snapToGrid w:val="0"/>
        <w:spacing w:line="460" w:lineRule="atLeast"/>
        <w:jc w:val="both"/>
        <w:rPr>
          <w:rFonts w:hint="eastAsia" w:ascii="宋体" w:hAnsi="宋体" w:cs="宋体"/>
          <w:b w:val="0"/>
          <w:bCs w:val="0"/>
          <w:color w:val="auto"/>
          <w:lang w:val="en-US" w:eastAsia="zh-CN"/>
        </w:rPr>
      </w:pPr>
    </w:p>
    <w:p>
      <w:pPr>
        <w:keepNext w:val="0"/>
        <w:keepLines w:val="0"/>
        <w:numPr>
          <w:ilvl w:val="-1"/>
          <w:numId w:val="0"/>
        </w:numPr>
        <w:spacing w:line="240" w:lineRule="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keepNext/>
        <w:keepLines/>
        <w:numPr>
          <w:ilvl w:val="0"/>
          <w:numId w:val="0"/>
        </w:numPr>
        <w:spacing w:line="420" w:lineRule="exact"/>
        <w:outlineLvl w:val="4"/>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法定代表人证明书格式</w:t>
      </w:r>
    </w:p>
    <w:p>
      <w:pPr>
        <w:pStyle w:val="6"/>
        <w:jc w:val="center"/>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法定代表人（负责人）证明书</w:t>
      </w:r>
    </w:p>
    <w:p>
      <w:pPr>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同志，现任我单位</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职务，为法定代表人（负责人），身份证号：</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特此证明。</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line="360" w:lineRule="auto"/>
        <w:ind w:left="630" w:hanging="630" w:hanging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法定代表人为投标人（企业事业单位、国家机关、社会团体）的主要行政负责人。   </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2、本证明书要求投标供应商同时提供法定代表人（负责人）的身份证扫描件（正反两面）作为附件方为有效</w:t>
      </w:r>
      <w:r>
        <w:rPr>
          <w:rFonts w:hint="eastAsia" w:asciiTheme="minorEastAsia" w:hAnsiTheme="minorEastAsia" w:eastAsiaTheme="minorEastAsia" w:cstheme="minorEastAsia"/>
          <w:sz w:val="21"/>
          <w:szCs w:val="21"/>
          <w:lang w:eastAsia="zh-CN"/>
        </w:rPr>
        <w:t>。</w:t>
      </w:r>
    </w:p>
    <w:p>
      <w:pPr>
        <w:numPr>
          <w:ilvl w:val="0"/>
          <w:numId w:val="0"/>
        </w:numPr>
        <w:spacing w:line="360" w:lineRule="auto"/>
        <w:ind w:leftChars="-300" w:firstLine="840" w:firstLineChars="400"/>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color w:val="auto"/>
          <w:sz w:val="21"/>
          <w:szCs w:val="21"/>
          <w:lang w:eastAsia="zh-Hans"/>
        </w:rPr>
        <w:t>本项目投标授权代表为法定代表人（负责人）的，无需提供</w:t>
      </w:r>
      <w:r>
        <w:rPr>
          <w:rFonts w:hint="eastAsia" w:asciiTheme="minorEastAsia" w:hAnsiTheme="minorEastAsia" w:eastAsiaTheme="minorEastAsia" w:cstheme="minorEastAsia"/>
          <w:color w:val="auto"/>
          <w:sz w:val="21"/>
          <w:szCs w:val="21"/>
        </w:rPr>
        <w:t>《投标文件签署授权委托书》</w:t>
      </w:r>
      <w:r>
        <w:rPr>
          <w:rFonts w:hint="eastAsia" w:asciiTheme="minorEastAsia" w:hAnsiTheme="minorEastAsia" w:eastAsiaTheme="minorEastAsia" w:cstheme="minorEastAsia"/>
          <w:color w:val="auto"/>
          <w:sz w:val="21"/>
          <w:szCs w:val="21"/>
          <w:lang w:eastAsia="zh-Hans"/>
        </w:rPr>
        <w:t>。</w:t>
      </w:r>
    </w:p>
    <w:p>
      <w:pPr>
        <w:numPr>
          <w:ilvl w:val="0"/>
          <w:numId w:val="0"/>
        </w:numPr>
        <w:spacing w:line="360" w:lineRule="auto"/>
        <w:ind w:leftChars="-300" w:firstLine="840" w:firstLineChars="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、内容必须填写真实、清楚，涂改无效，不得转让、买卖。</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代表人性别：         年龄：            身份证号码：</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                         经济性质：</w:t>
      </w:r>
    </w:p>
    <w:p>
      <w:pPr>
        <w:spacing w:line="4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经营范围：</w:t>
      </w:r>
    </w:p>
    <w:p>
      <w:pPr>
        <w:spacing w:line="420" w:lineRule="exact"/>
        <w:ind w:firstLine="1890" w:firstLineChars="900"/>
        <w:rPr>
          <w:rFonts w:hint="eastAsia" w:asciiTheme="minorEastAsia" w:hAnsiTheme="minorEastAsia" w:eastAsiaTheme="minorEastAsia" w:cstheme="minorEastAsia"/>
          <w:sz w:val="21"/>
          <w:szCs w:val="21"/>
        </w:rPr>
      </w:pPr>
    </w:p>
    <w:p>
      <w:pPr>
        <w:spacing w:line="420" w:lineRule="exact"/>
        <w:ind w:firstLine="4620" w:firstLineChars="2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投标人名称：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（盖章）</w:t>
      </w:r>
    </w:p>
    <w:p>
      <w:pPr>
        <w:autoSpaceDE w:val="0"/>
        <w:autoSpaceDN w:val="0"/>
        <w:spacing w:line="420" w:lineRule="exact"/>
        <w:ind w:right="89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附：法定代表人身份证扫描件</w:t>
      </w: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59264"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3"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4"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9"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59264;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dI8A2NsAAAAKAQAADwAAAAAAAAABACAAAAAi&#10;AAAAZHJzL2Rvd25yZXYueG1sUEsBAhQAFAAAAAgAh07iQPmxBrKyAgAA/gcAAA4AAAAAAAAAAQAg&#10;AAAAKgEAAGRycy9lMm9Eb2MueG1sUEsFBgAAAAAGAAYAWQEAAE4GAAAAAA==&#10;">
                <o:lock v:ext="edit" aspectratio="f"/>
                <v:rect id="矩形 3" o:spid="_x0000_s1026" o:spt="1" style="position:absolute;left:703;top:8450;height:2455;width:4594;"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keepNext/>
        <w:keepLines/>
        <w:spacing w:line="420" w:lineRule="exact"/>
        <w:rPr>
          <w:rFonts w:hint="eastAsia" w:asciiTheme="minorEastAsia" w:hAnsiTheme="minorEastAsia" w:eastAsiaTheme="minorEastAsia" w:cstheme="minorEastAsia"/>
          <w:sz w:val="21"/>
          <w:szCs w:val="21"/>
        </w:rPr>
      </w:pPr>
    </w:p>
    <w:p>
      <w:pPr>
        <w:spacing w:line="420" w:lineRule="exact"/>
        <w:rPr>
          <w:rFonts w:hint="eastAsia" w:asciiTheme="minorEastAsia" w:hAnsiTheme="minorEastAsia" w:cstheme="minorEastAsia"/>
          <w:b/>
          <w:bCs/>
          <w:sz w:val="24"/>
          <w:szCs w:val="24"/>
          <w:lang w:val="en-US" w:eastAsia="zh-CN"/>
        </w:rPr>
      </w:pPr>
      <w:r>
        <w:rPr>
          <w:rFonts w:hint="eastAsia" w:asciiTheme="minorEastAsia" w:hAnsiTheme="minorEastAsia" w:eastAsiaTheme="minorEastAsia" w:cstheme="minorEastAsia"/>
          <w:b/>
          <w:bCs/>
          <w:color w:val="FF0000"/>
          <w:sz w:val="21"/>
          <w:szCs w:val="21"/>
        </w:rPr>
        <w:t>注：投标人须额外开具《法定代表人证明书》原件，投标人代表递交投标文件并出席开标环节时应携带身份证、《法定代表人授权书》及《法定代表人证明书》原件供采购代理机构工作人员核对身份信息。</w:t>
      </w:r>
    </w:p>
    <w:p>
      <w:pPr>
        <w:numPr>
          <w:ilvl w:val="-1"/>
          <w:numId w:val="0"/>
        </w:numPr>
        <w:spacing w:line="240" w:lineRule="auto"/>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numPr>
          <w:ilvl w:val="0"/>
          <w:numId w:val="0"/>
        </w:numPr>
        <w:spacing w:line="420" w:lineRule="exact"/>
        <w:jc w:val="both"/>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法定代表人授权书格式（投标人代表为法定代表人的无需提供本格式）</w:t>
      </w:r>
    </w:p>
    <w:p>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p>
    <w:p>
      <w:pPr>
        <w:numPr>
          <w:ilvl w:val="0"/>
          <w:numId w:val="0"/>
        </w:numPr>
        <w:spacing w:line="420" w:lineRule="exact"/>
        <w:jc w:val="center"/>
        <w:rPr>
          <w:rFonts w:hint="eastAsia" w:asciiTheme="minorEastAsia" w:hAnsiTheme="minorEastAsia" w:eastAsiaTheme="minorEastAsia" w:cstheme="minorEastAsia"/>
          <w:b/>
          <w:bCs w:val="0"/>
          <w:sz w:val="32"/>
          <w:szCs w:val="32"/>
          <w:lang w:val="en-US" w:eastAsia="zh-CN" w:bidi="ar-SA"/>
        </w:rPr>
      </w:pPr>
      <w:r>
        <w:rPr>
          <w:rFonts w:hint="eastAsia" w:asciiTheme="minorEastAsia" w:hAnsiTheme="minorEastAsia" w:eastAsiaTheme="minorEastAsia" w:cstheme="minorEastAsia"/>
          <w:b/>
          <w:bCs w:val="0"/>
          <w:sz w:val="32"/>
          <w:szCs w:val="32"/>
          <w:lang w:val="en-US" w:eastAsia="zh-CN" w:bidi="ar-SA"/>
        </w:rPr>
        <w:t>法定代表人授权书</w:t>
      </w:r>
    </w:p>
    <w:p>
      <w:pPr>
        <w:spacing w:line="420" w:lineRule="exact"/>
        <w:jc w:val="center"/>
        <w:rPr>
          <w:rFonts w:hint="eastAsia" w:asciiTheme="minorEastAsia" w:hAnsiTheme="minorEastAsia" w:eastAsiaTheme="minorEastAsia" w:cstheme="minorEastAsia"/>
          <w:sz w:val="21"/>
          <w:szCs w:val="21"/>
        </w:rPr>
      </w:pPr>
    </w:p>
    <w:p>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本授权委托书声明：我</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（姓名）系</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（供应商名称）的法定代表人，现授权委托</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（姓名）</w:t>
      </w:r>
      <w:r>
        <w:rPr>
          <w:rFonts w:hint="eastAsia" w:asciiTheme="minorEastAsia" w:hAnsiTheme="minorEastAsia" w:eastAsiaTheme="minorEastAsia" w:cstheme="minorEastAsia"/>
          <w:color w:val="auto"/>
          <w:sz w:val="21"/>
          <w:szCs w:val="21"/>
          <w:highlight w:val="none"/>
          <w:shd w:val="clear" w:color="auto" w:fill="auto"/>
        </w:rPr>
        <w:t>为本公司的合法代理人，参加</w:t>
      </w:r>
      <w:r>
        <w:rPr>
          <w:rFonts w:hint="eastAsia" w:asciiTheme="minorEastAsia" w:hAnsiTheme="minorEastAsia" w:eastAsiaTheme="minorEastAsia" w:cstheme="minorEastAsia"/>
          <w:color w:val="auto"/>
          <w:sz w:val="21"/>
          <w:szCs w:val="21"/>
          <w:highlight w:val="none"/>
          <w:u w:val="single"/>
          <w:shd w:val="clear" w:color="auto" w:fill="auto"/>
        </w:rPr>
        <w:t xml:space="preserve">  （项目名称、项目编号）  </w:t>
      </w:r>
      <w:r>
        <w:rPr>
          <w:rFonts w:hint="eastAsia" w:asciiTheme="minorEastAsia" w:hAnsiTheme="minorEastAsia" w:eastAsiaTheme="minorEastAsia" w:cstheme="minorEastAsia"/>
          <w:color w:val="auto"/>
          <w:sz w:val="21"/>
          <w:szCs w:val="21"/>
          <w:highlight w:val="none"/>
          <w:shd w:val="clear" w:color="auto" w:fill="auto"/>
        </w:rPr>
        <w:t>的采购活动，以本公司名义处理与之有关的事务。</w:t>
      </w:r>
    </w:p>
    <w:p>
      <w:pPr>
        <w:tabs>
          <w:tab w:val="left" w:pos="426"/>
        </w:tabs>
        <w:autoSpaceDE w:val="0"/>
        <w:autoSpaceDN w:val="0"/>
        <w:adjustRightInd w:val="0"/>
        <w:spacing w:line="360" w:lineRule="auto"/>
        <w:ind w:firstLine="42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本授权书于</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年</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月</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sz w:val="21"/>
          <w:szCs w:val="21"/>
          <w:highlight w:val="none"/>
          <w:shd w:val="clear" w:color="auto" w:fill="auto"/>
        </w:rPr>
        <w:t>日签字生效，</w:t>
      </w:r>
      <w:r>
        <w:rPr>
          <w:rFonts w:hint="eastAsia" w:asciiTheme="minorEastAsia" w:hAnsiTheme="minorEastAsia" w:eastAsiaTheme="minorEastAsia" w:cstheme="minorEastAsia"/>
          <w:color w:val="auto"/>
          <w:kern w:val="0"/>
          <w:sz w:val="21"/>
          <w:szCs w:val="21"/>
          <w:highlight w:val="none"/>
          <w:shd w:val="clear" w:color="auto" w:fill="auto"/>
          <w:lang w:val="zh-CN"/>
        </w:rPr>
        <w:t>被授权人无转委托权，特此委托。</w:t>
      </w:r>
    </w:p>
    <w:p>
      <w:pPr>
        <w:tabs>
          <w:tab w:val="left" w:pos="426"/>
        </w:tabs>
        <w:autoSpaceDE w:val="0"/>
        <w:autoSpaceDN w:val="0"/>
        <w:adjustRightInd w:val="0"/>
        <w:spacing w:beforeLines="100"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被授权人姓名</w:t>
      </w:r>
      <w:r>
        <w:rPr>
          <w:rFonts w:hint="eastAsia" w:asciiTheme="minorEastAsia" w:hAnsiTheme="minorEastAsia" w:eastAsiaTheme="minorEastAsia" w:cstheme="minorEastAsia"/>
          <w:color w:val="auto"/>
          <w:kern w:val="0"/>
          <w:sz w:val="21"/>
          <w:szCs w:val="21"/>
          <w:highlight w:val="none"/>
          <w:shd w:val="clear" w:color="auto" w:fill="auto"/>
          <w:lang w:val="zh-CN"/>
        </w:rPr>
        <w:t>：</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性别：</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年龄：</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426"/>
        </w:tabs>
        <w:autoSpaceDE w:val="0"/>
        <w:autoSpaceDN w:val="0"/>
        <w:adjustRightInd w:val="0"/>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lang w:val="zh-CN"/>
        </w:rPr>
        <w:t>身份证号码：</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r>
        <w:rPr>
          <w:rFonts w:hint="eastAsia" w:asciiTheme="minorEastAsia" w:hAnsiTheme="minorEastAsia" w:eastAsiaTheme="minorEastAsia" w:cstheme="minorEastAsia"/>
          <w:color w:val="auto"/>
          <w:kern w:val="0"/>
          <w:sz w:val="21"/>
          <w:szCs w:val="21"/>
          <w:highlight w:val="none"/>
          <w:shd w:val="clear" w:color="auto" w:fill="auto"/>
          <w:lang w:val="zh-CN"/>
        </w:rPr>
        <w:t>职务：</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法定代表人（签字或盖章）：</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5580"/>
        </w:tabs>
        <w:spacing w:line="360" w:lineRule="auto"/>
        <w:ind w:left="485" w:leftChars="202"/>
        <w:rPr>
          <w:rFonts w:hint="eastAsia" w:asciiTheme="minorEastAsia" w:hAnsiTheme="minorEastAsia" w:eastAsiaTheme="minorEastAsia" w:cstheme="minorEastAsia"/>
          <w:color w:val="auto"/>
          <w:kern w:val="0"/>
          <w:sz w:val="21"/>
          <w:szCs w:val="21"/>
          <w:highlight w:val="none"/>
          <w:u w:val="singl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被授权人（签字）：</w:t>
      </w:r>
      <w:r>
        <w:rPr>
          <w:rFonts w:hint="eastAsia" w:asciiTheme="minorEastAsia" w:hAnsiTheme="minorEastAsia" w:eastAsiaTheme="minorEastAsia" w:cstheme="minorEastAsia"/>
          <w:color w:val="auto"/>
          <w:kern w:val="0"/>
          <w:sz w:val="21"/>
          <w:szCs w:val="21"/>
          <w:highlight w:val="none"/>
          <w:u w:val="single"/>
          <w:shd w:val="clear" w:color="auto" w:fill="auto"/>
        </w:rPr>
        <w:t xml:space="preserve">                                    </w:t>
      </w:r>
    </w:p>
    <w:p>
      <w:pPr>
        <w:tabs>
          <w:tab w:val="left" w:pos="426"/>
        </w:tabs>
        <w:ind w:firstLine="420" w:firstLineChars="200"/>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auto"/>
          <w:sz w:val="21"/>
          <w:szCs w:val="21"/>
          <w:highlight w:val="none"/>
          <w:shd w:val="clear" w:color="auto" w:fill="auto"/>
        </w:rPr>
        <w:t xml:space="preserve">供应商（公章）：  </w:t>
      </w:r>
    </w:p>
    <w:p>
      <w:pPr>
        <w:autoSpaceDE w:val="0"/>
        <w:autoSpaceDN w:val="0"/>
        <w:spacing w:line="420" w:lineRule="exact"/>
        <w:ind w:right="893"/>
        <w:textAlignment w:val="bottom"/>
        <w:rPr>
          <w:rFonts w:hint="eastAsia" w:asciiTheme="minorEastAsia" w:hAnsiTheme="minorEastAsia" w:eastAsiaTheme="minorEastAsia" w:cstheme="minorEastAsia"/>
          <w:sz w:val="21"/>
          <w:szCs w:val="21"/>
        </w:rPr>
      </w:pPr>
    </w:p>
    <w:p>
      <w:pPr>
        <w:autoSpaceDE w:val="0"/>
        <w:autoSpaceDN w:val="0"/>
        <w:spacing w:line="420" w:lineRule="exact"/>
        <w:ind w:right="890" w:firstLine="420" w:firstLineChars="2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附：被授权人身份证扫描件</w:t>
      </w:r>
    </w:p>
    <w:p>
      <w:pPr>
        <w:keepNext/>
        <w:keepLines/>
        <w:spacing w:line="42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10" name="组合 17"/>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11"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12"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组合 17"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HSPANjbAAAACgEAAA8AAAAAAAAAAQAg&#10;AAAAIgAAAGRycy9kb3ducmV2LnhtbFBLAQIUABQAAAAIAIdO4kB9sQCJtgIAAAEIAAAOAAAAAAAA&#10;AAEAIAAAACoBAABkcnMvZTJvRG9jLnhtbFBLBQYAAAAABgAGAFkBAABSBgAAAAA=&#10;">
                <o:lock v:ext="edit" aspectratio="f"/>
                <v:rect id="矩形 3" o:spid="_x0000_s1026" o:spt="1" style="position:absolute;left:703;top:8450;height:2455;width:4594;"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keepNext/>
        <w:keepLines/>
        <w:spacing w:line="420" w:lineRule="exact"/>
        <w:rPr>
          <w:rFonts w:hint="eastAsia" w:asciiTheme="minorEastAsia" w:hAnsiTheme="minorEastAsia" w:eastAsiaTheme="minorEastAsia" w:cstheme="minorEastAsia"/>
          <w:b/>
          <w:sz w:val="21"/>
          <w:szCs w:val="21"/>
        </w:rPr>
      </w:pPr>
    </w:p>
    <w:p>
      <w:pPr>
        <w:spacing w:line="420" w:lineRule="exact"/>
        <w:rPr>
          <w:rFonts w:hint="eastAsia" w:asciiTheme="minorEastAsia" w:hAnsiTheme="minorEastAsia" w:eastAsiaTheme="minorEastAsia" w:cstheme="minorEastAsia"/>
          <w:b/>
          <w:bCs/>
          <w:sz w:val="21"/>
          <w:szCs w:val="21"/>
        </w:rPr>
      </w:pPr>
    </w:p>
    <w:p>
      <w:pPr>
        <w:spacing w:line="420" w:lineRule="exact"/>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注：投标人须额外开具《法定代表人授权书》原件，投标人代表递交投标文件并出席开标环节时应携带身份证、《法定代表人授权书》及《法定代表人证明书》原件供采购代理机构工作人员核对身份信息。</w:t>
      </w:r>
    </w:p>
    <w:p>
      <w:pPr>
        <w:pStyle w:val="33"/>
        <w:numPr>
          <w:ilvl w:val="0"/>
          <w:numId w:val="0"/>
        </w:numPr>
        <w:spacing w:before="25" w:after="25"/>
        <w:rPr>
          <w:rFonts w:hint="eastAsia" w:asciiTheme="minorEastAsia" w:hAnsiTheme="minorEastAsia" w:eastAsiaTheme="minorEastAsia" w:cstheme="minorEastAsia"/>
          <w:spacing w:val="0"/>
          <w:sz w:val="24"/>
          <w:szCs w:val="24"/>
          <w:lang w:val="en-US" w:eastAsia="zh-CN" w:bidi="ar-SA"/>
        </w:rPr>
      </w:pPr>
      <w:r>
        <w:rPr>
          <w:rFonts w:hint="eastAsia" w:asciiTheme="minorEastAsia" w:hAnsiTheme="minorEastAsia" w:eastAsiaTheme="minorEastAsia" w:cstheme="minorEastAsia"/>
          <w:b/>
          <w:sz w:val="21"/>
          <w:szCs w:val="21"/>
        </w:rPr>
        <w:br w:type="page"/>
      </w:r>
    </w:p>
    <w:p>
      <w:pPr>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七、</w:t>
      </w:r>
      <w:r>
        <w:rPr>
          <w:rFonts w:hint="eastAsia" w:asciiTheme="minorEastAsia" w:hAnsiTheme="minorEastAsia" w:eastAsiaTheme="minorEastAsia" w:cstheme="minorEastAsia"/>
          <w:b/>
          <w:sz w:val="24"/>
          <w:szCs w:val="24"/>
          <w:lang w:val="en-US" w:eastAsia="zh-CN"/>
        </w:rPr>
        <w:t>项目</w:t>
      </w:r>
      <w:r>
        <w:rPr>
          <w:rFonts w:hint="eastAsia" w:asciiTheme="minorEastAsia" w:hAnsiTheme="minorEastAsia" w:eastAsiaTheme="minorEastAsia" w:cstheme="minorEastAsia"/>
          <w:b/>
          <w:sz w:val="24"/>
          <w:szCs w:val="24"/>
        </w:rPr>
        <w:t>报价</w:t>
      </w:r>
      <w:r>
        <w:rPr>
          <w:rFonts w:hint="eastAsia" w:asciiTheme="minorEastAsia" w:hAnsiTheme="minorEastAsia" w:eastAsiaTheme="minorEastAsia" w:cstheme="minorEastAsia"/>
          <w:b/>
          <w:sz w:val="24"/>
          <w:szCs w:val="24"/>
          <w:lang w:val="en-US" w:eastAsia="zh-CN"/>
        </w:rPr>
        <w:t>表</w:t>
      </w:r>
    </w:p>
    <w:p>
      <w:pPr>
        <w:tabs>
          <w:tab w:val="left" w:pos="720"/>
        </w:tabs>
        <w:ind w:firstLine="2741" w:firstLineChars="1300"/>
        <w:rPr>
          <w:rFonts w:hint="eastAsia" w:asciiTheme="minorEastAsia" w:hAnsiTheme="minorEastAsia" w:eastAsiaTheme="minorEastAsia" w:cstheme="minorEastAsia"/>
          <w:b/>
          <w:sz w:val="21"/>
          <w:szCs w:val="21"/>
        </w:rPr>
      </w:pPr>
    </w:p>
    <w:p>
      <w:pPr>
        <w:numPr>
          <w:ilvl w:val="0"/>
          <w:numId w:val="8"/>
        </w:numPr>
        <w:tabs>
          <w:tab w:val="left" w:pos="720"/>
        </w:tabs>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货物</w:t>
      </w:r>
      <w:r>
        <w:rPr>
          <w:rFonts w:hint="eastAsia" w:asciiTheme="minorEastAsia" w:hAnsiTheme="minorEastAsia" w:cstheme="minorEastAsia"/>
          <w:b/>
          <w:sz w:val="21"/>
          <w:szCs w:val="21"/>
          <w:lang w:val="en-US" w:eastAsia="zh-CN"/>
        </w:rPr>
        <w:t>详细配置</w:t>
      </w:r>
      <w:r>
        <w:rPr>
          <w:rFonts w:hint="eastAsia" w:asciiTheme="minorEastAsia" w:hAnsiTheme="minorEastAsia" w:eastAsiaTheme="minorEastAsia" w:cstheme="minorEastAsia"/>
          <w:b/>
          <w:sz w:val="21"/>
          <w:szCs w:val="21"/>
        </w:rPr>
        <w:t>报价清单</w:t>
      </w:r>
      <w:r>
        <w:rPr>
          <w:rFonts w:hint="eastAsia" w:ascii="仿宋" w:hAnsi="仿宋" w:eastAsia="仿宋" w:cs="Times New Roman"/>
          <w:b/>
          <w:color w:val="000000"/>
          <w:sz w:val="24"/>
          <w:lang w:eastAsia="zh-CN"/>
        </w:rPr>
        <w:t>（</w:t>
      </w:r>
      <w:r>
        <w:rPr>
          <w:rFonts w:hint="eastAsia"/>
          <w:b/>
          <w:bCs/>
        </w:rPr>
        <w:t>包括在投标总价内</w:t>
      </w:r>
      <w:r>
        <w:rPr>
          <w:rFonts w:hint="eastAsia" w:ascii="仿宋" w:hAnsi="仿宋" w:eastAsia="仿宋" w:cs="Times New Roman"/>
          <w:b/>
          <w:color w:val="000000"/>
          <w:sz w:val="24"/>
          <w:lang w:eastAsia="zh-CN"/>
        </w:rPr>
        <w:t>）</w:t>
      </w:r>
    </w:p>
    <w:p>
      <w:pPr>
        <w:pStyle w:val="2"/>
        <w:rPr>
          <w:rFonts w:hint="eastAsia"/>
        </w:rPr>
      </w:pPr>
    </w:p>
    <w:tbl>
      <w:tblPr>
        <w:tblStyle w:val="26"/>
        <w:tblW w:w="4899" w:type="pct"/>
        <w:jc w:val="center"/>
        <w:tblLayout w:type="fixed"/>
        <w:tblCellMar>
          <w:top w:w="0" w:type="dxa"/>
          <w:left w:w="108" w:type="dxa"/>
          <w:bottom w:w="0" w:type="dxa"/>
          <w:right w:w="108" w:type="dxa"/>
        </w:tblCellMar>
      </w:tblPr>
      <w:tblGrid>
        <w:gridCol w:w="823"/>
        <w:gridCol w:w="1866"/>
        <w:gridCol w:w="1482"/>
        <w:gridCol w:w="1148"/>
        <w:gridCol w:w="989"/>
        <w:gridCol w:w="1021"/>
        <w:gridCol w:w="1549"/>
      </w:tblGrid>
      <w:tr>
        <w:tblPrEx>
          <w:tblCellMar>
            <w:top w:w="0" w:type="dxa"/>
            <w:left w:w="108" w:type="dxa"/>
            <w:bottom w:w="0" w:type="dxa"/>
            <w:right w:w="108" w:type="dxa"/>
          </w:tblCellMar>
        </w:tblPrEx>
        <w:trPr>
          <w:trHeight w:val="459"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序号</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cstheme="minorEastAsia"/>
                <w:kern w:val="0"/>
                <w:sz w:val="21"/>
                <w:szCs w:val="21"/>
                <w:lang w:val="en-US" w:eastAsia="zh-CN"/>
              </w:rPr>
              <w:t>设备或配件名称</w:t>
            </w:r>
          </w:p>
        </w:tc>
        <w:tc>
          <w:tcPr>
            <w:tcW w:w="834"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规格/</w:t>
            </w:r>
          </w:p>
          <w:p>
            <w:pPr>
              <w:widowControl/>
              <w:spacing w:line="3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w:t>
            </w:r>
          </w:p>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型号</w:t>
            </w:r>
          </w:p>
        </w:tc>
        <w:tc>
          <w:tcPr>
            <w:tcW w:w="646" w:type="pct"/>
            <w:tcBorders>
              <w:top w:val="single" w:color="auto" w:sz="4" w:space="0"/>
              <w:left w:val="single" w:color="auto" w:sz="4" w:space="0"/>
              <w:bottom w:val="single" w:color="auto" w:sz="4" w:space="0"/>
              <w:right w:val="nil"/>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生产厂家</w:t>
            </w: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产品注册证号</w:t>
            </w:r>
          </w:p>
        </w:tc>
        <w:tc>
          <w:tcPr>
            <w:tcW w:w="57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eastAsiaTheme="minorEastAsia"/>
                <w:lang w:val="en-US" w:eastAsia="zh-CN"/>
              </w:rPr>
            </w:pPr>
            <w:r>
              <w:rPr>
                <w:rFonts w:hint="eastAsia"/>
                <w:lang w:val="en-US" w:eastAsia="zh-CN"/>
              </w:rPr>
              <w:t>数量</w:t>
            </w:r>
          </w:p>
        </w:tc>
        <w:tc>
          <w:tcPr>
            <w:tcW w:w="872" w:type="pct"/>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分项报价（元）</w:t>
            </w:r>
          </w:p>
        </w:tc>
      </w:tr>
      <w:tr>
        <w:tblPrEx>
          <w:tblCellMar>
            <w:top w:w="0" w:type="dxa"/>
            <w:left w:w="108" w:type="dxa"/>
            <w:bottom w:w="0" w:type="dxa"/>
            <w:right w:w="108" w:type="dxa"/>
          </w:tblCellMar>
        </w:tblPrEx>
        <w:trPr>
          <w:trHeight w:val="227" w:hRule="atLeast"/>
          <w:jc w:val="center"/>
        </w:trPr>
        <w:tc>
          <w:tcPr>
            <w:tcW w:w="463" w:type="pc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1</w:t>
            </w:r>
          </w:p>
        </w:tc>
        <w:tc>
          <w:tcPr>
            <w:tcW w:w="1050" w:type="pct"/>
            <w:tcBorders>
              <w:top w:val="nil"/>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nil"/>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nil"/>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nil"/>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nil"/>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2</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3</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4</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5</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46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6</w:t>
            </w:r>
          </w:p>
        </w:tc>
        <w:tc>
          <w:tcPr>
            <w:tcW w:w="1050"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34"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646" w:type="pct"/>
            <w:tcBorders>
              <w:top w:val="single" w:color="auto" w:sz="4" w:space="0"/>
              <w:left w:val="single" w:color="auto" w:sz="4" w:space="0"/>
              <w:bottom w:val="single" w:color="auto" w:sz="4" w:space="0"/>
              <w:right w:val="nil"/>
            </w:tcBorders>
            <w:noWrap/>
            <w:vAlign w:val="center"/>
          </w:tcPr>
          <w:p>
            <w:pPr>
              <w:spacing w:line="360" w:lineRule="exact"/>
              <w:jc w:val="center"/>
              <w:rPr>
                <w:rFonts w:hint="eastAsia" w:asciiTheme="minorEastAsia" w:hAnsiTheme="minorEastAsia" w:eastAsiaTheme="minorEastAsia" w:cstheme="minorEastAsia"/>
                <w:sz w:val="21"/>
                <w:szCs w:val="21"/>
              </w:rPr>
            </w:pPr>
          </w:p>
        </w:tc>
        <w:tc>
          <w:tcPr>
            <w:tcW w:w="556"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Theme="minorEastAsia" w:hAnsiTheme="minorEastAsia" w:eastAsiaTheme="minorEastAsia" w:cstheme="minorEastAsia"/>
                <w:kern w:val="0"/>
                <w:sz w:val="21"/>
                <w:szCs w:val="21"/>
              </w:rPr>
            </w:pPr>
          </w:p>
        </w:tc>
        <w:tc>
          <w:tcPr>
            <w:tcW w:w="57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 w:val="21"/>
                <w:szCs w:val="21"/>
              </w:rPr>
            </w:pPr>
          </w:p>
        </w:tc>
        <w:tc>
          <w:tcPr>
            <w:tcW w:w="872"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227"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合计：¥      元，大写：人民币        元整</w:t>
            </w:r>
          </w:p>
        </w:tc>
      </w:tr>
    </w:tbl>
    <w:p>
      <w:pPr>
        <w:spacing w:line="360" w:lineRule="exact"/>
        <w:jc w:val="center"/>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r>
        <w:rPr>
          <w:rFonts w:hint="eastAsia" w:asciiTheme="minorEastAsia" w:hAnsiTheme="minorEastAsia" w:cstheme="minorEastAsia"/>
          <w:b/>
          <w:sz w:val="21"/>
          <w:szCs w:val="21"/>
          <w:lang w:val="en-US" w:eastAsia="zh-CN"/>
        </w:rPr>
        <w:t>（二）设备常用配件、消耗品优惠报价</w:t>
      </w:r>
      <w:r>
        <w:rPr>
          <w:rFonts w:hint="eastAsia" w:ascii="宋体" w:hAnsi="宋体" w:cs="宋体"/>
          <w:b/>
          <w:bCs/>
          <w:szCs w:val="21"/>
        </w:rPr>
        <w:t>（</w:t>
      </w:r>
      <w:r>
        <w:rPr>
          <w:rFonts w:hint="eastAsia"/>
          <w:b/>
          <w:bCs/>
        </w:rPr>
        <w:t>不包括在投标总价内</w:t>
      </w:r>
      <w:r>
        <w:rPr>
          <w:rFonts w:hint="eastAsia" w:ascii="宋体" w:hAnsi="宋体" w:cs="宋体"/>
          <w:b/>
          <w:bCs/>
          <w:szCs w:val="21"/>
        </w:rPr>
        <w:t>）</w:t>
      </w:r>
    </w:p>
    <w:tbl>
      <w:tblPr>
        <w:tblStyle w:val="26"/>
        <w:tblpPr w:leftFromText="180" w:rightFromText="180" w:vertAnchor="text" w:horzAnchor="margin" w:tblpXSpec="center" w:tblpY="205"/>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1278"/>
        <w:gridCol w:w="1078"/>
        <w:gridCol w:w="611"/>
        <w:gridCol w:w="1216"/>
        <w:gridCol w:w="668"/>
        <w:gridCol w:w="995"/>
        <w:gridCol w:w="960"/>
        <w:gridCol w:w="995"/>
        <w:gridCol w:w="7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304" w:type="pct"/>
            <w:tcBorders>
              <w:top w:val="doub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序号</w:t>
            </w:r>
          </w:p>
        </w:tc>
        <w:tc>
          <w:tcPr>
            <w:tcW w:w="706"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备品备件名称</w:t>
            </w:r>
          </w:p>
        </w:tc>
        <w:tc>
          <w:tcPr>
            <w:tcW w:w="595"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规格及型号</w:t>
            </w:r>
          </w:p>
        </w:tc>
        <w:tc>
          <w:tcPr>
            <w:tcW w:w="337"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品牌</w:t>
            </w:r>
          </w:p>
        </w:tc>
        <w:tc>
          <w:tcPr>
            <w:tcW w:w="671"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产地</w:t>
            </w:r>
          </w:p>
        </w:tc>
        <w:tc>
          <w:tcPr>
            <w:tcW w:w="369"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单位</w:t>
            </w:r>
          </w:p>
        </w:tc>
        <w:tc>
          <w:tcPr>
            <w:tcW w:w="549" w:type="pct"/>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市场单价</w:t>
            </w:r>
          </w:p>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（元）</w:t>
            </w:r>
          </w:p>
        </w:tc>
        <w:tc>
          <w:tcPr>
            <w:tcW w:w="530"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snapToGrid w:val="0"/>
                <w:color w:val="000000"/>
                <w:szCs w:val="21"/>
                <w:lang w:eastAsia="zh-CN"/>
              </w:rPr>
              <w:t>降幅率</w:t>
            </w:r>
          </w:p>
        </w:tc>
        <w:tc>
          <w:tcPr>
            <w:tcW w:w="549"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snapToGrid w:val="0"/>
                <w:color w:val="000000"/>
                <w:szCs w:val="21"/>
                <w:lang w:eastAsia="zh-CN"/>
              </w:rPr>
              <w:t>最终报价</w:t>
            </w:r>
            <w:r>
              <w:rPr>
                <w:rFonts w:hint="eastAsia" w:ascii="宋体" w:hAnsi="宋体" w:cs="宋体"/>
                <w:snapToGrid w:val="0"/>
                <w:color w:val="000000"/>
                <w:kern w:val="0"/>
                <w:szCs w:val="21"/>
              </w:rPr>
              <w:t>（元）</w:t>
            </w:r>
          </w:p>
        </w:tc>
        <w:tc>
          <w:tcPr>
            <w:tcW w:w="384" w:type="pct"/>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专用/通用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napToGrid w:val="0"/>
                <w:color w:val="000000"/>
                <w:kern w:val="0"/>
                <w:sz w:val="21"/>
                <w:szCs w:val="21"/>
                <w:lang w:eastAsia="zh-CN"/>
              </w:rPr>
            </w:pPr>
            <w:r>
              <w:rPr>
                <w:rFonts w:hint="eastAsia" w:ascii="宋体" w:hAnsi="宋体" w:cs="宋体"/>
                <w:snapToGrid w:val="0"/>
                <w:color w:val="000000"/>
                <w:kern w:val="0"/>
                <w:sz w:val="21"/>
                <w:szCs w:val="21"/>
              </w:rPr>
              <w:t>1</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c>
          <w:tcPr>
            <w:tcW w:w="530" w:type="pct"/>
            <w:vMerge w:val="restart"/>
            <w:tcBorders>
              <w:top w:val="single" w:color="auto" w:sz="4" w:space="0"/>
              <w:left w:val="single" w:color="auto" w:sz="4" w:space="0"/>
              <w:right w:val="double" w:color="auto" w:sz="4" w:space="0"/>
            </w:tcBorders>
            <w:noWrap w:val="0"/>
            <w:vAlign w:val="center"/>
          </w:tcPr>
          <w:p>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w:t>
            </w: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eastAsiaTheme="minorEastAsia"/>
                <w:snapToGrid w:val="0"/>
                <w:color w:val="000000"/>
                <w:kern w:val="0"/>
                <w:sz w:val="21"/>
                <w:szCs w:val="21"/>
                <w:lang w:val="en-US" w:eastAsia="zh-CN"/>
              </w:rPr>
            </w:pPr>
            <w:r>
              <w:rPr>
                <w:rFonts w:hint="eastAsia" w:ascii="宋体" w:hAnsi="宋体" w:cs="宋体"/>
                <w:snapToGrid w:val="0"/>
                <w:color w:val="000000"/>
                <w:kern w:val="0"/>
                <w:sz w:val="21"/>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2</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s="宋体" w:eastAsiaTheme="minorEastAsia"/>
                <w:snapToGrid w:val="0"/>
                <w:color w:val="000000"/>
                <w:kern w:val="0"/>
                <w:sz w:val="21"/>
                <w:szCs w:val="21"/>
                <w:lang w:val="en-US" w:eastAsia="zh-CN"/>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3</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304" w:type="pct"/>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4</w:t>
            </w:r>
          </w:p>
        </w:tc>
        <w:tc>
          <w:tcPr>
            <w:tcW w:w="7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33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6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c>
          <w:tcPr>
            <w:tcW w:w="3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napToGrid w:val="0"/>
                <w:color w:val="000000"/>
                <w:kern w:val="0"/>
                <w:sz w:val="21"/>
                <w:szCs w:val="21"/>
              </w:rPr>
            </w:pPr>
          </w:p>
        </w:tc>
        <w:tc>
          <w:tcPr>
            <w:tcW w:w="530" w:type="pct"/>
            <w:vMerge w:val="continue"/>
            <w:tcBorders>
              <w:left w:val="single" w:color="auto" w:sz="4" w:space="0"/>
              <w:bottom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549" w:type="pct"/>
            <w:tcBorders>
              <w:top w:val="single" w:color="auto" w:sz="4" w:space="0"/>
              <w:left w:val="single" w:color="auto" w:sz="4" w:space="0"/>
              <w:bottom w:val="single" w:color="auto" w:sz="4" w:space="0"/>
              <w:right w:val="double" w:color="auto" w:sz="4" w:space="0"/>
            </w:tcBorders>
            <w:noWrap w:val="0"/>
            <w:vAlign w:val="center"/>
          </w:tcPr>
          <w:p>
            <w:pPr>
              <w:jc w:val="center"/>
              <w:rPr>
                <w:rFonts w:hint="eastAsia" w:ascii="宋体" w:hAnsi="宋体" w:cs="宋体"/>
                <w:snapToGrid w:val="0"/>
                <w:color w:val="000000"/>
                <w:kern w:val="0"/>
                <w:sz w:val="21"/>
                <w:szCs w:val="21"/>
              </w:rPr>
            </w:pPr>
          </w:p>
        </w:tc>
        <w:tc>
          <w:tcPr>
            <w:tcW w:w="384" w:type="pct"/>
            <w:tcBorders>
              <w:top w:val="sing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eastAsia" w:ascii="宋体" w:hAnsi="宋体" w:cs="宋体"/>
                <w:snapToGrid w:val="0"/>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304" w:type="pct"/>
            <w:tcBorders>
              <w:top w:val="single" w:color="auto" w:sz="4" w:space="0"/>
              <w:left w:val="double" w:color="auto" w:sz="4" w:space="0"/>
              <w:bottom w:val="double" w:color="auto" w:sz="4" w:space="0"/>
              <w:right w:val="double" w:color="auto" w:sz="4" w:space="0"/>
            </w:tcBorders>
            <w:noWrap w:val="0"/>
            <w:vAlign w:val="center"/>
          </w:tcPr>
          <w:p>
            <w:pPr>
              <w:rPr>
                <w:rFonts w:hint="eastAsia" w:ascii="宋体" w:hAnsi="宋体" w:cs="宋体"/>
                <w:b/>
                <w:bCs/>
                <w:snapToGrid w:val="0"/>
                <w:color w:val="FF0000"/>
                <w:kern w:val="0"/>
                <w:szCs w:val="21"/>
              </w:rPr>
            </w:pPr>
          </w:p>
        </w:tc>
        <w:tc>
          <w:tcPr>
            <w:tcW w:w="4695" w:type="pct"/>
            <w:gridSpan w:val="9"/>
            <w:tcBorders>
              <w:top w:val="single" w:color="auto" w:sz="4" w:space="0"/>
              <w:left w:val="double" w:color="auto" w:sz="4" w:space="0"/>
              <w:bottom w:val="double" w:color="auto" w:sz="4" w:space="0"/>
              <w:right w:val="double" w:color="auto" w:sz="4" w:space="0"/>
            </w:tcBorders>
            <w:noWrap w:val="0"/>
            <w:vAlign w:val="center"/>
          </w:tcPr>
          <w:p>
            <w:pPr>
              <w:rPr>
                <w:rFonts w:hint="eastAsia" w:ascii="宋体" w:hAnsi="宋体" w:cs="宋体"/>
                <w:snapToGrid w:val="0"/>
                <w:color w:val="000000"/>
                <w:kern w:val="0"/>
                <w:sz w:val="21"/>
                <w:szCs w:val="18"/>
              </w:rPr>
            </w:pPr>
            <w:r>
              <w:rPr>
                <w:rFonts w:hint="eastAsia" w:ascii="宋体" w:hAnsi="宋体" w:cs="宋体"/>
                <w:color w:val="000000"/>
                <w:sz w:val="21"/>
                <w:szCs w:val="18"/>
              </w:rPr>
              <w:t>备注：投标人须按表格完整填写内容，“零配件名称”和“市场单价”由采购人填写，其余由投标人填写。投标人填写内容除须对应采购人所列明的零配件外,若设备在投入使用中还需其他零配件的，投标人也应补充填写完整。如未填写或填写不完整相关评分项不得分。</w:t>
            </w:r>
            <w:r>
              <w:rPr>
                <w:rFonts w:hint="eastAsia" w:ascii="宋体" w:hAnsi="宋体" w:cs="宋体"/>
                <w:color w:val="000000"/>
                <w:sz w:val="21"/>
                <w:szCs w:val="18"/>
                <w:lang w:eastAsia="zh-CN"/>
              </w:rPr>
              <w:t>若我院在用的此设备出现备品备件需求时，投标商需低于或等于此备品备件清单的报价供货，高于价格或者不供货中标商，将拉入我院供应商黑名单</w:t>
            </w:r>
            <w:r>
              <w:rPr>
                <w:rFonts w:hint="eastAsia" w:ascii="宋体" w:hAnsi="宋体" w:cs="宋体"/>
                <w:b/>
                <w:bCs/>
                <w:snapToGrid w:val="0"/>
                <w:color w:val="000000"/>
                <w:kern w:val="0"/>
                <w:sz w:val="21"/>
                <w:szCs w:val="18"/>
              </w:rPr>
              <w:t>。</w:t>
            </w:r>
            <w:r>
              <w:rPr>
                <w:rFonts w:hint="eastAsia" w:ascii="宋体" w:hAnsi="宋体" w:cs="宋体"/>
                <w:snapToGrid w:val="0"/>
                <w:color w:val="000000"/>
                <w:kern w:val="0"/>
                <w:sz w:val="21"/>
                <w:szCs w:val="18"/>
              </w:rPr>
              <w:t xml:space="preserve"> </w:t>
            </w:r>
          </w:p>
          <w:p>
            <w:pPr>
              <w:rPr>
                <w:rFonts w:hint="eastAsia" w:ascii="宋体" w:hAnsi="宋体" w:cs="宋体"/>
                <w:color w:val="FF0000"/>
                <w:kern w:val="0"/>
                <w:sz w:val="21"/>
                <w:szCs w:val="18"/>
              </w:rPr>
            </w:pPr>
            <w:r>
              <w:rPr>
                <w:rFonts w:hint="eastAsia" w:ascii="宋体" w:hAnsi="宋体" w:cs="宋体"/>
                <w:b/>
                <w:bCs/>
                <w:snapToGrid w:val="0"/>
                <w:color w:val="FF0000"/>
                <w:kern w:val="0"/>
                <w:sz w:val="21"/>
                <w:szCs w:val="18"/>
              </w:rPr>
              <w:t>“公司报价”不得高于本表格的“市场单价”，否则作投标无效处理。</w:t>
            </w:r>
          </w:p>
        </w:tc>
      </w:tr>
    </w:tbl>
    <w:p>
      <w:pPr>
        <w:pStyle w:val="33"/>
        <w:jc w:val="center"/>
        <w:rPr>
          <w:rFonts w:hint="eastAsia" w:ascii="宋体" w:hAnsi="宋体" w:cs="宋体"/>
          <w:b/>
          <w:spacing w:val="0"/>
          <w:kern w:val="2"/>
          <w:sz w:val="21"/>
          <w:szCs w:val="21"/>
          <w:lang w:eastAsia="zh-CN"/>
        </w:rPr>
      </w:pPr>
    </w:p>
    <w:p>
      <w:pPr>
        <w:pStyle w:val="33"/>
        <w:jc w:val="center"/>
        <w:rPr>
          <w:rFonts w:hint="eastAsia" w:ascii="宋体" w:hAnsi="宋体" w:cs="宋体"/>
          <w:b/>
          <w:spacing w:val="0"/>
          <w:kern w:val="2"/>
          <w:sz w:val="21"/>
          <w:szCs w:val="21"/>
          <w:lang w:eastAsia="zh-CN"/>
        </w:rPr>
      </w:pPr>
    </w:p>
    <w:p>
      <w:pPr>
        <w:pStyle w:val="33"/>
        <w:jc w:val="center"/>
        <w:rPr>
          <w:rFonts w:hint="eastAsia" w:ascii="宋体" w:hAnsi="宋体" w:cs="宋体"/>
          <w:b/>
          <w:spacing w:val="0"/>
          <w:kern w:val="2"/>
          <w:sz w:val="21"/>
          <w:szCs w:val="21"/>
          <w:lang w:eastAsia="zh-CN"/>
        </w:rPr>
      </w:pPr>
    </w:p>
    <w:p>
      <w:pPr>
        <w:pStyle w:val="33"/>
        <w:jc w:val="center"/>
        <w:rPr>
          <w:rFonts w:hint="eastAsia" w:ascii="宋体" w:hAnsi="宋体" w:cs="宋体"/>
          <w:b/>
          <w:spacing w:val="0"/>
          <w:kern w:val="2"/>
          <w:sz w:val="21"/>
          <w:szCs w:val="21"/>
          <w:lang w:eastAsia="zh-CN"/>
        </w:rPr>
      </w:pPr>
    </w:p>
    <w:p>
      <w:pPr>
        <w:pStyle w:val="33"/>
        <w:jc w:val="center"/>
        <w:rPr>
          <w:rFonts w:hint="eastAsia" w:ascii="宋体" w:hAnsi="宋体" w:cs="宋体"/>
          <w:b/>
          <w:spacing w:val="0"/>
          <w:kern w:val="2"/>
          <w:sz w:val="21"/>
          <w:szCs w:val="21"/>
          <w:lang w:eastAsia="zh-CN"/>
        </w:rPr>
      </w:pPr>
    </w:p>
    <w:p>
      <w:pPr>
        <w:pStyle w:val="33"/>
        <w:jc w:val="center"/>
        <w:rPr>
          <w:rFonts w:hint="eastAsia" w:ascii="宋体" w:hAnsi="宋体" w:cs="宋体"/>
          <w:b/>
          <w:spacing w:val="0"/>
          <w:kern w:val="2"/>
          <w:sz w:val="21"/>
          <w:szCs w:val="21"/>
          <w:lang w:eastAsia="zh-CN"/>
        </w:rPr>
      </w:pPr>
    </w:p>
    <w:p>
      <w:pPr>
        <w:pStyle w:val="33"/>
        <w:jc w:val="center"/>
        <w:rPr>
          <w:rFonts w:hint="eastAsia" w:ascii="宋体" w:hAnsi="宋体" w:cs="宋体"/>
          <w:b/>
          <w:spacing w:val="0"/>
          <w:kern w:val="2"/>
          <w:sz w:val="21"/>
          <w:szCs w:val="21"/>
          <w:lang w:eastAsia="zh-CN"/>
        </w:rPr>
      </w:pPr>
    </w:p>
    <w:p>
      <w:pPr>
        <w:rPr>
          <w:rFonts w:hint="eastAsia" w:ascii="宋体" w:hAnsi="宋体" w:cs="宋体"/>
          <w:b/>
          <w:spacing w:val="0"/>
          <w:kern w:val="2"/>
          <w:sz w:val="21"/>
          <w:szCs w:val="21"/>
          <w:lang w:eastAsia="zh-CN"/>
        </w:rPr>
      </w:pPr>
      <w:r>
        <w:rPr>
          <w:rFonts w:hint="eastAsia" w:ascii="宋体" w:hAnsi="宋体" w:cs="宋体"/>
          <w:b/>
          <w:spacing w:val="0"/>
          <w:kern w:val="2"/>
          <w:sz w:val="21"/>
          <w:szCs w:val="21"/>
          <w:lang w:eastAsia="zh-CN"/>
        </w:rPr>
        <w:br w:type="page"/>
      </w:r>
    </w:p>
    <w:p>
      <w:pPr>
        <w:pStyle w:val="33"/>
        <w:jc w:val="center"/>
        <w:rPr>
          <w:rFonts w:hint="eastAsia" w:ascii="宋体" w:hAnsi="宋体" w:cs="宋体"/>
          <w:b/>
          <w:spacing w:val="0"/>
          <w:kern w:val="2"/>
          <w:sz w:val="21"/>
          <w:szCs w:val="21"/>
        </w:rPr>
      </w:pPr>
      <w:r>
        <w:rPr>
          <w:rFonts w:hint="eastAsia" w:ascii="宋体" w:hAnsi="宋体" w:cs="宋体"/>
          <w:b/>
          <w:spacing w:val="0"/>
          <w:kern w:val="2"/>
          <w:sz w:val="21"/>
          <w:szCs w:val="21"/>
          <w:lang w:eastAsia="zh-CN"/>
        </w:rPr>
        <w:t>（</w:t>
      </w:r>
      <w:r>
        <w:rPr>
          <w:rFonts w:hint="eastAsia" w:ascii="宋体" w:hAnsi="宋体" w:cs="宋体"/>
          <w:b/>
          <w:spacing w:val="0"/>
          <w:kern w:val="2"/>
          <w:sz w:val="21"/>
          <w:szCs w:val="21"/>
          <w:lang w:val="en-US" w:eastAsia="zh-CN"/>
        </w:rPr>
        <w:t>三</w:t>
      </w:r>
      <w:r>
        <w:rPr>
          <w:rFonts w:hint="eastAsia" w:ascii="宋体" w:hAnsi="宋体" w:cs="宋体"/>
          <w:b/>
          <w:spacing w:val="0"/>
          <w:kern w:val="2"/>
          <w:sz w:val="21"/>
          <w:szCs w:val="21"/>
          <w:lang w:eastAsia="zh-CN"/>
        </w:rPr>
        <w:t>）</w:t>
      </w:r>
      <w:r>
        <w:rPr>
          <w:rFonts w:hint="eastAsia" w:ascii="宋体" w:hAnsi="宋体" w:cs="宋体"/>
          <w:b/>
          <w:spacing w:val="0"/>
          <w:kern w:val="2"/>
          <w:sz w:val="21"/>
          <w:szCs w:val="21"/>
        </w:rPr>
        <w:t>设备配套耗材报价清单（不包括在投标总价内）</w:t>
      </w:r>
    </w:p>
    <w:p>
      <w:pPr>
        <w:pStyle w:val="2"/>
        <w:numPr>
          <w:ilvl w:val="0"/>
          <w:numId w:val="0"/>
        </w:numPr>
        <w:ind w:leftChars="0"/>
        <w:rPr>
          <w:rFonts w:hint="default"/>
          <w:lang w:val="en-US" w:eastAsia="zh-CN"/>
        </w:rPr>
      </w:pPr>
    </w:p>
    <w:tbl>
      <w:tblPr>
        <w:tblStyle w:val="26"/>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1002"/>
        <w:gridCol w:w="390"/>
        <w:gridCol w:w="417"/>
        <w:gridCol w:w="964"/>
        <w:gridCol w:w="434"/>
        <w:gridCol w:w="882"/>
        <w:gridCol w:w="952"/>
        <w:gridCol w:w="600"/>
        <w:gridCol w:w="2208"/>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5"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序号</w:t>
            </w:r>
          </w:p>
        </w:tc>
        <w:tc>
          <w:tcPr>
            <w:tcW w:w="553"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耗材名称</w:t>
            </w:r>
          </w:p>
        </w:tc>
        <w:tc>
          <w:tcPr>
            <w:tcW w:w="215"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规格</w:t>
            </w:r>
          </w:p>
        </w:tc>
        <w:tc>
          <w:tcPr>
            <w:tcW w:w="230"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最小计量单位</w:t>
            </w:r>
          </w:p>
        </w:tc>
        <w:tc>
          <w:tcPr>
            <w:tcW w:w="533"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产品注册证号</w:t>
            </w:r>
          </w:p>
        </w:tc>
        <w:tc>
          <w:tcPr>
            <w:tcW w:w="239"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产地品牌</w:t>
            </w:r>
          </w:p>
        </w:tc>
        <w:tc>
          <w:tcPr>
            <w:tcW w:w="487"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市场单价（元）</w:t>
            </w:r>
          </w:p>
        </w:tc>
        <w:tc>
          <w:tcPr>
            <w:tcW w:w="526" w:type="pct"/>
            <w:noWrap w:val="0"/>
            <w:vAlign w:val="center"/>
          </w:tcPr>
          <w:p>
            <w:pPr>
              <w:rPr>
                <w:rFonts w:hint="eastAsia" w:ascii="宋体" w:hAnsi="宋体" w:cs="宋体"/>
                <w:color w:val="000000"/>
                <w:sz w:val="21"/>
                <w:szCs w:val="18"/>
                <w:lang w:val="en-US" w:eastAsia="zh-CN"/>
              </w:rPr>
            </w:pPr>
            <w:r>
              <w:rPr>
                <w:rFonts w:hint="eastAsia" w:ascii="宋体" w:hAnsi="宋体" w:cs="宋体"/>
                <w:color w:val="000000"/>
                <w:sz w:val="21"/>
                <w:szCs w:val="18"/>
                <w:lang w:eastAsia="zh-CN"/>
              </w:rPr>
              <w:t>降幅率</w:t>
            </w:r>
          </w:p>
        </w:tc>
        <w:tc>
          <w:tcPr>
            <w:tcW w:w="331"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报价（元）</w:t>
            </w:r>
          </w:p>
        </w:tc>
        <w:tc>
          <w:tcPr>
            <w:tcW w:w="1220"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预估设备终身可用耗材量（按照最小计量单位计算）</w:t>
            </w:r>
          </w:p>
        </w:tc>
        <w:tc>
          <w:tcPr>
            <w:tcW w:w="445" w:type="pct"/>
            <w:noWrap w:val="0"/>
            <w:vAlign w:val="center"/>
          </w:tcPr>
          <w:p>
            <w:pPr>
              <w:rPr>
                <w:rFonts w:hint="eastAsia" w:ascii="宋体" w:hAnsi="宋体" w:cs="宋体"/>
                <w:color w:val="000000"/>
                <w:sz w:val="21"/>
                <w:szCs w:val="18"/>
              </w:rPr>
            </w:pPr>
            <w:r>
              <w:rPr>
                <w:rFonts w:hint="eastAsia" w:ascii="宋体" w:hAnsi="宋体" w:cs="宋体"/>
                <w:color w:val="000000"/>
                <w:sz w:val="21"/>
                <w:szCs w:val="18"/>
              </w:rPr>
              <w:t>专用/通用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FF0000"/>
                <w:sz w:val="21"/>
                <w:szCs w:val="18"/>
              </w:rPr>
            </w:pPr>
            <w:r>
              <w:rPr>
                <w:rFonts w:hint="eastAsia" w:ascii="宋体" w:hAnsi="宋体" w:cs="宋体"/>
                <w:color w:val="FF0000"/>
                <w:sz w:val="21"/>
                <w:szCs w:val="18"/>
              </w:rPr>
              <w:t>1</w:t>
            </w:r>
          </w:p>
        </w:tc>
        <w:tc>
          <w:tcPr>
            <w:tcW w:w="553"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15"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30"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533"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239"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487"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526" w:type="pct"/>
            <w:vMerge w:val="restart"/>
            <w:noWrap w:val="0"/>
            <w:vAlign w:val="center"/>
          </w:tcPr>
          <w:p>
            <w:pPr>
              <w:jc w:val="center"/>
              <w:rPr>
                <w:rFonts w:hint="default" w:ascii="宋体" w:hAnsi="宋体" w:cs="宋体"/>
                <w:color w:val="000000"/>
                <w:sz w:val="21"/>
                <w:szCs w:val="18"/>
                <w:lang w:val="en-US" w:eastAsia="zh-CN"/>
              </w:rPr>
            </w:pPr>
            <w:r>
              <w:rPr>
                <w:rFonts w:hint="eastAsia" w:ascii="宋体" w:hAnsi="宋体" w:cs="宋体"/>
                <w:color w:val="000000"/>
                <w:sz w:val="21"/>
                <w:szCs w:val="18"/>
                <w:lang w:val="en-US" w:eastAsia="zh-CN"/>
              </w:rPr>
              <w:t>/</w:t>
            </w:r>
          </w:p>
        </w:tc>
        <w:tc>
          <w:tcPr>
            <w:tcW w:w="331"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1220"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c>
          <w:tcPr>
            <w:tcW w:w="445" w:type="pct"/>
            <w:noWrap w:val="0"/>
            <w:vAlign w:val="center"/>
          </w:tcPr>
          <w:p>
            <w:pPr>
              <w:jc w:val="center"/>
              <w:rPr>
                <w:rFonts w:hint="eastAsia" w:ascii="宋体" w:hAnsi="宋体" w:cs="宋体" w:eastAsiaTheme="minorEastAsia"/>
                <w:color w:val="000000"/>
                <w:sz w:val="21"/>
                <w:szCs w:val="18"/>
                <w:lang w:val="en-US" w:eastAsia="zh-CN"/>
              </w:rPr>
            </w:pPr>
            <w:r>
              <w:rPr>
                <w:rFonts w:hint="eastAsia" w:ascii="宋体" w:hAnsi="宋体" w:cs="宋体"/>
                <w:color w:val="000000"/>
                <w:sz w:val="21"/>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FF0000"/>
                <w:sz w:val="21"/>
                <w:szCs w:val="18"/>
              </w:rPr>
            </w:pPr>
            <w:r>
              <w:rPr>
                <w:rFonts w:hint="eastAsia" w:ascii="宋体" w:hAnsi="宋体" w:cs="宋体"/>
                <w:color w:val="FF0000"/>
                <w:sz w:val="21"/>
                <w:szCs w:val="18"/>
              </w:rPr>
              <w:t>2</w:t>
            </w:r>
          </w:p>
        </w:tc>
        <w:tc>
          <w:tcPr>
            <w:tcW w:w="553" w:type="pct"/>
            <w:noWrap w:val="0"/>
            <w:vAlign w:val="center"/>
          </w:tcPr>
          <w:p>
            <w:pPr>
              <w:jc w:val="center"/>
              <w:rPr>
                <w:rFonts w:hint="eastAsia" w:ascii="宋体" w:hAnsi="宋体" w:cs="宋体"/>
                <w:color w:val="000000"/>
                <w:sz w:val="21"/>
                <w:szCs w:val="18"/>
              </w:rPr>
            </w:pPr>
          </w:p>
        </w:tc>
        <w:tc>
          <w:tcPr>
            <w:tcW w:w="215" w:type="pct"/>
            <w:noWrap w:val="0"/>
            <w:vAlign w:val="center"/>
          </w:tcPr>
          <w:p>
            <w:pPr>
              <w:jc w:val="center"/>
              <w:rPr>
                <w:rFonts w:hint="eastAsia" w:ascii="宋体" w:hAnsi="宋体" w:cs="宋体"/>
                <w:color w:val="000000"/>
                <w:sz w:val="21"/>
                <w:szCs w:val="18"/>
              </w:rPr>
            </w:pPr>
          </w:p>
        </w:tc>
        <w:tc>
          <w:tcPr>
            <w:tcW w:w="230" w:type="pct"/>
            <w:noWrap w:val="0"/>
            <w:vAlign w:val="center"/>
          </w:tcPr>
          <w:p>
            <w:pPr>
              <w:jc w:val="center"/>
              <w:rPr>
                <w:rFonts w:hint="eastAsia" w:ascii="宋体" w:hAnsi="宋体" w:cs="宋体"/>
                <w:color w:val="000000"/>
                <w:sz w:val="21"/>
                <w:szCs w:val="18"/>
              </w:rPr>
            </w:pPr>
          </w:p>
        </w:tc>
        <w:tc>
          <w:tcPr>
            <w:tcW w:w="533" w:type="pct"/>
            <w:noWrap w:val="0"/>
            <w:vAlign w:val="center"/>
          </w:tcPr>
          <w:p>
            <w:pPr>
              <w:jc w:val="center"/>
              <w:rPr>
                <w:rFonts w:hint="eastAsia" w:ascii="宋体" w:hAnsi="宋体" w:cs="宋体"/>
                <w:color w:val="000000"/>
                <w:sz w:val="21"/>
                <w:szCs w:val="18"/>
              </w:rPr>
            </w:pPr>
          </w:p>
        </w:tc>
        <w:tc>
          <w:tcPr>
            <w:tcW w:w="239" w:type="pct"/>
            <w:noWrap w:val="0"/>
            <w:vAlign w:val="center"/>
          </w:tcPr>
          <w:p>
            <w:pPr>
              <w:jc w:val="center"/>
              <w:rPr>
                <w:rFonts w:hint="eastAsia" w:ascii="宋体" w:hAnsi="宋体" w:cs="宋体"/>
                <w:color w:val="000000"/>
                <w:sz w:val="21"/>
                <w:szCs w:val="18"/>
              </w:rPr>
            </w:pPr>
          </w:p>
        </w:tc>
        <w:tc>
          <w:tcPr>
            <w:tcW w:w="487" w:type="pct"/>
            <w:noWrap w:val="0"/>
            <w:vAlign w:val="center"/>
          </w:tcPr>
          <w:p>
            <w:pPr>
              <w:jc w:val="center"/>
              <w:rPr>
                <w:rFonts w:hint="eastAsia" w:ascii="宋体" w:hAnsi="宋体" w:cs="宋体"/>
                <w:color w:val="000000"/>
                <w:sz w:val="21"/>
                <w:szCs w:val="18"/>
              </w:rPr>
            </w:pPr>
          </w:p>
        </w:tc>
        <w:tc>
          <w:tcPr>
            <w:tcW w:w="526" w:type="pct"/>
            <w:vMerge w:val="continue"/>
            <w:noWrap w:val="0"/>
            <w:vAlign w:val="center"/>
          </w:tcPr>
          <w:p>
            <w:pPr>
              <w:jc w:val="center"/>
              <w:rPr>
                <w:rFonts w:hint="eastAsia" w:ascii="宋体" w:hAnsi="宋体" w:cs="宋体"/>
                <w:color w:val="000000"/>
                <w:sz w:val="21"/>
                <w:szCs w:val="18"/>
              </w:rPr>
            </w:pPr>
          </w:p>
        </w:tc>
        <w:tc>
          <w:tcPr>
            <w:tcW w:w="331" w:type="pct"/>
            <w:noWrap w:val="0"/>
            <w:vAlign w:val="center"/>
          </w:tcPr>
          <w:p>
            <w:pPr>
              <w:jc w:val="center"/>
              <w:rPr>
                <w:rFonts w:hint="eastAsia" w:ascii="宋体" w:hAnsi="宋体" w:cs="宋体" w:eastAsiaTheme="minorEastAsia"/>
                <w:color w:val="000000"/>
                <w:sz w:val="21"/>
                <w:szCs w:val="18"/>
                <w:lang w:val="en-US" w:eastAsia="zh-CN"/>
              </w:rPr>
            </w:pPr>
          </w:p>
        </w:tc>
        <w:tc>
          <w:tcPr>
            <w:tcW w:w="1220" w:type="pct"/>
            <w:noWrap w:val="0"/>
            <w:vAlign w:val="center"/>
          </w:tcPr>
          <w:p>
            <w:pPr>
              <w:jc w:val="center"/>
              <w:rPr>
                <w:rFonts w:hint="eastAsia" w:ascii="宋体" w:hAnsi="宋体" w:cs="宋体"/>
                <w:color w:val="000000"/>
                <w:sz w:val="21"/>
                <w:szCs w:val="18"/>
              </w:rPr>
            </w:pPr>
          </w:p>
        </w:tc>
        <w:tc>
          <w:tcPr>
            <w:tcW w:w="445" w:type="pct"/>
            <w:noWrap w:val="0"/>
            <w:vAlign w:val="center"/>
          </w:tcPr>
          <w:p>
            <w:pPr>
              <w:jc w:val="center"/>
              <w:rPr>
                <w:rFonts w:hint="eastAsia" w:ascii="宋体" w:hAnsi="宋体" w:cs="宋体"/>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FF0000"/>
                <w:sz w:val="21"/>
                <w:szCs w:val="18"/>
              </w:rPr>
            </w:pPr>
            <w:r>
              <w:rPr>
                <w:rFonts w:hint="eastAsia" w:ascii="宋体" w:hAnsi="宋体" w:cs="宋体"/>
                <w:color w:val="FF0000"/>
                <w:sz w:val="21"/>
                <w:szCs w:val="18"/>
              </w:rPr>
              <w:t>3</w:t>
            </w:r>
          </w:p>
        </w:tc>
        <w:tc>
          <w:tcPr>
            <w:tcW w:w="553" w:type="pct"/>
            <w:noWrap w:val="0"/>
            <w:vAlign w:val="center"/>
          </w:tcPr>
          <w:p>
            <w:pPr>
              <w:jc w:val="center"/>
              <w:rPr>
                <w:rFonts w:hint="eastAsia" w:ascii="宋体" w:hAnsi="宋体" w:cs="宋体"/>
                <w:color w:val="000000"/>
                <w:sz w:val="21"/>
                <w:szCs w:val="18"/>
              </w:rPr>
            </w:pPr>
          </w:p>
        </w:tc>
        <w:tc>
          <w:tcPr>
            <w:tcW w:w="215" w:type="pct"/>
            <w:noWrap w:val="0"/>
            <w:vAlign w:val="center"/>
          </w:tcPr>
          <w:p>
            <w:pPr>
              <w:jc w:val="center"/>
              <w:rPr>
                <w:rFonts w:hint="eastAsia" w:ascii="宋体" w:hAnsi="宋体" w:cs="宋体"/>
                <w:color w:val="000000"/>
                <w:sz w:val="21"/>
                <w:szCs w:val="18"/>
              </w:rPr>
            </w:pPr>
          </w:p>
        </w:tc>
        <w:tc>
          <w:tcPr>
            <w:tcW w:w="230" w:type="pct"/>
            <w:noWrap w:val="0"/>
            <w:vAlign w:val="center"/>
          </w:tcPr>
          <w:p>
            <w:pPr>
              <w:jc w:val="center"/>
              <w:rPr>
                <w:rFonts w:hint="eastAsia" w:ascii="宋体" w:hAnsi="宋体" w:cs="宋体"/>
                <w:color w:val="000000"/>
                <w:sz w:val="21"/>
                <w:szCs w:val="18"/>
              </w:rPr>
            </w:pPr>
          </w:p>
        </w:tc>
        <w:tc>
          <w:tcPr>
            <w:tcW w:w="533" w:type="pct"/>
            <w:noWrap w:val="0"/>
            <w:vAlign w:val="center"/>
          </w:tcPr>
          <w:p>
            <w:pPr>
              <w:jc w:val="center"/>
              <w:rPr>
                <w:rFonts w:hint="eastAsia" w:ascii="宋体" w:hAnsi="宋体" w:cs="宋体"/>
                <w:color w:val="000000"/>
                <w:sz w:val="21"/>
                <w:szCs w:val="18"/>
              </w:rPr>
            </w:pPr>
          </w:p>
        </w:tc>
        <w:tc>
          <w:tcPr>
            <w:tcW w:w="239" w:type="pct"/>
            <w:noWrap w:val="0"/>
            <w:vAlign w:val="center"/>
          </w:tcPr>
          <w:p>
            <w:pPr>
              <w:jc w:val="center"/>
              <w:rPr>
                <w:rFonts w:hint="eastAsia" w:ascii="宋体" w:hAnsi="宋体" w:cs="宋体"/>
                <w:color w:val="000000"/>
                <w:sz w:val="21"/>
                <w:szCs w:val="18"/>
              </w:rPr>
            </w:pPr>
          </w:p>
        </w:tc>
        <w:tc>
          <w:tcPr>
            <w:tcW w:w="487" w:type="pct"/>
            <w:noWrap w:val="0"/>
            <w:vAlign w:val="center"/>
          </w:tcPr>
          <w:p>
            <w:pPr>
              <w:jc w:val="center"/>
              <w:rPr>
                <w:rFonts w:hint="eastAsia" w:ascii="宋体" w:hAnsi="宋体" w:cs="宋体"/>
                <w:color w:val="000000"/>
                <w:sz w:val="21"/>
                <w:szCs w:val="18"/>
              </w:rPr>
            </w:pPr>
          </w:p>
        </w:tc>
        <w:tc>
          <w:tcPr>
            <w:tcW w:w="526" w:type="pct"/>
            <w:vMerge w:val="continue"/>
            <w:noWrap w:val="0"/>
            <w:vAlign w:val="center"/>
          </w:tcPr>
          <w:p>
            <w:pPr>
              <w:jc w:val="center"/>
              <w:rPr>
                <w:rFonts w:hint="eastAsia" w:ascii="宋体" w:hAnsi="宋体" w:cs="宋体"/>
                <w:color w:val="000000"/>
                <w:sz w:val="21"/>
                <w:szCs w:val="18"/>
              </w:rPr>
            </w:pPr>
          </w:p>
        </w:tc>
        <w:tc>
          <w:tcPr>
            <w:tcW w:w="331" w:type="pct"/>
            <w:noWrap w:val="0"/>
            <w:vAlign w:val="center"/>
          </w:tcPr>
          <w:p>
            <w:pPr>
              <w:jc w:val="center"/>
              <w:rPr>
                <w:rFonts w:hint="eastAsia" w:ascii="宋体" w:hAnsi="宋体" w:cs="宋体"/>
                <w:color w:val="000000"/>
                <w:sz w:val="21"/>
                <w:szCs w:val="18"/>
              </w:rPr>
            </w:pPr>
          </w:p>
        </w:tc>
        <w:tc>
          <w:tcPr>
            <w:tcW w:w="1220" w:type="pct"/>
            <w:noWrap w:val="0"/>
            <w:vAlign w:val="center"/>
          </w:tcPr>
          <w:p>
            <w:pPr>
              <w:jc w:val="center"/>
              <w:rPr>
                <w:rFonts w:hint="eastAsia" w:ascii="宋体" w:hAnsi="宋体" w:cs="宋体"/>
                <w:color w:val="000000"/>
                <w:sz w:val="21"/>
                <w:szCs w:val="18"/>
              </w:rPr>
            </w:pPr>
          </w:p>
        </w:tc>
        <w:tc>
          <w:tcPr>
            <w:tcW w:w="445" w:type="pct"/>
            <w:noWrap w:val="0"/>
            <w:vAlign w:val="center"/>
          </w:tcPr>
          <w:p>
            <w:pPr>
              <w:jc w:val="center"/>
              <w:rPr>
                <w:rFonts w:hint="eastAsia" w:ascii="宋体" w:hAnsi="宋体" w:cs="宋体"/>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000000"/>
                <w:sz w:val="21"/>
                <w:szCs w:val="18"/>
              </w:rPr>
            </w:pPr>
          </w:p>
        </w:tc>
        <w:tc>
          <w:tcPr>
            <w:tcW w:w="4784" w:type="pct"/>
            <w:gridSpan w:val="10"/>
            <w:noWrap w:val="0"/>
            <w:vAlign w:val="center"/>
          </w:tcPr>
          <w:p>
            <w:pPr>
              <w:rPr>
                <w:rFonts w:hint="eastAsia" w:ascii="宋体" w:hAnsi="宋体" w:cs="宋体"/>
                <w:color w:val="000000"/>
                <w:sz w:val="21"/>
                <w:szCs w:val="18"/>
              </w:rPr>
            </w:pPr>
            <w:r>
              <w:rPr>
                <w:rFonts w:hint="eastAsia" w:ascii="宋体" w:hAnsi="宋体" w:cs="宋体"/>
                <w:color w:val="000000"/>
                <w:sz w:val="21"/>
                <w:szCs w:val="18"/>
              </w:rPr>
              <w:t>预估设备全生命周期所消耗耗材       万元（全生命周期按五年测算）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5" w:type="pct"/>
            <w:noWrap w:val="0"/>
            <w:vAlign w:val="center"/>
          </w:tcPr>
          <w:p>
            <w:pPr>
              <w:rPr>
                <w:rFonts w:hint="eastAsia" w:ascii="宋体" w:hAnsi="宋体" w:cs="宋体"/>
                <w:color w:val="000000"/>
                <w:sz w:val="21"/>
                <w:szCs w:val="18"/>
              </w:rPr>
            </w:pPr>
          </w:p>
        </w:tc>
        <w:tc>
          <w:tcPr>
            <w:tcW w:w="4784" w:type="pct"/>
            <w:gridSpan w:val="10"/>
            <w:noWrap w:val="0"/>
            <w:vAlign w:val="center"/>
          </w:tcPr>
          <w:p>
            <w:pPr>
              <w:rPr>
                <w:rFonts w:hint="eastAsia" w:ascii="宋体" w:hAnsi="宋体" w:cs="宋体"/>
                <w:color w:val="000000"/>
                <w:sz w:val="21"/>
                <w:szCs w:val="18"/>
                <w:lang w:eastAsia="zh-CN"/>
              </w:rPr>
            </w:pPr>
            <w:r>
              <w:rPr>
                <w:rFonts w:hint="eastAsia" w:ascii="宋体" w:hAnsi="宋体" w:cs="宋体"/>
                <w:color w:val="000000"/>
                <w:sz w:val="21"/>
                <w:szCs w:val="18"/>
              </w:rPr>
              <w:t>投标人须按表格完整填写内容。“耗材名称”和“最小计量单位市场单价（元）”由采购人填写，其余由投标人填写，投标人填写内容除须对应采购人所列明的外,若设备在投入使用中还需其他试剂的，投标人也应补充填写完整，如未填写或填写不完整相关评分项不得分。“报价（元）”不得高于本表格的“市场单价（元）”，否则作投标无效处理。</w:t>
            </w:r>
            <w:r>
              <w:rPr>
                <w:rFonts w:hint="eastAsia" w:ascii="宋体" w:hAnsi="宋体" w:cs="宋体"/>
                <w:color w:val="000000"/>
                <w:sz w:val="21"/>
                <w:szCs w:val="18"/>
                <w:lang w:eastAsia="zh-CN"/>
              </w:rPr>
              <w:t>（</w:t>
            </w:r>
            <w:r>
              <w:rPr>
                <w:rFonts w:hint="eastAsia" w:ascii="宋体" w:hAnsi="宋体" w:cs="宋体"/>
                <w:color w:val="000000"/>
                <w:sz w:val="21"/>
                <w:szCs w:val="18"/>
                <w:lang w:val="en-US" w:eastAsia="zh-CN"/>
              </w:rPr>
              <w:t xml:space="preserve"> 若投标产品涉及所需医用耗材类产品，也需放入对应《医疗器械备案凭证》</w:t>
            </w:r>
            <w:r>
              <w:rPr>
                <w:rFonts w:hint="eastAsia" w:ascii="宋体" w:hAnsi="宋体" w:cs="宋体"/>
                <w:color w:val="000000"/>
                <w:sz w:val="21"/>
                <w:szCs w:val="18"/>
                <w:lang w:eastAsia="zh-CN"/>
              </w:rPr>
              <w:t>）</w:t>
            </w:r>
          </w:p>
          <w:p>
            <w:pPr>
              <w:rPr>
                <w:rFonts w:hint="eastAsia" w:ascii="宋体" w:hAnsi="宋体" w:cs="宋体"/>
                <w:color w:val="000000"/>
                <w:sz w:val="21"/>
                <w:szCs w:val="18"/>
              </w:rPr>
            </w:pPr>
          </w:p>
        </w:tc>
      </w:tr>
    </w:tbl>
    <w:p>
      <w:pPr>
        <w:ind w:firstLine="422" w:firstLineChars="200"/>
        <w:rPr>
          <w:rFonts w:hint="eastAsia" w:asciiTheme="minorEastAsia" w:hAnsiTheme="minorEastAsia" w:eastAsiaTheme="minorEastAsia" w:cstheme="minorEastAsia"/>
          <w:b/>
          <w:color w:val="FF0000"/>
          <w:sz w:val="21"/>
          <w:szCs w:val="21"/>
        </w:rPr>
      </w:pPr>
    </w:p>
    <w:p>
      <w:pPr>
        <w:ind w:firstLine="422" w:firstLineChars="200"/>
        <w:rPr>
          <w:rFonts w:hint="eastAsia" w:asciiTheme="minorEastAsia" w:hAnsiTheme="minorEastAsia" w:eastAsiaTheme="minorEastAsia" w:cstheme="minorEastAsia"/>
          <w:b/>
          <w:color w:val="FF0000"/>
          <w:sz w:val="21"/>
          <w:szCs w:val="21"/>
        </w:rPr>
      </w:pPr>
    </w:p>
    <w:p>
      <w:pPr>
        <w:ind w:firstLine="422" w:firstLineChars="200"/>
        <w:rPr>
          <w:rFonts w:hint="eastAsia" w:asciiTheme="minorEastAsia" w:hAnsiTheme="minorEastAsia" w:eastAsiaTheme="minorEastAsia" w:cstheme="minorEastAsia"/>
          <w:b/>
          <w:color w:val="FF0000"/>
          <w:sz w:val="21"/>
          <w:szCs w:val="21"/>
        </w:rPr>
      </w:pPr>
    </w:p>
    <w:p>
      <w:pPr>
        <w:pStyle w:val="8"/>
        <w:ind w:firstLine="0" w:firstLineChars="0"/>
        <w:rPr>
          <w:rFonts w:hint="eastAsia" w:asciiTheme="minorEastAsia" w:hAnsiTheme="minorEastAsia" w:eastAsiaTheme="minorEastAsia" w:cstheme="minorEastAsia"/>
          <w:sz w:val="21"/>
          <w:szCs w:val="21"/>
        </w:rPr>
      </w:pPr>
    </w:p>
    <w:p>
      <w:pPr>
        <w:spacing w:line="420" w:lineRule="exact"/>
        <w:outlineLvl w:val="3"/>
        <w:rPr>
          <w:rFonts w:hint="eastAsia" w:asciiTheme="minorEastAsia" w:hAnsiTheme="minorEastAsia" w:cstheme="minorEastAsia"/>
          <w:b/>
          <w:sz w:val="21"/>
          <w:szCs w:val="21"/>
          <w:lang w:val="en-US" w:eastAsia="zh-CN"/>
        </w:rPr>
      </w:pPr>
      <w:bookmarkStart w:id="23" w:name="_Toc45995263"/>
      <w:bookmarkStart w:id="24" w:name="_Toc36971355"/>
      <w:bookmarkStart w:id="25" w:name="_Toc7167"/>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p>
      <w:pPr>
        <w:spacing w:line="420" w:lineRule="exact"/>
        <w:outlineLvl w:val="3"/>
        <w:rPr>
          <w:rFonts w:hint="eastAsia" w:asciiTheme="minorEastAsia" w:hAnsiTheme="minorEastAsia" w:cstheme="minorEastAsia"/>
          <w:b/>
          <w:sz w:val="21"/>
          <w:szCs w:val="21"/>
          <w:lang w:val="en-US" w:eastAsia="zh-CN"/>
        </w:rPr>
      </w:pPr>
    </w:p>
    <w:bookmarkEnd w:id="23"/>
    <w:bookmarkEnd w:id="24"/>
    <w:p>
      <w:pPr>
        <w:numPr>
          <w:ilvl w:val="-1"/>
          <w:numId w:val="0"/>
        </w:numPr>
        <w:spacing w:line="240" w:lineRule="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numPr>
          <w:ilvl w:val="0"/>
          <w:numId w:val="0"/>
        </w:numPr>
        <w:spacing w:line="420" w:lineRule="exact"/>
        <w:outlineLvl w:val="3"/>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lang w:val="en-US" w:eastAsia="zh-CN"/>
        </w:rPr>
        <w:t>技术要求偏离表</w:t>
      </w:r>
      <w:bookmarkEnd w:id="25"/>
    </w:p>
    <w:p>
      <w:pPr>
        <w:pStyle w:val="2"/>
        <w:rPr>
          <w:rFonts w:hint="eastAsia"/>
          <w:lang w:val="en-US" w:eastAsia="zh-CN"/>
        </w:rPr>
      </w:pP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935"/>
        <w:gridCol w:w="3245"/>
        <w:gridCol w:w="2202"/>
        <w:gridCol w:w="93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2" w:type="pct"/>
            <w:vAlign w:val="center"/>
          </w:tcPr>
          <w:p>
            <w:pPr>
              <w:jc w:val="center"/>
              <w:rPr>
                <w:rFonts w:hint="eastAsia" w:ascii="宋体" w:hAnsi="宋体" w:cs="宋体" w:eastAsiaTheme="minorEastAsia"/>
                <w:b/>
                <w:bCs/>
                <w:kern w:val="0"/>
                <w:szCs w:val="21"/>
                <w:lang w:eastAsia="zh-CN"/>
              </w:rPr>
            </w:pPr>
            <w:r>
              <w:rPr>
                <w:rFonts w:hint="eastAsia" w:ascii="宋体" w:hAnsi="宋体" w:cs="宋体"/>
                <w:b/>
                <w:bCs/>
                <w:kern w:val="0"/>
                <w:szCs w:val="21"/>
                <w:lang w:val="en-US" w:eastAsia="zh-CN"/>
              </w:rPr>
              <w:t>序号</w:t>
            </w:r>
          </w:p>
        </w:tc>
        <w:tc>
          <w:tcPr>
            <w:tcW w:w="516" w:type="pct"/>
            <w:vAlign w:val="center"/>
          </w:tcPr>
          <w:p>
            <w:pPr>
              <w:jc w:val="center"/>
              <w:rPr>
                <w:rFonts w:hint="default" w:ascii="宋体" w:hAnsi="宋体" w:cs="宋体" w:eastAsiaTheme="minorEastAsia"/>
                <w:b/>
                <w:bCs/>
                <w:kern w:val="0"/>
                <w:szCs w:val="21"/>
                <w:lang w:val="en-US" w:eastAsia="zh-CN"/>
              </w:rPr>
            </w:pPr>
            <w:r>
              <w:rPr>
                <w:rFonts w:hint="eastAsia" w:ascii="宋体" w:hAnsi="宋体" w:cs="宋体"/>
                <w:b/>
                <w:bCs/>
                <w:kern w:val="0"/>
                <w:szCs w:val="21"/>
                <w:lang w:val="en-US" w:eastAsia="zh-CN"/>
              </w:rPr>
              <w:t>货物名称</w:t>
            </w:r>
          </w:p>
        </w:tc>
        <w:tc>
          <w:tcPr>
            <w:tcW w:w="1791" w:type="pct"/>
            <w:vAlign w:val="center"/>
          </w:tcPr>
          <w:p>
            <w:pPr>
              <w:jc w:val="center"/>
              <w:rPr>
                <w:rFonts w:hint="eastAsia" w:ascii="宋体" w:hAnsi="宋体" w:cs="宋体"/>
                <w:b/>
                <w:bCs/>
                <w:kern w:val="0"/>
                <w:szCs w:val="21"/>
              </w:rPr>
            </w:pPr>
            <w:r>
              <w:rPr>
                <w:rFonts w:hint="eastAsia" w:ascii="宋体" w:hAnsi="宋体" w:cs="宋体"/>
                <w:b/>
                <w:bCs/>
                <w:kern w:val="0"/>
                <w:szCs w:val="21"/>
              </w:rPr>
              <w:t>招标技术要求</w:t>
            </w:r>
          </w:p>
        </w:tc>
        <w:tc>
          <w:tcPr>
            <w:tcW w:w="1215" w:type="pct"/>
            <w:vAlign w:val="center"/>
          </w:tcPr>
          <w:p>
            <w:pPr>
              <w:jc w:val="center"/>
              <w:rPr>
                <w:rFonts w:ascii="宋体" w:hAnsi="宋体" w:cs="宋体"/>
                <w:b/>
                <w:szCs w:val="21"/>
              </w:rPr>
            </w:pPr>
            <w:r>
              <w:rPr>
                <w:rFonts w:hint="eastAsia" w:ascii="宋体" w:hAnsi="宋体" w:cs="宋体"/>
                <w:b/>
                <w:szCs w:val="21"/>
              </w:rPr>
              <w:t>投标响应</w:t>
            </w:r>
          </w:p>
          <w:p>
            <w:pPr>
              <w:jc w:val="center"/>
              <w:rPr>
                <w:rFonts w:ascii="宋体" w:hAnsi="宋体" w:cs="宋体"/>
                <w:b/>
                <w:szCs w:val="21"/>
              </w:rPr>
            </w:pPr>
            <w:r>
              <w:rPr>
                <w:rFonts w:hint="eastAsia" w:ascii="宋体" w:hAnsi="宋体" w:cs="宋体"/>
                <w:b/>
                <w:szCs w:val="21"/>
              </w:rPr>
              <w:t>（</w:t>
            </w:r>
            <w:r>
              <w:rPr>
                <w:rFonts w:hint="eastAsia" w:ascii="宋体" w:hAnsi="宋体" w:cs="宋体"/>
                <w:b/>
                <w:bCs/>
                <w:kern w:val="0"/>
                <w:szCs w:val="21"/>
              </w:rPr>
              <w:t>投标人根据实际情况在此列进行响应</w:t>
            </w:r>
            <w:r>
              <w:rPr>
                <w:rFonts w:hint="eastAsia" w:ascii="宋体" w:hAnsi="宋体" w:cs="宋体"/>
                <w:b/>
                <w:szCs w:val="21"/>
              </w:rPr>
              <w:t>）</w:t>
            </w:r>
          </w:p>
        </w:tc>
        <w:tc>
          <w:tcPr>
            <w:tcW w:w="518" w:type="pct"/>
            <w:vAlign w:val="center"/>
          </w:tcPr>
          <w:p>
            <w:pPr>
              <w:jc w:val="center"/>
              <w:rPr>
                <w:rFonts w:ascii="宋体" w:hAnsi="宋体" w:cs="宋体"/>
                <w:b/>
                <w:szCs w:val="21"/>
              </w:rPr>
            </w:pPr>
            <w:r>
              <w:rPr>
                <w:rFonts w:hint="eastAsia" w:ascii="宋体" w:hAnsi="宋体" w:cs="宋体"/>
                <w:b/>
                <w:szCs w:val="21"/>
              </w:rPr>
              <w:t>偏离情况</w:t>
            </w:r>
          </w:p>
          <w:p>
            <w:pPr>
              <w:jc w:val="center"/>
              <w:rPr>
                <w:rFonts w:ascii="宋体" w:hAnsi="宋体" w:cs="宋体"/>
                <w:b/>
                <w:szCs w:val="21"/>
              </w:rPr>
            </w:pPr>
            <w:r>
              <w:rPr>
                <w:rFonts w:hint="eastAsia" w:ascii="宋体" w:hAnsi="宋体" w:cs="宋体"/>
                <w:b/>
                <w:szCs w:val="21"/>
              </w:rPr>
              <w:t>（</w:t>
            </w:r>
            <w:r>
              <w:rPr>
                <w:rFonts w:hint="eastAsia" w:ascii="宋体" w:hAnsi="宋体" w:cs="宋体"/>
                <w:b/>
                <w:bCs/>
                <w:kern w:val="0"/>
                <w:szCs w:val="21"/>
              </w:rPr>
              <w:t>填“正偏离”或“无偏离”或“负偏离”</w:t>
            </w:r>
            <w:r>
              <w:rPr>
                <w:rFonts w:hint="eastAsia" w:ascii="宋体" w:hAnsi="宋体" w:cs="宋体"/>
                <w:b/>
                <w:szCs w:val="21"/>
              </w:rPr>
              <w:t>）</w:t>
            </w:r>
          </w:p>
        </w:tc>
        <w:tc>
          <w:tcPr>
            <w:tcW w:w="596" w:type="pct"/>
            <w:vAlign w:val="center"/>
          </w:tcPr>
          <w:p>
            <w:pPr>
              <w:jc w:val="center"/>
              <w:rPr>
                <w:rFonts w:hint="eastAsia" w:ascii="宋体" w:hAnsi="宋体" w:cs="宋体" w:eastAsiaTheme="minorEastAsia"/>
                <w:b/>
                <w:szCs w:val="21"/>
                <w:lang w:eastAsia="zh-CN"/>
              </w:rPr>
            </w:pPr>
            <w:r>
              <w:rPr>
                <w:rFonts w:hint="eastAsia" w:ascii="宋体" w:hAnsi="宋体" w:cs="宋体"/>
                <w:b/>
                <w:szCs w:val="21"/>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Align w:val="center"/>
          </w:tcPr>
          <w:p>
            <w:pPr>
              <w:jc w:val="center"/>
              <w:rPr>
                <w:rFonts w:hint="eastAsia" w:ascii="宋体" w:hAnsi="宋体" w:cs="宋体" w:eastAsiaTheme="minorEastAsia"/>
                <w:b/>
                <w:bCs/>
                <w:kern w:val="0"/>
                <w:szCs w:val="21"/>
                <w:lang w:val="en-US" w:eastAsia="zh-CN"/>
              </w:rPr>
            </w:pPr>
            <w:r>
              <w:rPr>
                <w:rFonts w:hint="eastAsia" w:ascii="宋体" w:hAnsi="宋体" w:cs="宋体"/>
                <w:b/>
                <w:bCs/>
                <w:kern w:val="0"/>
                <w:szCs w:val="21"/>
                <w:lang w:val="en-US" w:eastAsia="zh-CN"/>
              </w:rPr>
              <w:t>1</w:t>
            </w:r>
          </w:p>
        </w:tc>
        <w:tc>
          <w:tcPr>
            <w:tcW w:w="516" w:type="pct"/>
            <w:vMerge w:val="restart"/>
            <w:vAlign w:val="center"/>
          </w:tcPr>
          <w:p>
            <w:pPr>
              <w:pStyle w:val="33"/>
              <w:keepNext w:val="0"/>
              <w:keepLines w:val="0"/>
              <w:pageBreakBefore w:val="0"/>
              <w:overflowPunct/>
              <w:topLinePunct w:val="0"/>
              <w:bidi w:val="0"/>
              <w:spacing w:before="0" w:after="0" w:line="240" w:lineRule="auto"/>
              <w:ind w:firstLine="0" w:firstLineChars="0"/>
              <w:rPr>
                <w:rFonts w:hint="eastAsia" w:ascii="宋体" w:hAnsi="宋体" w:eastAsia="宋体" w:cs="宋体"/>
                <w:kern w:val="0"/>
                <w:sz w:val="21"/>
                <w:szCs w:val="21"/>
              </w:rPr>
            </w:pPr>
          </w:p>
        </w:tc>
        <w:tc>
          <w:tcPr>
            <w:tcW w:w="1791"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 xml:space="preserve">▲1、主机尺寸：≤17.7cm </w:t>
            </w:r>
            <w:r>
              <w:rPr>
                <w:rFonts w:hint="default" w:ascii="Arial" w:hAnsi="Arial" w:cs="Arial"/>
                <w:i w:val="0"/>
                <w:iCs w:val="0"/>
                <w:color w:val="000000"/>
                <w:sz w:val="24"/>
                <w:szCs w:val="24"/>
                <w:u w:val="none"/>
                <w:lang w:val="en-US" w:eastAsia="zh-CN"/>
              </w:rPr>
              <w:t>×</w:t>
            </w:r>
            <w:r>
              <w:rPr>
                <w:rFonts w:hint="eastAsia" w:asciiTheme="minorEastAsia" w:hAnsiTheme="minorEastAsia" w:cstheme="minorEastAsia"/>
                <w:i w:val="0"/>
                <w:iCs w:val="0"/>
                <w:color w:val="000000"/>
                <w:sz w:val="24"/>
                <w:szCs w:val="24"/>
                <w:u w:val="none"/>
                <w:lang w:val="en-US" w:eastAsia="zh-CN"/>
              </w:rPr>
              <w:t>7.6cm</w:t>
            </w:r>
            <w:r>
              <w:rPr>
                <w:rFonts w:hint="default" w:ascii="Arial" w:hAnsi="Arial" w:cs="Arial"/>
                <w:i w:val="0"/>
                <w:iCs w:val="0"/>
                <w:color w:val="000000"/>
                <w:sz w:val="24"/>
                <w:szCs w:val="24"/>
                <w:u w:val="none"/>
                <w:lang w:val="en-US" w:eastAsia="zh-CN"/>
              </w:rPr>
              <w:t>×</w:t>
            </w:r>
            <w:r>
              <w:rPr>
                <w:rFonts w:hint="eastAsia" w:asciiTheme="minorEastAsia" w:hAnsiTheme="minorEastAsia" w:cstheme="minorEastAsia"/>
                <w:i w:val="0"/>
                <w:iCs w:val="0"/>
                <w:color w:val="000000"/>
                <w:sz w:val="24"/>
                <w:szCs w:val="24"/>
                <w:u w:val="none"/>
                <w:lang w:val="en-US" w:eastAsia="zh-CN"/>
              </w:rPr>
              <w:t>2.6cm，可单手手持操作，也可台式操作，防水设计，外部采用≥5英寸电容式防碎触摸屏，戴手套或使用触控笔也可工作。</w:t>
            </w:r>
            <w:r>
              <w:rPr>
                <w:rFonts w:hint="eastAsia" w:asciiTheme="minorEastAsia" w:hAnsiTheme="minorEastAsia" w:cstheme="minorEastAsia"/>
                <w:i w:val="0"/>
                <w:iCs w:val="0"/>
                <w:color w:val="0000FF"/>
                <w:sz w:val="24"/>
                <w:szCs w:val="24"/>
                <w:u w:val="none"/>
                <w:lang w:val="en-US" w:eastAsia="zh-CN"/>
              </w:rPr>
              <w:t>（投标文件中须提供公开正式的产品彩页或产品说明书关键页中标注相应参数，未按要求标注的，评委可按负偏离处理）</w:t>
            </w:r>
          </w:p>
        </w:tc>
        <w:tc>
          <w:tcPr>
            <w:tcW w:w="1215" w:type="pct"/>
            <w:vAlign w:val="center"/>
          </w:tcPr>
          <w:p>
            <w:pPr>
              <w:spacing w:line="300" w:lineRule="exact"/>
              <w:jc w:val="center"/>
              <w:rPr>
                <w:rFonts w:ascii="宋体" w:hAnsi="宋体" w:cs="宋体"/>
                <w:b/>
                <w:bCs/>
                <w:kern w:val="0"/>
                <w:sz w:val="22"/>
              </w:rPr>
            </w:pPr>
          </w:p>
        </w:tc>
        <w:tc>
          <w:tcPr>
            <w:tcW w:w="518" w:type="pct"/>
            <w:vAlign w:val="center"/>
          </w:tcPr>
          <w:p>
            <w:pPr>
              <w:spacing w:line="300" w:lineRule="exact"/>
              <w:jc w:val="center"/>
              <w:rPr>
                <w:rFonts w:ascii="宋体" w:hAnsi="宋体" w:cs="宋体"/>
                <w:b/>
                <w:bCs/>
                <w:kern w:val="0"/>
                <w:sz w:val="22"/>
              </w:rPr>
            </w:pPr>
          </w:p>
        </w:tc>
        <w:tc>
          <w:tcPr>
            <w:tcW w:w="596"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Align w:val="center"/>
          </w:tcPr>
          <w:p>
            <w:pPr>
              <w:jc w:val="center"/>
              <w:rPr>
                <w:rFonts w:hint="eastAsia" w:ascii="宋体" w:hAnsi="宋体" w:cs="宋体" w:eastAsiaTheme="minorEastAsia"/>
                <w:b/>
                <w:bCs/>
                <w:kern w:val="0"/>
                <w:szCs w:val="21"/>
                <w:lang w:val="en-US" w:eastAsia="zh-CN"/>
              </w:rPr>
            </w:pPr>
            <w:r>
              <w:rPr>
                <w:rFonts w:hint="eastAsia" w:ascii="宋体" w:hAnsi="宋体" w:cs="宋体"/>
                <w:b/>
                <w:bCs/>
                <w:kern w:val="0"/>
                <w:szCs w:val="21"/>
                <w:lang w:val="en-US" w:eastAsia="zh-CN"/>
              </w:rPr>
              <w:t>2</w:t>
            </w:r>
          </w:p>
        </w:tc>
        <w:tc>
          <w:tcPr>
            <w:tcW w:w="516"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791" w:type="pct"/>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▲2、检测灵敏度：设备与配套超灵敏检测拭子精确度</w:t>
            </w:r>
            <w:r>
              <w:rPr>
                <w:rFonts w:hint="eastAsia" w:asciiTheme="minorEastAsia" w:hAnsiTheme="minorEastAsia" w:cstheme="minorEastAsia"/>
                <w:b/>
                <w:bCs/>
                <w:i w:val="0"/>
                <w:iCs w:val="0"/>
                <w:color w:val="000000"/>
                <w:sz w:val="24"/>
                <w:szCs w:val="24"/>
                <w:u w:val="none"/>
                <w:lang w:val="en-US" w:eastAsia="zh-CN"/>
              </w:rPr>
              <w:t>高于（含）</w:t>
            </w:r>
            <w:r>
              <w:rPr>
                <w:rFonts w:hint="eastAsia" w:asciiTheme="minorEastAsia" w:hAnsiTheme="minorEastAsia" w:cstheme="minorEastAsia"/>
                <w:i w:val="0"/>
                <w:iCs w:val="0"/>
                <w:color w:val="000000"/>
                <w:sz w:val="28"/>
                <w:szCs w:val="28"/>
                <w:u w:val="none"/>
                <w:lang w:val="en-US" w:eastAsia="zh-CN"/>
              </w:rPr>
              <w:t>1</w:t>
            </w:r>
            <w:r>
              <w:rPr>
                <w:rFonts w:hint="default" w:ascii="Arial" w:hAnsi="Arial" w:cs="Arial"/>
                <w:i w:val="0"/>
                <w:iCs w:val="0"/>
                <w:color w:val="000000"/>
                <w:sz w:val="28"/>
                <w:szCs w:val="28"/>
                <w:u w:val="none"/>
                <w:lang w:val="en-US" w:eastAsia="zh-CN"/>
              </w:rPr>
              <w:t>×</w:t>
            </w:r>
            <w:r>
              <w:rPr>
                <w:rFonts w:hint="eastAsia" w:asciiTheme="minorEastAsia" w:hAnsiTheme="minorEastAsia" w:cstheme="minorEastAsia"/>
                <w:i w:val="0"/>
                <w:iCs w:val="0"/>
                <w:color w:val="000000"/>
                <w:sz w:val="28"/>
                <w:szCs w:val="28"/>
                <w:u w:val="none"/>
                <w:lang w:val="en-US" w:eastAsia="zh-CN"/>
              </w:rPr>
              <w:t>10</w:t>
            </w:r>
            <w:r>
              <w:rPr>
                <w:rFonts w:hint="eastAsia" w:asciiTheme="minorEastAsia" w:hAnsiTheme="minorEastAsia" w:cstheme="minorEastAsia"/>
                <w:i w:val="0"/>
                <w:iCs w:val="0"/>
                <w:color w:val="000000"/>
                <w:sz w:val="28"/>
                <w:szCs w:val="28"/>
                <w:u w:val="none"/>
                <w:vertAlign w:val="superscript"/>
                <w:lang w:val="en-US" w:eastAsia="zh-CN"/>
              </w:rPr>
              <w:t>-16</w:t>
            </w:r>
            <w:r>
              <w:rPr>
                <w:rFonts w:hint="eastAsia" w:asciiTheme="minorEastAsia" w:hAnsiTheme="minorEastAsia" w:cstheme="minorEastAsia"/>
                <w:i w:val="0"/>
                <w:iCs w:val="0"/>
                <w:color w:val="000000"/>
                <w:sz w:val="24"/>
                <w:szCs w:val="24"/>
                <w:u w:val="none"/>
                <w:lang w:val="en-US" w:eastAsia="zh-CN"/>
              </w:rPr>
              <w:t>mol。</w:t>
            </w:r>
          </w:p>
        </w:tc>
        <w:tc>
          <w:tcPr>
            <w:tcW w:w="1215" w:type="pct"/>
            <w:vAlign w:val="center"/>
          </w:tcPr>
          <w:p>
            <w:pPr>
              <w:spacing w:line="300" w:lineRule="exact"/>
              <w:jc w:val="center"/>
              <w:rPr>
                <w:rFonts w:ascii="宋体" w:hAnsi="宋体" w:cs="宋体"/>
                <w:b/>
                <w:bCs/>
                <w:kern w:val="0"/>
                <w:sz w:val="22"/>
              </w:rPr>
            </w:pPr>
          </w:p>
        </w:tc>
        <w:tc>
          <w:tcPr>
            <w:tcW w:w="518" w:type="pct"/>
            <w:vAlign w:val="center"/>
          </w:tcPr>
          <w:p>
            <w:pPr>
              <w:spacing w:line="300" w:lineRule="exact"/>
              <w:jc w:val="center"/>
              <w:rPr>
                <w:rFonts w:ascii="宋体" w:hAnsi="宋体" w:cs="宋体"/>
                <w:b/>
                <w:bCs/>
                <w:kern w:val="0"/>
                <w:sz w:val="22"/>
              </w:rPr>
            </w:pPr>
          </w:p>
        </w:tc>
        <w:tc>
          <w:tcPr>
            <w:tcW w:w="596"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Align w:val="center"/>
          </w:tcPr>
          <w:p>
            <w:pPr>
              <w:widowControl/>
              <w:jc w:val="center"/>
              <w:rPr>
                <w:rFonts w:hint="eastAsia" w:ascii="宋体" w:hAnsi="宋体" w:cs="宋体" w:eastAsiaTheme="minorEastAsia"/>
                <w:b/>
                <w:bCs/>
                <w:kern w:val="0"/>
                <w:sz w:val="22"/>
                <w:lang w:val="en-US" w:eastAsia="zh-CN"/>
              </w:rPr>
            </w:pPr>
            <w:r>
              <w:rPr>
                <w:rFonts w:hint="eastAsia" w:ascii="宋体" w:hAnsi="宋体" w:cs="宋体"/>
                <w:b/>
                <w:bCs/>
                <w:kern w:val="0"/>
                <w:sz w:val="22"/>
                <w:lang w:val="en-US" w:eastAsia="zh-CN"/>
              </w:rPr>
              <w:t>3</w:t>
            </w:r>
          </w:p>
        </w:tc>
        <w:tc>
          <w:tcPr>
            <w:tcW w:w="516"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791"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3、检测精度：1RLU，检测范围：0-999999 RLUs。</w:t>
            </w:r>
            <w:r>
              <w:rPr>
                <w:rFonts w:hint="eastAsia" w:asciiTheme="minorEastAsia" w:hAnsiTheme="minorEastAsia" w:cstheme="minorEastAsia"/>
                <w:i w:val="0"/>
                <w:iCs w:val="0"/>
                <w:color w:val="0000FF"/>
                <w:sz w:val="24"/>
                <w:szCs w:val="24"/>
                <w:u w:val="none"/>
                <w:lang w:val="en-US" w:eastAsia="zh-CN"/>
              </w:rPr>
              <w:t>（投标文件中须提供公开正式的产品彩页或产品说明书关键页中标注相应参数，未按要求标注的，评委可按负偏离处理）</w:t>
            </w:r>
          </w:p>
        </w:tc>
        <w:tc>
          <w:tcPr>
            <w:tcW w:w="1215" w:type="pct"/>
            <w:vAlign w:val="center"/>
          </w:tcPr>
          <w:p>
            <w:pPr>
              <w:spacing w:line="300" w:lineRule="exact"/>
              <w:jc w:val="center"/>
              <w:rPr>
                <w:rFonts w:ascii="宋体" w:hAnsi="宋体" w:cs="宋体"/>
                <w:b/>
                <w:bCs/>
                <w:kern w:val="0"/>
                <w:sz w:val="22"/>
              </w:rPr>
            </w:pPr>
          </w:p>
        </w:tc>
        <w:tc>
          <w:tcPr>
            <w:tcW w:w="518" w:type="pct"/>
            <w:vAlign w:val="center"/>
          </w:tcPr>
          <w:p>
            <w:pPr>
              <w:spacing w:line="300" w:lineRule="exact"/>
              <w:jc w:val="center"/>
              <w:rPr>
                <w:rFonts w:ascii="宋体" w:hAnsi="宋体" w:cs="宋体"/>
                <w:b/>
                <w:bCs/>
                <w:kern w:val="0"/>
                <w:sz w:val="22"/>
              </w:rPr>
            </w:pPr>
          </w:p>
        </w:tc>
        <w:tc>
          <w:tcPr>
            <w:tcW w:w="596"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Align w:val="center"/>
          </w:tcPr>
          <w:p>
            <w:pPr>
              <w:widowControl/>
              <w:jc w:val="center"/>
              <w:rPr>
                <w:rFonts w:hint="eastAsia" w:ascii="宋体" w:hAnsi="宋体" w:cs="宋体" w:eastAsiaTheme="minorEastAsia"/>
                <w:b/>
                <w:bCs/>
                <w:kern w:val="0"/>
                <w:sz w:val="22"/>
                <w:lang w:val="en-US" w:eastAsia="zh-CN"/>
              </w:rPr>
            </w:pPr>
            <w:r>
              <w:rPr>
                <w:rFonts w:hint="eastAsia" w:ascii="宋体" w:hAnsi="宋体" w:cs="宋体"/>
                <w:b/>
                <w:bCs/>
                <w:kern w:val="0"/>
                <w:sz w:val="22"/>
                <w:lang w:val="en-US" w:eastAsia="zh-CN"/>
              </w:rPr>
              <w:t>4</w:t>
            </w:r>
          </w:p>
        </w:tc>
        <w:tc>
          <w:tcPr>
            <w:tcW w:w="516" w:type="pct"/>
            <w:vMerge w:val="continue"/>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791"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▲4、校准：开机15秒自动校准，出厂时已经校准并预设校准提醒，以保持始终符合GMP/ISO标准，无需每年定期进行校准，当提示需要校准时可选配阴阳性校准棒自行校准。</w:t>
            </w:r>
            <w:r>
              <w:rPr>
                <w:rFonts w:hint="eastAsia" w:asciiTheme="minorEastAsia" w:hAnsiTheme="minorEastAsia" w:cstheme="minorEastAsia"/>
                <w:i w:val="0"/>
                <w:iCs w:val="0"/>
                <w:color w:val="0000FF"/>
                <w:sz w:val="24"/>
                <w:szCs w:val="24"/>
                <w:u w:val="none"/>
                <w:lang w:val="en-US" w:eastAsia="zh-CN"/>
              </w:rPr>
              <w:t>（投标文件中须提供公开正式的产品彩页或产品说明书关键页中标注相应参数，未按要求标注的，评委可按负偏离处理）</w:t>
            </w:r>
          </w:p>
        </w:tc>
        <w:tc>
          <w:tcPr>
            <w:tcW w:w="1215" w:type="pct"/>
            <w:vAlign w:val="center"/>
          </w:tcPr>
          <w:p>
            <w:pPr>
              <w:spacing w:line="300" w:lineRule="exact"/>
              <w:jc w:val="center"/>
              <w:rPr>
                <w:rFonts w:ascii="宋体" w:hAnsi="宋体" w:cs="宋体"/>
                <w:b/>
                <w:bCs/>
                <w:kern w:val="0"/>
                <w:sz w:val="22"/>
              </w:rPr>
            </w:pPr>
          </w:p>
        </w:tc>
        <w:tc>
          <w:tcPr>
            <w:tcW w:w="518" w:type="pct"/>
            <w:vAlign w:val="center"/>
          </w:tcPr>
          <w:p>
            <w:pPr>
              <w:spacing w:line="300" w:lineRule="exact"/>
              <w:jc w:val="center"/>
              <w:rPr>
                <w:rFonts w:ascii="宋体" w:hAnsi="宋体" w:cs="宋体"/>
                <w:b/>
                <w:bCs/>
                <w:kern w:val="0"/>
                <w:sz w:val="22"/>
              </w:rPr>
            </w:pPr>
          </w:p>
        </w:tc>
        <w:tc>
          <w:tcPr>
            <w:tcW w:w="596"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Align w:val="center"/>
          </w:tcPr>
          <w:p>
            <w:pPr>
              <w:widowControl/>
              <w:jc w:val="center"/>
              <w:rPr>
                <w:rFonts w:hint="eastAsia" w:ascii="宋体" w:hAnsi="宋体" w:cs="宋体" w:eastAsiaTheme="minorEastAsia"/>
                <w:b/>
                <w:bCs/>
                <w:kern w:val="0"/>
                <w:sz w:val="22"/>
                <w:lang w:val="en-US" w:eastAsia="zh-CN"/>
              </w:rPr>
            </w:pPr>
            <w:r>
              <w:rPr>
                <w:rFonts w:hint="eastAsia" w:ascii="宋体" w:hAnsi="宋体" w:cs="宋体"/>
                <w:b/>
                <w:bCs/>
                <w:kern w:val="0"/>
                <w:sz w:val="22"/>
                <w:lang w:val="en-US" w:eastAsia="zh-CN"/>
              </w:rPr>
              <w:t>5</w:t>
            </w:r>
          </w:p>
        </w:tc>
        <w:tc>
          <w:tcPr>
            <w:tcW w:w="516" w:type="pct"/>
            <w:vMerge w:val="continue"/>
            <w:tcBorders>
              <w:bottom w:val="nil"/>
            </w:tcBorders>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791"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5、检测时间：≤15秒，相对标准偏差≤8%。</w:t>
            </w:r>
          </w:p>
        </w:tc>
        <w:tc>
          <w:tcPr>
            <w:tcW w:w="1215" w:type="pct"/>
            <w:vAlign w:val="center"/>
          </w:tcPr>
          <w:p>
            <w:pPr>
              <w:spacing w:line="300" w:lineRule="exact"/>
              <w:jc w:val="center"/>
              <w:rPr>
                <w:rFonts w:ascii="宋体" w:hAnsi="宋体" w:cs="宋体"/>
                <w:b/>
                <w:bCs/>
                <w:kern w:val="0"/>
                <w:sz w:val="22"/>
              </w:rPr>
            </w:pPr>
          </w:p>
        </w:tc>
        <w:tc>
          <w:tcPr>
            <w:tcW w:w="518" w:type="pct"/>
            <w:vAlign w:val="center"/>
          </w:tcPr>
          <w:p>
            <w:pPr>
              <w:spacing w:line="300" w:lineRule="exact"/>
              <w:jc w:val="center"/>
              <w:rPr>
                <w:rFonts w:ascii="宋体" w:hAnsi="宋体" w:cs="宋体"/>
                <w:b/>
                <w:bCs/>
                <w:kern w:val="0"/>
                <w:sz w:val="22"/>
              </w:rPr>
            </w:pPr>
          </w:p>
        </w:tc>
        <w:tc>
          <w:tcPr>
            <w:tcW w:w="596"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Align w:val="center"/>
          </w:tcPr>
          <w:p>
            <w:pPr>
              <w:widowControl/>
              <w:jc w:val="center"/>
              <w:rPr>
                <w:rFonts w:hint="eastAsia" w:ascii="宋体" w:hAnsi="宋体" w:cs="宋体" w:eastAsiaTheme="minorEastAsia"/>
                <w:b/>
                <w:bCs/>
                <w:kern w:val="0"/>
                <w:sz w:val="22"/>
                <w:lang w:eastAsia="zh-CN"/>
              </w:rPr>
            </w:pPr>
            <w:r>
              <w:rPr>
                <w:rFonts w:hint="eastAsia" w:ascii="宋体" w:hAnsi="宋体" w:cs="宋体"/>
                <w:b/>
                <w:bCs/>
                <w:kern w:val="0"/>
                <w:sz w:val="22"/>
                <w:lang w:val="en-US" w:eastAsia="zh-CN"/>
              </w:rPr>
              <w:t>6</w:t>
            </w:r>
          </w:p>
        </w:tc>
        <w:tc>
          <w:tcPr>
            <w:tcW w:w="516" w:type="pct"/>
            <w:vMerge w:val="restart"/>
            <w:tcBorders>
              <w:top w:val="nil"/>
            </w:tcBorders>
            <w:vAlign w:val="center"/>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791"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▲6、设置：可修改语言，内置功能菜单，可设置不同程序组，检测类型，比如设置不同清洗机，清洗剂，器械种类分组，全中文操作界面。</w:t>
            </w:r>
            <w:r>
              <w:rPr>
                <w:rFonts w:hint="eastAsia" w:asciiTheme="minorEastAsia" w:hAnsiTheme="minorEastAsia" w:cstheme="minorEastAsia"/>
                <w:i w:val="0"/>
                <w:iCs w:val="0"/>
                <w:color w:val="0000FF"/>
                <w:sz w:val="24"/>
                <w:szCs w:val="24"/>
                <w:u w:val="none"/>
                <w:lang w:val="en-US" w:eastAsia="zh-CN"/>
              </w:rPr>
              <w:t>（投标文件中须提供公开正式的产品彩页或产品说明书关键页中标注相应参数，未按要求标注的，评委可按负偏离处理）</w:t>
            </w:r>
          </w:p>
        </w:tc>
        <w:tc>
          <w:tcPr>
            <w:tcW w:w="1215" w:type="pct"/>
            <w:vAlign w:val="center"/>
          </w:tcPr>
          <w:p>
            <w:pPr>
              <w:spacing w:line="300" w:lineRule="exact"/>
              <w:jc w:val="center"/>
              <w:rPr>
                <w:rFonts w:ascii="宋体" w:hAnsi="宋体" w:cs="宋体"/>
                <w:b/>
                <w:bCs/>
                <w:kern w:val="0"/>
                <w:sz w:val="22"/>
              </w:rPr>
            </w:pPr>
          </w:p>
        </w:tc>
        <w:tc>
          <w:tcPr>
            <w:tcW w:w="518" w:type="pct"/>
            <w:vAlign w:val="center"/>
          </w:tcPr>
          <w:p>
            <w:pPr>
              <w:spacing w:line="300" w:lineRule="exact"/>
              <w:jc w:val="center"/>
              <w:rPr>
                <w:rFonts w:ascii="宋体" w:hAnsi="宋体" w:cs="宋体"/>
                <w:b/>
                <w:bCs/>
                <w:kern w:val="0"/>
                <w:sz w:val="22"/>
              </w:rPr>
            </w:pPr>
          </w:p>
        </w:tc>
        <w:tc>
          <w:tcPr>
            <w:tcW w:w="596" w:type="pct"/>
            <w:vAlign w:val="center"/>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bookmarkStart w:id="26" w:name="_Hlk72096176"/>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7</w:t>
            </w:r>
          </w:p>
        </w:tc>
        <w:tc>
          <w:tcPr>
            <w:tcW w:w="51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791"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7、系统：内存≥2G，可保存超10000个检测结果。</w:t>
            </w:r>
          </w:p>
        </w:tc>
        <w:tc>
          <w:tcPr>
            <w:tcW w:w="1215" w:type="pct"/>
          </w:tcPr>
          <w:p>
            <w:pPr>
              <w:spacing w:line="300" w:lineRule="exact"/>
              <w:jc w:val="center"/>
              <w:rPr>
                <w:rFonts w:ascii="宋体" w:hAnsi="宋体" w:cs="宋体"/>
                <w:b/>
                <w:bCs/>
                <w:kern w:val="0"/>
                <w:sz w:val="22"/>
              </w:rPr>
            </w:pPr>
          </w:p>
        </w:tc>
        <w:tc>
          <w:tcPr>
            <w:tcW w:w="0" w:type="auto"/>
          </w:tcPr>
          <w:p>
            <w:pPr>
              <w:spacing w:line="300" w:lineRule="exact"/>
              <w:jc w:val="center"/>
              <w:rPr>
                <w:rFonts w:ascii="宋体" w:hAnsi="宋体" w:cs="宋体"/>
                <w:b/>
                <w:bCs/>
                <w:kern w:val="0"/>
                <w:sz w:val="22"/>
              </w:rPr>
            </w:pPr>
          </w:p>
        </w:tc>
        <w:tc>
          <w:tcPr>
            <w:tcW w:w="0" w:type="auto"/>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8</w:t>
            </w:r>
          </w:p>
        </w:tc>
        <w:tc>
          <w:tcPr>
            <w:tcW w:w="51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791"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8、连接：可自动搜索网络可连接WIFI,软件版本可随时更新最新版，具有安全的云端数据管理，无需数据线导入。</w:t>
            </w:r>
          </w:p>
        </w:tc>
        <w:tc>
          <w:tcPr>
            <w:tcW w:w="1215" w:type="pct"/>
          </w:tcPr>
          <w:p>
            <w:pPr>
              <w:spacing w:line="300" w:lineRule="exact"/>
              <w:jc w:val="center"/>
              <w:rPr>
                <w:rFonts w:ascii="宋体" w:hAnsi="宋体" w:cs="宋体"/>
                <w:b/>
                <w:bCs/>
                <w:kern w:val="0"/>
                <w:sz w:val="22"/>
              </w:rPr>
            </w:pPr>
          </w:p>
        </w:tc>
        <w:tc>
          <w:tcPr>
            <w:tcW w:w="0" w:type="auto"/>
          </w:tcPr>
          <w:p>
            <w:pPr>
              <w:spacing w:line="300" w:lineRule="exact"/>
              <w:jc w:val="center"/>
              <w:rPr>
                <w:rFonts w:ascii="宋体" w:hAnsi="宋体" w:cs="宋体"/>
                <w:b/>
                <w:bCs/>
                <w:kern w:val="0"/>
                <w:sz w:val="22"/>
              </w:rPr>
            </w:pPr>
          </w:p>
        </w:tc>
        <w:tc>
          <w:tcPr>
            <w:tcW w:w="0" w:type="auto"/>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9</w:t>
            </w:r>
          </w:p>
        </w:tc>
        <w:tc>
          <w:tcPr>
            <w:tcW w:w="51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791"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9、具有快速搜索功能，可快速找到特定的检测计划和位置，提高工作效率。</w:t>
            </w:r>
          </w:p>
        </w:tc>
        <w:tc>
          <w:tcPr>
            <w:tcW w:w="1215" w:type="pct"/>
          </w:tcPr>
          <w:p>
            <w:pPr>
              <w:spacing w:line="300" w:lineRule="exact"/>
              <w:jc w:val="center"/>
              <w:rPr>
                <w:rFonts w:ascii="宋体" w:hAnsi="宋体" w:cs="宋体"/>
                <w:b/>
                <w:bCs/>
                <w:kern w:val="0"/>
                <w:sz w:val="22"/>
              </w:rPr>
            </w:pPr>
          </w:p>
        </w:tc>
        <w:tc>
          <w:tcPr>
            <w:tcW w:w="0" w:type="auto"/>
          </w:tcPr>
          <w:p>
            <w:pPr>
              <w:spacing w:line="300" w:lineRule="exact"/>
              <w:jc w:val="center"/>
              <w:rPr>
                <w:rFonts w:ascii="宋体" w:hAnsi="宋体" w:cs="宋体"/>
                <w:b/>
                <w:bCs/>
                <w:kern w:val="0"/>
                <w:sz w:val="22"/>
              </w:rPr>
            </w:pPr>
          </w:p>
        </w:tc>
        <w:tc>
          <w:tcPr>
            <w:tcW w:w="0" w:type="auto"/>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10</w:t>
            </w:r>
          </w:p>
        </w:tc>
        <w:tc>
          <w:tcPr>
            <w:tcW w:w="51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791"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10、多功能性：系统具有多功能性，可检测器械表面洁净度也能依据不同的检测拭子检测水样ATP和微生物等。</w:t>
            </w:r>
          </w:p>
        </w:tc>
        <w:tc>
          <w:tcPr>
            <w:tcW w:w="1215" w:type="pct"/>
          </w:tcPr>
          <w:p>
            <w:pPr>
              <w:spacing w:line="300" w:lineRule="exact"/>
              <w:jc w:val="center"/>
              <w:rPr>
                <w:rFonts w:ascii="宋体" w:hAnsi="宋体" w:cs="宋体"/>
                <w:b/>
                <w:bCs/>
                <w:kern w:val="0"/>
                <w:sz w:val="22"/>
              </w:rPr>
            </w:pPr>
          </w:p>
        </w:tc>
        <w:tc>
          <w:tcPr>
            <w:tcW w:w="0" w:type="auto"/>
          </w:tcPr>
          <w:p>
            <w:pPr>
              <w:spacing w:line="300" w:lineRule="exact"/>
              <w:jc w:val="center"/>
              <w:rPr>
                <w:rFonts w:ascii="宋体" w:hAnsi="宋体" w:cs="宋体"/>
                <w:b/>
                <w:bCs/>
                <w:kern w:val="0"/>
                <w:sz w:val="22"/>
              </w:rPr>
            </w:pPr>
          </w:p>
        </w:tc>
        <w:tc>
          <w:tcPr>
            <w:tcW w:w="0" w:type="auto"/>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11</w:t>
            </w:r>
          </w:p>
        </w:tc>
        <w:tc>
          <w:tcPr>
            <w:tcW w:w="51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791"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11、检测舱可拆卸、可清洗。</w:t>
            </w:r>
          </w:p>
        </w:tc>
        <w:tc>
          <w:tcPr>
            <w:tcW w:w="1215" w:type="pct"/>
          </w:tcPr>
          <w:p>
            <w:pPr>
              <w:spacing w:line="300" w:lineRule="exact"/>
              <w:jc w:val="center"/>
              <w:rPr>
                <w:rFonts w:ascii="宋体" w:hAnsi="宋体" w:cs="宋体"/>
                <w:b/>
                <w:bCs/>
                <w:kern w:val="0"/>
                <w:sz w:val="22"/>
              </w:rPr>
            </w:pPr>
          </w:p>
        </w:tc>
        <w:tc>
          <w:tcPr>
            <w:tcW w:w="0" w:type="auto"/>
          </w:tcPr>
          <w:p>
            <w:pPr>
              <w:spacing w:line="300" w:lineRule="exact"/>
              <w:jc w:val="center"/>
              <w:rPr>
                <w:rFonts w:ascii="宋体" w:hAnsi="宋体" w:cs="宋体"/>
                <w:b/>
                <w:bCs/>
                <w:kern w:val="0"/>
                <w:sz w:val="22"/>
              </w:rPr>
            </w:pPr>
          </w:p>
        </w:tc>
        <w:tc>
          <w:tcPr>
            <w:tcW w:w="0" w:type="auto"/>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eastAsia" w:ascii="宋体" w:hAnsi="宋体" w:cs="宋体"/>
                <w:b/>
                <w:bCs/>
                <w:kern w:val="0"/>
                <w:sz w:val="22"/>
                <w:lang w:val="en-US" w:eastAsia="zh-CN"/>
              </w:rPr>
            </w:pPr>
          </w:p>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12</w:t>
            </w:r>
          </w:p>
        </w:tc>
        <w:tc>
          <w:tcPr>
            <w:tcW w:w="51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791"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▲12、可配套直径为1-4mm的内镜拭子搭配器械表面拭子检测内镜管道。</w:t>
            </w:r>
            <w:r>
              <w:rPr>
                <w:rFonts w:hint="eastAsia" w:asciiTheme="minorEastAsia" w:hAnsiTheme="minorEastAsia" w:cstheme="minorEastAsia"/>
                <w:i w:val="0"/>
                <w:iCs w:val="0"/>
                <w:color w:val="0000FF"/>
                <w:sz w:val="24"/>
                <w:szCs w:val="24"/>
                <w:u w:val="none"/>
                <w:lang w:val="en-US" w:eastAsia="zh-CN"/>
              </w:rPr>
              <w:t>（投标文件中须提供公开正式的产品彩页或原厂拭子的实物照片作为证明材料，未按要求提供的，评委可按负偏离处理）</w:t>
            </w:r>
          </w:p>
        </w:tc>
        <w:tc>
          <w:tcPr>
            <w:tcW w:w="1215" w:type="pct"/>
          </w:tcPr>
          <w:p>
            <w:pPr>
              <w:spacing w:line="300" w:lineRule="exact"/>
              <w:jc w:val="center"/>
              <w:rPr>
                <w:rFonts w:ascii="宋体" w:hAnsi="宋体" w:cs="宋体"/>
                <w:b/>
                <w:bCs/>
                <w:kern w:val="0"/>
                <w:sz w:val="22"/>
              </w:rPr>
            </w:pPr>
          </w:p>
        </w:tc>
        <w:tc>
          <w:tcPr>
            <w:tcW w:w="0" w:type="auto"/>
          </w:tcPr>
          <w:p>
            <w:pPr>
              <w:spacing w:line="300" w:lineRule="exact"/>
              <w:jc w:val="center"/>
              <w:rPr>
                <w:rFonts w:ascii="宋体" w:hAnsi="宋体" w:cs="宋体"/>
                <w:b/>
                <w:bCs/>
                <w:kern w:val="0"/>
                <w:sz w:val="22"/>
              </w:rPr>
            </w:pPr>
          </w:p>
        </w:tc>
        <w:tc>
          <w:tcPr>
            <w:tcW w:w="0" w:type="auto"/>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eastAsia" w:ascii="宋体" w:hAnsi="宋体" w:cs="宋体"/>
                <w:b/>
                <w:bCs/>
                <w:kern w:val="0"/>
                <w:sz w:val="22"/>
                <w:lang w:val="en-US" w:eastAsia="zh-CN"/>
              </w:rPr>
            </w:pPr>
          </w:p>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13</w:t>
            </w:r>
          </w:p>
        </w:tc>
        <w:tc>
          <w:tcPr>
            <w:tcW w:w="516" w:type="pct"/>
            <w:vMerge w:val="continue"/>
            <w:tcBorders>
              <w:bottom w:val="nil"/>
            </w:tcBorders>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791"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▲13、一体化液态稳定检测拭子采用球阀型拭子头和预湿的采样头一体化设计，兼具取样、反应和吸管的三重功能，非冻干拭子，保障检测结果稳定。</w:t>
            </w:r>
            <w:r>
              <w:rPr>
                <w:rFonts w:hint="eastAsia" w:asciiTheme="minorEastAsia" w:hAnsiTheme="minorEastAsia" w:cstheme="minorEastAsia"/>
                <w:i w:val="0"/>
                <w:iCs w:val="0"/>
                <w:color w:val="0000FF"/>
                <w:sz w:val="24"/>
                <w:szCs w:val="24"/>
                <w:u w:val="none"/>
                <w:lang w:val="en-US" w:eastAsia="zh-CN"/>
              </w:rPr>
              <w:t>（投标文件中须提供公开正式的产品彩页或产品说明书关键页中标注相应参数，未按要求标注的，评委可按负偏离处理）</w:t>
            </w:r>
          </w:p>
        </w:tc>
        <w:tc>
          <w:tcPr>
            <w:tcW w:w="1215" w:type="pct"/>
          </w:tcPr>
          <w:p>
            <w:pPr>
              <w:spacing w:line="300" w:lineRule="exact"/>
              <w:jc w:val="center"/>
              <w:rPr>
                <w:rFonts w:ascii="宋体" w:hAnsi="宋体" w:cs="宋体"/>
                <w:b/>
                <w:bCs/>
                <w:kern w:val="0"/>
                <w:sz w:val="22"/>
              </w:rPr>
            </w:pPr>
          </w:p>
        </w:tc>
        <w:tc>
          <w:tcPr>
            <w:tcW w:w="0" w:type="auto"/>
          </w:tcPr>
          <w:p>
            <w:pPr>
              <w:spacing w:line="300" w:lineRule="exact"/>
              <w:jc w:val="center"/>
              <w:rPr>
                <w:rFonts w:ascii="宋体" w:hAnsi="宋体" w:cs="宋体"/>
                <w:b/>
                <w:bCs/>
                <w:kern w:val="0"/>
                <w:sz w:val="22"/>
              </w:rPr>
            </w:pPr>
          </w:p>
        </w:tc>
        <w:tc>
          <w:tcPr>
            <w:tcW w:w="0" w:type="auto"/>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14</w:t>
            </w:r>
          </w:p>
        </w:tc>
        <w:tc>
          <w:tcPr>
            <w:tcW w:w="516" w:type="pct"/>
            <w:vMerge w:val="restart"/>
            <w:tcBorders>
              <w:top w:val="nil"/>
            </w:tcBorders>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791"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14、一体化液态稳定检测拭子出厂冷藏保质期长达12个月，可室温保存至少4周。</w:t>
            </w:r>
          </w:p>
        </w:tc>
        <w:tc>
          <w:tcPr>
            <w:tcW w:w="1215" w:type="pct"/>
          </w:tcPr>
          <w:p>
            <w:pPr>
              <w:spacing w:line="300" w:lineRule="exact"/>
              <w:jc w:val="center"/>
              <w:rPr>
                <w:rFonts w:ascii="宋体" w:hAnsi="宋体" w:cs="宋体"/>
                <w:b/>
                <w:bCs/>
                <w:kern w:val="0"/>
                <w:sz w:val="22"/>
              </w:rPr>
            </w:pPr>
          </w:p>
        </w:tc>
        <w:tc>
          <w:tcPr>
            <w:tcW w:w="0" w:type="auto"/>
          </w:tcPr>
          <w:p>
            <w:pPr>
              <w:spacing w:line="300" w:lineRule="exact"/>
              <w:jc w:val="center"/>
              <w:rPr>
                <w:rFonts w:ascii="宋体" w:hAnsi="宋体" w:cs="宋体"/>
                <w:b/>
                <w:bCs/>
                <w:kern w:val="0"/>
                <w:sz w:val="22"/>
              </w:rPr>
            </w:pPr>
          </w:p>
        </w:tc>
        <w:tc>
          <w:tcPr>
            <w:tcW w:w="0" w:type="auto"/>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15</w:t>
            </w:r>
          </w:p>
        </w:tc>
        <w:tc>
          <w:tcPr>
            <w:tcW w:w="51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791"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15、使用外挂式充电锂电池，一次充电可以运行100次测试，具备线充和座充两种充电方式。</w:t>
            </w:r>
          </w:p>
        </w:tc>
        <w:tc>
          <w:tcPr>
            <w:tcW w:w="1215" w:type="pct"/>
          </w:tcPr>
          <w:p>
            <w:pPr>
              <w:spacing w:line="300" w:lineRule="exact"/>
              <w:jc w:val="center"/>
              <w:rPr>
                <w:rFonts w:ascii="宋体" w:hAnsi="宋体" w:cs="宋体"/>
                <w:b/>
                <w:bCs/>
                <w:kern w:val="0"/>
                <w:sz w:val="22"/>
              </w:rPr>
            </w:pPr>
          </w:p>
        </w:tc>
        <w:tc>
          <w:tcPr>
            <w:tcW w:w="0" w:type="auto"/>
          </w:tcPr>
          <w:p>
            <w:pPr>
              <w:spacing w:line="300" w:lineRule="exact"/>
              <w:jc w:val="center"/>
              <w:rPr>
                <w:rFonts w:ascii="宋体" w:hAnsi="宋体" w:cs="宋体"/>
                <w:b/>
                <w:bCs/>
                <w:kern w:val="0"/>
                <w:sz w:val="22"/>
              </w:rPr>
            </w:pPr>
          </w:p>
        </w:tc>
        <w:tc>
          <w:tcPr>
            <w:tcW w:w="0" w:type="auto"/>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16</w:t>
            </w:r>
          </w:p>
        </w:tc>
        <w:tc>
          <w:tcPr>
            <w:tcW w:w="51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791"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16、配套 SureTrend 独立数据处理软件，连续数据库系统防止意外或欺诈性数据，提供多种数据趋势分析模式，数据可导出到 Excel 表格整理成册。</w:t>
            </w:r>
          </w:p>
        </w:tc>
        <w:tc>
          <w:tcPr>
            <w:tcW w:w="1215" w:type="pct"/>
          </w:tcPr>
          <w:p>
            <w:pPr>
              <w:spacing w:line="300" w:lineRule="exact"/>
              <w:jc w:val="center"/>
              <w:rPr>
                <w:rFonts w:ascii="宋体" w:hAnsi="宋体" w:cs="宋体"/>
                <w:b/>
                <w:bCs/>
                <w:kern w:val="0"/>
                <w:sz w:val="22"/>
              </w:rPr>
            </w:pPr>
          </w:p>
        </w:tc>
        <w:tc>
          <w:tcPr>
            <w:tcW w:w="0" w:type="auto"/>
          </w:tcPr>
          <w:p>
            <w:pPr>
              <w:spacing w:line="300" w:lineRule="exact"/>
              <w:jc w:val="center"/>
              <w:rPr>
                <w:rFonts w:ascii="宋体" w:hAnsi="宋体" w:cs="宋体"/>
                <w:b/>
                <w:bCs/>
                <w:kern w:val="0"/>
                <w:sz w:val="22"/>
              </w:rPr>
            </w:pPr>
          </w:p>
        </w:tc>
        <w:tc>
          <w:tcPr>
            <w:tcW w:w="0" w:type="auto"/>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eastAsia" w:ascii="宋体" w:hAnsi="宋体" w:cs="宋体"/>
                <w:b/>
                <w:bCs/>
                <w:kern w:val="0"/>
                <w:sz w:val="22"/>
                <w:lang w:val="en-US" w:eastAsia="zh-CN"/>
              </w:rPr>
            </w:pPr>
          </w:p>
          <w:p>
            <w:pPr>
              <w:widowControl/>
              <w:jc w:val="center"/>
              <w:rPr>
                <w:rFonts w:hint="eastAsia" w:ascii="宋体" w:hAnsi="宋体" w:cs="宋体"/>
                <w:b/>
                <w:bCs/>
                <w:kern w:val="0"/>
                <w:sz w:val="22"/>
                <w:lang w:val="en-US" w:eastAsia="zh-CN"/>
              </w:rPr>
            </w:pPr>
          </w:p>
          <w:p>
            <w:pPr>
              <w:widowControl/>
              <w:jc w:val="center"/>
              <w:rPr>
                <w:rFonts w:hint="eastAsia" w:ascii="宋体" w:hAnsi="宋体" w:cs="宋体"/>
                <w:b/>
                <w:bCs/>
                <w:kern w:val="0"/>
                <w:sz w:val="22"/>
                <w:lang w:val="en-US" w:eastAsia="zh-CN"/>
              </w:rPr>
            </w:pPr>
          </w:p>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17</w:t>
            </w:r>
          </w:p>
        </w:tc>
        <w:tc>
          <w:tcPr>
            <w:tcW w:w="51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791"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▲17、配套的过氧化氢气体监测仪需为壁挂式固定安装，24小时在线监测环境中的过氧化氢气体浓度，超标报警；测量原理：电化学原理，量程：0-50ppm，具有国家防爆产品质量监督检验机构认证的防爆合格证。</w:t>
            </w:r>
            <w:r>
              <w:rPr>
                <w:rFonts w:hint="eastAsia" w:asciiTheme="minorEastAsia" w:hAnsiTheme="minorEastAsia" w:cstheme="minorEastAsia"/>
                <w:i w:val="0"/>
                <w:iCs w:val="0"/>
                <w:color w:val="0000FF"/>
                <w:sz w:val="24"/>
                <w:szCs w:val="24"/>
                <w:u w:val="none"/>
                <w:lang w:val="en-US" w:eastAsia="zh-CN"/>
              </w:rPr>
              <w:t>（投标文件中须提供防爆合格证证书复印件，未按要求提供的，评委可按负偏离处理）</w:t>
            </w:r>
          </w:p>
        </w:tc>
        <w:tc>
          <w:tcPr>
            <w:tcW w:w="1215" w:type="pct"/>
          </w:tcPr>
          <w:p>
            <w:pPr>
              <w:spacing w:line="300" w:lineRule="exact"/>
              <w:jc w:val="center"/>
              <w:rPr>
                <w:rFonts w:ascii="宋体" w:hAnsi="宋体" w:cs="宋体"/>
                <w:b/>
                <w:bCs/>
                <w:kern w:val="0"/>
                <w:sz w:val="22"/>
              </w:rPr>
            </w:pPr>
          </w:p>
        </w:tc>
        <w:tc>
          <w:tcPr>
            <w:tcW w:w="0" w:type="auto"/>
          </w:tcPr>
          <w:p>
            <w:pPr>
              <w:spacing w:line="300" w:lineRule="exact"/>
              <w:jc w:val="center"/>
              <w:rPr>
                <w:rFonts w:ascii="宋体" w:hAnsi="宋体" w:cs="宋体"/>
                <w:b/>
                <w:bCs/>
                <w:kern w:val="0"/>
                <w:sz w:val="22"/>
              </w:rPr>
            </w:pPr>
          </w:p>
        </w:tc>
        <w:tc>
          <w:tcPr>
            <w:tcW w:w="0" w:type="auto"/>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widowControl/>
              <w:jc w:val="center"/>
              <w:rPr>
                <w:rFonts w:hint="eastAsia" w:ascii="宋体" w:hAnsi="宋体" w:cs="宋体"/>
                <w:b/>
                <w:bCs/>
                <w:kern w:val="0"/>
                <w:sz w:val="22"/>
                <w:lang w:val="en-US" w:eastAsia="zh-CN"/>
              </w:rPr>
            </w:pPr>
          </w:p>
          <w:p>
            <w:pPr>
              <w:widowControl/>
              <w:jc w:val="center"/>
              <w:rPr>
                <w:rFonts w:hint="eastAsia" w:ascii="宋体" w:hAnsi="宋体" w:cs="宋体"/>
                <w:b/>
                <w:bCs/>
                <w:kern w:val="0"/>
                <w:sz w:val="22"/>
                <w:lang w:val="en-US" w:eastAsia="zh-CN"/>
              </w:rPr>
            </w:pPr>
          </w:p>
          <w:p>
            <w:pPr>
              <w:widowControl/>
              <w:jc w:val="center"/>
              <w:rPr>
                <w:rFonts w:hint="default" w:ascii="宋体" w:hAnsi="宋体" w:cs="宋体" w:eastAsiaTheme="minorEastAsia"/>
                <w:b/>
                <w:bCs/>
                <w:kern w:val="0"/>
                <w:sz w:val="22"/>
                <w:lang w:val="en-US" w:eastAsia="zh-CN"/>
              </w:rPr>
            </w:pPr>
            <w:r>
              <w:rPr>
                <w:rFonts w:hint="eastAsia" w:ascii="宋体" w:hAnsi="宋体" w:cs="宋体"/>
                <w:b/>
                <w:bCs/>
                <w:kern w:val="0"/>
                <w:sz w:val="22"/>
                <w:lang w:val="en-US" w:eastAsia="zh-CN"/>
              </w:rPr>
              <w:t>18</w:t>
            </w:r>
          </w:p>
        </w:tc>
        <w:tc>
          <w:tcPr>
            <w:tcW w:w="516" w:type="pct"/>
            <w:vMerge w:val="continue"/>
          </w:tcPr>
          <w:p>
            <w:pPr>
              <w:keepNext w:val="0"/>
              <w:keepLines w:val="0"/>
              <w:widowControl/>
              <w:suppressLineNumbers w:val="0"/>
              <w:jc w:val="left"/>
              <w:textAlignment w:val="center"/>
              <w:rPr>
                <w:rFonts w:hint="eastAsia" w:ascii="宋体" w:hAnsi="宋体" w:eastAsia="宋体" w:cs="宋体"/>
                <w:spacing w:val="10"/>
                <w:kern w:val="0"/>
                <w:sz w:val="21"/>
                <w:szCs w:val="21"/>
                <w:lang w:val="en-US" w:eastAsia="zh-CN" w:bidi="ar-SA"/>
              </w:rPr>
            </w:pPr>
          </w:p>
        </w:tc>
        <w:tc>
          <w:tcPr>
            <w:tcW w:w="1791" w:type="pct"/>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18、配套的</w:t>
            </w:r>
            <w:r>
              <w:rPr>
                <w:rFonts w:hint="default" w:asciiTheme="minorEastAsia" w:hAnsiTheme="minorEastAsia" w:cstheme="minorEastAsia"/>
                <w:i w:val="0"/>
                <w:iCs w:val="0"/>
                <w:color w:val="000000"/>
                <w:sz w:val="24"/>
                <w:szCs w:val="24"/>
                <w:u w:val="none"/>
                <w:lang w:val="en-US" w:eastAsia="zh-CN"/>
              </w:rPr>
              <w:t>压力蒸汽灭菌器装载架层板</w:t>
            </w:r>
            <w:r>
              <w:rPr>
                <w:rFonts w:hint="eastAsia" w:asciiTheme="minorEastAsia" w:hAnsiTheme="minorEastAsia" w:cstheme="minorEastAsia"/>
                <w:i w:val="0"/>
                <w:iCs w:val="0"/>
                <w:color w:val="000000"/>
                <w:sz w:val="24"/>
                <w:szCs w:val="24"/>
                <w:u w:val="none"/>
                <w:lang w:val="en-US" w:eastAsia="zh-CN"/>
              </w:rPr>
              <w:t>需适配现有医院的灭菌器使用，高质量不锈钢，抗压不易变形。</w:t>
            </w:r>
          </w:p>
        </w:tc>
        <w:tc>
          <w:tcPr>
            <w:tcW w:w="1215" w:type="pct"/>
          </w:tcPr>
          <w:p>
            <w:pPr>
              <w:spacing w:line="300" w:lineRule="exact"/>
              <w:jc w:val="center"/>
              <w:rPr>
                <w:rFonts w:ascii="宋体" w:hAnsi="宋体" w:cs="宋体"/>
                <w:b/>
                <w:bCs/>
                <w:kern w:val="0"/>
                <w:sz w:val="22"/>
              </w:rPr>
            </w:pPr>
          </w:p>
        </w:tc>
        <w:tc>
          <w:tcPr>
            <w:tcW w:w="0" w:type="auto"/>
          </w:tcPr>
          <w:p>
            <w:pPr>
              <w:spacing w:line="300" w:lineRule="exact"/>
              <w:jc w:val="center"/>
              <w:rPr>
                <w:rFonts w:ascii="宋体" w:hAnsi="宋体" w:cs="宋体"/>
                <w:b/>
                <w:bCs/>
                <w:kern w:val="0"/>
                <w:sz w:val="22"/>
              </w:rPr>
            </w:pPr>
          </w:p>
        </w:tc>
        <w:tc>
          <w:tcPr>
            <w:tcW w:w="0" w:type="auto"/>
          </w:tcPr>
          <w:p>
            <w:pPr>
              <w:widowControl/>
              <w:jc w:val="center"/>
              <w:rPr>
                <w:rFonts w:ascii="宋体" w:hAnsi="宋体" w:cs="宋体"/>
                <w:kern w:val="0"/>
                <w:sz w:val="22"/>
              </w:rPr>
            </w:pPr>
            <w:r>
              <w:rPr>
                <w:rFonts w:hint="eastAsia" w:asciiTheme="minorEastAsia" w:hAnsiTheme="minorEastAsia" w:eastAsiaTheme="minorEastAsia" w:cstheme="minorEastAsia"/>
                <w:b/>
                <w:bCs/>
                <w:kern w:val="0"/>
                <w:sz w:val="21"/>
                <w:szCs w:val="21"/>
                <w:lang w:val="en-US" w:eastAsia="zh-CN" w:bidi="ar-SA"/>
              </w:rPr>
              <w:t>见投标文件《  》页</w:t>
            </w:r>
          </w:p>
        </w:tc>
      </w:tr>
    </w:tbl>
    <w:p>
      <w:pPr>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《技术要求偏离表》编制指引：</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1、技术要求偏离表的序号、货物名称、招标技术要求等栏目</w:t>
      </w:r>
      <w:bookmarkStart w:id="27" w:name="_Hlk72094407"/>
      <w:r>
        <w:rPr>
          <w:rFonts w:hint="eastAsia" w:asciiTheme="minorEastAsia" w:hAnsiTheme="minorEastAsia" w:eastAsiaTheme="minorEastAsia" w:cstheme="minorEastAsia"/>
          <w:b/>
          <w:color w:val="FF0000"/>
          <w:sz w:val="21"/>
          <w:szCs w:val="21"/>
        </w:rPr>
        <w:t>对应“用户需求书”中的“技术要求”章节</w:t>
      </w:r>
      <w:bookmarkEnd w:id="27"/>
      <w:r>
        <w:rPr>
          <w:rFonts w:hint="eastAsia" w:asciiTheme="minorEastAsia" w:hAnsiTheme="minorEastAsia" w:eastAsiaTheme="minorEastAsia" w:cstheme="minorEastAsia"/>
          <w:b/>
          <w:color w:val="FF0000"/>
          <w:sz w:val="21"/>
          <w:szCs w:val="21"/>
        </w:rPr>
        <w:t>相关内容。</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2、“投标技术响应”一栏必须一一对照“招标技术要求”，详细填写投标人自身投标货物的具体参数，而不能不合理照搬照抄招标文件的技术要求，以体现具体响应情况。</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3、</w:t>
      </w:r>
      <w:bookmarkStart w:id="28" w:name="_Hlk72158270"/>
      <w:r>
        <w:rPr>
          <w:rFonts w:hint="eastAsia" w:asciiTheme="minorEastAsia" w:hAnsiTheme="minorEastAsia" w:eastAsiaTheme="minorEastAsia" w:cstheme="minorEastAsia"/>
          <w:b/>
          <w:color w:val="FF0000"/>
          <w:sz w:val="21"/>
          <w:szCs w:val="21"/>
        </w:rPr>
        <w:t>“偏离情况”</w:t>
      </w:r>
      <w:bookmarkEnd w:id="28"/>
      <w:r>
        <w:rPr>
          <w:rFonts w:hint="eastAsia" w:asciiTheme="minorEastAsia" w:hAnsiTheme="minorEastAsia" w:eastAsiaTheme="minorEastAsia" w:cstheme="minorEastAsia"/>
          <w:b/>
          <w:color w:val="FF0000"/>
          <w:sz w:val="21"/>
          <w:szCs w:val="21"/>
        </w:rPr>
        <w:t>一栏填写如实填写“正偏离”、“负偏离”或“无偏离”，其中：</w:t>
      </w:r>
      <w:bookmarkStart w:id="29" w:name="_Hlk72093866"/>
      <w:r>
        <w:rPr>
          <w:rFonts w:hint="eastAsia" w:asciiTheme="minorEastAsia" w:hAnsiTheme="minorEastAsia" w:eastAsiaTheme="minorEastAsia" w:cstheme="minorEastAsia"/>
          <w:b/>
          <w:color w:val="FF0000"/>
          <w:sz w:val="21"/>
          <w:szCs w:val="21"/>
        </w:rPr>
        <w:t>“正偏离”表示“投标响应优于招标技术要求”，“负偏离”表示“投标响应不满足招标技术要求”，“无偏离”表示“投标响应与招标技术要求一致”</w:t>
      </w:r>
      <w:bookmarkEnd w:id="29"/>
      <w:r>
        <w:rPr>
          <w:rFonts w:hint="eastAsia" w:asciiTheme="minorEastAsia" w:hAnsiTheme="minorEastAsia" w:eastAsiaTheme="minorEastAsia" w:cstheme="minorEastAsia"/>
          <w:b/>
          <w:color w:val="FF0000"/>
          <w:sz w:val="21"/>
          <w:szCs w:val="21"/>
        </w:rPr>
        <w:t>。“投标技术响应”对比“招标技术要求”存在响应不全（包括未响应整项招标技术要求或者未响应一项招标技术要求的部分内容），均视为“负偏离”。</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4、未要求提供证明资料的招标技术要求，可以不提供证明资料（如实响应即可）。</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5、</w:t>
      </w:r>
      <w:bookmarkStart w:id="30" w:name="_Hlk72096106"/>
      <w:r>
        <w:rPr>
          <w:rFonts w:hint="eastAsia" w:asciiTheme="minorEastAsia" w:hAnsiTheme="minorEastAsia" w:eastAsiaTheme="minorEastAsia" w:cstheme="minorEastAsia"/>
          <w:b/>
          <w:color w:val="FF0000"/>
          <w:sz w:val="21"/>
          <w:szCs w:val="21"/>
        </w:rPr>
        <w:t>证明资料条款响应要求</w:t>
      </w:r>
      <w:bookmarkEnd w:id="30"/>
      <w:r>
        <w:rPr>
          <w:rFonts w:hint="eastAsia" w:asciiTheme="minorEastAsia" w:hAnsiTheme="minorEastAsia" w:eastAsiaTheme="minorEastAsia" w:cstheme="minorEastAsia"/>
          <w:b/>
          <w:color w:val="FF0000"/>
          <w:sz w:val="21"/>
          <w:szCs w:val="21"/>
        </w:rPr>
        <w:t>：要求提供证明资料（且已对证明资料的形式、内容作出明确要求）进行响应的条款，应当在“</w:t>
      </w:r>
      <w:r>
        <w:rPr>
          <w:rFonts w:hint="eastAsia" w:asciiTheme="minorEastAsia" w:hAnsiTheme="minorEastAsia" w:eastAsiaTheme="minorEastAsia" w:cstheme="minorEastAsia"/>
          <w:b/>
          <w:color w:val="FF0000"/>
          <w:sz w:val="21"/>
          <w:szCs w:val="21"/>
          <w:lang w:val="en-US" w:eastAsia="zh-CN"/>
        </w:rPr>
        <w:t>佐证材料</w:t>
      </w:r>
      <w:r>
        <w:rPr>
          <w:rFonts w:hint="eastAsia" w:asciiTheme="minorEastAsia" w:hAnsiTheme="minorEastAsia" w:eastAsiaTheme="minorEastAsia" w:cstheme="minorEastAsia"/>
          <w:b/>
          <w:color w:val="FF0000"/>
          <w:sz w:val="21"/>
          <w:szCs w:val="21"/>
        </w:rPr>
        <w:t>”一栏中列明是否提供了符合要求的证明资料；</w:t>
      </w:r>
      <w:bookmarkStart w:id="31" w:name="_Hlk73558782"/>
      <w:r>
        <w:rPr>
          <w:rFonts w:hint="eastAsia" w:asciiTheme="minorEastAsia" w:hAnsiTheme="minorEastAsia" w:eastAsiaTheme="minorEastAsia" w:cstheme="minorEastAsia"/>
          <w:b/>
          <w:color w:val="FF0000"/>
          <w:sz w:val="21"/>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32" w:name="_Hlk73558164"/>
      <w:r>
        <w:rPr>
          <w:rFonts w:hint="eastAsia" w:asciiTheme="minorEastAsia" w:hAnsiTheme="minorEastAsia" w:eastAsiaTheme="minorEastAsia" w:cstheme="minorEastAsia"/>
          <w:b/>
          <w:color w:val="FF0000"/>
          <w:sz w:val="21"/>
          <w:szCs w:val="21"/>
        </w:rPr>
        <w:t>且投标人在“偏离情况”一栏响应为“正偏离”或“无偏离”的，经评审委员会认定，将判定为负偏离。</w:t>
      </w:r>
      <w:bookmarkEnd w:id="31"/>
      <w:bookmarkEnd w:id="32"/>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证明资料的形式及其它具体要求</w:t>
      </w:r>
      <w:bookmarkEnd w:id="26"/>
      <w:r>
        <w:rPr>
          <w:rFonts w:hint="eastAsia" w:asciiTheme="minorEastAsia" w:hAnsiTheme="minorEastAsia" w:eastAsiaTheme="minorEastAsia" w:cstheme="minorEastAsia"/>
          <w:b/>
          <w:color w:val="FF0000"/>
          <w:sz w:val="21"/>
          <w:szCs w:val="21"/>
        </w:rPr>
        <w:t>：</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（1）</w:t>
      </w:r>
      <w:r>
        <w:rPr>
          <w:rFonts w:hint="eastAsia" w:asciiTheme="minorEastAsia" w:hAnsiTheme="minorEastAsia" w:eastAsiaTheme="minorEastAsia" w:cstheme="minorEastAsia"/>
          <w:b/>
          <w:color w:val="FF0000"/>
          <w:sz w:val="21"/>
          <w:szCs w:val="21"/>
        </w:rPr>
        <w:t>除照片、图片（截图）及不需加盖公章的文字说明（技术说明）外，其它证明资料均要求为原件扫描件；</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（2）</w:t>
      </w:r>
      <w:r>
        <w:rPr>
          <w:rFonts w:hint="eastAsia" w:asciiTheme="minorEastAsia" w:hAnsiTheme="minorEastAsia" w:eastAsiaTheme="minorEastAsia" w:cstheme="minorEastAsia"/>
          <w:b/>
          <w:color w:val="FF0000"/>
          <w:sz w:val="21"/>
          <w:szCs w:val="21"/>
        </w:rPr>
        <w:t>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cstheme="minorEastAsia"/>
          <w:b/>
          <w:color w:val="FF0000"/>
          <w:sz w:val="21"/>
          <w:szCs w:val="21"/>
          <w:lang w:val="en-US" w:eastAsia="zh-CN"/>
        </w:rPr>
        <w:t>（3）</w:t>
      </w:r>
      <w:r>
        <w:rPr>
          <w:rFonts w:hint="eastAsia" w:asciiTheme="minorEastAsia" w:hAnsiTheme="minorEastAsia" w:eastAsiaTheme="minorEastAsia" w:cstheme="minorEastAsia"/>
          <w:b/>
          <w:color w:val="FF0000"/>
          <w:sz w:val="21"/>
          <w:szCs w:val="21"/>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22" w:firstLineChars="200"/>
        <w:jc w:val="both"/>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我国政府机构出具的产品检验和核准证件应为证件正面、背面和附件标注的全部具体内容；产品检验和核准证件的尺寸和清晰度应该能够在电脑上被阅读、识别和判断；</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其它证明资料的形式要求参照以上要求执行；</w:t>
      </w:r>
    </w:p>
    <w:p>
      <w:pPr>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color w:val="FF0000"/>
          <w:sz w:val="21"/>
          <w:szCs w:val="21"/>
        </w:rPr>
        <w:t>（4）证明资料均要求原件备查。</w:t>
      </w:r>
    </w:p>
    <w:p>
      <w:pPr>
        <w:pStyle w:val="23"/>
        <w:jc w:val="both"/>
        <w:rPr>
          <w:rFonts w:hint="eastAsia"/>
        </w:rPr>
      </w:pPr>
      <w:r>
        <w:rPr>
          <w:rFonts w:hint="eastAsia" w:asciiTheme="minorEastAsia" w:hAnsiTheme="minorEastAsia" w:cstheme="minorEastAsia"/>
          <w:b/>
          <w:sz w:val="21"/>
          <w:szCs w:val="21"/>
          <w:lang w:val="en-US" w:eastAsia="zh-CN"/>
        </w:rPr>
        <w:t>证明材料：</w:t>
      </w:r>
    </w:p>
    <w:p>
      <w:pPr>
        <w:spacing w:line="360" w:lineRule="exact"/>
        <w:jc w:val="both"/>
        <w:rPr>
          <w:rFonts w:hint="eastAsia" w:asciiTheme="minorEastAsia" w:hAnsiTheme="minorEastAsia" w:cstheme="minorEastAsia"/>
          <w:b/>
          <w:bCs/>
          <w:sz w:val="24"/>
          <w:szCs w:val="24"/>
          <w:lang w:val="en-US" w:eastAsia="zh-CN"/>
        </w:rPr>
      </w:pPr>
    </w:p>
    <w:p>
      <w:pPr>
        <w:pStyle w:val="2"/>
        <w:rPr>
          <w:rFonts w:hint="eastAsia"/>
          <w:lang w:val="en-US" w:eastAsia="zh-CN"/>
        </w:rPr>
      </w:pPr>
    </w:p>
    <w:p>
      <w:pP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br w:type="page"/>
      </w:r>
    </w:p>
    <w:p>
      <w:pPr>
        <w:spacing w:line="360" w:lineRule="exact"/>
        <w:jc w:val="both"/>
        <w:rPr>
          <w:rFonts w:hint="default" w:asciiTheme="minorEastAsia" w:hAnsiTheme="minorEastAsia" w:cstheme="minorEastAsia"/>
          <w:b/>
          <w:sz w:val="21"/>
          <w:szCs w:val="21"/>
          <w:lang w:val="en-US" w:eastAsia="zh-CN"/>
        </w:rPr>
      </w:pPr>
      <w:r>
        <w:rPr>
          <w:rFonts w:hint="eastAsia" w:asciiTheme="minorEastAsia" w:hAnsiTheme="minorEastAsia" w:cstheme="minorEastAsia"/>
          <w:b/>
          <w:bCs/>
          <w:sz w:val="24"/>
          <w:szCs w:val="24"/>
          <w:lang w:val="en-US" w:eastAsia="zh-CN"/>
        </w:rPr>
        <w:t>九、实质性条款偏离表</w:t>
      </w:r>
    </w:p>
    <w:p>
      <w:pPr>
        <w:pStyle w:val="6"/>
        <w:jc w:val="center"/>
        <w:rPr>
          <w:rFonts w:hint="eastAsia" w:ascii="黑体" w:eastAsia="黑体"/>
          <w:b w:val="0"/>
          <w:kern w:val="0"/>
          <w:sz w:val="24"/>
          <w:szCs w:val="24"/>
        </w:rPr>
      </w:pPr>
      <w:bookmarkStart w:id="33" w:name="_Hlk72092634"/>
      <w:r>
        <w:rPr>
          <w:rFonts w:hint="eastAsia" w:ascii="黑体" w:eastAsia="黑体"/>
          <w:b w:val="0"/>
          <w:kern w:val="0"/>
          <w:sz w:val="24"/>
          <w:szCs w:val="24"/>
        </w:rPr>
        <w:t>实质性条款响应情况表</w:t>
      </w:r>
      <w:bookmarkEnd w:id="33"/>
    </w:p>
    <w:tbl>
      <w:tblPr>
        <w:tblStyle w:val="26"/>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56"/>
        <w:gridCol w:w="3416"/>
        <w:gridCol w:w="1334"/>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34" w:name="_Hlk72092651"/>
            <w:r>
              <w:rPr>
                <w:rFonts w:hint="eastAsia" w:ascii="宋体" w:hAnsi="宋体"/>
                <w:kern w:val="0"/>
                <w:szCs w:val="21"/>
              </w:rPr>
              <w:t>序号</w:t>
            </w:r>
          </w:p>
        </w:tc>
        <w:tc>
          <w:tcPr>
            <w:tcW w:w="2856"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3416"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334"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966"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285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人民币报价</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p>
          <w:p>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2856"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采购人指定位置（深圳市龙岗区龙城街道黄阁路186号）</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p>
          <w:p>
            <w:pPr>
              <w:adjustRightInd w:val="0"/>
              <w:snapToGrid w:val="0"/>
              <w:spacing w:line="360" w:lineRule="auto"/>
              <w:jc w:val="center"/>
              <w:rPr>
                <w:rFonts w:ascii="宋体" w:hAnsi="宋体"/>
                <w:kern w:val="0"/>
                <w:szCs w:val="21"/>
              </w:rPr>
            </w:pPr>
            <w:r>
              <w:rPr>
                <w:rFonts w:hint="eastAsia" w:ascii="宋体" w:hAnsi="宋体"/>
                <w:kern w:val="0"/>
                <w:szCs w:val="21"/>
              </w:rPr>
              <w:t>3</w:t>
            </w:r>
          </w:p>
        </w:tc>
        <w:tc>
          <w:tcPr>
            <w:tcW w:w="2856"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合同签订后接到采购人通知30个日历日内完成交货。</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4</w:t>
            </w:r>
          </w:p>
        </w:tc>
        <w:tc>
          <w:tcPr>
            <w:tcW w:w="2856" w:type="dxa"/>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1、分期支付：①合同签订、财政资金到位后且收到中标人的发票，支付中标人不高于项目总额 70%预付款；②设备到货、财政资金到位且收到中标人累计100%设备货款发票，按照相应规定支付中标人累计不高于项目总额95%货款；③设备验收合格、财政资金到位按照相应规定支付中标人剩余货款。当采购人本年度的资金预算不足以支付项目款项时，则需顺延至下年度支付。</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2、签订合同时需提交厂家出具的3年质保售后服务承诺书。</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3、（1）如果采购人对中标人提供的产品有质量异议的，可以视具体情况暂时中止支付争议款项或其他相关款项，直到争议解除，采购人不因此承担延期付款的违约责任。</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中标人开具合法有效的发票，采购人不接受除中标人以外的第三方出具的发票。采购人收到中标人合法的增值税发票或增值税专用发票后，根据双方约定付款时间支付货款。由于中标人逾期未提供合法有效的增值税发票的，采购人有权顺延支付中标人应付货款，直至票据齐全，且不得视为采购人违约。</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（3）中标人提供的产品不合格，或产品存在瑕疵、缺陷，采购人有权暂停支付中标人项目相应到期应付货款，且不视为采购人违约，直到双方正式处理完不合格产品为止。</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中标人应向采购人提供真实有效的银行账户，银行账户如有变更，应立即书面通知采购人，如中标人银行账户变更未书面通知采购人，采购人以中标人确认收款账户进行付款，造成中标人实际未收到货款的，该责任由中标人自己承担。未经采购人书面认可，中标人不得将应收款项转让给任何第三方或让任何第三方代收，否则采购人有权拒绝付款，且不得视为采购人违约。</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（5）采购人在规定时间向支付部门提出支付申请，如因财政支付部门审核时间导致无法按期支付的，采购人不承担违约责任。</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p>
          <w:p>
            <w:pPr>
              <w:adjustRightInd w:val="0"/>
              <w:snapToGrid w:val="0"/>
              <w:spacing w:line="360" w:lineRule="auto"/>
              <w:jc w:val="center"/>
              <w:rPr>
                <w:rFonts w:hint="eastAsia"/>
                <w:lang w:val="en-US" w:eastAsia="zh-CN"/>
              </w:rPr>
            </w:pPr>
            <w:r>
              <w:rPr>
                <w:rFonts w:hint="eastAsia"/>
                <w:lang w:val="en-US" w:eastAsia="zh-CN"/>
              </w:rPr>
              <w:t>5</w:t>
            </w: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tc>
        <w:tc>
          <w:tcPr>
            <w:tcW w:w="2856" w:type="dxa"/>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1、货到安装，现场验收。中标人应派有经验的技术人员到现场进行安装、调试，直到设备正常使用。</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2、交货后30个日历日内完成安装、调试、交付使用，由采购人使用科室、设备科、中标人等代表在场进行验收。</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在本项目涉及的医疗设备安装过程中，若安装场地需进行改造以满足设备安装要求，投标人应承担全部改造工作及相关费用。改造工作包括但不限于拆除、新建、装修、水电线路改造、通风系统调整等一切为实现设备正常安装及后续使用所必需的工程内容。改造工程费用由投标人全额承担，费用包含但不限于材料采购、施工人员薪酬、设备租赁、运输、税费等所有与改造工程相关的支出。</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产品质量和安装调试检验标准遵照国家相关规定和最新标准执行。提供的货物必须为全新、经检验合格的产品，且产品生产日期应为验收日期一年内。确保产品投入使用前，按照国家规定办理好产品所有启用所需的资质证件。验收中如发现有质量不合格或型号规格、数量等与送货清单不符等情况，中标人应更换或补齐，并承担因此发生的违约责任。中标人货物经过双方检验认可后，签署验收报告。以上费用均已包含在投标报价中。</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5、当满足以下条件时，采购人才向中标人签发货物验收报告：</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A.设备出厂日期≤1年（以合同签订时间为准）；</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B.中标人按合同要求如期交货；</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C.中标人已按照合同规定提供了全部产品及完整的技术资料；</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D.货物符合招标文件技术规格书的要求，性能满足要求；</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E.提供货物中文说明书；</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F.提供维修手册、与厂家签订的3年质保售后服务协议；</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G.进口设备必须提供正常有效的报关证明（报关单、海关增值税发票）及合法有效的商检合格证明；</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6、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7、验收时，中标人须按采购人要求提供中标验货验收所需要的其他资料。</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6</w:t>
            </w:r>
          </w:p>
        </w:tc>
        <w:tc>
          <w:tcPr>
            <w:tcW w:w="2856" w:type="dxa"/>
            <w:vAlign w:val="top"/>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本次采购的设备和材料必须是全新的，包装方式按照原厂出厂原标准，中标人应确保运抵采购人处货物的完好性，包装费用由中标人承担。中标人承担由于其包装或其防护措施不妥而引起货物锈蚀、损坏和丢失等任何损失，并承担因此而发生的违约责任。</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7</w:t>
            </w:r>
          </w:p>
        </w:tc>
        <w:tc>
          <w:tcPr>
            <w:tcW w:w="2856" w:type="dxa"/>
            <w:vAlign w:val="center"/>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1、投标人对所提供的设备(包括零配件)提供免费保修期 3 年。(免费保修期时间自最终验收合格并交付使用之日起计算)，在免费保修期，需提供原装的零配件及其维修，终身负责维修，储备足够的零配件备库并保证十年以上维修配件；一年需对设备进行维护四次（每季度一次），不额外收费。免费保修期内出现的质量问题,由投标人负责,投标人负责包修、包换或者包退,并承担修理、调换或退货的实际费用。免费保修期外，投标人负责提供原装配件并免费维修更换，不额外收费，采购人只需支付更换的零配件费用。投标人负责该套设备软件的免费安装，软件终身免费升级维护、备份。</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免费保修期内，投标人应对产品因质量出现的问题修复，在2小时内响应，24小时内到达现场维修，48小时内消除故障(不可抗力情况除外)，消耗品/零配件供应及时；若在48小时内不能及时排除故障的，投标人应在10个日历日内向采购人提供不低故障设备规格型号档次的备用设备使用，直至故障修复为止。由此产生的包括但不限于运输费、安装费、搬运费、替换产品的损耗费、零部件费、调试费等全部费用由投标人承担。</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免费保修期，投标人应确保设备年开机率在98%（含）以上，若达不到此开机率，将作以下处理：年开机率在90%（含）-98%（不含）之间，免费保修期延长一年；年开机率在85%（含）-90%（不含）之间，免费保修期延长两年；年开机率低于85（不含），投标人必须无条件更换新设备，并重新计算新设备的免费保修期，以及赔偿采购人的直接经济损失和间接经济损失，以上费用均已包含在洽谈报价中。【注：年开机率=（365-停机天数）/365】</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4、提供工程师电话和技术维修力量情况和维修的详细地址及联系方式。</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5、负责安装、调试、提供技术咨询、软件升级及人员培训，以保证采购人工作人员掌握设备各种使用操作，不额外收费。</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6、如场地迁移，需要移机时，投标人需提供设备拆装服务（包括但不限于本次招标的设备）并提供技术支持，且确保机器的正常使用，不额外收费。</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eastAsiaTheme="minorEastAsia"/>
                <w:kern w:val="0"/>
                <w:szCs w:val="21"/>
                <w:lang w:val="en-US" w:eastAsia="zh-CN"/>
              </w:rPr>
            </w:pPr>
            <w:r>
              <w:rPr>
                <w:rFonts w:hint="eastAsia" w:ascii="宋体" w:hAnsi="宋体"/>
                <w:kern w:val="0"/>
                <w:szCs w:val="21"/>
                <w:lang w:val="en-US" w:eastAsia="zh-CN"/>
              </w:rPr>
              <w:t>8</w:t>
            </w:r>
          </w:p>
        </w:tc>
        <w:tc>
          <w:tcPr>
            <w:tcW w:w="2856" w:type="dxa"/>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1、中标人所交的设备品种、规格、型号、质量等任何一项不符合同规定标准的，采购人有权拒绝收货，中标人向采购人支付本合同总金额百分之二十的违约金，并需在采购人指定期限内重新提供，否则采购人有权解除合同。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2、中标人若逾期30日以上不能交付设备，采购人有权选择解除合同并且中标人应向采购人支付本合同总金额百分之二十的违约金。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3、中标人逾期交付设备或安装调试，中标人向采购人每日支付本合同总金额万分之五的违约金。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4、中标人在一年内的不良服务率（指设备发生故障，没有合理的理由而未能在合 同规定的时限内及时妥善处理，产生采购人有效投诉。）大于百分之三（以单台设备产品为单位），则中标人赔偿采购人损失，并承担合同金额百分之五的违约金。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5、如中标人未按照本合同的约定提供售后服务，中标人向采购人支付本合同总金额百分之二十的违约金，给采购人造成损失的，中标人应承担全部赔偿责任。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 xml:space="preserve">6、中标人所供设备因质量、缺陷、技术标准等问题，给采购人或实际使用人造成损害的，中标人接到采购人通知后立即到现场配合采购人处理事故，一切赔偿责任及法律责任由中标人承担。 </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7、中标人如交付假冒伪劣、以旧充新、以不合格冒充合格产品，一经发现，采购人有权选择解除合同并且中标人应向采购人支付本合同总金额百分之二十的违约金，给采购人造成损失的，中标人应承担全部赔偿责任。</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8、如果采购人对中标人提供的产品有质量异议的，可以视具体情况暂时中止支付争议款项或其他相关款项，直到争议解除，采购人不因此承担延期付款的违约责任。</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9、中标人提供的产品不合格，或产品存在瑕疵、缺陷，采购人有权暂停支付中标人项下相应到期应付货款，且不视为采购人违约，直到双方正式处理完不合格产品为止。</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eastAsia" w:ascii="宋体" w:hAnsi="宋体"/>
                <w:kern w:val="0"/>
                <w:szCs w:val="21"/>
                <w:lang w:val="en-US" w:eastAsia="zh-CN"/>
              </w:rPr>
            </w:pPr>
          </w:p>
          <w:p>
            <w:pPr>
              <w:adjustRightInd w:val="0"/>
              <w:snapToGrid w:val="0"/>
              <w:spacing w:line="360" w:lineRule="auto"/>
              <w:jc w:val="center"/>
              <w:rPr>
                <w:rFonts w:hint="default" w:ascii="宋体" w:hAnsi="宋体" w:eastAsiaTheme="minorEastAsia"/>
                <w:kern w:val="0"/>
                <w:szCs w:val="21"/>
                <w:lang w:val="en-US" w:eastAsia="zh-CN"/>
              </w:rPr>
            </w:pPr>
            <w:r>
              <w:rPr>
                <w:rFonts w:hint="eastAsia" w:ascii="宋体" w:hAnsi="宋体"/>
                <w:kern w:val="0"/>
                <w:szCs w:val="21"/>
                <w:lang w:val="en-US" w:eastAsia="zh-CN"/>
              </w:rPr>
              <w:t>9</w:t>
            </w:r>
          </w:p>
        </w:tc>
        <w:tc>
          <w:tcPr>
            <w:tcW w:w="2856" w:type="dxa"/>
            <w:vAlign w:val="top"/>
          </w:tcPr>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1、本项目中如有涉及水、电、气设备安装及调试、室外高空作业等项目的中标人应使用具有国家认可资质的操作人员（资质证书仍在有效期内）实施，否则由此造成的后果由中标人负责。</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2、本项目所要求的硬件、软件，中标人要配备给采购人，并保证采购人能正常使用，不需要另外增加其他附件和其他费用。</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3、涉及软件应用的设备，中标人和厂家应配合采购人信息化建设。在质保期内，应将软件更新、维护并提供更新所需的硬件，开放软件端口，无偿派人配合与采购人信息系统（包括但不限于HIS、PACS、LIS等系统）的连接工作，如涉及相关接口费用由中标人承担。直至该设备与采购人信息系统可进行完整的数据交换；当采购人信息系统变更或其他情形需要与该设备连接时，须无偿派人配合，直至该设备与采购人信息系统可进行完整的数据交换，确保数据安全，无外泄。上述工程需要按照采购人计划工期内完成，不得拖延，如因客观因素不得不延长工期的，需与采购人协商并获得采购人同意。</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4、投标机型的硬件及软件配置均须是注册证或官方白皮书所描述的，且在不同的应用领域（临床、科研）新技术改进、更新的产品。</w:t>
            </w:r>
          </w:p>
          <w:p>
            <w:pPr>
              <w:keepNext w:val="0"/>
              <w:keepLines w:val="0"/>
              <w:widowControl/>
              <w:suppressLineNumbers w:val="0"/>
              <w:jc w:val="left"/>
              <w:textAlignment w:val="center"/>
              <w:rPr>
                <w:rFonts w:hint="eastAsia" w:asciiTheme="minorEastAsia" w:hAnsiTheme="minorEastAsia" w:cstheme="minorEastAsia"/>
                <w:i w:val="0"/>
                <w:iCs w:val="0"/>
                <w:color w:val="000000"/>
                <w:sz w:val="24"/>
                <w:szCs w:val="24"/>
                <w:u w:val="none"/>
                <w:lang w:val="en-US" w:eastAsia="zh-CN"/>
              </w:rPr>
            </w:pPr>
            <w:r>
              <w:rPr>
                <w:rFonts w:hint="eastAsia" w:asciiTheme="minorEastAsia" w:hAnsiTheme="minorEastAsia" w:cstheme="minorEastAsia"/>
                <w:i w:val="0"/>
                <w:iCs w:val="0"/>
                <w:color w:val="000000"/>
                <w:sz w:val="24"/>
                <w:szCs w:val="24"/>
                <w:u w:val="none"/>
                <w:lang w:val="en-US" w:eastAsia="zh-CN"/>
              </w:rPr>
              <w:t>5、网络安全要求：所提供产品或服务满足国家网络安全管理要求，遵守医疗行业和采购人网络安全管理规范，保护采购人和患者信息安全。医疗设备自带软件（如有）具备合格的软件功能及安全测评报告、源代码安全审计报告和网络及数据接口说明等。</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4"/>
                <w:szCs w:val="24"/>
                <w:u w:val="none"/>
                <w:lang w:val="en-US" w:eastAsia="zh-CN" w:bidi="ar-SA"/>
              </w:rPr>
            </w:pPr>
            <w:r>
              <w:rPr>
                <w:rFonts w:hint="eastAsia" w:asciiTheme="minorEastAsia" w:hAnsiTheme="minorEastAsia" w:cstheme="minorEastAsia"/>
                <w:i w:val="0"/>
                <w:iCs w:val="0"/>
                <w:color w:val="000000"/>
                <w:sz w:val="24"/>
                <w:szCs w:val="24"/>
                <w:u w:val="none"/>
                <w:lang w:val="en-US" w:eastAsia="zh-CN"/>
              </w:rPr>
              <w:t>6、设备使用期间，发生产品召回事件，中标人提供替代或赔偿方案。</w:t>
            </w:r>
          </w:p>
        </w:tc>
        <w:tc>
          <w:tcPr>
            <w:tcW w:w="3416" w:type="dxa"/>
          </w:tcPr>
          <w:p>
            <w:pPr>
              <w:adjustRightInd w:val="0"/>
              <w:snapToGrid w:val="0"/>
              <w:spacing w:line="360" w:lineRule="auto"/>
              <w:rPr>
                <w:rFonts w:ascii="宋体" w:hAnsi="宋体"/>
                <w:kern w:val="0"/>
                <w:szCs w:val="21"/>
              </w:rPr>
            </w:pPr>
          </w:p>
        </w:tc>
        <w:tc>
          <w:tcPr>
            <w:tcW w:w="1334" w:type="dxa"/>
          </w:tcPr>
          <w:p>
            <w:pPr>
              <w:adjustRightInd w:val="0"/>
              <w:snapToGrid w:val="0"/>
              <w:spacing w:line="360" w:lineRule="auto"/>
              <w:rPr>
                <w:rFonts w:ascii="宋体" w:hAnsi="宋体"/>
                <w:kern w:val="0"/>
                <w:szCs w:val="21"/>
              </w:rPr>
            </w:pPr>
          </w:p>
        </w:tc>
        <w:tc>
          <w:tcPr>
            <w:tcW w:w="966" w:type="dxa"/>
          </w:tcPr>
          <w:p>
            <w:pPr>
              <w:adjustRightInd w:val="0"/>
              <w:snapToGrid w:val="0"/>
              <w:spacing w:line="360" w:lineRule="auto"/>
              <w:rPr>
                <w:rFonts w:ascii="宋体" w:hAnsi="宋体"/>
                <w:kern w:val="0"/>
                <w:szCs w:val="21"/>
              </w:rPr>
            </w:pPr>
          </w:p>
        </w:tc>
      </w:tr>
    </w:tbl>
    <w:p/>
    <w:p>
      <w:pPr>
        <w:ind w:firstLine="482" w:firstLineChars="200"/>
        <w:rPr>
          <w:b/>
          <w:sz w:val="24"/>
          <w:szCs w:val="22"/>
        </w:rPr>
      </w:pPr>
    </w:p>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rPr>
      </w:pPr>
      <w:r>
        <w:rPr>
          <w:b/>
          <w:sz w:val="24"/>
        </w:rPr>
        <w:t>4.</w:t>
      </w:r>
      <w:r>
        <w:rPr>
          <w:rFonts w:hint="eastAsia"/>
          <w:b/>
          <w:sz w:val="24"/>
        </w:rPr>
        <w:t>评审委员会有权对投标响应情况作出判断（作出评审结论）。</w:t>
      </w:r>
    </w:p>
    <w:p>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pPr>
        <w:spacing w:line="360" w:lineRule="exact"/>
        <w:jc w:val="both"/>
        <w:rPr>
          <w:rFonts w:hint="eastAsia" w:asciiTheme="minorEastAsia" w:hAnsiTheme="minorEastAsia" w:cstheme="minorEastAsia"/>
          <w:b/>
          <w:sz w:val="21"/>
          <w:szCs w:val="21"/>
          <w:lang w:val="en-US" w:eastAsia="zh-CN"/>
        </w:rPr>
      </w:pPr>
      <w:r>
        <w:rPr>
          <w:rFonts w:hint="eastAsia"/>
          <w:b/>
          <w:sz w:val="24"/>
          <w:szCs w:val="22"/>
        </w:rPr>
        <w:t>6.要求提供证明资料，在“说明”一栏中列明证明资料的位置,以便评审；未要求提供证明材料的，投标人可以不提供。</w:t>
      </w:r>
    </w:p>
    <w:p>
      <w:pPr>
        <w:spacing w:line="360" w:lineRule="exact"/>
        <w:jc w:val="both"/>
        <w:rPr>
          <w:rFonts w:hint="eastAsia" w:asciiTheme="minorEastAsia" w:hAnsiTheme="minorEastAsia" w:cstheme="minorEastAsia"/>
          <w:b/>
          <w:sz w:val="21"/>
          <w:szCs w:val="21"/>
          <w:lang w:val="en-US" w:eastAsia="zh-CN"/>
        </w:rPr>
      </w:pPr>
    </w:p>
    <w:p>
      <w:pPr>
        <w:spacing w:line="360" w:lineRule="exact"/>
        <w:jc w:val="center"/>
        <w:rPr>
          <w:rFonts w:hint="eastAsia" w:asciiTheme="minorEastAsia" w:hAnsiTheme="minorEastAsia" w:cstheme="minorEastAsia"/>
          <w:b/>
          <w:sz w:val="21"/>
          <w:szCs w:val="21"/>
          <w:lang w:val="en-US" w:eastAsia="zh-CN"/>
        </w:rPr>
      </w:pPr>
    </w:p>
    <w:p>
      <w:pPr>
        <w:keepNext/>
        <w:keepLines/>
        <w:pageBreakBefore w:val="0"/>
        <w:widowControl w:val="0"/>
        <w:numPr>
          <w:ilvl w:val="-1"/>
          <w:numId w:val="0"/>
        </w:numPr>
        <w:kinsoku/>
        <w:wordWrap/>
        <w:overflowPunct/>
        <w:topLinePunct w:val="0"/>
        <w:autoSpaceDE/>
        <w:autoSpaceDN/>
        <w:bidi w:val="0"/>
        <w:adjustRightInd/>
        <w:snapToGrid/>
        <w:spacing w:line="240" w:lineRule="auto"/>
        <w:ind w:left="0" w:leftChars="0" w:right="0" w:rightChars="0"/>
        <w:jc w:val="both"/>
        <w:textAlignment w:val="auto"/>
        <w:outlineLvl w:val="3"/>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cstheme="minorEastAsia"/>
          <w:b/>
          <w:bCs/>
          <w:kern w:val="2"/>
          <w:sz w:val="24"/>
          <w:szCs w:val="24"/>
          <w:lang w:val="en-US" w:eastAsia="zh-CN"/>
        </w:rPr>
        <w:t>十</w:t>
      </w:r>
      <w:r>
        <w:rPr>
          <w:rFonts w:hint="eastAsia" w:asciiTheme="minorEastAsia" w:hAnsiTheme="minorEastAsia" w:eastAsiaTheme="minorEastAsia" w:cstheme="minorEastAsia"/>
          <w:b/>
          <w:bCs/>
          <w:kern w:val="2"/>
          <w:sz w:val="24"/>
          <w:szCs w:val="24"/>
        </w:rPr>
        <w:t>、</w:t>
      </w:r>
      <w:r>
        <w:rPr>
          <w:rFonts w:hint="eastAsia" w:asciiTheme="minorEastAsia" w:hAnsiTheme="minorEastAsia" w:cstheme="minorEastAsia"/>
          <w:b/>
          <w:bCs/>
          <w:kern w:val="2"/>
          <w:sz w:val="24"/>
          <w:szCs w:val="24"/>
          <w:lang w:val="en-US" w:eastAsia="zh-CN"/>
        </w:rPr>
        <w:t>其他响应评分的内容及佐证材料</w:t>
      </w:r>
    </w:p>
    <w:p>
      <w:pPr>
        <w:spacing w:line="420" w:lineRule="exact"/>
        <w:ind w:firstLine="422" w:firstLineChars="200"/>
        <w:rPr>
          <w:rFonts w:hint="eastAsia" w:asciiTheme="minorEastAsia" w:hAnsiTheme="minorEastAsia" w:eastAsiaTheme="minorEastAsia" w:cstheme="minorEastAsia"/>
          <w:b/>
          <w:sz w:val="21"/>
          <w:szCs w:val="21"/>
        </w:rPr>
      </w:pPr>
    </w:p>
    <w:p>
      <w:pPr>
        <w:pStyle w:val="33"/>
        <w:rPr>
          <w:rFonts w:hint="eastAsia" w:asciiTheme="minorEastAsia" w:hAnsiTheme="minorEastAsia" w:eastAsiaTheme="minorEastAsia" w:cstheme="minorEastAsia"/>
          <w:b/>
          <w:sz w:val="21"/>
          <w:szCs w:val="21"/>
        </w:rPr>
      </w:pPr>
    </w:p>
    <w:p>
      <w:pPr>
        <w:pStyle w:val="33"/>
        <w:rPr>
          <w:rFonts w:hint="eastAsia" w:asciiTheme="minorEastAsia" w:hAnsiTheme="minorEastAsia" w:eastAsiaTheme="minorEastAsia" w:cstheme="minorEastAsia"/>
          <w:b/>
          <w:sz w:val="21"/>
          <w:szCs w:val="21"/>
        </w:rPr>
      </w:pPr>
    </w:p>
    <w:p>
      <w:pPr>
        <w:jc w:val="both"/>
        <w:rPr>
          <w:rFonts w:hint="default" w:ascii="宋体" w:hAnsi="宋体" w:eastAsia="宋体" w:cs="宋体"/>
          <w:b/>
          <w:bCs/>
          <w:sz w:val="32"/>
          <w:szCs w:val="32"/>
          <w:u w:val="none"/>
          <w:lang w:val="en-US" w:eastAsia="zh-CN"/>
        </w:rPr>
      </w:pPr>
    </w:p>
    <w:p>
      <w:pPr>
        <w:spacing w:line="560" w:lineRule="exact"/>
        <w:ind w:firstLine="482" w:firstLineChars="200"/>
        <w:jc w:val="both"/>
        <w:rPr>
          <w:rFonts w:hint="default" w:asciiTheme="minorEastAsia" w:hAnsiTheme="minorEastAsia" w:eastAsiaTheme="minorEastAsia" w:cstheme="minorEastAsia"/>
          <w:b/>
          <w:bCs w:val="0"/>
          <w:sz w:val="24"/>
          <w:szCs w:val="24"/>
        </w:rPr>
      </w:pPr>
    </w:p>
    <w:sectPr>
      <w:headerReference r:id="rId3" w:type="default"/>
      <w:pgSz w:w="11906" w:h="16838"/>
      <w:pgMar w:top="2098" w:right="1474" w:bottom="1984" w:left="1587"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14E4A"/>
    <w:multiLevelType w:val="singleLevel"/>
    <w:tmpl w:val="9F014E4A"/>
    <w:lvl w:ilvl="0" w:tentative="0">
      <w:start w:val="5"/>
      <w:numFmt w:val="chineseCounting"/>
      <w:suff w:val="nothing"/>
      <w:lvlText w:val="%1、"/>
      <w:lvlJc w:val="left"/>
      <w:rPr>
        <w:rFonts w:hint="eastAsia"/>
      </w:rPr>
    </w:lvl>
  </w:abstractNum>
  <w:abstractNum w:abstractNumId="1">
    <w:nsid w:val="B7811B20"/>
    <w:multiLevelType w:val="singleLevel"/>
    <w:tmpl w:val="B7811B20"/>
    <w:lvl w:ilvl="0" w:tentative="0">
      <w:start w:val="2"/>
      <w:numFmt w:val="decimal"/>
      <w:suff w:val="nothing"/>
      <w:lvlText w:val="（%1）"/>
      <w:lvlJc w:val="left"/>
    </w:lvl>
  </w:abstractNum>
  <w:abstractNum w:abstractNumId="2">
    <w:nsid w:val="B8A383CD"/>
    <w:multiLevelType w:val="singleLevel"/>
    <w:tmpl w:val="B8A383CD"/>
    <w:lvl w:ilvl="0" w:tentative="0">
      <w:start w:val="1"/>
      <w:numFmt w:val="decimalEnclosedCircleChinese"/>
      <w:suff w:val="nothing"/>
      <w:lvlText w:val="%1　"/>
      <w:lvlJc w:val="left"/>
      <w:pPr>
        <w:ind w:left="0" w:firstLine="400"/>
      </w:pPr>
      <w:rPr>
        <w:rFonts w:hint="eastAsia"/>
      </w:rPr>
    </w:lvl>
  </w:abstractNum>
  <w:abstractNum w:abstractNumId="3">
    <w:nsid w:val="C1950ABE"/>
    <w:multiLevelType w:val="singleLevel"/>
    <w:tmpl w:val="C1950ABE"/>
    <w:lvl w:ilvl="0" w:tentative="0">
      <w:start w:val="1"/>
      <w:numFmt w:val="decimal"/>
      <w:lvlText w:val="%1."/>
      <w:lvlJc w:val="left"/>
      <w:pPr>
        <w:ind w:left="0" w:leftChars="0" w:firstLine="454" w:firstLineChars="0"/>
      </w:pPr>
      <w:rPr>
        <w:rFonts w:hint="default"/>
      </w:rPr>
    </w:lvl>
  </w:abstractNum>
  <w:abstractNum w:abstractNumId="4">
    <w:nsid w:val="C1D126E1"/>
    <w:multiLevelType w:val="singleLevel"/>
    <w:tmpl w:val="C1D126E1"/>
    <w:lvl w:ilvl="0" w:tentative="0">
      <w:start w:val="2"/>
      <w:numFmt w:val="chineseCounting"/>
      <w:suff w:val="nothing"/>
      <w:lvlText w:val="%1、"/>
      <w:lvlJc w:val="left"/>
      <w:rPr>
        <w:rFonts w:hint="eastAsia"/>
      </w:rPr>
    </w:lvl>
  </w:abstractNum>
  <w:abstractNum w:abstractNumId="5">
    <w:nsid w:val="355E9718"/>
    <w:multiLevelType w:val="singleLevel"/>
    <w:tmpl w:val="355E9718"/>
    <w:lvl w:ilvl="0" w:tentative="0">
      <w:start w:val="1"/>
      <w:numFmt w:val="chineseCounting"/>
      <w:suff w:val="nothing"/>
      <w:lvlText w:val="（%1）"/>
      <w:lvlJc w:val="left"/>
      <w:rPr>
        <w:rFonts w:hint="eastAsia"/>
      </w:rPr>
    </w:lvl>
  </w:abstractNum>
  <w:abstractNum w:abstractNumId="6">
    <w:nsid w:val="74077D56"/>
    <w:multiLevelType w:val="singleLevel"/>
    <w:tmpl w:val="74077D56"/>
    <w:lvl w:ilvl="0" w:tentative="0">
      <w:start w:val="2"/>
      <w:numFmt w:val="chineseCounting"/>
      <w:suff w:val="nothing"/>
      <w:lvlText w:val="%1、"/>
      <w:lvlJc w:val="left"/>
      <w:rPr>
        <w:rFonts w:hint="eastAsia"/>
      </w:rPr>
    </w:lvl>
  </w:abstractNum>
  <w:abstractNum w:abstractNumId="7">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4"/>
  </w:num>
  <w:num w:numId="3">
    <w:abstractNumId w:val="7"/>
  </w:num>
  <w:num w:numId="4">
    <w:abstractNumId w:val="0"/>
  </w:num>
  <w:num w:numId="5">
    <w:abstractNumId w:val="3"/>
  </w:num>
  <w:num w:numId="6">
    <w:abstractNumId w:val="2"/>
  </w:num>
  <w:num w:numId="7">
    <w:abstractNumId w:val="1"/>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沈少敏">
    <w15:presenceInfo w15:providerId="None" w15:userId="沈少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revisionView w:markup="0"/>
  <w:trackRevisions w:val="1"/>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 w:name="KSO_WPS_MARK_KEY" w:val="08de02ea-fdc6-4a3b-a5eb-4ec6edb5d3a4"/>
  </w:docVars>
  <w:rsids>
    <w:rsidRoot w:val="008B7703"/>
    <w:rsid w:val="00002815"/>
    <w:rsid w:val="0001630A"/>
    <w:rsid w:val="000237A4"/>
    <w:rsid w:val="000264F9"/>
    <w:rsid w:val="0002659A"/>
    <w:rsid w:val="000274B3"/>
    <w:rsid w:val="00030009"/>
    <w:rsid w:val="00035655"/>
    <w:rsid w:val="00042F5D"/>
    <w:rsid w:val="00043F2A"/>
    <w:rsid w:val="00044529"/>
    <w:rsid w:val="0005226D"/>
    <w:rsid w:val="00052D02"/>
    <w:rsid w:val="000553DB"/>
    <w:rsid w:val="000572ED"/>
    <w:rsid w:val="0006666D"/>
    <w:rsid w:val="00067809"/>
    <w:rsid w:val="00093056"/>
    <w:rsid w:val="00093EA6"/>
    <w:rsid w:val="000940D9"/>
    <w:rsid w:val="000A0962"/>
    <w:rsid w:val="000A0B50"/>
    <w:rsid w:val="000B2155"/>
    <w:rsid w:val="000B37A4"/>
    <w:rsid w:val="000C0769"/>
    <w:rsid w:val="000D4188"/>
    <w:rsid w:val="000D53EA"/>
    <w:rsid w:val="00106670"/>
    <w:rsid w:val="00111F7C"/>
    <w:rsid w:val="001121D5"/>
    <w:rsid w:val="00120410"/>
    <w:rsid w:val="001334CC"/>
    <w:rsid w:val="00137B16"/>
    <w:rsid w:val="00144695"/>
    <w:rsid w:val="001472AB"/>
    <w:rsid w:val="00156D61"/>
    <w:rsid w:val="00162AEA"/>
    <w:rsid w:val="001651D7"/>
    <w:rsid w:val="001653AA"/>
    <w:rsid w:val="0018688C"/>
    <w:rsid w:val="00194F2F"/>
    <w:rsid w:val="001A056C"/>
    <w:rsid w:val="001A211D"/>
    <w:rsid w:val="001B0AA5"/>
    <w:rsid w:val="001B64D0"/>
    <w:rsid w:val="001C523E"/>
    <w:rsid w:val="001C5E54"/>
    <w:rsid w:val="001D66BE"/>
    <w:rsid w:val="001D7B18"/>
    <w:rsid w:val="00200D84"/>
    <w:rsid w:val="0020733E"/>
    <w:rsid w:val="002079BC"/>
    <w:rsid w:val="00214184"/>
    <w:rsid w:val="00223F90"/>
    <w:rsid w:val="0022420B"/>
    <w:rsid w:val="00231B7E"/>
    <w:rsid w:val="00244C64"/>
    <w:rsid w:val="00252B96"/>
    <w:rsid w:val="00266D74"/>
    <w:rsid w:val="00277CC0"/>
    <w:rsid w:val="002950C8"/>
    <w:rsid w:val="002A2DB7"/>
    <w:rsid w:val="002A71CC"/>
    <w:rsid w:val="002B70A5"/>
    <w:rsid w:val="002C18A9"/>
    <w:rsid w:val="002C77EB"/>
    <w:rsid w:val="002F3E1E"/>
    <w:rsid w:val="002F55EF"/>
    <w:rsid w:val="002F627D"/>
    <w:rsid w:val="002F6D0B"/>
    <w:rsid w:val="00300697"/>
    <w:rsid w:val="00301C97"/>
    <w:rsid w:val="003136F3"/>
    <w:rsid w:val="00316674"/>
    <w:rsid w:val="00324BEA"/>
    <w:rsid w:val="00324D15"/>
    <w:rsid w:val="0032662D"/>
    <w:rsid w:val="003336A3"/>
    <w:rsid w:val="00336EE3"/>
    <w:rsid w:val="00343AB8"/>
    <w:rsid w:val="00347DD8"/>
    <w:rsid w:val="00352494"/>
    <w:rsid w:val="00353010"/>
    <w:rsid w:val="00380E2F"/>
    <w:rsid w:val="00390C48"/>
    <w:rsid w:val="0039233D"/>
    <w:rsid w:val="00395FF6"/>
    <w:rsid w:val="003A0B0F"/>
    <w:rsid w:val="003A5FC2"/>
    <w:rsid w:val="003B0360"/>
    <w:rsid w:val="003B4038"/>
    <w:rsid w:val="003B6866"/>
    <w:rsid w:val="003B7DA8"/>
    <w:rsid w:val="003C3D35"/>
    <w:rsid w:val="003C4914"/>
    <w:rsid w:val="003D0A8C"/>
    <w:rsid w:val="003D0E0B"/>
    <w:rsid w:val="003E1515"/>
    <w:rsid w:val="003E26E7"/>
    <w:rsid w:val="003F2C3E"/>
    <w:rsid w:val="003F7EF7"/>
    <w:rsid w:val="0040461E"/>
    <w:rsid w:val="00405140"/>
    <w:rsid w:val="00407ADA"/>
    <w:rsid w:val="0042106B"/>
    <w:rsid w:val="004221BB"/>
    <w:rsid w:val="004233B9"/>
    <w:rsid w:val="0042797E"/>
    <w:rsid w:val="00434F76"/>
    <w:rsid w:val="00441C7D"/>
    <w:rsid w:val="00443214"/>
    <w:rsid w:val="00451B90"/>
    <w:rsid w:val="0045221F"/>
    <w:rsid w:val="00453469"/>
    <w:rsid w:val="0045483F"/>
    <w:rsid w:val="004550DB"/>
    <w:rsid w:val="00456778"/>
    <w:rsid w:val="00466A7A"/>
    <w:rsid w:val="004711A5"/>
    <w:rsid w:val="00471837"/>
    <w:rsid w:val="00472261"/>
    <w:rsid w:val="00481A36"/>
    <w:rsid w:val="00484F83"/>
    <w:rsid w:val="004851C8"/>
    <w:rsid w:val="00495165"/>
    <w:rsid w:val="004A061F"/>
    <w:rsid w:val="004A1E5F"/>
    <w:rsid w:val="004A1F14"/>
    <w:rsid w:val="004A5961"/>
    <w:rsid w:val="004B6EBD"/>
    <w:rsid w:val="004C6764"/>
    <w:rsid w:val="004C7424"/>
    <w:rsid w:val="004C7C4A"/>
    <w:rsid w:val="004E26EB"/>
    <w:rsid w:val="004E6896"/>
    <w:rsid w:val="004E7B53"/>
    <w:rsid w:val="004F2CC7"/>
    <w:rsid w:val="004F677E"/>
    <w:rsid w:val="00510862"/>
    <w:rsid w:val="005148B1"/>
    <w:rsid w:val="00520539"/>
    <w:rsid w:val="00531871"/>
    <w:rsid w:val="00532EDF"/>
    <w:rsid w:val="00540F75"/>
    <w:rsid w:val="00541502"/>
    <w:rsid w:val="00546CD9"/>
    <w:rsid w:val="005474EC"/>
    <w:rsid w:val="00557D87"/>
    <w:rsid w:val="00570D12"/>
    <w:rsid w:val="005719A7"/>
    <w:rsid w:val="00592D63"/>
    <w:rsid w:val="0059749F"/>
    <w:rsid w:val="005A0F46"/>
    <w:rsid w:val="005B26F5"/>
    <w:rsid w:val="005C337E"/>
    <w:rsid w:val="005C4D72"/>
    <w:rsid w:val="005D3439"/>
    <w:rsid w:val="005E08D5"/>
    <w:rsid w:val="005F6D82"/>
    <w:rsid w:val="00606593"/>
    <w:rsid w:val="0060728D"/>
    <w:rsid w:val="006139DD"/>
    <w:rsid w:val="00632806"/>
    <w:rsid w:val="00633A9E"/>
    <w:rsid w:val="00633BE9"/>
    <w:rsid w:val="00636278"/>
    <w:rsid w:val="006370A8"/>
    <w:rsid w:val="006454AC"/>
    <w:rsid w:val="00653F5C"/>
    <w:rsid w:val="0066013B"/>
    <w:rsid w:val="00661369"/>
    <w:rsid w:val="00664A8B"/>
    <w:rsid w:val="00686B61"/>
    <w:rsid w:val="00691DF4"/>
    <w:rsid w:val="006924F9"/>
    <w:rsid w:val="00693790"/>
    <w:rsid w:val="006A29BD"/>
    <w:rsid w:val="006C60E2"/>
    <w:rsid w:val="006D012C"/>
    <w:rsid w:val="006D3F7D"/>
    <w:rsid w:val="006D5199"/>
    <w:rsid w:val="006E02AE"/>
    <w:rsid w:val="006E7A50"/>
    <w:rsid w:val="006F5868"/>
    <w:rsid w:val="007049A5"/>
    <w:rsid w:val="00713145"/>
    <w:rsid w:val="0071601B"/>
    <w:rsid w:val="007212D2"/>
    <w:rsid w:val="007218C7"/>
    <w:rsid w:val="00734DED"/>
    <w:rsid w:val="00751C50"/>
    <w:rsid w:val="00752A2F"/>
    <w:rsid w:val="007550FA"/>
    <w:rsid w:val="007646FB"/>
    <w:rsid w:val="007712D1"/>
    <w:rsid w:val="00772B68"/>
    <w:rsid w:val="00782EEF"/>
    <w:rsid w:val="00784158"/>
    <w:rsid w:val="00786850"/>
    <w:rsid w:val="00787C73"/>
    <w:rsid w:val="007909CA"/>
    <w:rsid w:val="00795A72"/>
    <w:rsid w:val="0079670A"/>
    <w:rsid w:val="007A7D40"/>
    <w:rsid w:val="007B60A5"/>
    <w:rsid w:val="007C4A48"/>
    <w:rsid w:val="007D0B63"/>
    <w:rsid w:val="007D7818"/>
    <w:rsid w:val="007D7CE2"/>
    <w:rsid w:val="007F435D"/>
    <w:rsid w:val="007F5300"/>
    <w:rsid w:val="00806AFA"/>
    <w:rsid w:val="00810F63"/>
    <w:rsid w:val="0081367E"/>
    <w:rsid w:val="008142B9"/>
    <w:rsid w:val="008146CB"/>
    <w:rsid w:val="008147EA"/>
    <w:rsid w:val="00837365"/>
    <w:rsid w:val="00840A98"/>
    <w:rsid w:val="0084295C"/>
    <w:rsid w:val="008668EB"/>
    <w:rsid w:val="00866C1B"/>
    <w:rsid w:val="008748E2"/>
    <w:rsid w:val="00876A27"/>
    <w:rsid w:val="008778DA"/>
    <w:rsid w:val="00881DAC"/>
    <w:rsid w:val="008910A3"/>
    <w:rsid w:val="00891160"/>
    <w:rsid w:val="008937EF"/>
    <w:rsid w:val="008A1F6E"/>
    <w:rsid w:val="008B5447"/>
    <w:rsid w:val="008B6B37"/>
    <w:rsid w:val="008B7703"/>
    <w:rsid w:val="008D65C5"/>
    <w:rsid w:val="008E0111"/>
    <w:rsid w:val="008F25EE"/>
    <w:rsid w:val="008F4077"/>
    <w:rsid w:val="008F5C0C"/>
    <w:rsid w:val="008F7BB8"/>
    <w:rsid w:val="00901864"/>
    <w:rsid w:val="0090358A"/>
    <w:rsid w:val="009038DB"/>
    <w:rsid w:val="00907034"/>
    <w:rsid w:val="00911495"/>
    <w:rsid w:val="00913318"/>
    <w:rsid w:val="00915866"/>
    <w:rsid w:val="00917CB7"/>
    <w:rsid w:val="009212D9"/>
    <w:rsid w:val="009215AC"/>
    <w:rsid w:val="00921F9E"/>
    <w:rsid w:val="0092563B"/>
    <w:rsid w:val="009276AB"/>
    <w:rsid w:val="00927F54"/>
    <w:rsid w:val="00934C2B"/>
    <w:rsid w:val="00946C56"/>
    <w:rsid w:val="00946E1E"/>
    <w:rsid w:val="00947081"/>
    <w:rsid w:val="00947B77"/>
    <w:rsid w:val="00950B7D"/>
    <w:rsid w:val="009645E3"/>
    <w:rsid w:val="00964C05"/>
    <w:rsid w:val="00972279"/>
    <w:rsid w:val="009728CC"/>
    <w:rsid w:val="00992494"/>
    <w:rsid w:val="009A30F1"/>
    <w:rsid w:val="009A67A7"/>
    <w:rsid w:val="009B3F84"/>
    <w:rsid w:val="009D2005"/>
    <w:rsid w:val="009F0303"/>
    <w:rsid w:val="009F5F48"/>
    <w:rsid w:val="00A03AEE"/>
    <w:rsid w:val="00A0467D"/>
    <w:rsid w:val="00A10D22"/>
    <w:rsid w:val="00A1624A"/>
    <w:rsid w:val="00A22E5F"/>
    <w:rsid w:val="00A26987"/>
    <w:rsid w:val="00A309AF"/>
    <w:rsid w:val="00A35C29"/>
    <w:rsid w:val="00A42A7A"/>
    <w:rsid w:val="00A5172A"/>
    <w:rsid w:val="00A563A4"/>
    <w:rsid w:val="00A6260C"/>
    <w:rsid w:val="00A76FD4"/>
    <w:rsid w:val="00A84046"/>
    <w:rsid w:val="00A91808"/>
    <w:rsid w:val="00A94948"/>
    <w:rsid w:val="00AA0D47"/>
    <w:rsid w:val="00AA0D59"/>
    <w:rsid w:val="00AA1B09"/>
    <w:rsid w:val="00AA445D"/>
    <w:rsid w:val="00AB0A43"/>
    <w:rsid w:val="00AC0975"/>
    <w:rsid w:val="00AC5424"/>
    <w:rsid w:val="00AD0961"/>
    <w:rsid w:val="00AD1669"/>
    <w:rsid w:val="00AE15A9"/>
    <w:rsid w:val="00AE5C31"/>
    <w:rsid w:val="00B02B42"/>
    <w:rsid w:val="00B07DA7"/>
    <w:rsid w:val="00B110CA"/>
    <w:rsid w:val="00B23D8D"/>
    <w:rsid w:val="00B31987"/>
    <w:rsid w:val="00B3481D"/>
    <w:rsid w:val="00B56CBE"/>
    <w:rsid w:val="00B57B31"/>
    <w:rsid w:val="00B601FE"/>
    <w:rsid w:val="00B6274E"/>
    <w:rsid w:val="00B64965"/>
    <w:rsid w:val="00B71074"/>
    <w:rsid w:val="00B835F1"/>
    <w:rsid w:val="00B93B58"/>
    <w:rsid w:val="00BA7713"/>
    <w:rsid w:val="00BC07DE"/>
    <w:rsid w:val="00BC1B65"/>
    <w:rsid w:val="00BD1998"/>
    <w:rsid w:val="00BE2676"/>
    <w:rsid w:val="00BF019A"/>
    <w:rsid w:val="00BF4CE3"/>
    <w:rsid w:val="00C0192F"/>
    <w:rsid w:val="00C020DE"/>
    <w:rsid w:val="00C0598D"/>
    <w:rsid w:val="00C07CC5"/>
    <w:rsid w:val="00C1431B"/>
    <w:rsid w:val="00C26047"/>
    <w:rsid w:val="00C32072"/>
    <w:rsid w:val="00C41143"/>
    <w:rsid w:val="00C578C8"/>
    <w:rsid w:val="00C64E74"/>
    <w:rsid w:val="00C70D45"/>
    <w:rsid w:val="00C72EF9"/>
    <w:rsid w:val="00C73D7A"/>
    <w:rsid w:val="00C8388F"/>
    <w:rsid w:val="00C85E5A"/>
    <w:rsid w:val="00C92A96"/>
    <w:rsid w:val="00CB5442"/>
    <w:rsid w:val="00CB5FAC"/>
    <w:rsid w:val="00CC0FA0"/>
    <w:rsid w:val="00CC2AC6"/>
    <w:rsid w:val="00CC7489"/>
    <w:rsid w:val="00CD2CDC"/>
    <w:rsid w:val="00CD68BC"/>
    <w:rsid w:val="00CD7264"/>
    <w:rsid w:val="00CE064A"/>
    <w:rsid w:val="00CE3DFF"/>
    <w:rsid w:val="00CE51D9"/>
    <w:rsid w:val="00CE51FB"/>
    <w:rsid w:val="00CE6AFB"/>
    <w:rsid w:val="00CF2AF2"/>
    <w:rsid w:val="00CF3894"/>
    <w:rsid w:val="00CF7117"/>
    <w:rsid w:val="00D073CE"/>
    <w:rsid w:val="00D120F8"/>
    <w:rsid w:val="00D17DE6"/>
    <w:rsid w:val="00D17FF5"/>
    <w:rsid w:val="00D265B1"/>
    <w:rsid w:val="00D3474B"/>
    <w:rsid w:val="00D458D0"/>
    <w:rsid w:val="00D46FF2"/>
    <w:rsid w:val="00D54896"/>
    <w:rsid w:val="00D633B3"/>
    <w:rsid w:val="00D63594"/>
    <w:rsid w:val="00D731FF"/>
    <w:rsid w:val="00D81BBE"/>
    <w:rsid w:val="00D911CA"/>
    <w:rsid w:val="00D9595A"/>
    <w:rsid w:val="00DB02D0"/>
    <w:rsid w:val="00DB43B8"/>
    <w:rsid w:val="00DC141D"/>
    <w:rsid w:val="00DC582F"/>
    <w:rsid w:val="00DC583D"/>
    <w:rsid w:val="00DD257E"/>
    <w:rsid w:val="00DD7073"/>
    <w:rsid w:val="00DE41AC"/>
    <w:rsid w:val="00DE7E40"/>
    <w:rsid w:val="00DF6212"/>
    <w:rsid w:val="00DF6D5F"/>
    <w:rsid w:val="00DF718C"/>
    <w:rsid w:val="00E02742"/>
    <w:rsid w:val="00E041FD"/>
    <w:rsid w:val="00E07BAE"/>
    <w:rsid w:val="00E136D8"/>
    <w:rsid w:val="00E23EB8"/>
    <w:rsid w:val="00E253A5"/>
    <w:rsid w:val="00E34F20"/>
    <w:rsid w:val="00E4081F"/>
    <w:rsid w:val="00E50A8B"/>
    <w:rsid w:val="00E556CB"/>
    <w:rsid w:val="00E55E36"/>
    <w:rsid w:val="00E663C8"/>
    <w:rsid w:val="00E75E9A"/>
    <w:rsid w:val="00E83941"/>
    <w:rsid w:val="00EA13DB"/>
    <w:rsid w:val="00EB2E4A"/>
    <w:rsid w:val="00EC09BA"/>
    <w:rsid w:val="00EC23FE"/>
    <w:rsid w:val="00EC56F0"/>
    <w:rsid w:val="00EC7CB9"/>
    <w:rsid w:val="00EE02F7"/>
    <w:rsid w:val="00EE0B0C"/>
    <w:rsid w:val="00EE3AD7"/>
    <w:rsid w:val="00EE669A"/>
    <w:rsid w:val="00EE7BE5"/>
    <w:rsid w:val="00F065D5"/>
    <w:rsid w:val="00F37153"/>
    <w:rsid w:val="00F4246D"/>
    <w:rsid w:val="00F43C5F"/>
    <w:rsid w:val="00F527C0"/>
    <w:rsid w:val="00F554D0"/>
    <w:rsid w:val="00F63605"/>
    <w:rsid w:val="00F70802"/>
    <w:rsid w:val="00F744F0"/>
    <w:rsid w:val="00F74FD8"/>
    <w:rsid w:val="00F76EF8"/>
    <w:rsid w:val="00F77138"/>
    <w:rsid w:val="00F8021A"/>
    <w:rsid w:val="00F877B1"/>
    <w:rsid w:val="00F905C2"/>
    <w:rsid w:val="00F9442E"/>
    <w:rsid w:val="00FA2F5F"/>
    <w:rsid w:val="00FA39B6"/>
    <w:rsid w:val="00FA6FEE"/>
    <w:rsid w:val="00FB012A"/>
    <w:rsid w:val="00FB717B"/>
    <w:rsid w:val="00FB7BF9"/>
    <w:rsid w:val="00FC2E75"/>
    <w:rsid w:val="00FC3B97"/>
    <w:rsid w:val="00FC467C"/>
    <w:rsid w:val="00FC4EA5"/>
    <w:rsid w:val="00FD02A0"/>
    <w:rsid w:val="00FD442D"/>
    <w:rsid w:val="00FE1016"/>
    <w:rsid w:val="00FE339E"/>
    <w:rsid w:val="00FF287D"/>
    <w:rsid w:val="00FF3882"/>
    <w:rsid w:val="00FF65D1"/>
    <w:rsid w:val="013C5B0D"/>
    <w:rsid w:val="01582FCA"/>
    <w:rsid w:val="01657C13"/>
    <w:rsid w:val="018316A1"/>
    <w:rsid w:val="0183728A"/>
    <w:rsid w:val="018A58CB"/>
    <w:rsid w:val="018E4199"/>
    <w:rsid w:val="01937524"/>
    <w:rsid w:val="019A10AD"/>
    <w:rsid w:val="01A96A7C"/>
    <w:rsid w:val="01B93B6E"/>
    <w:rsid w:val="01BC28E7"/>
    <w:rsid w:val="01CE0603"/>
    <w:rsid w:val="01D70F12"/>
    <w:rsid w:val="01DC34F3"/>
    <w:rsid w:val="01E4093E"/>
    <w:rsid w:val="01E85338"/>
    <w:rsid w:val="01ED334E"/>
    <w:rsid w:val="01F77248"/>
    <w:rsid w:val="01F84CCA"/>
    <w:rsid w:val="01F94B81"/>
    <w:rsid w:val="01FD4788"/>
    <w:rsid w:val="02246E13"/>
    <w:rsid w:val="02273395"/>
    <w:rsid w:val="022B1FD5"/>
    <w:rsid w:val="022C7998"/>
    <w:rsid w:val="025172C3"/>
    <w:rsid w:val="025509AB"/>
    <w:rsid w:val="0273635F"/>
    <w:rsid w:val="028F379B"/>
    <w:rsid w:val="029403CC"/>
    <w:rsid w:val="029F7205"/>
    <w:rsid w:val="02B212F1"/>
    <w:rsid w:val="02B475FB"/>
    <w:rsid w:val="02BD5D0D"/>
    <w:rsid w:val="02BE1E79"/>
    <w:rsid w:val="02C42693"/>
    <w:rsid w:val="02E10084"/>
    <w:rsid w:val="02E3014B"/>
    <w:rsid w:val="02E57645"/>
    <w:rsid w:val="02EE4C27"/>
    <w:rsid w:val="02FC0103"/>
    <w:rsid w:val="02FD60F2"/>
    <w:rsid w:val="030A5E0C"/>
    <w:rsid w:val="03190625"/>
    <w:rsid w:val="032875BA"/>
    <w:rsid w:val="032A1207"/>
    <w:rsid w:val="035B4911"/>
    <w:rsid w:val="035E7A94"/>
    <w:rsid w:val="035F375B"/>
    <w:rsid w:val="03660724"/>
    <w:rsid w:val="038257E6"/>
    <w:rsid w:val="039649B8"/>
    <w:rsid w:val="039659F0"/>
    <w:rsid w:val="03A055CA"/>
    <w:rsid w:val="03A638A0"/>
    <w:rsid w:val="03D32EE8"/>
    <w:rsid w:val="03E5328D"/>
    <w:rsid w:val="04351B1E"/>
    <w:rsid w:val="045D0C58"/>
    <w:rsid w:val="04943480"/>
    <w:rsid w:val="04B638C9"/>
    <w:rsid w:val="04EF6F26"/>
    <w:rsid w:val="05120F59"/>
    <w:rsid w:val="05195B6C"/>
    <w:rsid w:val="053B21E5"/>
    <w:rsid w:val="056B42F1"/>
    <w:rsid w:val="057C1322"/>
    <w:rsid w:val="058A7125"/>
    <w:rsid w:val="05952F37"/>
    <w:rsid w:val="05A247CB"/>
    <w:rsid w:val="05CB3411"/>
    <w:rsid w:val="05D25A0A"/>
    <w:rsid w:val="05F1023E"/>
    <w:rsid w:val="060F7F31"/>
    <w:rsid w:val="06187C8D"/>
    <w:rsid w:val="0620091D"/>
    <w:rsid w:val="06212B1B"/>
    <w:rsid w:val="06473D8B"/>
    <w:rsid w:val="065751F3"/>
    <w:rsid w:val="06626E08"/>
    <w:rsid w:val="066C6927"/>
    <w:rsid w:val="0685283F"/>
    <w:rsid w:val="068A3342"/>
    <w:rsid w:val="06963DDF"/>
    <w:rsid w:val="06A55107"/>
    <w:rsid w:val="06BC4A49"/>
    <w:rsid w:val="06E02487"/>
    <w:rsid w:val="06E155DE"/>
    <w:rsid w:val="06EA7FE5"/>
    <w:rsid w:val="06F430C9"/>
    <w:rsid w:val="06F5180B"/>
    <w:rsid w:val="06FC3783"/>
    <w:rsid w:val="072E5257"/>
    <w:rsid w:val="076D0BCD"/>
    <w:rsid w:val="07802062"/>
    <w:rsid w:val="078B414B"/>
    <w:rsid w:val="07B05960"/>
    <w:rsid w:val="07BD176D"/>
    <w:rsid w:val="07BF421F"/>
    <w:rsid w:val="07C07B32"/>
    <w:rsid w:val="07DB289C"/>
    <w:rsid w:val="07DC0503"/>
    <w:rsid w:val="07F649DB"/>
    <w:rsid w:val="08005083"/>
    <w:rsid w:val="08150A61"/>
    <w:rsid w:val="08162D8B"/>
    <w:rsid w:val="081D70DE"/>
    <w:rsid w:val="084837A5"/>
    <w:rsid w:val="084859A3"/>
    <w:rsid w:val="08533F11"/>
    <w:rsid w:val="08835DB9"/>
    <w:rsid w:val="08DA2C94"/>
    <w:rsid w:val="08E9552D"/>
    <w:rsid w:val="08F42600"/>
    <w:rsid w:val="08FC0CCA"/>
    <w:rsid w:val="091927F9"/>
    <w:rsid w:val="0919607C"/>
    <w:rsid w:val="091B157F"/>
    <w:rsid w:val="091B64E9"/>
    <w:rsid w:val="094A684B"/>
    <w:rsid w:val="09837CAA"/>
    <w:rsid w:val="098562E3"/>
    <w:rsid w:val="09860C2E"/>
    <w:rsid w:val="09901D08"/>
    <w:rsid w:val="099334E6"/>
    <w:rsid w:val="09A6526C"/>
    <w:rsid w:val="09B053A2"/>
    <w:rsid w:val="09BC05EC"/>
    <w:rsid w:val="09DE4B40"/>
    <w:rsid w:val="09E50C48"/>
    <w:rsid w:val="09F4422A"/>
    <w:rsid w:val="09FB4292"/>
    <w:rsid w:val="0A2D0142"/>
    <w:rsid w:val="0A2E381F"/>
    <w:rsid w:val="0A4D1589"/>
    <w:rsid w:val="0A644A1B"/>
    <w:rsid w:val="0A73514E"/>
    <w:rsid w:val="0A8B4C59"/>
    <w:rsid w:val="0A8C50AC"/>
    <w:rsid w:val="0AAD6492"/>
    <w:rsid w:val="0AB74823"/>
    <w:rsid w:val="0ABE5635"/>
    <w:rsid w:val="0B14713B"/>
    <w:rsid w:val="0B446AEB"/>
    <w:rsid w:val="0B494045"/>
    <w:rsid w:val="0B6423BD"/>
    <w:rsid w:val="0B6E6550"/>
    <w:rsid w:val="0BA63302"/>
    <w:rsid w:val="0BAA3F58"/>
    <w:rsid w:val="0BB124BD"/>
    <w:rsid w:val="0BB51797"/>
    <w:rsid w:val="0BE33E43"/>
    <w:rsid w:val="0C564901"/>
    <w:rsid w:val="0C610FDC"/>
    <w:rsid w:val="0C9A2041"/>
    <w:rsid w:val="0C9C53A2"/>
    <w:rsid w:val="0CA46FA0"/>
    <w:rsid w:val="0CAA4C53"/>
    <w:rsid w:val="0CB50A66"/>
    <w:rsid w:val="0CD914B5"/>
    <w:rsid w:val="0D003464"/>
    <w:rsid w:val="0D015662"/>
    <w:rsid w:val="0D205F17"/>
    <w:rsid w:val="0D460355"/>
    <w:rsid w:val="0D6C7CF1"/>
    <w:rsid w:val="0D79097F"/>
    <w:rsid w:val="0D7B2DAD"/>
    <w:rsid w:val="0DA0368C"/>
    <w:rsid w:val="0DB47DA7"/>
    <w:rsid w:val="0DBF259D"/>
    <w:rsid w:val="0DCF199B"/>
    <w:rsid w:val="0DDA7D20"/>
    <w:rsid w:val="0DF46AF0"/>
    <w:rsid w:val="0DFA10FD"/>
    <w:rsid w:val="0E107158"/>
    <w:rsid w:val="0E2224DB"/>
    <w:rsid w:val="0E236E8B"/>
    <w:rsid w:val="0E347FDD"/>
    <w:rsid w:val="0E706B3D"/>
    <w:rsid w:val="0E920377"/>
    <w:rsid w:val="0E94233C"/>
    <w:rsid w:val="0E963A0F"/>
    <w:rsid w:val="0EAC615B"/>
    <w:rsid w:val="0EB3632D"/>
    <w:rsid w:val="0EC92D8B"/>
    <w:rsid w:val="0EDB14DB"/>
    <w:rsid w:val="0EE27660"/>
    <w:rsid w:val="0EEC778C"/>
    <w:rsid w:val="0F1E5E33"/>
    <w:rsid w:val="0F316BFB"/>
    <w:rsid w:val="0F355602"/>
    <w:rsid w:val="0F4E552B"/>
    <w:rsid w:val="0F6A0D0D"/>
    <w:rsid w:val="0F6E58A0"/>
    <w:rsid w:val="0F7D081D"/>
    <w:rsid w:val="0F976DDE"/>
    <w:rsid w:val="0FB82358"/>
    <w:rsid w:val="0FBC0D5E"/>
    <w:rsid w:val="0FBF5566"/>
    <w:rsid w:val="0FC90073"/>
    <w:rsid w:val="0FCE1079"/>
    <w:rsid w:val="0FED72D5"/>
    <w:rsid w:val="100E53EF"/>
    <w:rsid w:val="10406DB9"/>
    <w:rsid w:val="104963C3"/>
    <w:rsid w:val="10B25DF3"/>
    <w:rsid w:val="10B74479"/>
    <w:rsid w:val="10CB6DDE"/>
    <w:rsid w:val="10DE213A"/>
    <w:rsid w:val="10ED1235"/>
    <w:rsid w:val="10EE2FE0"/>
    <w:rsid w:val="11254CC9"/>
    <w:rsid w:val="1133639C"/>
    <w:rsid w:val="11394082"/>
    <w:rsid w:val="11452DE3"/>
    <w:rsid w:val="115668B9"/>
    <w:rsid w:val="115C2A08"/>
    <w:rsid w:val="1168209E"/>
    <w:rsid w:val="11731ED8"/>
    <w:rsid w:val="117A00E2"/>
    <w:rsid w:val="1181566E"/>
    <w:rsid w:val="1184614B"/>
    <w:rsid w:val="11BB284B"/>
    <w:rsid w:val="11E06E41"/>
    <w:rsid w:val="12126CB4"/>
    <w:rsid w:val="121F6D3E"/>
    <w:rsid w:val="123F4D19"/>
    <w:rsid w:val="1259088B"/>
    <w:rsid w:val="128959F9"/>
    <w:rsid w:val="128A347A"/>
    <w:rsid w:val="12A82A2A"/>
    <w:rsid w:val="12B75243"/>
    <w:rsid w:val="12FC46B3"/>
    <w:rsid w:val="13045342"/>
    <w:rsid w:val="131C12E8"/>
    <w:rsid w:val="132809FA"/>
    <w:rsid w:val="136442CB"/>
    <w:rsid w:val="136E36ED"/>
    <w:rsid w:val="139E2241"/>
    <w:rsid w:val="13AB3BAB"/>
    <w:rsid w:val="13B860EB"/>
    <w:rsid w:val="13BC015C"/>
    <w:rsid w:val="13C733C8"/>
    <w:rsid w:val="13D57C19"/>
    <w:rsid w:val="13ED53DF"/>
    <w:rsid w:val="140053B6"/>
    <w:rsid w:val="140432BB"/>
    <w:rsid w:val="1431319F"/>
    <w:rsid w:val="1449010B"/>
    <w:rsid w:val="145928DC"/>
    <w:rsid w:val="14640782"/>
    <w:rsid w:val="14784A9B"/>
    <w:rsid w:val="148F28CB"/>
    <w:rsid w:val="149547D4"/>
    <w:rsid w:val="149D101A"/>
    <w:rsid w:val="14AF7204"/>
    <w:rsid w:val="14EA24B1"/>
    <w:rsid w:val="14EB1960"/>
    <w:rsid w:val="14FA0E93"/>
    <w:rsid w:val="15097B50"/>
    <w:rsid w:val="151A227A"/>
    <w:rsid w:val="153E0A4F"/>
    <w:rsid w:val="15445ABC"/>
    <w:rsid w:val="1553054F"/>
    <w:rsid w:val="157B3F10"/>
    <w:rsid w:val="158D422C"/>
    <w:rsid w:val="158D6F6A"/>
    <w:rsid w:val="159B4676"/>
    <w:rsid w:val="15B23D16"/>
    <w:rsid w:val="16022814"/>
    <w:rsid w:val="16025167"/>
    <w:rsid w:val="161A5018"/>
    <w:rsid w:val="161C2B3E"/>
    <w:rsid w:val="162D573E"/>
    <w:rsid w:val="16455A25"/>
    <w:rsid w:val="1650578E"/>
    <w:rsid w:val="167304E2"/>
    <w:rsid w:val="167E55A7"/>
    <w:rsid w:val="16822CFB"/>
    <w:rsid w:val="16BD2F72"/>
    <w:rsid w:val="16C36211"/>
    <w:rsid w:val="16C759ED"/>
    <w:rsid w:val="16C93880"/>
    <w:rsid w:val="16F46A2C"/>
    <w:rsid w:val="170A3CDB"/>
    <w:rsid w:val="171D3F0E"/>
    <w:rsid w:val="17204729"/>
    <w:rsid w:val="174E114A"/>
    <w:rsid w:val="17707100"/>
    <w:rsid w:val="177E790E"/>
    <w:rsid w:val="17A10E21"/>
    <w:rsid w:val="17C164DE"/>
    <w:rsid w:val="17D13CA1"/>
    <w:rsid w:val="17E26A66"/>
    <w:rsid w:val="17E603C4"/>
    <w:rsid w:val="17EA7578"/>
    <w:rsid w:val="17EE3251"/>
    <w:rsid w:val="17F0491D"/>
    <w:rsid w:val="17F6044A"/>
    <w:rsid w:val="1816603C"/>
    <w:rsid w:val="18191B17"/>
    <w:rsid w:val="185A24B2"/>
    <w:rsid w:val="18791A18"/>
    <w:rsid w:val="18823AC5"/>
    <w:rsid w:val="18904044"/>
    <w:rsid w:val="18C7749D"/>
    <w:rsid w:val="18CD4E3E"/>
    <w:rsid w:val="18E01A75"/>
    <w:rsid w:val="1922234A"/>
    <w:rsid w:val="193A4695"/>
    <w:rsid w:val="193A762E"/>
    <w:rsid w:val="193F0D7D"/>
    <w:rsid w:val="194B53F3"/>
    <w:rsid w:val="1963339F"/>
    <w:rsid w:val="197A5962"/>
    <w:rsid w:val="19A07438"/>
    <w:rsid w:val="19A44EA1"/>
    <w:rsid w:val="19A45555"/>
    <w:rsid w:val="19BF56CB"/>
    <w:rsid w:val="19C553D6"/>
    <w:rsid w:val="19E44606"/>
    <w:rsid w:val="19FB7274"/>
    <w:rsid w:val="1A141D7E"/>
    <w:rsid w:val="1A364410"/>
    <w:rsid w:val="1A404921"/>
    <w:rsid w:val="1A49562F"/>
    <w:rsid w:val="1A7154EF"/>
    <w:rsid w:val="1A7A00B3"/>
    <w:rsid w:val="1A7B6CA6"/>
    <w:rsid w:val="1A865494"/>
    <w:rsid w:val="1A9C023A"/>
    <w:rsid w:val="1AA17AB6"/>
    <w:rsid w:val="1AAA269E"/>
    <w:rsid w:val="1AB866A6"/>
    <w:rsid w:val="1AD93C19"/>
    <w:rsid w:val="1ADC3EF9"/>
    <w:rsid w:val="1ADC4B9E"/>
    <w:rsid w:val="1AF40E27"/>
    <w:rsid w:val="1AF76A4D"/>
    <w:rsid w:val="1AF82F96"/>
    <w:rsid w:val="1AF92B8F"/>
    <w:rsid w:val="1AFA47A5"/>
    <w:rsid w:val="1B151F36"/>
    <w:rsid w:val="1B4817B1"/>
    <w:rsid w:val="1B707610"/>
    <w:rsid w:val="1B761519"/>
    <w:rsid w:val="1B8309E7"/>
    <w:rsid w:val="1B924C7F"/>
    <w:rsid w:val="1BA24AAA"/>
    <w:rsid w:val="1BBA662D"/>
    <w:rsid w:val="1BBD2F92"/>
    <w:rsid w:val="1BC5531A"/>
    <w:rsid w:val="1BC9121C"/>
    <w:rsid w:val="1BD359E4"/>
    <w:rsid w:val="1BD529DB"/>
    <w:rsid w:val="1BD6394C"/>
    <w:rsid w:val="1BF37BE9"/>
    <w:rsid w:val="1BF57910"/>
    <w:rsid w:val="1BF91D70"/>
    <w:rsid w:val="1C04167F"/>
    <w:rsid w:val="1C0F7519"/>
    <w:rsid w:val="1C172A17"/>
    <w:rsid w:val="1C2F6749"/>
    <w:rsid w:val="1C3D55BC"/>
    <w:rsid w:val="1C440353"/>
    <w:rsid w:val="1C441279"/>
    <w:rsid w:val="1C4D79EE"/>
    <w:rsid w:val="1C592E11"/>
    <w:rsid w:val="1C5E6101"/>
    <w:rsid w:val="1C643B19"/>
    <w:rsid w:val="1C7958C4"/>
    <w:rsid w:val="1C872CDB"/>
    <w:rsid w:val="1C9526F9"/>
    <w:rsid w:val="1C9551F4"/>
    <w:rsid w:val="1CA76EDA"/>
    <w:rsid w:val="1CC34A3E"/>
    <w:rsid w:val="1CF77E61"/>
    <w:rsid w:val="1D0609AB"/>
    <w:rsid w:val="1D0E51AB"/>
    <w:rsid w:val="1D165353"/>
    <w:rsid w:val="1D9C08F7"/>
    <w:rsid w:val="1DB05200"/>
    <w:rsid w:val="1DC47E64"/>
    <w:rsid w:val="1DCC31FE"/>
    <w:rsid w:val="1DE70AB5"/>
    <w:rsid w:val="1E0B1B21"/>
    <w:rsid w:val="1E4829FC"/>
    <w:rsid w:val="1E746983"/>
    <w:rsid w:val="1E9E304B"/>
    <w:rsid w:val="1EAF0D67"/>
    <w:rsid w:val="1EDB5833"/>
    <w:rsid w:val="1EED7DAE"/>
    <w:rsid w:val="1F1115FD"/>
    <w:rsid w:val="1F167376"/>
    <w:rsid w:val="1F271DA9"/>
    <w:rsid w:val="1F3E16E6"/>
    <w:rsid w:val="1F5B7EF1"/>
    <w:rsid w:val="1F6F102E"/>
    <w:rsid w:val="1F764083"/>
    <w:rsid w:val="1F7E6617"/>
    <w:rsid w:val="1F973891"/>
    <w:rsid w:val="1F9C4DBA"/>
    <w:rsid w:val="1FC11BEB"/>
    <w:rsid w:val="1FCD5CBB"/>
    <w:rsid w:val="1FD06C40"/>
    <w:rsid w:val="1FE80216"/>
    <w:rsid w:val="1FE87F35"/>
    <w:rsid w:val="20045E15"/>
    <w:rsid w:val="203159E0"/>
    <w:rsid w:val="203676F3"/>
    <w:rsid w:val="20427E78"/>
    <w:rsid w:val="20485605"/>
    <w:rsid w:val="2049323F"/>
    <w:rsid w:val="204C2272"/>
    <w:rsid w:val="20517769"/>
    <w:rsid w:val="20597DBD"/>
    <w:rsid w:val="205C39BF"/>
    <w:rsid w:val="20672C08"/>
    <w:rsid w:val="20727497"/>
    <w:rsid w:val="207B4B5A"/>
    <w:rsid w:val="208C2876"/>
    <w:rsid w:val="20902332"/>
    <w:rsid w:val="20A200E4"/>
    <w:rsid w:val="20A47F1D"/>
    <w:rsid w:val="20E06A7D"/>
    <w:rsid w:val="21012835"/>
    <w:rsid w:val="21245BCA"/>
    <w:rsid w:val="2152522B"/>
    <w:rsid w:val="215315CA"/>
    <w:rsid w:val="217138E4"/>
    <w:rsid w:val="217C217E"/>
    <w:rsid w:val="218E2416"/>
    <w:rsid w:val="21962D28"/>
    <w:rsid w:val="21B26DD5"/>
    <w:rsid w:val="21B34857"/>
    <w:rsid w:val="21B76AE0"/>
    <w:rsid w:val="21D249F9"/>
    <w:rsid w:val="21ED1AE9"/>
    <w:rsid w:val="21F25DF0"/>
    <w:rsid w:val="22317062"/>
    <w:rsid w:val="22336391"/>
    <w:rsid w:val="2250761E"/>
    <w:rsid w:val="22633D4D"/>
    <w:rsid w:val="22734C95"/>
    <w:rsid w:val="227B42A0"/>
    <w:rsid w:val="22806203"/>
    <w:rsid w:val="228F3315"/>
    <w:rsid w:val="229473C8"/>
    <w:rsid w:val="22977147"/>
    <w:rsid w:val="229C47D4"/>
    <w:rsid w:val="22A266DE"/>
    <w:rsid w:val="22D24CAE"/>
    <w:rsid w:val="22D514B6"/>
    <w:rsid w:val="22DC4FC9"/>
    <w:rsid w:val="22ED1D00"/>
    <w:rsid w:val="22F872D1"/>
    <w:rsid w:val="230279FC"/>
    <w:rsid w:val="23312AC9"/>
    <w:rsid w:val="23412D64"/>
    <w:rsid w:val="236C49D9"/>
    <w:rsid w:val="237A7227"/>
    <w:rsid w:val="238C6599"/>
    <w:rsid w:val="239C0544"/>
    <w:rsid w:val="23A115DB"/>
    <w:rsid w:val="23B87C1E"/>
    <w:rsid w:val="23C670E9"/>
    <w:rsid w:val="23D0621A"/>
    <w:rsid w:val="23D34A58"/>
    <w:rsid w:val="23E36EF8"/>
    <w:rsid w:val="23E53872"/>
    <w:rsid w:val="24247062"/>
    <w:rsid w:val="242F29EC"/>
    <w:rsid w:val="24371FF7"/>
    <w:rsid w:val="24383C05"/>
    <w:rsid w:val="243865C5"/>
    <w:rsid w:val="244B2840"/>
    <w:rsid w:val="24B6415E"/>
    <w:rsid w:val="24BA5C95"/>
    <w:rsid w:val="24C56EC3"/>
    <w:rsid w:val="24CA4EA5"/>
    <w:rsid w:val="24D14774"/>
    <w:rsid w:val="24DF5DB3"/>
    <w:rsid w:val="24E25D13"/>
    <w:rsid w:val="24E53415"/>
    <w:rsid w:val="24E66D03"/>
    <w:rsid w:val="24F649B4"/>
    <w:rsid w:val="25101CDA"/>
    <w:rsid w:val="25496F5C"/>
    <w:rsid w:val="254D1B3F"/>
    <w:rsid w:val="257F27A2"/>
    <w:rsid w:val="258F28DF"/>
    <w:rsid w:val="25BF5294"/>
    <w:rsid w:val="25D41EFF"/>
    <w:rsid w:val="25D61ECE"/>
    <w:rsid w:val="25DB76D4"/>
    <w:rsid w:val="25F807A6"/>
    <w:rsid w:val="25FE74CB"/>
    <w:rsid w:val="2602389A"/>
    <w:rsid w:val="261455E0"/>
    <w:rsid w:val="26151588"/>
    <w:rsid w:val="2620319C"/>
    <w:rsid w:val="262F7F34"/>
    <w:rsid w:val="264473DF"/>
    <w:rsid w:val="264C0596"/>
    <w:rsid w:val="264D4F65"/>
    <w:rsid w:val="2651396B"/>
    <w:rsid w:val="265C403C"/>
    <w:rsid w:val="26914CE6"/>
    <w:rsid w:val="26C83E3F"/>
    <w:rsid w:val="26D1527F"/>
    <w:rsid w:val="26FC7CDF"/>
    <w:rsid w:val="27273128"/>
    <w:rsid w:val="27424579"/>
    <w:rsid w:val="275B723E"/>
    <w:rsid w:val="277409BC"/>
    <w:rsid w:val="277B2154"/>
    <w:rsid w:val="279D1605"/>
    <w:rsid w:val="27A71D1F"/>
    <w:rsid w:val="27A97A2E"/>
    <w:rsid w:val="27CB0185"/>
    <w:rsid w:val="27DD6975"/>
    <w:rsid w:val="280520B8"/>
    <w:rsid w:val="280B5827"/>
    <w:rsid w:val="282B77EA"/>
    <w:rsid w:val="28327F9F"/>
    <w:rsid w:val="284952E9"/>
    <w:rsid w:val="2855533A"/>
    <w:rsid w:val="28797ED5"/>
    <w:rsid w:val="288325E6"/>
    <w:rsid w:val="2894160B"/>
    <w:rsid w:val="289A5475"/>
    <w:rsid w:val="289F0C32"/>
    <w:rsid w:val="28C5217C"/>
    <w:rsid w:val="28DE77F1"/>
    <w:rsid w:val="28EB082F"/>
    <w:rsid w:val="28EB582E"/>
    <w:rsid w:val="28F57442"/>
    <w:rsid w:val="28F95A2D"/>
    <w:rsid w:val="2903384F"/>
    <w:rsid w:val="29076D93"/>
    <w:rsid w:val="291E0523"/>
    <w:rsid w:val="29220014"/>
    <w:rsid w:val="292A6617"/>
    <w:rsid w:val="29315FA2"/>
    <w:rsid w:val="29334D29"/>
    <w:rsid w:val="294360C5"/>
    <w:rsid w:val="294E7AD1"/>
    <w:rsid w:val="29817026"/>
    <w:rsid w:val="29963748"/>
    <w:rsid w:val="299C4C13"/>
    <w:rsid w:val="299C5BE6"/>
    <w:rsid w:val="29A504DF"/>
    <w:rsid w:val="29AC42AB"/>
    <w:rsid w:val="29B74086"/>
    <w:rsid w:val="29C748CC"/>
    <w:rsid w:val="29D302AA"/>
    <w:rsid w:val="29D57ECD"/>
    <w:rsid w:val="29E14AC1"/>
    <w:rsid w:val="29F02228"/>
    <w:rsid w:val="2A305EC5"/>
    <w:rsid w:val="2A34234D"/>
    <w:rsid w:val="2A423861"/>
    <w:rsid w:val="2A4A6B02"/>
    <w:rsid w:val="2A63541A"/>
    <w:rsid w:val="2A756F04"/>
    <w:rsid w:val="2A923062"/>
    <w:rsid w:val="2A97058D"/>
    <w:rsid w:val="2A976370"/>
    <w:rsid w:val="2AAF5B40"/>
    <w:rsid w:val="2AF23A05"/>
    <w:rsid w:val="2AFE1A16"/>
    <w:rsid w:val="2B09362A"/>
    <w:rsid w:val="2B0A10AB"/>
    <w:rsid w:val="2B105769"/>
    <w:rsid w:val="2B2121F8"/>
    <w:rsid w:val="2B2431AE"/>
    <w:rsid w:val="2B3E27FF"/>
    <w:rsid w:val="2B444AC5"/>
    <w:rsid w:val="2B561E25"/>
    <w:rsid w:val="2B604039"/>
    <w:rsid w:val="2B634FBD"/>
    <w:rsid w:val="2B785E5C"/>
    <w:rsid w:val="2B797161"/>
    <w:rsid w:val="2BBA7F7A"/>
    <w:rsid w:val="2BE53B88"/>
    <w:rsid w:val="2BFA63EA"/>
    <w:rsid w:val="2C144DE1"/>
    <w:rsid w:val="2C2C2488"/>
    <w:rsid w:val="2C411885"/>
    <w:rsid w:val="2C463031"/>
    <w:rsid w:val="2C487C14"/>
    <w:rsid w:val="2C611049"/>
    <w:rsid w:val="2C673F8F"/>
    <w:rsid w:val="2C734DFA"/>
    <w:rsid w:val="2CA06BC3"/>
    <w:rsid w:val="2CAB07D7"/>
    <w:rsid w:val="2CBE79B0"/>
    <w:rsid w:val="2CCE400E"/>
    <w:rsid w:val="2CCF2B66"/>
    <w:rsid w:val="2CE0417A"/>
    <w:rsid w:val="2D36550B"/>
    <w:rsid w:val="2D3A0351"/>
    <w:rsid w:val="2D406CBA"/>
    <w:rsid w:val="2D4A15DA"/>
    <w:rsid w:val="2D534468"/>
    <w:rsid w:val="2D5D05FB"/>
    <w:rsid w:val="2D687C78"/>
    <w:rsid w:val="2D99286E"/>
    <w:rsid w:val="2DA40A5D"/>
    <w:rsid w:val="2DA509EF"/>
    <w:rsid w:val="2DAC5DFC"/>
    <w:rsid w:val="2DC72229"/>
    <w:rsid w:val="2DEF7B6A"/>
    <w:rsid w:val="2DFF7E04"/>
    <w:rsid w:val="2E001109"/>
    <w:rsid w:val="2E0D711A"/>
    <w:rsid w:val="2E167A29"/>
    <w:rsid w:val="2E3305CD"/>
    <w:rsid w:val="2E4F036D"/>
    <w:rsid w:val="2E545310"/>
    <w:rsid w:val="2E5A7219"/>
    <w:rsid w:val="2E614626"/>
    <w:rsid w:val="2E97127C"/>
    <w:rsid w:val="2EBC3A3B"/>
    <w:rsid w:val="2EBE4A4B"/>
    <w:rsid w:val="2EC568C9"/>
    <w:rsid w:val="2ED7710B"/>
    <w:rsid w:val="2F145393"/>
    <w:rsid w:val="2F3F4E25"/>
    <w:rsid w:val="2F4538F3"/>
    <w:rsid w:val="2F5177B1"/>
    <w:rsid w:val="2F58713C"/>
    <w:rsid w:val="2F594BBE"/>
    <w:rsid w:val="2F874408"/>
    <w:rsid w:val="2FBB2F70"/>
    <w:rsid w:val="2FC05645"/>
    <w:rsid w:val="2FEC0401"/>
    <w:rsid w:val="2FFB2B49"/>
    <w:rsid w:val="2FFF2FA2"/>
    <w:rsid w:val="300262D0"/>
    <w:rsid w:val="300C557A"/>
    <w:rsid w:val="30146BDF"/>
    <w:rsid w:val="30180474"/>
    <w:rsid w:val="30197DF1"/>
    <w:rsid w:val="306A5958"/>
    <w:rsid w:val="306C2C12"/>
    <w:rsid w:val="306F6904"/>
    <w:rsid w:val="30812733"/>
    <w:rsid w:val="30840E28"/>
    <w:rsid w:val="308B29B1"/>
    <w:rsid w:val="30AA3266"/>
    <w:rsid w:val="30B27309"/>
    <w:rsid w:val="30C020F7"/>
    <w:rsid w:val="30C419B0"/>
    <w:rsid w:val="30CF21A1"/>
    <w:rsid w:val="30D540AA"/>
    <w:rsid w:val="30E97669"/>
    <w:rsid w:val="30F00157"/>
    <w:rsid w:val="31364F41"/>
    <w:rsid w:val="31563212"/>
    <w:rsid w:val="31850FE1"/>
    <w:rsid w:val="318C2A3B"/>
    <w:rsid w:val="319121DA"/>
    <w:rsid w:val="319A7C78"/>
    <w:rsid w:val="31A2421C"/>
    <w:rsid w:val="31A93189"/>
    <w:rsid w:val="31C11645"/>
    <w:rsid w:val="31D030AF"/>
    <w:rsid w:val="31D41A4F"/>
    <w:rsid w:val="322910CA"/>
    <w:rsid w:val="322E33E2"/>
    <w:rsid w:val="322E7A29"/>
    <w:rsid w:val="3240775C"/>
    <w:rsid w:val="32510297"/>
    <w:rsid w:val="327E0AB0"/>
    <w:rsid w:val="32925305"/>
    <w:rsid w:val="32ED1692"/>
    <w:rsid w:val="32F00F21"/>
    <w:rsid w:val="32F37AFD"/>
    <w:rsid w:val="32FE20EF"/>
    <w:rsid w:val="33016EEC"/>
    <w:rsid w:val="33576347"/>
    <w:rsid w:val="335D4118"/>
    <w:rsid w:val="335F3C12"/>
    <w:rsid w:val="336E17F0"/>
    <w:rsid w:val="3390223F"/>
    <w:rsid w:val="33C62FE8"/>
    <w:rsid w:val="33C66A6F"/>
    <w:rsid w:val="33CF2B0E"/>
    <w:rsid w:val="33D23A93"/>
    <w:rsid w:val="33F629CD"/>
    <w:rsid w:val="34041CE3"/>
    <w:rsid w:val="341A3182"/>
    <w:rsid w:val="341F5D90"/>
    <w:rsid w:val="34402563"/>
    <w:rsid w:val="34563CEC"/>
    <w:rsid w:val="347D19AD"/>
    <w:rsid w:val="347F3B76"/>
    <w:rsid w:val="34AE7724"/>
    <w:rsid w:val="34B51B07"/>
    <w:rsid w:val="34CE04B2"/>
    <w:rsid w:val="34F81471"/>
    <w:rsid w:val="34FC60D3"/>
    <w:rsid w:val="35051814"/>
    <w:rsid w:val="3507761D"/>
    <w:rsid w:val="35370DDB"/>
    <w:rsid w:val="3538101C"/>
    <w:rsid w:val="35516825"/>
    <w:rsid w:val="355339D4"/>
    <w:rsid w:val="35534E88"/>
    <w:rsid w:val="355A0096"/>
    <w:rsid w:val="356660A7"/>
    <w:rsid w:val="357536E0"/>
    <w:rsid w:val="358463F8"/>
    <w:rsid w:val="359B6AF0"/>
    <w:rsid w:val="35C36441"/>
    <w:rsid w:val="35C70E0D"/>
    <w:rsid w:val="35CE0055"/>
    <w:rsid w:val="35CE23D7"/>
    <w:rsid w:val="35D703D8"/>
    <w:rsid w:val="35E16C66"/>
    <w:rsid w:val="3611488F"/>
    <w:rsid w:val="361D1AD4"/>
    <w:rsid w:val="362B41A9"/>
    <w:rsid w:val="36316A75"/>
    <w:rsid w:val="368D5EF0"/>
    <w:rsid w:val="36A7140B"/>
    <w:rsid w:val="36D71452"/>
    <w:rsid w:val="36DC0522"/>
    <w:rsid w:val="36DE5C94"/>
    <w:rsid w:val="36FB00F6"/>
    <w:rsid w:val="3729700D"/>
    <w:rsid w:val="373D1531"/>
    <w:rsid w:val="3748571E"/>
    <w:rsid w:val="37500442"/>
    <w:rsid w:val="3752526E"/>
    <w:rsid w:val="375955DE"/>
    <w:rsid w:val="375C3A5F"/>
    <w:rsid w:val="37627D62"/>
    <w:rsid w:val="37645B6D"/>
    <w:rsid w:val="379231B9"/>
    <w:rsid w:val="379C4FE6"/>
    <w:rsid w:val="379E4667"/>
    <w:rsid w:val="37A46956"/>
    <w:rsid w:val="37CD7B1B"/>
    <w:rsid w:val="37DD5879"/>
    <w:rsid w:val="38032517"/>
    <w:rsid w:val="38212C49"/>
    <w:rsid w:val="38300535"/>
    <w:rsid w:val="38303DA7"/>
    <w:rsid w:val="38440B86"/>
    <w:rsid w:val="384551E7"/>
    <w:rsid w:val="384A4720"/>
    <w:rsid w:val="38585298"/>
    <w:rsid w:val="385A4B5D"/>
    <w:rsid w:val="38646D95"/>
    <w:rsid w:val="3872263A"/>
    <w:rsid w:val="389F1529"/>
    <w:rsid w:val="38A11087"/>
    <w:rsid w:val="38A327F3"/>
    <w:rsid w:val="38A7676F"/>
    <w:rsid w:val="38B35884"/>
    <w:rsid w:val="38C05E29"/>
    <w:rsid w:val="38CE513F"/>
    <w:rsid w:val="38CE649E"/>
    <w:rsid w:val="38D31755"/>
    <w:rsid w:val="38D76110"/>
    <w:rsid w:val="38DF7924"/>
    <w:rsid w:val="38E86591"/>
    <w:rsid w:val="390337A8"/>
    <w:rsid w:val="390C0398"/>
    <w:rsid w:val="392748D4"/>
    <w:rsid w:val="39321DBB"/>
    <w:rsid w:val="39340367"/>
    <w:rsid w:val="39530C1B"/>
    <w:rsid w:val="396607C6"/>
    <w:rsid w:val="397133C1"/>
    <w:rsid w:val="39902C7F"/>
    <w:rsid w:val="39957106"/>
    <w:rsid w:val="39A045B9"/>
    <w:rsid w:val="39A14A8C"/>
    <w:rsid w:val="39D57E7A"/>
    <w:rsid w:val="39D83FF5"/>
    <w:rsid w:val="39F21DBF"/>
    <w:rsid w:val="39F871AB"/>
    <w:rsid w:val="3A2B5076"/>
    <w:rsid w:val="3A487873"/>
    <w:rsid w:val="3A6A6F4A"/>
    <w:rsid w:val="3A6F486B"/>
    <w:rsid w:val="3A6F51D2"/>
    <w:rsid w:val="3A7909FE"/>
    <w:rsid w:val="3A890CEF"/>
    <w:rsid w:val="3A892B6F"/>
    <w:rsid w:val="3A97523B"/>
    <w:rsid w:val="3A985A30"/>
    <w:rsid w:val="3AA55634"/>
    <w:rsid w:val="3AC10DF2"/>
    <w:rsid w:val="3AC41D77"/>
    <w:rsid w:val="3ADB2271"/>
    <w:rsid w:val="3ADD069B"/>
    <w:rsid w:val="3AFB444F"/>
    <w:rsid w:val="3B110C09"/>
    <w:rsid w:val="3B1A4D04"/>
    <w:rsid w:val="3B1B679F"/>
    <w:rsid w:val="3B414BC4"/>
    <w:rsid w:val="3B4772CF"/>
    <w:rsid w:val="3B4D6458"/>
    <w:rsid w:val="3B4E3ED9"/>
    <w:rsid w:val="3B512C60"/>
    <w:rsid w:val="3B6D0F0B"/>
    <w:rsid w:val="3B731E84"/>
    <w:rsid w:val="3B822519"/>
    <w:rsid w:val="3B8B5823"/>
    <w:rsid w:val="3B912DD7"/>
    <w:rsid w:val="3B962FD7"/>
    <w:rsid w:val="3BA50921"/>
    <w:rsid w:val="3BB9138A"/>
    <w:rsid w:val="3BE13D5E"/>
    <w:rsid w:val="3BF14820"/>
    <w:rsid w:val="3BFF7A0B"/>
    <w:rsid w:val="3C1466DE"/>
    <w:rsid w:val="3C2D5AC6"/>
    <w:rsid w:val="3C7050E2"/>
    <w:rsid w:val="3C785F45"/>
    <w:rsid w:val="3C88075E"/>
    <w:rsid w:val="3C8B38E1"/>
    <w:rsid w:val="3CAA23A2"/>
    <w:rsid w:val="3CE05DC4"/>
    <w:rsid w:val="3D5358A8"/>
    <w:rsid w:val="3D5F4F3E"/>
    <w:rsid w:val="3D623944"/>
    <w:rsid w:val="3D6C4254"/>
    <w:rsid w:val="3DB94353"/>
    <w:rsid w:val="3DCA3FA9"/>
    <w:rsid w:val="3DE07AF7"/>
    <w:rsid w:val="3DFC02BF"/>
    <w:rsid w:val="3E0334CE"/>
    <w:rsid w:val="3E064452"/>
    <w:rsid w:val="3E18370D"/>
    <w:rsid w:val="3E1966D0"/>
    <w:rsid w:val="3E297D01"/>
    <w:rsid w:val="3E36391C"/>
    <w:rsid w:val="3E636D6A"/>
    <w:rsid w:val="3E860224"/>
    <w:rsid w:val="3EA220F7"/>
    <w:rsid w:val="3EAD617A"/>
    <w:rsid w:val="3EB86474"/>
    <w:rsid w:val="3ED76D29"/>
    <w:rsid w:val="3EE13DB5"/>
    <w:rsid w:val="3EEC59CA"/>
    <w:rsid w:val="3F1C6E5B"/>
    <w:rsid w:val="3F4150D3"/>
    <w:rsid w:val="3F5462F2"/>
    <w:rsid w:val="3F561F35"/>
    <w:rsid w:val="3F5B1501"/>
    <w:rsid w:val="3F92745C"/>
    <w:rsid w:val="3FB11602"/>
    <w:rsid w:val="3FB13A48"/>
    <w:rsid w:val="3FB1448E"/>
    <w:rsid w:val="3FC27AB9"/>
    <w:rsid w:val="3FE24C5D"/>
    <w:rsid w:val="401C3B3D"/>
    <w:rsid w:val="40456A90"/>
    <w:rsid w:val="405743EB"/>
    <w:rsid w:val="40577D9B"/>
    <w:rsid w:val="406D6A2A"/>
    <w:rsid w:val="4093139F"/>
    <w:rsid w:val="409329CB"/>
    <w:rsid w:val="409D5390"/>
    <w:rsid w:val="40B1513B"/>
    <w:rsid w:val="40BB2DD0"/>
    <w:rsid w:val="40C761D4"/>
    <w:rsid w:val="40D83EF0"/>
    <w:rsid w:val="40E273FB"/>
    <w:rsid w:val="40E9418A"/>
    <w:rsid w:val="40ED2B91"/>
    <w:rsid w:val="41000B68"/>
    <w:rsid w:val="41012E6D"/>
    <w:rsid w:val="41052B1B"/>
    <w:rsid w:val="41061B71"/>
    <w:rsid w:val="41296F19"/>
    <w:rsid w:val="413055B7"/>
    <w:rsid w:val="4133683F"/>
    <w:rsid w:val="414447B0"/>
    <w:rsid w:val="415F310E"/>
    <w:rsid w:val="417A14FB"/>
    <w:rsid w:val="419B108E"/>
    <w:rsid w:val="41A05EB7"/>
    <w:rsid w:val="41B34C68"/>
    <w:rsid w:val="41B71360"/>
    <w:rsid w:val="41B900D4"/>
    <w:rsid w:val="41BD7C54"/>
    <w:rsid w:val="41BE5467"/>
    <w:rsid w:val="41C44DF2"/>
    <w:rsid w:val="41F9564C"/>
    <w:rsid w:val="42021713"/>
    <w:rsid w:val="421538F8"/>
    <w:rsid w:val="421A58D4"/>
    <w:rsid w:val="42212F8E"/>
    <w:rsid w:val="42287095"/>
    <w:rsid w:val="42321352"/>
    <w:rsid w:val="425C50DC"/>
    <w:rsid w:val="428F35C1"/>
    <w:rsid w:val="42AB7105"/>
    <w:rsid w:val="42BA6C89"/>
    <w:rsid w:val="42C86795"/>
    <w:rsid w:val="42D3151F"/>
    <w:rsid w:val="42E874D3"/>
    <w:rsid w:val="43145CBC"/>
    <w:rsid w:val="43183596"/>
    <w:rsid w:val="432664FB"/>
    <w:rsid w:val="43285D3E"/>
    <w:rsid w:val="4333084C"/>
    <w:rsid w:val="43361CB5"/>
    <w:rsid w:val="43367252"/>
    <w:rsid w:val="43656974"/>
    <w:rsid w:val="43690D26"/>
    <w:rsid w:val="439C24FA"/>
    <w:rsid w:val="43B42600"/>
    <w:rsid w:val="43B50AA2"/>
    <w:rsid w:val="43F42822"/>
    <w:rsid w:val="440740A8"/>
    <w:rsid w:val="441062E1"/>
    <w:rsid w:val="44110F59"/>
    <w:rsid w:val="4447178A"/>
    <w:rsid w:val="444F1E34"/>
    <w:rsid w:val="445B15B3"/>
    <w:rsid w:val="44623F43"/>
    <w:rsid w:val="447514E8"/>
    <w:rsid w:val="448021A2"/>
    <w:rsid w:val="448434D9"/>
    <w:rsid w:val="44AB77A6"/>
    <w:rsid w:val="44B873D5"/>
    <w:rsid w:val="44C61D43"/>
    <w:rsid w:val="44C81F67"/>
    <w:rsid w:val="44D437FB"/>
    <w:rsid w:val="44D46679"/>
    <w:rsid w:val="44DC74AB"/>
    <w:rsid w:val="44E1728E"/>
    <w:rsid w:val="44E934B4"/>
    <w:rsid w:val="44EA599F"/>
    <w:rsid w:val="44F25D9B"/>
    <w:rsid w:val="45200AF7"/>
    <w:rsid w:val="45230C1C"/>
    <w:rsid w:val="453E29AE"/>
    <w:rsid w:val="454A2E71"/>
    <w:rsid w:val="45512DC5"/>
    <w:rsid w:val="45553AA7"/>
    <w:rsid w:val="456B65BD"/>
    <w:rsid w:val="457A1327"/>
    <w:rsid w:val="45871E15"/>
    <w:rsid w:val="45A10EB6"/>
    <w:rsid w:val="45A260E5"/>
    <w:rsid w:val="45A87057"/>
    <w:rsid w:val="45AD56DD"/>
    <w:rsid w:val="45C1250B"/>
    <w:rsid w:val="45DA6B58"/>
    <w:rsid w:val="45E43639"/>
    <w:rsid w:val="45EF19CA"/>
    <w:rsid w:val="45F33C53"/>
    <w:rsid w:val="46191B03"/>
    <w:rsid w:val="462369A1"/>
    <w:rsid w:val="4664740A"/>
    <w:rsid w:val="46691411"/>
    <w:rsid w:val="46980B5E"/>
    <w:rsid w:val="46A31C9D"/>
    <w:rsid w:val="46AF0327"/>
    <w:rsid w:val="46C76D34"/>
    <w:rsid w:val="46E577A2"/>
    <w:rsid w:val="46EB5526"/>
    <w:rsid w:val="47000990"/>
    <w:rsid w:val="47157B32"/>
    <w:rsid w:val="473D3E13"/>
    <w:rsid w:val="478D5F73"/>
    <w:rsid w:val="47960D7E"/>
    <w:rsid w:val="47A12BAB"/>
    <w:rsid w:val="47AC26D7"/>
    <w:rsid w:val="47D26BE8"/>
    <w:rsid w:val="47D61564"/>
    <w:rsid w:val="47E44403"/>
    <w:rsid w:val="47F46C1C"/>
    <w:rsid w:val="47F54E6A"/>
    <w:rsid w:val="48046EB6"/>
    <w:rsid w:val="48097696"/>
    <w:rsid w:val="481F31DA"/>
    <w:rsid w:val="482254E2"/>
    <w:rsid w:val="48455675"/>
    <w:rsid w:val="48606BC0"/>
    <w:rsid w:val="4875266D"/>
    <w:rsid w:val="48800429"/>
    <w:rsid w:val="48A50CBC"/>
    <w:rsid w:val="48B25ECA"/>
    <w:rsid w:val="48B60F0A"/>
    <w:rsid w:val="48CB107D"/>
    <w:rsid w:val="48F232BB"/>
    <w:rsid w:val="48F30275"/>
    <w:rsid w:val="49041E4A"/>
    <w:rsid w:val="49102650"/>
    <w:rsid w:val="49275D14"/>
    <w:rsid w:val="49403AFB"/>
    <w:rsid w:val="49495EC9"/>
    <w:rsid w:val="49712D0A"/>
    <w:rsid w:val="49920446"/>
    <w:rsid w:val="49A90014"/>
    <w:rsid w:val="49B80E6C"/>
    <w:rsid w:val="49C04C0E"/>
    <w:rsid w:val="49C12AD9"/>
    <w:rsid w:val="49D12082"/>
    <w:rsid w:val="49DE5C2D"/>
    <w:rsid w:val="49E55C77"/>
    <w:rsid w:val="4A0541DA"/>
    <w:rsid w:val="4A1E2A29"/>
    <w:rsid w:val="4A342D95"/>
    <w:rsid w:val="4A3E54DC"/>
    <w:rsid w:val="4A5166FB"/>
    <w:rsid w:val="4A916C63"/>
    <w:rsid w:val="4A9D584E"/>
    <w:rsid w:val="4AA3632E"/>
    <w:rsid w:val="4ABF38B7"/>
    <w:rsid w:val="4AC01C19"/>
    <w:rsid w:val="4AD11442"/>
    <w:rsid w:val="4ADD06F0"/>
    <w:rsid w:val="4ADD4201"/>
    <w:rsid w:val="4ADE75E4"/>
    <w:rsid w:val="4AE051E1"/>
    <w:rsid w:val="4B053B6F"/>
    <w:rsid w:val="4B120D37"/>
    <w:rsid w:val="4B151CBC"/>
    <w:rsid w:val="4B293C24"/>
    <w:rsid w:val="4B3B40FA"/>
    <w:rsid w:val="4B40489E"/>
    <w:rsid w:val="4B4570DB"/>
    <w:rsid w:val="4B5317A1"/>
    <w:rsid w:val="4B691746"/>
    <w:rsid w:val="4B6E6C91"/>
    <w:rsid w:val="4B7012F0"/>
    <w:rsid w:val="4B9C0C9C"/>
    <w:rsid w:val="4BAF1EBA"/>
    <w:rsid w:val="4BBC0C9E"/>
    <w:rsid w:val="4BCA052C"/>
    <w:rsid w:val="4BCB2C12"/>
    <w:rsid w:val="4BD5286C"/>
    <w:rsid w:val="4BD82710"/>
    <w:rsid w:val="4BE56B11"/>
    <w:rsid w:val="4BF91035"/>
    <w:rsid w:val="4C09719E"/>
    <w:rsid w:val="4C0F5757"/>
    <w:rsid w:val="4C207BF0"/>
    <w:rsid w:val="4C5061C1"/>
    <w:rsid w:val="4C5A4552"/>
    <w:rsid w:val="4C5B1004"/>
    <w:rsid w:val="4C601CDE"/>
    <w:rsid w:val="4C853452"/>
    <w:rsid w:val="4C87625C"/>
    <w:rsid w:val="4C93212D"/>
    <w:rsid w:val="4CAD655A"/>
    <w:rsid w:val="4CC4348E"/>
    <w:rsid w:val="4CC7692E"/>
    <w:rsid w:val="4CC92607"/>
    <w:rsid w:val="4CD8739E"/>
    <w:rsid w:val="4D334873"/>
    <w:rsid w:val="4D445EFB"/>
    <w:rsid w:val="4D755501"/>
    <w:rsid w:val="4D8A3B75"/>
    <w:rsid w:val="4D9A4EDE"/>
    <w:rsid w:val="4D9C7AE5"/>
    <w:rsid w:val="4DA27D63"/>
    <w:rsid w:val="4DB72290"/>
    <w:rsid w:val="4DCE26E9"/>
    <w:rsid w:val="4DD86643"/>
    <w:rsid w:val="4DE6755C"/>
    <w:rsid w:val="4DEF5C6D"/>
    <w:rsid w:val="4DFF171A"/>
    <w:rsid w:val="4E0F0720"/>
    <w:rsid w:val="4E1600AB"/>
    <w:rsid w:val="4E1E499E"/>
    <w:rsid w:val="4E324336"/>
    <w:rsid w:val="4E776E4B"/>
    <w:rsid w:val="4E82509B"/>
    <w:rsid w:val="4E9F4303"/>
    <w:rsid w:val="4EA81E93"/>
    <w:rsid w:val="4EBF442B"/>
    <w:rsid w:val="4EC32A57"/>
    <w:rsid w:val="4EC40427"/>
    <w:rsid w:val="4ECC4356"/>
    <w:rsid w:val="4ECD3DEF"/>
    <w:rsid w:val="4ED626E7"/>
    <w:rsid w:val="4ED94364"/>
    <w:rsid w:val="4EE33F7B"/>
    <w:rsid w:val="4EE670FE"/>
    <w:rsid w:val="4EFA5A91"/>
    <w:rsid w:val="4F195E9F"/>
    <w:rsid w:val="4F1A5304"/>
    <w:rsid w:val="4F1B7656"/>
    <w:rsid w:val="4F1D3B0A"/>
    <w:rsid w:val="4F2449E5"/>
    <w:rsid w:val="4F416513"/>
    <w:rsid w:val="4F5B14D1"/>
    <w:rsid w:val="4F6232F8"/>
    <w:rsid w:val="4F874A89"/>
    <w:rsid w:val="4FA54039"/>
    <w:rsid w:val="4FAB39C4"/>
    <w:rsid w:val="4FBD16E0"/>
    <w:rsid w:val="4FD7735B"/>
    <w:rsid w:val="4FE35224"/>
    <w:rsid w:val="4FFB4A48"/>
    <w:rsid w:val="500365D1"/>
    <w:rsid w:val="500A17DF"/>
    <w:rsid w:val="50193FF8"/>
    <w:rsid w:val="50215E5C"/>
    <w:rsid w:val="502226D6"/>
    <w:rsid w:val="502C45F4"/>
    <w:rsid w:val="50746A1B"/>
    <w:rsid w:val="50834F8C"/>
    <w:rsid w:val="508A55B1"/>
    <w:rsid w:val="508C2093"/>
    <w:rsid w:val="50B8067E"/>
    <w:rsid w:val="50C34A9C"/>
    <w:rsid w:val="50E161B2"/>
    <w:rsid w:val="50E87B49"/>
    <w:rsid w:val="51261ADC"/>
    <w:rsid w:val="51385D77"/>
    <w:rsid w:val="51442461"/>
    <w:rsid w:val="51465964"/>
    <w:rsid w:val="515371F8"/>
    <w:rsid w:val="51571481"/>
    <w:rsid w:val="515D338B"/>
    <w:rsid w:val="51860510"/>
    <w:rsid w:val="518965D2"/>
    <w:rsid w:val="51904A15"/>
    <w:rsid w:val="51907920"/>
    <w:rsid w:val="5199796C"/>
    <w:rsid w:val="51C464A2"/>
    <w:rsid w:val="51CB39BF"/>
    <w:rsid w:val="51ED2148"/>
    <w:rsid w:val="51F17CFE"/>
    <w:rsid w:val="520E31AE"/>
    <w:rsid w:val="524349D3"/>
    <w:rsid w:val="52722ED3"/>
    <w:rsid w:val="528278EA"/>
    <w:rsid w:val="52884ADC"/>
    <w:rsid w:val="52A0064D"/>
    <w:rsid w:val="52B64958"/>
    <w:rsid w:val="52BA2DC0"/>
    <w:rsid w:val="52C12C52"/>
    <w:rsid w:val="52D15024"/>
    <w:rsid w:val="52E26A0A"/>
    <w:rsid w:val="53010C0B"/>
    <w:rsid w:val="53416241"/>
    <w:rsid w:val="534F175F"/>
    <w:rsid w:val="535823A6"/>
    <w:rsid w:val="53697924"/>
    <w:rsid w:val="536D0121"/>
    <w:rsid w:val="53996156"/>
    <w:rsid w:val="53CA4C80"/>
    <w:rsid w:val="53EA66AD"/>
    <w:rsid w:val="53F23262"/>
    <w:rsid w:val="53FD045B"/>
    <w:rsid w:val="53FD32A8"/>
    <w:rsid w:val="540D3A6F"/>
    <w:rsid w:val="54190C85"/>
    <w:rsid w:val="541F2B8E"/>
    <w:rsid w:val="54311BAF"/>
    <w:rsid w:val="545D58DB"/>
    <w:rsid w:val="546148FC"/>
    <w:rsid w:val="547316D7"/>
    <w:rsid w:val="5476101E"/>
    <w:rsid w:val="547F7301"/>
    <w:rsid w:val="548E44C7"/>
    <w:rsid w:val="54AB3A77"/>
    <w:rsid w:val="54C65E82"/>
    <w:rsid w:val="54C75926"/>
    <w:rsid w:val="54FB72AA"/>
    <w:rsid w:val="550A3F74"/>
    <w:rsid w:val="551940AB"/>
    <w:rsid w:val="551C085F"/>
    <w:rsid w:val="55242A1A"/>
    <w:rsid w:val="552B1DC7"/>
    <w:rsid w:val="55301DC2"/>
    <w:rsid w:val="55432CF1"/>
    <w:rsid w:val="554D59FE"/>
    <w:rsid w:val="556C05F6"/>
    <w:rsid w:val="557B66CE"/>
    <w:rsid w:val="55990DAE"/>
    <w:rsid w:val="559B0682"/>
    <w:rsid w:val="55B637FF"/>
    <w:rsid w:val="55BB5C2C"/>
    <w:rsid w:val="55BE109B"/>
    <w:rsid w:val="55D75763"/>
    <w:rsid w:val="55D86806"/>
    <w:rsid w:val="55E0078B"/>
    <w:rsid w:val="55E8012F"/>
    <w:rsid w:val="55EC1E85"/>
    <w:rsid w:val="55F67FAE"/>
    <w:rsid w:val="561D19DF"/>
    <w:rsid w:val="5640190F"/>
    <w:rsid w:val="564C5721"/>
    <w:rsid w:val="566F67D3"/>
    <w:rsid w:val="56762305"/>
    <w:rsid w:val="56885586"/>
    <w:rsid w:val="568F4307"/>
    <w:rsid w:val="569F0646"/>
    <w:rsid w:val="56AE57C6"/>
    <w:rsid w:val="570C16F7"/>
    <w:rsid w:val="570C52FA"/>
    <w:rsid w:val="572341DD"/>
    <w:rsid w:val="57245405"/>
    <w:rsid w:val="573F74F2"/>
    <w:rsid w:val="575171CD"/>
    <w:rsid w:val="57A07817"/>
    <w:rsid w:val="57B0086C"/>
    <w:rsid w:val="57B204EC"/>
    <w:rsid w:val="57BA337A"/>
    <w:rsid w:val="57BD3902"/>
    <w:rsid w:val="57D73F48"/>
    <w:rsid w:val="57F36E25"/>
    <w:rsid w:val="581140DE"/>
    <w:rsid w:val="58117561"/>
    <w:rsid w:val="5818245E"/>
    <w:rsid w:val="58406E56"/>
    <w:rsid w:val="58466FCB"/>
    <w:rsid w:val="58470002"/>
    <w:rsid w:val="585039A6"/>
    <w:rsid w:val="586B571C"/>
    <w:rsid w:val="58791557"/>
    <w:rsid w:val="58A310F9"/>
    <w:rsid w:val="58B00C60"/>
    <w:rsid w:val="58C70034"/>
    <w:rsid w:val="58CB4787"/>
    <w:rsid w:val="58CE0838"/>
    <w:rsid w:val="58CF5440"/>
    <w:rsid w:val="58E74D32"/>
    <w:rsid w:val="58F16C7A"/>
    <w:rsid w:val="58FF3A11"/>
    <w:rsid w:val="59260BAB"/>
    <w:rsid w:val="592E6ADF"/>
    <w:rsid w:val="593A7614"/>
    <w:rsid w:val="593B00D4"/>
    <w:rsid w:val="595C4851"/>
    <w:rsid w:val="597F010F"/>
    <w:rsid w:val="59A90346"/>
    <w:rsid w:val="59B07FB1"/>
    <w:rsid w:val="59BC7647"/>
    <w:rsid w:val="59DA3A14"/>
    <w:rsid w:val="59DD7B7C"/>
    <w:rsid w:val="59F2429E"/>
    <w:rsid w:val="59FC4B45"/>
    <w:rsid w:val="5A1B5462"/>
    <w:rsid w:val="5A465698"/>
    <w:rsid w:val="5A47527D"/>
    <w:rsid w:val="5A555911"/>
    <w:rsid w:val="5A5C174F"/>
    <w:rsid w:val="5A65689F"/>
    <w:rsid w:val="5A832484"/>
    <w:rsid w:val="5A906A56"/>
    <w:rsid w:val="5A916423"/>
    <w:rsid w:val="5A9C7455"/>
    <w:rsid w:val="5A9E5903"/>
    <w:rsid w:val="5AA6774A"/>
    <w:rsid w:val="5AA80549"/>
    <w:rsid w:val="5AB1123A"/>
    <w:rsid w:val="5ABE04EF"/>
    <w:rsid w:val="5AD563E4"/>
    <w:rsid w:val="5AD65B96"/>
    <w:rsid w:val="5B1769FD"/>
    <w:rsid w:val="5B372B47"/>
    <w:rsid w:val="5B5154DF"/>
    <w:rsid w:val="5B7B6323"/>
    <w:rsid w:val="5B8C73EB"/>
    <w:rsid w:val="5BA25B21"/>
    <w:rsid w:val="5BB9748C"/>
    <w:rsid w:val="5BC65000"/>
    <w:rsid w:val="5BD60FBC"/>
    <w:rsid w:val="5BF501EB"/>
    <w:rsid w:val="5BFE5E0F"/>
    <w:rsid w:val="5C0351D3"/>
    <w:rsid w:val="5C0F5926"/>
    <w:rsid w:val="5C187076"/>
    <w:rsid w:val="5C235838"/>
    <w:rsid w:val="5C4D79EA"/>
    <w:rsid w:val="5C576F8B"/>
    <w:rsid w:val="5C646D60"/>
    <w:rsid w:val="5C741646"/>
    <w:rsid w:val="5C793BE9"/>
    <w:rsid w:val="5C9761B3"/>
    <w:rsid w:val="5C981DBF"/>
    <w:rsid w:val="5C9E261E"/>
    <w:rsid w:val="5CA50038"/>
    <w:rsid w:val="5CB85D2B"/>
    <w:rsid w:val="5CBE7C34"/>
    <w:rsid w:val="5CF3268D"/>
    <w:rsid w:val="5D184E4B"/>
    <w:rsid w:val="5D290C69"/>
    <w:rsid w:val="5D2B3334"/>
    <w:rsid w:val="5D5635A3"/>
    <w:rsid w:val="5D566491"/>
    <w:rsid w:val="5D69550A"/>
    <w:rsid w:val="5D6E1FD6"/>
    <w:rsid w:val="5D7A3F1A"/>
    <w:rsid w:val="5D8F4F70"/>
    <w:rsid w:val="5DC42740"/>
    <w:rsid w:val="5DD2339B"/>
    <w:rsid w:val="5DD970EE"/>
    <w:rsid w:val="5DF04B2E"/>
    <w:rsid w:val="5E0324CA"/>
    <w:rsid w:val="5E3929A4"/>
    <w:rsid w:val="5E3A63DF"/>
    <w:rsid w:val="5E3B1060"/>
    <w:rsid w:val="5E513430"/>
    <w:rsid w:val="5E702CD8"/>
    <w:rsid w:val="5E9F014A"/>
    <w:rsid w:val="5E9F7A2D"/>
    <w:rsid w:val="5EB55B71"/>
    <w:rsid w:val="5ED75D25"/>
    <w:rsid w:val="5F0955FB"/>
    <w:rsid w:val="5F0977F9"/>
    <w:rsid w:val="5F0D497A"/>
    <w:rsid w:val="5F164911"/>
    <w:rsid w:val="5F2D4A41"/>
    <w:rsid w:val="5F3E69CE"/>
    <w:rsid w:val="5F482B61"/>
    <w:rsid w:val="5F4B3119"/>
    <w:rsid w:val="5F7E116D"/>
    <w:rsid w:val="5F802CBB"/>
    <w:rsid w:val="5FA82319"/>
    <w:rsid w:val="5FAA3AFF"/>
    <w:rsid w:val="5FBD5066"/>
    <w:rsid w:val="5FBE05A1"/>
    <w:rsid w:val="5FCC21F2"/>
    <w:rsid w:val="5FDA6A4F"/>
    <w:rsid w:val="5FEF4354"/>
    <w:rsid w:val="5FF2368F"/>
    <w:rsid w:val="60052F14"/>
    <w:rsid w:val="601644B3"/>
    <w:rsid w:val="601B3C4D"/>
    <w:rsid w:val="6025124B"/>
    <w:rsid w:val="60513B15"/>
    <w:rsid w:val="605A0420"/>
    <w:rsid w:val="60624F0A"/>
    <w:rsid w:val="60705E47"/>
    <w:rsid w:val="607328C1"/>
    <w:rsid w:val="607B1C59"/>
    <w:rsid w:val="60851A34"/>
    <w:rsid w:val="60852569"/>
    <w:rsid w:val="60991209"/>
    <w:rsid w:val="610F0176"/>
    <w:rsid w:val="611565D4"/>
    <w:rsid w:val="61205F8C"/>
    <w:rsid w:val="61246BCA"/>
    <w:rsid w:val="61377E0E"/>
    <w:rsid w:val="613F1004"/>
    <w:rsid w:val="61774636"/>
    <w:rsid w:val="61786679"/>
    <w:rsid w:val="61850EBD"/>
    <w:rsid w:val="61B73BDF"/>
    <w:rsid w:val="61D71F16"/>
    <w:rsid w:val="61DF7322"/>
    <w:rsid w:val="61E36936"/>
    <w:rsid w:val="61FB637A"/>
    <w:rsid w:val="62441245"/>
    <w:rsid w:val="62543D0E"/>
    <w:rsid w:val="625933C2"/>
    <w:rsid w:val="626A7D5A"/>
    <w:rsid w:val="627A00A5"/>
    <w:rsid w:val="62CA2770"/>
    <w:rsid w:val="63016CD4"/>
    <w:rsid w:val="630B320C"/>
    <w:rsid w:val="632154C1"/>
    <w:rsid w:val="63251BB8"/>
    <w:rsid w:val="632C3741"/>
    <w:rsid w:val="63303AED"/>
    <w:rsid w:val="633B5E47"/>
    <w:rsid w:val="63421168"/>
    <w:rsid w:val="635725D8"/>
    <w:rsid w:val="63976673"/>
    <w:rsid w:val="63AC7EFE"/>
    <w:rsid w:val="63E279EC"/>
    <w:rsid w:val="63ED1601"/>
    <w:rsid w:val="63F25A88"/>
    <w:rsid w:val="63F31B65"/>
    <w:rsid w:val="63FD6018"/>
    <w:rsid w:val="63FF02CC"/>
    <w:rsid w:val="641E2DB0"/>
    <w:rsid w:val="64265F03"/>
    <w:rsid w:val="642B5C08"/>
    <w:rsid w:val="642B7743"/>
    <w:rsid w:val="642D103F"/>
    <w:rsid w:val="64307322"/>
    <w:rsid w:val="64561F2A"/>
    <w:rsid w:val="64585286"/>
    <w:rsid w:val="647C5B23"/>
    <w:rsid w:val="64A66831"/>
    <w:rsid w:val="64B76868"/>
    <w:rsid w:val="64BD0615"/>
    <w:rsid w:val="64DC00B7"/>
    <w:rsid w:val="64E23953"/>
    <w:rsid w:val="64EE0B37"/>
    <w:rsid w:val="650E0E71"/>
    <w:rsid w:val="65177DE9"/>
    <w:rsid w:val="655353B2"/>
    <w:rsid w:val="65B975F2"/>
    <w:rsid w:val="65C533DA"/>
    <w:rsid w:val="65C60736"/>
    <w:rsid w:val="65DF7832"/>
    <w:rsid w:val="65F20792"/>
    <w:rsid w:val="65F23134"/>
    <w:rsid w:val="65F47E78"/>
    <w:rsid w:val="66046268"/>
    <w:rsid w:val="66063E6E"/>
    <w:rsid w:val="660B1322"/>
    <w:rsid w:val="662F72F1"/>
    <w:rsid w:val="66377FD0"/>
    <w:rsid w:val="66421AD5"/>
    <w:rsid w:val="664D7984"/>
    <w:rsid w:val="66672A19"/>
    <w:rsid w:val="66A42A73"/>
    <w:rsid w:val="66D1263E"/>
    <w:rsid w:val="66D9547D"/>
    <w:rsid w:val="66E910CF"/>
    <w:rsid w:val="6700790A"/>
    <w:rsid w:val="67010066"/>
    <w:rsid w:val="670F0ED0"/>
    <w:rsid w:val="672023BD"/>
    <w:rsid w:val="673832E7"/>
    <w:rsid w:val="676B34F8"/>
    <w:rsid w:val="67C71B3D"/>
    <w:rsid w:val="67E50E81"/>
    <w:rsid w:val="67E74384"/>
    <w:rsid w:val="67EA0B8C"/>
    <w:rsid w:val="68064677"/>
    <w:rsid w:val="680B7043"/>
    <w:rsid w:val="680C3831"/>
    <w:rsid w:val="680E4244"/>
    <w:rsid w:val="68133F4F"/>
    <w:rsid w:val="681A693D"/>
    <w:rsid w:val="6846520B"/>
    <w:rsid w:val="684C637D"/>
    <w:rsid w:val="6857237B"/>
    <w:rsid w:val="686626D4"/>
    <w:rsid w:val="689F44B1"/>
    <w:rsid w:val="68B867D3"/>
    <w:rsid w:val="68BA215E"/>
    <w:rsid w:val="68BE7DE7"/>
    <w:rsid w:val="68C92778"/>
    <w:rsid w:val="68D221B5"/>
    <w:rsid w:val="68EE7135"/>
    <w:rsid w:val="68EF4BB6"/>
    <w:rsid w:val="68F9484C"/>
    <w:rsid w:val="68FC1011"/>
    <w:rsid w:val="6908763F"/>
    <w:rsid w:val="692A45F1"/>
    <w:rsid w:val="694C74CE"/>
    <w:rsid w:val="695348DB"/>
    <w:rsid w:val="69692B1A"/>
    <w:rsid w:val="69794A5B"/>
    <w:rsid w:val="69987B6E"/>
    <w:rsid w:val="69D62B3D"/>
    <w:rsid w:val="69E676CD"/>
    <w:rsid w:val="69EA5D24"/>
    <w:rsid w:val="69F76CC0"/>
    <w:rsid w:val="69FB3DEF"/>
    <w:rsid w:val="69FC3EFA"/>
    <w:rsid w:val="6A0B4089"/>
    <w:rsid w:val="6A0C6288"/>
    <w:rsid w:val="6A1F142A"/>
    <w:rsid w:val="6A2D1679"/>
    <w:rsid w:val="6A3E0F0E"/>
    <w:rsid w:val="6A470981"/>
    <w:rsid w:val="6A670F20"/>
    <w:rsid w:val="6A694D9B"/>
    <w:rsid w:val="6A696621"/>
    <w:rsid w:val="6A7E0B45"/>
    <w:rsid w:val="6A806C6B"/>
    <w:rsid w:val="6A885221"/>
    <w:rsid w:val="6A9605C9"/>
    <w:rsid w:val="6AA40D85"/>
    <w:rsid w:val="6ABB2D75"/>
    <w:rsid w:val="6AC14AB2"/>
    <w:rsid w:val="6AC95741"/>
    <w:rsid w:val="6ACE6346"/>
    <w:rsid w:val="6AD92158"/>
    <w:rsid w:val="6AEF2B22"/>
    <w:rsid w:val="6B180D44"/>
    <w:rsid w:val="6B27494B"/>
    <w:rsid w:val="6B27568C"/>
    <w:rsid w:val="6B4E079F"/>
    <w:rsid w:val="6B5A722E"/>
    <w:rsid w:val="6B610944"/>
    <w:rsid w:val="6B680BAF"/>
    <w:rsid w:val="6B8A4FC9"/>
    <w:rsid w:val="6B8A6D77"/>
    <w:rsid w:val="6B932C0C"/>
    <w:rsid w:val="6B937345"/>
    <w:rsid w:val="6BBD4C2A"/>
    <w:rsid w:val="6BCA1579"/>
    <w:rsid w:val="6BD126F0"/>
    <w:rsid w:val="6BEC737B"/>
    <w:rsid w:val="6C152AE5"/>
    <w:rsid w:val="6C332827"/>
    <w:rsid w:val="6C384A25"/>
    <w:rsid w:val="6C3A7DF6"/>
    <w:rsid w:val="6C5B6DD1"/>
    <w:rsid w:val="6C61675C"/>
    <w:rsid w:val="6C693B68"/>
    <w:rsid w:val="6C6A4E6D"/>
    <w:rsid w:val="6C7F5731"/>
    <w:rsid w:val="6CB90E3A"/>
    <w:rsid w:val="6CD66256"/>
    <w:rsid w:val="6CE54BAD"/>
    <w:rsid w:val="6CEF3D02"/>
    <w:rsid w:val="6CF17718"/>
    <w:rsid w:val="6CF215BD"/>
    <w:rsid w:val="6D167504"/>
    <w:rsid w:val="6D1B05CF"/>
    <w:rsid w:val="6D210BAC"/>
    <w:rsid w:val="6D311303"/>
    <w:rsid w:val="6D342B2B"/>
    <w:rsid w:val="6D4F0C03"/>
    <w:rsid w:val="6D523A87"/>
    <w:rsid w:val="6D7D1C6D"/>
    <w:rsid w:val="6D812437"/>
    <w:rsid w:val="6D8D0DA1"/>
    <w:rsid w:val="6D8F1190"/>
    <w:rsid w:val="6DB22C06"/>
    <w:rsid w:val="6DB34C84"/>
    <w:rsid w:val="6DC71E97"/>
    <w:rsid w:val="6DFD3F7F"/>
    <w:rsid w:val="6DFE1A00"/>
    <w:rsid w:val="6E197A95"/>
    <w:rsid w:val="6E1D2124"/>
    <w:rsid w:val="6E447FE6"/>
    <w:rsid w:val="6E8354DD"/>
    <w:rsid w:val="6E8A4C37"/>
    <w:rsid w:val="6E920EEA"/>
    <w:rsid w:val="6E9F0000"/>
    <w:rsid w:val="6EB10C80"/>
    <w:rsid w:val="6EB87E27"/>
    <w:rsid w:val="6EC07DDC"/>
    <w:rsid w:val="6EE2146D"/>
    <w:rsid w:val="6EEC0CAE"/>
    <w:rsid w:val="6EEE4B8C"/>
    <w:rsid w:val="6F050034"/>
    <w:rsid w:val="6F0D763F"/>
    <w:rsid w:val="6F1005C4"/>
    <w:rsid w:val="6F162E82"/>
    <w:rsid w:val="6F2914EE"/>
    <w:rsid w:val="6F3F6524"/>
    <w:rsid w:val="6F407D0F"/>
    <w:rsid w:val="6F4175D2"/>
    <w:rsid w:val="6F663551"/>
    <w:rsid w:val="6F674856"/>
    <w:rsid w:val="6F786CEE"/>
    <w:rsid w:val="6F854425"/>
    <w:rsid w:val="6F893432"/>
    <w:rsid w:val="6F9B278B"/>
    <w:rsid w:val="6FDA1311"/>
    <w:rsid w:val="6FE14660"/>
    <w:rsid w:val="6FF44D17"/>
    <w:rsid w:val="6FFFD95E"/>
    <w:rsid w:val="700F04E7"/>
    <w:rsid w:val="702E2F9A"/>
    <w:rsid w:val="70352925"/>
    <w:rsid w:val="703B647C"/>
    <w:rsid w:val="705A0172"/>
    <w:rsid w:val="705F3769"/>
    <w:rsid w:val="706C4FFD"/>
    <w:rsid w:val="706D6302"/>
    <w:rsid w:val="707A385E"/>
    <w:rsid w:val="708364BB"/>
    <w:rsid w:val="70974F48"/>
    <w:rsid w:val="70983E7D"/>
    <w:rsid w:val="70B51F79"/>
    <w:rsid w:val="70BC5C25"/>
    <w:rsid w:val="70C857AB"/>
    <w:rsid w:val="70D0347E"/>
    <w:rsid w:val="70D10D69"/>
    <w:rsid w:val="70ED2282"/>
    <w:rsid w:val="70EF3E1D"/>
    <w:rsid w:val="710970B2"/>
    <w:rsid w:val="71306040"/>
    <w:rsid w:val="715560C8"/>
    <w:rsid w:val="716F71A9"/>
    <w:rsid w:val="717410B3"/>
    <w:rsid w:val="717E19C2"/>
    <w:rsid w:val="719921EC"/>
    <w:rsid w:val="719F7978"/>
    <w:rsid w:val="71A212BE"/>
    <w:rsid w:val="71C468B3"/>
    <w:rsid w:val="71CC33DE"/>
    <w:rsid w:val="71FD448F"/>
    <w:rsid w:val="720555E9"/>
    <w:rsid w:val="72221950"/>
    <w:rsid w:val="724A08F1"/>
    <w:rsid w:val="72563C24"/>
    <w:rsid w:val="726915C0"/>
    <w:rsid w:val="726934CC"/>
    <w:rsid w:val="728C6DF8"/>
    <w:rsid w:val="728E308E"/>
    <w:rsid w:val="729D2129"/>
    <w:rsid w:val="72A46E5D"/>
    <w:rsid w:val="72DF0A71"/>
    <w:rsid w:val="72E262D5"/>
    <w:rsid w:val="72E70F53"/>
    <w:rsid w:val="72F21DD2"/>
    <w:rsid w:val="730E1803"/>
    <w:rsid w:val="73106B62"/>
    <w:rsid w:val="73171C8B"/>
    <w:rsid w:val="731C6E4F"/>
    <w:rsid w:val="731D2368"/>
    <w:rsid w:val="73761E19"/>
    <w:rsid w:val="738C3CA1"/>
    <w:rsid w:val="739E0A22"/>
    <w:rsid w:val="73B10648"/>
    <w:rsid w:val="73C46FA3"/>
    <w:rsid w:val="73CA1587"/>
    <w:rsid w:val="73DB035D"/>
    <w:rsid w:val="73FD72CB"/>
    <w:rsid w:val="73FF32F7"/>
    <w:rsid w:val="74213FF1"/>
    <w:rsid w:val="7463285B"/>
    <w:rsid w:val="74666E87"/>
    <w:rsid w:val="74793BE8"/>
    <w:rsid w:val="74AA4797"/>
    <w:rsid w:val="74AC5FB0"/>
    <w:rsid w:val="74B3476A"/>
    <w:rsid w:val="74BD7896"/>
    <w:rsid w:val="74D54F3C"/>
    <w:rsid w:val="74F80974"/>
    <w:rsid w:val="752949C6"/>
    <w:rsid w:val="75336768"/>
    <w:rsid w:val="753C2362"/>
    <w:rsid w:val="754504E2"/>
    <w:rsid w:val="755425CC"/>
    <w:rsid w:val="75627117"/>
    <w:rsid w:val="75673072"/>
    <w:rsid w:val="75695C4F"/>
    <w:rsid w:val="758B0767"/>
    <w:rsid w:val="759926FC"/>
    <w:rsid w:val="75C46DC3"/>
    <w:rsid w:val="75FD0222"/>
    <w:rsid w:val="760969FB"/>
    <w:rsid w:val="76261D92"/>
    <w:rsid w:val="76396C1E"/>
    <w:rsid w:val="76400FDD"/>
    <w:rsid w:val="764A0321"/>
    <w:rsid w:val="76504891"/>
    <w:rsid w:val="76564134"/>
    <w:rsid w:val="765A05BC"/>
    <w:rsid w:val="7684397E"/>
    <w:rsid w:val="768534B3"/>
    <w:rsid w:val="769C48A8"/>
    <w:rsid w:val="76A16BE2"/>
    <w:rsid w:val="76AD6D41"/>
    <w:rsid w:val="76B55C2D"/>
    <w:rsid w:val="76BB3AD8"/>
    <w:rsid w:val="76C96671"/>
    <w:rsid w:val="76EF302D"/>
    <w:rsid w:val="76FA2174"/>
    <w:rsid w:val="77185B7F"/>
    <w:rsid w:val="77230004"/>
    <w:rsid w:val="77281E9E"/>
    <w:rsid w:val="774C5829"/>
    <w:rsid w:val="775D6EE5"/>
    <w:rsid w:val="77792F92"/>
    <w:rsid w:val="777D2475"/>
    <w:rsid w:val="77A15B74"/>
    <w:rsid w:val="77AA0898"/>
    <w:rsid w:val="77B519B5"/>
    <w:rsid w:val="77CA6C13"/>
    <w:rsid w:val="77EF0E28"/>
    <w:rsid w:val="77FC65B3"/>
    <w:rsid w:val="78104AA8"/>
    <w:rsid w:val="783720CB"/>
    <w:rsid w:val="78405B2D"/>
    <w:rsid w:val="78426C1C"/>
    <w:rsid w:val="78476634"/>
    <w:rsid w:val="788E239D"/>
    <w:rsid w:val="7890275A"/>
    <w:rsid w:val="78904407"/>
    <w:rsid w:val="78A413FA"/>
    <w:rsid w:val="78A75C02"/>
    <w:rsid w:val="78BA6E21"/>
    <w:rsid w:val="78C63250"/>
    <w:rsid w:val="78EE0CC9"/>
    <w:rsid w:val="78FD40FE"/>
    <w:rsid w:val="790A315A"/>
    <w:rsid w:val="790D55A6"/>
    <w:rsid w:val="7921205A"/>
    <w:rsid w:val="792F5B3E"/>
    <w:rsid w:val="79435A80"/>
    <w:rsid w:val="79447980"/>
    <w:rsid w:val="7955532A"/>
    <w:rsid w:val="795617CC"/>
    <w:rsid w:val="797C23F5"/>
    <w:rsid w:val="797D77E5"/>
    <w:rsid w:val="79BF0649"/>
    <w:rsid w:val="79D31AEC"/>
    <w:rsid w:val="79D95FA0"/>
    <w:rsid w:val="79DA62F1"/>
    <w:rsid w:val="79E740F1"/>
    <w:rsid w:val="79F76A42"/>
    <w:rsid w:val="7A003D09"/>
    <w:rsid w:val="7A0D4354"/>
    <w:rsid w:val="7A0D55D6"/>
    <w:rsid w:val="7A326F58"/>
    <w:rsid w:val="7A6B1472"/>
    <w:rsid w:val="7ABC2A76"/>
    <w:rsid w:val="7AC06271"/>
    <w:rsid w:val="7ACC4282"/>
    <w:rsid w:val="7AF83CFD"/>
    <w:rsid w:val="7B0D6371"/>
    <w:rsid w:val="7B0E3521"/>
    <w:rsid w:val="7B412AB0"/>
    <w:rsid w:val="7B741218"/>
    <w:rsid w:val="7B835FAF"/>
    <w:rsid w:val="7B866F34"/>
    <w:rsid w:val="7B875081"/>
    <w:rsid w:val="7B9207C8"/>
    <w:rsid w:val="7B9B74D6"/>
    <w:rsid w:val="7BC4009E"/>
    <w:rsid w:val="7BD75A22"/>
    <w:rsid w:val="7BE72BDA"/>
    <w:rsid w:val="7BFD5C79"/>
    <w:rsid w:val="7C1742A4"/>
    <w:rsid w:val="7C4B52B3"/>
    <w:rsid w:val="7C5A278F"/>
    <w:rsid w:val="7C6158D2"/>
    <w:rsid w:val="7C640B20"/>
    <w:rsid w:val="7C7429D4"/>
    <w:rsid w:val="7C99137B"/>
    <w:rsid w:val="7CB55428"/>
    <w:rsid w:val="7CC279FA"/>
    <w:rsid w:val="7CED61AC"/>
    <w:rsid w:val="7CF46211"/>
    <w:rsid w:val="7CFA51E5"/>
    <w:rsid w:val="7D1312C2"/>
    <w:rsid w:val="7D1A4DCC"/>
    <w:rsid w:val="7D2221D8"/>
    <w:rsid w:val="7D3746FC"/>
    <w:rsid w:val="7D3C4514"/>
    <w:rsid w:val="7D626845"/>
    <w:rsid w:val="7D6A3C51"/>
    <w:rsid w:val="7D967F99"/>
    <w:rsid w:val="7DB30D8D"/>
    <w:rsid w:val="7DB704CD"/>
    <w:rsid w:val="7DC05DEB"/>
    <w:rsid w:val="7DC61607"/>
    <w:rsid w:val="7DD76804"/>
    <w:rsid w:val="7DE21857"/>
    <w:rsid w:val="7DEE3433"/>
    <w:rsid w:val="7DF63CDF"/>
    <w:rsid w:val="7DFF912C"/>
    <w:rsid w:val="7E1A44FE"/>
    <w:rsid w:val="7E402ACD"/>
    <w:rsid w:val="7E490835"/>
    <w:rsid w:val="7E576346"/>
    <w:rsid w:val="7E710C4D"/>
    <w:rsid w:val="7E765088"/>
    <w:rsid w:val="7E7D2D38"/>
    <w:rsid w:val="7E882DA4"/>
    <w:rsid w:val="7E8D2AAF"/>
    <w:rsid w:val="7EA52354"/>
    <w:rsid w:val="7EA65BD8"/>
    <w:rsid w:val="7ED06A1C"/>
    <w:rsid w:val="7F330CBF"/>
    <w:rsid w:val="7F3F33E6"/>
    <w:rsid w:val="7F460E2D"/>
    <w:rsid w:val="7F6E5620"/>
    <w:rsid w:val="7F7854E1"/>
    <w:rsid w:val="7F815DDA"/>
    <w:rsid w:val="7F945543"/>
    <w:rsid w:val="7F957A5E"/>
    <w:rsid w:val="7F9F53FB"/>
    <w:rsid w:val="7FA91A6A"/>
    <w:rsid w:val="7FC7261C"/>
    <w:rsid w:val="7FC76F2D"/>
    <w:rsid w:val="7FDF7F40"/>
    <w:rsid w:val="7FE522A5"/>
    <w:rsid w:val="7FE725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qFormat="1" w:unhideWhenUsed="0" w:uiPriority="99" w:semiHidden="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4">
    <w:name w:val="heading 1"/>
    <w:basedOn w:val="1"/>
    <w:next w:val="1"/>
    <w:link w:val="35"/>
    <w:qFormat/>
    <w:uiPriority w:val="9"/>
    <w:pPr>
      <w:spacing w:before="340" w:after="330" w:line="360" w:lineRule="auto"/>
      <w:jc w:val="center"/>
      <w:outlineLvl w:val="0"/>
    </w:pPr>
    <w:rPr>
      <w:rFonts w:eastAsia="黑体"/>
      <w:kern w:val="44"/>
      <w:szCs w:val="44"/>
    </w:rPr>
  </w:style>
  <w:style w:type="paragraph" w:styleId="5">
    <w:name w:val="heading 2"/>
    <w:basedOn w:val="1"/>
    <w:next w:val="1"/>
    <w:link w:val="34"/>
    <w:qFormat/>
    <w:uiPriority w:val="0"/>
    <w:pPr>
      <w:adjustRightInd w:val="0"/>
      <w:jc w:val="center"/>
      <w:textAlignment w:val="baseline"/>
      <w:outlineLvl w:val="1"/>
    </w:pPr>
    <w:rPr>
      <w:szCs w:val="20"/>
    </w:rPr>
  </w:style>
  <w:style w:type="paragraph" w:styleId="6">
    <w:name w:val="heading 3"/>
    <w:basedOn w:val="7"/>
    <w:next w:val="1"/>
    <w:link w:val="49"/>
    <w:qFormat/>
    <w:uiPriority w:val="9"/>
    <w:pPr>
      <w:spacing w:before="260" w:after="260"/>
      <w:outlineLvl w:val="2"/>
    </w:pPr>
    <w:rPr>
      <w:rFonts w:ascii="宋体" w:hAnsi="宋体" w:eastAsia="宋体"/>
      <w:szCs w:val="32"/>
    </w:rPr>
  </w:style>
  <w:style w:type="paragraph" w:styleId="7">
    <w:name w:val="heading 4"/>
    <w:basedOn w:val="1"/>
    <w:next w:val="1"/>
    <w:link w:val="37"/>
    <w:qFormat/>
    <w:uiPriority w:val="9"/>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rPr>
      <w:rFonts w:asciiTheme="minorHAnsi" w:hAnsiTheme="minorHAnsi" w:cstheme="minorBidi"/>
      <w:szCs w:val="22"/>
    </w:rPr>
  </w:style>
  <w:style w:type="paragraph" w:styleId="3">
    <w:name w:val="Quote"/>
    <w:basedOn w:val="1"/>
    <w:next w:val="1"/>
    <w:qFormat/>
    <w:uiPriority w:val="99"/>
    <w:pPr>
      <w:widowControl w:val="0"/>
      <w:jc w:val="both"/>
    </w:pPr>
    <w:rPr>
      <w:rFonts w:ascii="Calibri" w:hAnsi="Calibri" w:cs="Calibri" w:eastAsiaTheme="minorEastAsia"/>
      <w:i/>
      <w:iCs/>
      <w:color w:val="000000"/>
      <w:kern w:val="2"/>
      <w:sz w:val="22"/>
      <w:szCs w:val="22"/>
      <w:lang w:val="en-US" w:eastAsia="zh-CN" w:bidi="ar-SA"/>
    </w:rPr>
  </w:style>
  <w:style w:type="paragraph" w:styleId="8">
    <w:name w:val="Normal Indent"/>
    <w:basedOn w:val="1"/>
    <w:next w:val="2"/>
    <w:qFormat/>
    <w:uiPriority w:val="0"/>
    <w:pPr>
      <w:ind w:firstLine="420" w:firstLineChars="200"/>
    </w:pPr>
  </w:style>
  <w:style w:type="paragraph" w:styleId="9">
    <w:name w:val="caption"/>
    <w:basedOn w:val="1"/>
    <w:next w:val="1"/>
    <w:qFormat/>
    <w:uiPriority w:val="0"/>
    <w:pPr>
      <w:spacing w:line="360" w:lineRule="auto"/>
      <w:ind w:firstLine="1940" w:firstLineChars="920"/>
    </w:pPr>
    <w:rPr>
      <w:rFonts w:ascii="宋体" w:hAnsi="宋体"/>
      <w:b/>
      <w:bCs/>
      <w:sz w:val="20"/>
      <w:szCs w:val="20"/>
    </w:rPr>
  </w:style>
  <w:style w:type="paragraph" w:styleId="10">
    <w:name w:val="annotation text"/>
    <w:basedOn w:val="1"/>
    <w:link w:val="42"/>
    <w:qFormat/>
    <w:uiPriority w:val="0"/>
  </w:style>
  <w:style w:type="paragraph" w:styleId="11">
    <w:name w:val="index 6"/>
    <w:basedOn w:val="1"/>
    <w:next w:val="1"/>
    <w:qFormat/>
    <w:uiPriority w:val="0"/>
    <w:pPr>
      <w:ind w:left="2100"/>
    </w:pPr>
  </w:style>
  <w:style w:type="paragraph" w:styleId="12">
    <w:name w:val="Body Text 3"/>
    <w:basedOn w:val="1"/>
    <w:qFormat/>
    <w:uiPriority w:val="0"/>
    <w:pPr>
      <w:spacing w:after="120"/>
    </w:pPr>
    <w:rPr>
      <w:sz w:val="16"/>
      <w:szCs w:val="16"/>
    </w:rPr>
  </w:style>
  <w:style w:type="paragraph" w:styleId="13">
    <w:name w:val="Body Text Indent"/>
    <w:basedOn w:val="1"/>
    <w:qFormat/>
    <w:uiPriority w:val="0"/>
    <w:pPr>
      <w:spacing w:line="360" w:lineRule="auto"/>
      <w:ind w:firstLine="420" w:firstLineChars="200"/>
    </w:pPr>
  </w:style>
  <w:style w:type="paragraph" w:styleId="14">
    <w:name w:val="Block Text"/>
    <w:basedOn w:val="1"/>
    <w:qFormat/>
    <w:uiPriority w:val="99"/>
    <w:pPr>
      <w:spacing w:line="360" w:lineRule="auto"/>
      <w:ind w:left="-85" w:right="-244" w:firstLine="435"/>
    </w:pPr>
  </w:style>
  <w:style w:type="paragraph" w:styleId="15">
    <w:name w:val="Plain Text"/>
    <w:basedOn w:val="1"/>
    <w:link w:val="44"/>
    <w:unhideWhenUsed/>
    <w:qFormat/>
    <w:uiPriority w:val="0"/>
    <w:pPr>
      <w:widowControl w:val="0"/>
      <w:jc w:val="both"/>
    </w:pPr>
    <w:rPr>
      <w:rFonts w:ascii="宋体" w:hAnsi="Courier New" w:eastAsia="宋体"/>
      <w:kern w:val="2"/>
      <w:sz w:val="21"/>
      <w:szCs w:val="20"/>
    </w:rPr>
  </w:style>
  <w:style w:type="paragraph" w:styleId="16">
    <w:name w:val="Balloon Text"/>
    <w:basedOn w:val="1"/>
    <w:link w:val="39"/>
    <w:qFormat/>
    <w:uiPriority w:val="0"/>
    <w:rPr>
      <w:sz w:val="18"/>
      <w:szCs w:val="18"/>
    </w:rPr>
  </w:style>
  <w:style w:type="paragraph" w:styleId="17">
    <w:name w:val="footer"/>
    <w:basedOn w:val="1"/>
    <w:link w:val="41"/>
    <w:qFormat/>
    <w:uiPriority w:val="0"/>
    <w:pPr>
      <w:tabs>
        <w:tab w:val="center" w:pos="4153"/>
        <w:tab w:val="right" w:pos="8306"/>
      </w:tabs>
      <w:snapToGrid w:val="0"/>
    </w:pPr>
    <w:rPr>
      <w:sz w:val="18"/>
      <w:szCs w:val="18"/>
    </w:rPr>
  </w:style>
  <w:style w:type="paragraph" w:styleId="18">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19">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21">
    <w:name w:val="Body Text 2"/>
    <w:basedOn w:val="1"/>
    <w:qFormat/>
    <w:uiPriority w:val="0"/>
    <w:pPr>
      <w:spacing w:line="360" w:lineRule="auto"/>
    </w:pPr>
    <w:rPr>
      <w:sz w:val="24"/>
    </w:rPr>
  </w:style>
  <w:style w:type="paragraph" w:styleId="22">
    <w:name w:val="Normal (Web)"/>
    <w:basedOn w:val="1"/>
    <w:link w:val="36"/>
    <w:qFormat/>
    <w:uiPriority w:val="99"/>
  </w:style>
  <w:style w:type="paragraph" w:styleId="23">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4">
    <w:name w:val="annotation subject"/>
    <w:basedOn w:val="10"/>
    <w:next w:val="10"/>
    <w:link w:val="43"/>
    <w:qFormat/>
    <w:uiPriority w:val="0"/>
    <w:rPr>
      <w:b/>
      <w:bCs/>
    </w:rPr>
  </w:style>
  <w:style w:type="paragraph" w:styleId="25">
    <w:name w:val="Body Text First Indent 2"/>
    <w:basedOn w:val="13"/>
    <w:semiHidden/>
    <w:unhideWhenUsed/>
    <w:qFormat/>
    <w:uiPriority w:val="99"/>
    <w:pPr>
      <w:spacing w:afterLines="25"/>
    </w:pPr>
  </w:style>
  <w:style w:type="table" w:styleId="27">
    <w:name w:val="Table Grid"/>
    <w:basedOn w:val="26"/>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rFonts w:ascii="Tahoma" w:hAnsi="Tahoma" w:eastAsia="宋体"/>
      <w:b/>
      <w:bCs/>
      <w:spacing w:val="10"/>
      <w:kern w:val="2"/>
      <w:sz w:val="24"/>
      <w:szCs w:val="24"/>
      <w:lang w:val="en-US" w:eastAsia="zh-CN" w:bidi="ar-SA"/>
    </w:rPr>
  </w:style>
  <w:style w:type="character" w:styleId="30">
    <w:name w:val="FollowedHyperlink"/>
    <w:basedOn w:val="28"/>
    <w:semiHidden/>
    <w:unhideWhenUsed/>
    <w:qFormat/>
    <w:uiPriority w:val="0"/>
    <w:rPr>
      <w:rFonts w:hint="eastAsia" w:ascii="微软雅黑" w:hAnsi="微软雅黑" w:eastAsia="微软雅黑" w:cs="微软雅黑"/>
      <w:color w:val="02396F"/>
      <w:u w:val="single"/>
    </w:rPr>
  </w:style>
  <w:style w:type="character" w:styleId="31">
    <w:name w:val="Hyperlink"/>
    <w:basedOn w:val="28"/>
    <w:semiHidden/>
    <w:unhideWhenUsed/>
    <w:qFormat/>
    <w:uiPriority w:val="0"/>
    <w:rPr>
      <w:rFonts w:hint="eastAsia" w:ascii="微软雅黑" w:hAnsi="微软雅黑" w:eastAsia="微软雅黑" w:cs="微软雅黑"/>
      <w:color w:val="02396F"/>
      <w:u w:val="single"/>
    </w:rPr>
  </w:style>
  <w:style w:type="character" w:styleId="32">
    <w:name w:val="annotation reference"/>
    <w:basedOn w:val="28"/>
    <w:qFormat/>
    <w:uiPriority w:val="0"/>
    <w:rPr>
      <w:sz w:val="21"/>
      <w:szCs w:val="21"/>
    </w:rPr>
  </w:style>
  <w:style w:type="paragraph" w:customStyle="1" w:styleId="33">
    <w:name w:val="表格文字"/>
    <w:basedOn w:val="1"/>
    <w:qFormat/>
    <w:uiPriority w:val="99"/>
    <w:pPr>
      <w:spacing w:before="25" w:after="25"/>
    </w:pPr>
    <w:rPr>
      <w:spacing w:val="10"/>
    </w:rPr>
  </w:style>
  <w:style w:type="character" w:customStyle="1" w:styleId="34">
    <w:name w:val="标题 2 Char"/>
    <w:link w:val="5"/>
    <w:qFormat/>
    <w:uiPriority w:val="0"/>
    <w:rPr>
      <w:rFonts w:ascii="宋体" w:hAnsi="宋体" w:eastAsia="宋体"/>
      <w:b/>
      <w:bCs/>
      <w:sz w:val="24"/>
      <w:lang w:val="en-US" w:eastAsia="zh-CN" w:bidi="ar-SA"/>
    </w:rPr>
  </w:style>
  <w:style w:type="character" w:customStyle="1" w:styleId="35">
    <w:name w:val="标题 1 Char"/>
    <w:link w:val="4"/>
    <w:qFormat/>
    <w:uiPriority w:val="9"/>
    <w:rPr>
      <w:rFonts w:ascii="宋体" w:hAnsi="宋体" w:eastAsia="黑体"/>
      <w:b/>
      <w:bCs/>
      <w:kern w:val="44"/>
      <w:sz w:val="28"/>
      <w:szCs w:val="44"/>
      <w:lang w:val="en-US" w:eastAsia="zh-CN" w:bidi="ar-SA"/>
    </w:rPr>
  </w:style>
  <w:style w:type="character" w:customStyle="1" w:styleId="36">
    <w:name w:val="普通(网站) Char"/>
    <w:link w:val="22"/>
    <w:qFormat/>
    <w:uiPriority w:val="0"/>
    <w:rPr>
      <w:kern w:val="2"/>
      <w:sz w:val="24"/>
      <w:szCs w:val="24"/>
    </w:rPr>
  </w:style>
  <w:style w:type="character" w:customStyle="1" w:styleId="37">
    <w:name w:val="标题 4 Char"/>
    <w:link w:val="7"/>
    <w:qFormat/>
    <w:uiPriority w:val="9"/>
    <w:rPr>
      <w:rFonts w:ascii="Arial" w:hAnsi="Arial" w:eastAsia="黑体"/>
      <w:b/>
      <w:bCs/>
      <w:kern w:val="2"/>
      <w:sz w:val="28"/>
      <w:szCs w:val="28"/>
      <w:lang w:val="en-US" w:eastAsia="zh-CN" w:bidi="ar-SA"/>
    </w:rPr>
  </w:style>
  <w:style w:type="character" w:customStyle="1" w:styleId="38">
    <w:name w:val="标题 3 Char1"/>
    <w:qFormat/>
    <w:uiPriority w:val="9"/>
    <w:rPr>
      <w:rFonts w:ascii="宋体" w:hAnsi="宋体" w:eastAsia="宋体"/>
      <w:b/>
      <w:bCs/>
      <w:kern w:val="2"/>
      <w:sz w:val="28"/>
      <w:szCs w:val="32"/>
      <w:lang w:val="en-US" w:eastAsia="zh-CN" w:bidi="ar-SA"/>
    </w:rPr>
  </w:style>
  <w:style w:type="character" w:customStyle="1" w:styleId="39">
    <w:name w:val="批注框文本 Char"/>
    <w:basedOn w:val="28"/>
    <w:link w:val="16"/>
    <w:qFormat/>
    <w:uiPriority w:val="0"/>
    <w:rPr>
      <w:sz w:val="18"/>
      <w:szCs w:val="18"/>
    </w:rPr>
  </w:style>
  <w:style w:type="character" w:customStyle="1" w:styleId="40">
    <w:name w:val="页眉 Char"/>
    <w:basedOn w:val="28"/>
    <w:link w:val="19"/>
    <w:qFormat/>
    <w:uiPriority w:val="0"/>
    <w:rPr>
      <w:sz w:val="18"/>
      <w:szCs w:val="18"/>
    </w:rPr>
  </w:style>
  <w:style w:type="character" w:customStyle="1" w:styleId="41">
    <w:name w:val="页脚 Char"/>
    <w:basedOn w:val="28"/>
    <w:link w:val="17"/>
    <w:qFormat/>
    <w:uiPriority w:val="0"/>
    <w:rPr>
      <w:sz w:val="18"/>
      <w:szCs w:val="18"/>
    </w:rPr>
  </w:style>
  <w:style w:type="character" w:customStyle="1" w:styleId="42">
    <w:name w:val="批注文字 Char"/>
    <w:basedOn w:val="28"/>
    <w:link w:val="10"/>
    <w:qFormat/>
    <w:uiPriority w:val="0"/>
    <w:rPr>
      <w:sz w:val="24"/>
      <w:szCs w:val="24"/>
    </w:rPr>
  </w:style>
  <w:style w:type="character" w:customStyle="1" w:styleId="43">
    <w:name w:val="批注主题 Char"/>
    <w:basedOn w:val="42"/>
    <w:link w:val="24"/>
    <w:qFormat/>
    <w:uiPriority w:val="0"/>
    <w:rPr>
      <w:b/>
      <w:bCs/>
      <w:sz w:val="24"/>
      <w:szCs w:val="24"/>
    </w:rPr>
  </w:style>
  <w:style w:type="character" w:customStyle="1" w:styleId="44">
    <w:name w:val="纯文本 Char"/>
    <w:basedOn w:val="28"/>
    <w:link w:val="15"/>
    <w:semiHidden/>
    <w:qFormat/>
    <w:uiPriority w:val="99"/>
    <w:rPr>
      <w:rFonts w:ascii="宋体" w:hAnsi="Courier New" w:eastAsia="宋体"/>
      <w:kern w:val="2"/>
      <w:sz w:val="21"/>
    </w:rPr>
  </w:style>
  <w:style w:type="paragraph" w:styleId="45">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6">
    <w:name w:val="列出段落1"/>
    <w:basedOn w:val="1"/>
    <w:qFormat/>
    <w:uiPriority w:val="0"/>
    <w:pPr>
      <w:widowControl w:val="0"/>
      <w:ind w:firstLine="420"/>
      <w:jc w:val="both"/>
    </w:pPr>
    <w:rPr>
      <w:rFonts w:ascii="Calibri" w:hAnsi="Calibri" w:eastAsia="宋体" w:cs="Calibri"/>
      <w:kern w:val="2"/>
      <w:sz w:val="21"/>
      <w:szCs w:val="21"/>
    </w:rPr>
  </w:style>
  <w:style w:type="paragraph" w:customStyle="1" w:styleId="47">
    <w:name w:val="Table Paragraph"/>
    <w:basedOn w:val="1"/>
    <w:qFormat/>
    <w:uiPriority w:val="1"/>
    <w:pPr>
      <w:widowControl w:val="0"/>
      <w:autoSpaceDE w:val="0"/>
      <w:autoSpaceDN w:val="0"/>
      <w:adjustRightInd w:val="0"/>
    </w:pPr>
    <w:rPr>
      <w:rFonts w:ascii="Calibri" w:hAnsi="Calibri" w:eastAsia="宋体" w:cs="Calibri"/>
      <w:szCs w:val="21"/>
    </w:rPr>
  </w:style>
  <w:style w:type="character" w:customStyle="1" w:styleId="48">
    <w:name w:val="NormalCharacter"/>
    <w:semiHidden/>
    <w:qFormat/>
    <w:uiPriority w:val="0"/>
    <w:rPr>
      <w:kern w:val="2"/>
      <w:sz w:val="21"/>
      <w:szCs w:val="24"/>
      <w:lang w:val="en-US" w:eastAsia="zh-CN" w:bidi="ar-SA"/>
    </w:rPr>
  </w:style>
  <w:style w:type="character" w:customStyle="1" w:styleId="49">
    <w:name w:val="标题 3 Char"/>
    <w:link w:val="6"/>
    <w:qFormat/>
    <w:uiPriority w:val="0"/>
    <w:rPr>
      <w:rFonts w:ascii="宋体" w:hAnsi="宋体" w:eastAsia="宋体"/>
      <w:b/>
      <w:kern w:val="2"/>
      <w:sz w:val="28"/>
    </w:rPr>
  </w:style>
  <w:style w:type="paragraph" w:customStyle="1" w:styleId="50">
    <w:name w:val="Default"/>
    <w:next w:val="11"/>
    <w:qFormat/>
    <w:uiPriority w:val="0"/>
    <w:pPr>
      <w:widowControl w:val="0"/>
    </w:pPr>
    <w:rPr>
      <w:rFonts w:ascii="Arial Narrow" w:hAnsi="Arial Narrow" w:eastAsia="宋体" w:cs="Arial Narrow"/>
      <w:color w:val="000000"/>
      <w:kern w:val="2"/>
      <w:sz w:val="24"/>
      <w:lang w:val="en-US" w:eastAsia="zh-CN" w:bidi="ar-SA"/>
    </w:rPr>
  </w:style>
  <w:style w:type="paragraph" w:customStyle="1" w:styleId="51">
    <w:name w:val="题注4"/>
    <w:basedOn w:val="1"/>
    <w:next w:val="9"/>
    <w:qFormat/>
    <w:uiPriority w:val="0"/>
    <w:pPr>
      <w:ind w:left="-132" w:leftChars="-64" w:right="-105" w:rightChars="-50" w:hanging="2"/>
      <w:jc w:val="center"/>
    </w:pPr>
    <w:rPr>
      <w:b/>
      <w:color w:val="FF0000"/>
      <w:szCs w:val="21"/>
      <w:lang w:val="en-GB"/>
    </w:rPr>
  </w:style>
  <w:style w:type="paragraph" w:customStyle="1" w:styleId="52">
    <w:name w:val="*正文"/>
    <w:basedOn w:val="1"/>
    <w:qFormat/>
    <w:uiPriority w:val="0"/>
    <w:pPr>
      <w:spacing w:line="360" w:lineRule="auto"/>
      <w:ind w:firstLine="200" w:firstLineChars="200"/>
    </w:pPr>
    <w:rPr>
      <w:rFonts w:ascii="仿宋_GB2312" w:hAnsi="Calibri"/>
      <w:szCs w:val="28"/>
      <w:lang w:val="zh-CN"/>
    </w:rPr>
  </w:style>
  <w:style w:type="paragraph" w:customStyle="1" w:styleId="53">
    <w:name w:val="二号标题"/>
    <w:basedOn w:val="1"/>
    <w:qFormat/>
    <w:uiPriority w:val="0"/>
    <w:pPr>
      <w:tabs>
        <w:tab w:val="left" w:pos="663"/>
      </w:tabs>
      <w:spacing w:before="200"/>
      <w:outlineLvl w:val="1"/>
    </w:pPr>
    <w:rPr>
      <w:rFonts w:eastAsia="黑体"/>
      <w:b/>
      <w:bCs/>
      <w:sz w:val="28"/>
      <w:szCs w:val="28"/>
    </w:rPr>
  </w:style>
  <w:style w:type="paragraph" w:customStyle="1" w:styleId="54">
    <w:name w:val="王越的表格"/>
    <w:basedOn w:val="1"/>
    <w:qFormat/>
    <w:uiPriority w:val="0"/>
    <w:pPr>
      <w:widowControl w:val="0"/>
    </w:pPr>
    <w:rPr>
      <w:kern w:val="2"/>
    </w:rPr>
  </w:style>
  <w:style w:type="character" w:customStyle="1" w:styleId="55">
    <w:name w:val="qxdate"/>
    <w:basedOn w:val="28"/>
    <w:qFormat/>
    <w:uiPriority w:val="0"/>
    <w:rPr>
      <w:color w:val="333333"/>
      <w:sz w:val="18"/>
      <w:szCs w:val="18"/>
    </w:rPr>
  </w:style>
  <w:style w:type="character" w:customStyle="1" w:styleId="56">
    <w:name w:val="cfdate"/>
    <w:basedOn w:val="28"/>
    <w:qFormat/>
    <w:uiPriority w:val="0"/>
    <w:rPr>
      <w:color w:val="333333"/>
      <w:sz w:val="18"/>
      <w:szCs w:val="18"/>
    </w:rPr>
  </w:style>
  <w:style w:type="character" w:customStyle="1" w:styleId="57">
    <w:name w:val="redfilefwwh"/>
    <w:basedOn w:val="28"/>
    <w:qFormat/>
    <w:uiPriority w:val="0"/>
    <w:rPr>
      <w:color w:val="BA2636"/>
      <w:sz w:val="18"/>
      <w:szCs w:val="18"/>
    </w:rPr>
  </w:style>
  <w:style w:type="character" w:customStyle="1" w:styleId="58">
    <w:name w:val="redfilenumber"/>
    <w:basedOn w:val="28"/>
    <w:qFormat/>
    <w:uiPriority w:val="0"/>
    <w:rPr>
      <w:color w:val="BA2636"/>
      <w:sz w:val="18"/>
      <w:szCs w:val="18"/>
    </w:rPr>
  </w:style>
  <w:style w:type="character" w:customStyle="1" w:styleId="59">
    <w:name w:val="gjfg"/>
    <w:basedOn w:val="28"/>
    <w:qFormat/>
    <w:uiPriority w:val="0"/>
  </w:style>
  <w:style w:type="character" w:customStyle="1" w:styleId="60">
    <w:name w:val="prev"/>
    <w:basedOn w:val="28"/>
    <w:qFormat/>
    <w:uiPriority w:val="0"/>
    <w:rPr>
      <w:rFonts w:ascii="微软雅黑" w:hAnsi="微软雅黑" w:eastAsia="微软雅黑" w:cs="微软雅黑"/>
      <w:sz w:val="21"/>
      <w:szCs w:val="21"/>
    </w:rPr>
  </w:style>
  <w:style w:type="character" w:customStyle="1" w:styleId="61">
    <w:name w:val="next"/>
    <w:basedOn w:val="28"/>
    <w:qFormat/>
    <w:uiPriority w:val="0"/>
    <w:rPr>
      <w:rFonts w:hint="eastAsia" w:ascii="微软雅黑" w:hAnsi="微软雅黑" w:eastAsia="微软雅黑" w:cs="微软雅黑"/>
      <w:sz w:val="21"/>
      <w:szCs w:val="21"/>
    </w:rPr>
  </w:style>
  <w:style w:type="character" w:customStyle="1" w:styleId="62">
    <w:name w:val="next1"/>
    <w:basedOn w:val="28"/>
    <w:qFormat/>
    <w:uiPriority w:val="0"/>
    <w:rPr>
      <w:color w:val="888888"/>
    </w:rPr>
  </w:style>
  <w:style w:type="character" w:customStyle="1" w:styleId="63">
    <w:name w:val="displayarti"/>
    <w:basedOn w:val="28"/>
    <w:qFormat/>
    <w:uiPriority w:val="0"/>
    <w:rPr>
      <w:color w:val="FFFFFF"/>
      <w:shd w:val="clear" w:color="auto" w:fill="A00000"/>
    </w:rPr>
  </w:style>
  <w:style w:type="character" w:customStyle="1" w:styleId="64">
    <w:name w:val="纯文本 字符"/>
    <w:qFormat/>
    <w:uiPriority w:val="0"/>
    <w:rPr>
      <w:rFonts w:ascii="宋体" w:hAnsi="Courier New" w:eastAsia="宋体"/>
      <w:kern w:val="2"/>
      <w:sz w:val="21"/>
      <w:lang w:val="en-US" w:eastAsia="zh-CN" w:bidi="ar-SA"/>
    </w:rPr>
  </w:style>
  <w:style w:type="paragraph" w:customStyle="1" w:styleId="6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
    <w:name w:val="￥正文"/>
    <w:basedOn w:val="1"/>
    <w:qFormat/>
    <w:uiPriority w:val="0"/>
    <w:pPr>
      <w:tabs>
        <w:tab w:val="left" w:pos="426"/>
      </w:tabs>
      <w:ind w:firstLine="200" w:firstLineChars="200"/>
    </w:pPr>
    <w:rPr>
      <w:rFonts w:ascii="Calibri" w:hAnsi="Calibri" w:cs="Times New Roman"/>
      <w:kern w:val="2"/>
      <w:sz w:val="24"/>
      <w:szCs w:val="20"/>
    </w:rPr>
  </w:style>
  <w:style w:type="paragraph" w:styleId="6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8">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6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173</Words>
  <Characters>187</Characters>
  <Lines>127</Lines>
  <Paragraphs>35</Paragraphs>
  <TotalTime>11</TotalTime>
  <ScaleCrop>false</ScaleCrop>
  <LinksUpToDate>false</LinksUpToDate>
  <CharactersWithSpaces>250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2023-03-30T00:50:00Z</dcterms:created>
  <dc:creator>Administrator</dc:creator>
  <cp:lastModifiedBy>沈少敏</cp:lastModifiedBy>
  <cp:lastPrinted>2024-07-04T03:35:00Z</cp:lastPrinted>
  <dcterms:modified xsi:type="dcterms:W3CDTF">2025-07-29T07:09:26Z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C38E7975E435420AA5168FB9255967BE_13</vt:lpwstr>
  </property>
  <property fmtid="{D5CDD505-2E9C-101B-9397-08002B2CF9AE}" pid="4" name="KSOTemplateDocerSaveRecord">
    <vt:lpwstr>eyJoZGlkIjoiZWNlMGI2NzFjZDAyMzZkOTE4OTkyMDZmODFlZjcwMWQiLCJ1c2VySWQiOiIyNTA5OTM3OTcifQ==</vt:lpwstr>
  </property>
</Properties>
</file>